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9"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9"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Arial" w:cs="Arial" w:eastAsia="Arial" w:hAnsi="Arial"/>
                <w:sz w:val="14"/>
                <w:szCs w:val="14"/>
                <w:i w:val="1"/>
                <w:iCs w:val="1"/>
                <w:color w:val="auto"/>
              </w:rPr>
              <w:t>Commission</w:t>
            </w:r>
          </w:p>
        </w:tc>
        <w:tc>
          <w:tcPr>
            <w:tcW w:w="3720" w:type="dxa"/>
            <w:vAlign w:val="bottom"/>
            <w:gridSpan w:val="2"/>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44"/>
              <w:spacing w:after="0"/>
              <w:rPr>
                <w:sz w:val="20"/>
                <w:szCs w:val="20"/>
                <w:color w:val="auto"/>
              </w:rPr>
            </w:pPr>
            <w:r>
              <w:rPr>
                <w:rFonts w:ascii="Arial" w:cs="Arial" w:eastAsia="Arial" w:hAnsi="Arial"/>
                <w:sz w:val="14"/>
                <w:szCs w:val="14"/>
                <w:i w:val="1"/>
                <w:iCs w:val="1"/>
                <w:color w:val="auto"/>
                <w:w w:val="91"/>
              </w:rPr>
              <w:t>State of</w:t>
            </w:r>
          </w:p>
        </w:tc>
        <w:tc>
          <w:tcPr>
            <w:tcW w:w="2960" w:type="dxa"/>
            <w:vAlign w:val="bottom"/>
            <w:gridSpan w:val="2"/>
          </w:tcPr>
          <w:p>
            <w:pPr>
              <w:jc w:val="center"/>
              <w:ind w:left="442"/>
              <w:spacing w:after="0"/>
              <w:rPr>
                <w:sz w:val="20"/>
                <w:szCs w:val="20"/>
                <w:color w:val="auto"/>
              </w:rPr>
            </w:pPr>
            <w:r>
              <w:rPr>
                <w:rFonts w:ascii="Arial" w:cs="Arial" w:eastAsia="Arial" w:hAnsi="Arial"/>
                <w:sz w:val="14"/>
                <w:szCs w:val="14"/>
                <w:i w:val="1"/>
                <w:iCs w:val="1"/>
                <w:color w:val="auto"/>
                <w:w w:val="91"/>
              </w:rPr>
              <w:t>I.R.S.</w:t>
            </w:r>
          </w:p>
        </w:tc>
      </w:tr>
      <w:tr>
        <w:trPr>
          <w:trHeight w:val="186"/>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4"/>
                <w:szCs w:val="14"/>
                <w:i w:val="1"/>
                <w:iCs w:val="1"/>
                <w:color w:val="auto"/>
                <w:w w:val="97"/>
              </w:rPr>
              <w:t>Incorporation</w:t>
            </w:r>
          </w:p>
        </w:tc>
        <w:tc>
          <w:tcPr>
            <w:tcW w:w="296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7"/>
        </w:trPr>
        <w:tc>
          <w:tcPr>
            <w:tcW w:w="1360" w:type="dxa"/>
            <w:vAlign w:val="bottom"/>
            <w:gridSpan w:val="2"/>
          </w:tcPr>
          <w:p>
            <w:pPr>
              <w:jc w:val="right"/>
              <w:ind w:right="225"/>
              <w:spacing w:after="0"/>
              <w:rPr>
                <w:sz w:val="20"/>
                <w:szCs w:val="20"/>
                <w:color w:val="auto"/>
              </w:rPr>
            </w:pPr>
            <w:r>
              <w:rPr>
                <w:rFonts w:ascii="Arial" w:cs="Arial" w:eastAsia="Arial" w:hAnsi="Arial"/>
                <w:sz w:val="16"/>
                <w:szCs w:val="16"/>
                <w:color w:val="auto"/>
              </w:rPr>
              <w:t>001-37976</w:t>
            </w:r>
          </w:p>
        </w:tc>
        <w:tc>
          <w:tcPr>
            <w:tcW w:w="2240" w:type="dxa"/>
            <w:vAlign w:val="bottom"/>
          </w:tcPr>
          <w:p>
            <w:pPr>
              <w:ind w:left="280"/>
              <w:spacing w:after="0"/>
              <w:rPr>
                <w:sz w:val="20"/>
                <w:szCs w:val="20"/>
                <w:color w:val="auto"/>
              </w:rPr>
            </w:pPr>
            <w:r>
              <w:rPr>
                <w:rFonts w:ascii="Arial" w:cs="Arial" w:eastAsia="Arial" w:hAnsi="Arial"/>
                <w:sz w:val="16"/>
                <w:szCs w:val="16"/>
                <w:color w:val="auto"/>
                <w:w w:val="92"/>
              </w:rPr>
              <w:t>Southwest Gas Holdings, Inc.</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1"/>
              </w:rPr>
              <w:t>Delaware</w:t>
            </w:r>
          </w:p>
        </w:tc>
        <w:tc>
          <w:tcPr>
            <w:tcW w:w="2940" w:type="dxa"/>
            <w:vAlign w:val="bottom"/>
          </w:tcPr>
          <w:p>
            <w:pPr>
              <w:jc w:val="center"/>
              <w:ind w:left="482"/>
              <w:spacing w:after="0"/>
              <w:rPr>
                <w:sz w:val="20"/>
                <w:szCs w:val="20"/>
                <w:color w:val="auto"/>
              </w:rPr>
            </w:pPr>
            <w:r>
              <w:rPr>
                <w:rFonts w:ascii="Arial" w:cs="Arial" w:eastAsia="Arial" w:hAnsi="Arial"/>
                <w:sz w:val="16"/>
                <w:szCs w:val="16"/>
                <w:color w:val="auto"/>
                <w:w w:val="91"/>
              </w:rPr>
              <w:t>81-3881866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Arial" w:cs="Arial" w:eastAsia="Arial" w:hAnsi="Arial"/>
                <w:sz w:val="16"/>
                <w:szCs w:val="16"/>
                <w:color w:val="auto"/>
              </w:rPr>
              <w:t>1-7850</w:t>
            </w:r>
          </w:p>
        </w:tc>
        <w:tc>
          <w:tcPr>
            <w:tcW w:w="2240" w:type="dxa"/>
            <w:vAlign w:val="bottom"/>
          </w:tcPr>
          <w:p>
            <w:pPr>
              <w:ind w:left="280"/>
              <w:spacing w:after="0"/>
              <w:rPr>
                <w:sz w:val="20"/>
                <w:szCs w:val="20"/>
                <w:color w:val="auto"/>
              </w:rPr>
            </w:pPr>
            <w:r>
              <w:rPr>
                <w:rFonts w:ascii="Arial" w:cs="Arial" w:eastAsia="Arial" w:hAnsi="Arial"/>
                <w:sz w:val="16"/>
                <w:szCs w:val="16"/>
                <w:color w:val="auto"/>
                <w:w w:val="98"/>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7"/>
              </w:rPr>
              <w:t>California</w:t>
            </w:r>
          </w:p>
        </w:tc>
        <w:tc>
          <w:tcPr>
            <w:tcW w:w="2940" w:type="dxa"/>
            <w:vAlign w:val="bottom"/>
          </w:tcPr>
          <w:p>
            <w:pPr>
              <w:jc w:val="center"/>
              <w:ind w:left="482"/>
              <w:spacing w:after="0"/>
              <w:rPr>
                <w:sz w:val="20"/>
                <w:szCs w:val="20"/>
                <w:color w:val="auto"/>
              </w:rPr>
            </w:pPr>
            <w:r>
              <w:rPr>
                <w:rFonts w:ascii="Arial" w:cs="Arial" w:eastAsia="Arial" w:hAnsi="Arial"/>
                <w:sz w:val="16"/>
                <w:szCs w:val="16"/>
                <w:color w:val="auto"/>
                <w:w w:val="91"/>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b w:val="1"/>
                <w:bCs w:val="1"/>
                <w:color w:val="auto"/>
                <w:w w:val="88"/>
              </w:rPr>
              <w:t>Title of each class</w:t>
            </w:r>
          </w:p>
        </w:tc>
        <w:tc>
          <w:tcPr>
            <w:tcW w:w="1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0"/>
              </w:rPr>
              <w:t>Trading Symbol</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5060" w:type="dxa"/>
            <w:vAlign w:val="bottom"/>
            <w:gridSpan w:val="3"/>
          </w:tcPr>
          <w:p>
            <w:pPr>
              <w:jc w:val="center"/>
              <w:ind w:left="545"/>
              <w:spacing w:after="0"/>
              <w:rPr>
                <w:sz w:val="20"/>
                <w:szCs w:val="20"/>
                <w:color w:val="auto"/>
              </w:rPr>
            </w:pPr>
            <w:r>
              <w:rPr>
                <w:rFonts w:ascii="Arial" w:cs="Arial" w:eastAsia="Arial" w:hAnsi="Arial"/>
                <w:sz w:val="16"/>
                <w:szCs w:val="16"/>
                <w:color w:val="auto"/>
                <w:w w:val="91"/>
              </w:rPr>
              <w:t>Southwest Gas Holdings, Inc. Common Stock, $1 Par Value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SWX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2"/>
          </w:tcPr>
          <w:p>
            <w:pPr>
              <w:jc w:val="center"/>
              <w:ind w:right="619"/>
              <w:spacing w:after="0"/>
              <w:rPr>
                <w:sz w:val="20"/>
                <w:szCs w:val="20"/>
                <w:color w:val="auto"/>
              </w:rPr>
            </w:pPr>
            <w:r>
              <w:rPr>
                <w:rFonts w:ascii="Arial" w:cs="Arial" w:eastAsia="Arial" w:hAnsi="Arial"/>
                <w:sz w:val="16"/>
                <w:szCs w:val="16"/>
                <w:color w:val="auto"/>
                <w:w w:val="90"/>
              </w:rPr>
              <w:t>Preferred Stock Purchase Rights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bl>
    <w:p>
      <w:pPr>
        <w:spacing w:after="0" w:line="104"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ind w:right="300"/>
        <w:spacing w:after="0" w:line="217"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8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64"/>
        </w:trPr>
        <w:tc>
          <w:tcPr>
            <w:tcW w:w="24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5"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0"/>
        </w:trPr>
        <w:tc>
          <w:tcPr>
            <w:tcW w:w="240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78"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260"/>
        <w:spacing w:after="0"/>
        <w:rPr>
          <w:sz w:val="20"/>
          <w:szCs w:val="20"/>
          <w:color w:val="auto"/>
        </w:rPr>
      </w:pPr>
      <w:r>
        <w:rPr>
          <w:rFonts w:ascii="Arial" w:cs="Arial" w:eastAsia="Arial" w:hAnsi="Arial"/>
          <w:sz w:val="16"/>
          <w:szCs w:val="16"/>
          <w:color w:val="auto"/>
        </w:rPr>
        <w:t>Southwest Gas Holdings, Inc. Common Stock, $1 Par Value, 60,385,084 shares as of October 29, 2021.</w:t>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auto"/>
        </w:rPr>
        <w:t>All of the outstanding shares of common stock ($1 par value) of Southwest Gas Corporation were held by Southwest Gas Holdings, Inc. as of October 29, 2021.</w:t>
      </w:r>
    </w:p>
    <w:p>
      <w:pPr>
        <w:sectPr>
          <w:pgSz w:w="11900" w:h="16838" w:orient="portrait"/>
          <w:cols w:equalWidth="0" w:num="1">
            <w:col w:w="11240"/>
          </w:cols>
          <w:pgMar w:left="320" w:top="467" w:right="339" w:bottom="1440" w:gutter="0" w:footer="0" w:header="0"/>
        </w:sectPr>
      </w:pPr>
    </w:p>
    <w:p>
      <w:pPr>
        <w:spacing w:after="0" w:line="11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w w:val="97"/>
              </w:rPr>
              <w:t>December 31, 2020</w:t>
            </w:r>
          </w:p>
        </w:tc>
        <w:tc>
          <w:tcPr>
            <w:tcW w:w="0" w:type="dxa"/>
            <w:vAlign w:val="bottom"/>
          </w:tcPr>
          <w:p>
            <w:pPr>
              <w:spacing w:after="0"/>
              <w:rPr>
                <w:sz w:val="1"/>
                <w:szCs w:val="1"/>
                <w:color w:val="auto"/>
              </w:rPr>
            </w:pPr>
          </w:p>
        </w:tc>
      </w:tr>
      <w:tr>
        <w:trPr>
          <w:trHeight w:val="175"/>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Utility plant:</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8,742,806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8,384,000</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(2,499,488)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(2,419,348)</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153,100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211,429</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utility plant</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6,396,418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6,176,081</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Other property and investments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1,305,334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834,245</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186,690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83,352</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Accounts receivable, net of allowances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692,135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522,172</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82,400</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Income taxes receivable,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32,554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10,884</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240,827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Prepaid and other current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200,700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170,152</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1,392,606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871,013</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791,902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345,184</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charges and 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483,107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508,875</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1,275,277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854,514</w:t>
            </w:r>
          </w:p>
        </w:tc>
        <w:tc>
          <w:tcPr>
            <w:tcW w:w="0" w:type="dxa"/>
            <w:vAlign w:val="bottom"/>
          </w:tcPr>
          <w:p>
            <w:pPr>
              <w:spacing w:after="0"/>
              <w:rPr>
                <w:sz w:val="1"/>
                <w:szCs w:val="1"/>
                <w:color w:val="auto"/>
              </w:rPr>
            </w:pPr>
          </w:p>
        </w:tc>
      </w:tr>
      <w:tr>
        <w:trPr>
          <w:trHeight w:val="20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10,369,635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8,735,853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CAPITALIZATION AND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Capitalization:</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300"/>
              <w:spacing w:after="0"/>
              <w:rPr>
                <w:sz w:val="20"/>
                <w:szCs w:val="20"/>
                <w:color w:val="auto"/>
              </w:rPr>
            </w:pPr>
            <w:r>
              <w:rPr>
                <w:rFonts w:ascii="Arial" w:cs="Arial" w:eastAsia="Arial" w:hAnsi="Arial"/>
                <w:sz w:val="14"/>
                <w:szCs w:val="14"/>
                <w:color w:val="auto"/>
              </w:rPr>
              <w:t>Common stock, $1 par (authorized - 120,000,000 shares; issued and outstanding - 60,378,684 and 57,192,925 shares)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62,009</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58,823</w:t>
            </w:r>
          </w:p>
        </w:tc>
        <w:tc>
          <w:tcPr>
            <w:tcW w:w="0" w:type="dxa"/>
            <w:vAlign w:val="bottom"/>
          </w:tcPr>
          <w:p>
            <w:pPr>
              <w:spacing w:after="0"/>
              <w:rPr>
                <w:sz w:val="1"/>
                <w:szCs w:val="1"/>
                <w:color w:val="auto"/>
              </w:rPr>
            </w:pPr>
          </w:p>
        </w:tc>
      </w:tr>
      <w:tr>
        <w:trPr>
          <w:trHeight w:val="195"/>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1,823,889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1,609,155</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(55,951)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(61,003)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1,079,869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1,067,978</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2,909,816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2,674,953</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Redeemable noncontrolling interest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183,547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165,716</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Long-term debt, less current maturities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3,573,783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2,732,200</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6,667,146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5,572,869</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297,271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40,433</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Short-term debt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272,000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107,000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222,959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231,301</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Customer deposits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51,816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67,920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 net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12,556</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Accrued general taxes</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60,656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48,640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interest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20,536</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purchased gas costs</w:t>
            </w:r>
          </w:p>
        </w:tc>
        <w:tc>
          <w:tcPr>
            <w:tcW w:w="16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54,636</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384,442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328,945</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1,355,234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911,967</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 and other credits:</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789,141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647,453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removal costs</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404,000</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1,139,114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1,199,564</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2,347,255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2,251,017</w:t>
            </w:r>
          </w:p>
        </w:tc>
        <w:tc>
          <w:tcPr>
            <w:tcW w:w="0" w:type="dxa"/>
            <w:vAlign w:val="bottom"/>
          </w:tcPr>
          <w:p>
            <w:pPr>
              <w:spacing w:after="0"/>
              <w:rPr>
                <w:sz w:val="1"/>
                <w:szCs w:val="1"/>
                <w:color w:val="auto"/>
              </w:rPr>
            </w:pP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Total capitalization and liabilities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10,369,635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8,735,853</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September 30,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12"/>
          </w:tcPr>
          <w:p>
            <w:pPr>
              <w:jc w:val="center"/>
              <w:ind w:left="250"/>
              <w:spacing w:after="0"/>
              <w:rPr>
                <w:sz w:val="20"/>
                <w:szCs w:val="20"/>
                <w:color w:val="auto"/>
              </w:rPr>
            </w:pPr>
            <w:r>
              <w:rPr>
                <w:rFonts w:ascii="Arial" w:cs="Arial" w:eastAsia="Arial" w:hAnsi="Arial"/>
                <w:sz w:val="18"/>
                <w:szCs w:val="18"/>
                <w:color w:val="auto"/>
                <w:w w:val="96"/>
              </w:rPr>
              <w:t>SOUTHWEST GAS HOLDINGS, INC. AND SUBSIDIARIES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13"/>
          </w:tcPr>
          <w:p>
            <w:pPr>
              <w:jc w:val="center"/>
              <w:spacing w:after="0"/>
              <w:rPr>
                <w:sz w:val="20"/>
                <w:szCs w:val="20"/>
                <w:color w:val="auto"/>
              </w:rPr>
            </w:pPr>
            <w:r>
              <w:rPr>
                <w:rFonts w:ascii="Arial" w:cs="Arial" w:eastAsia="Arial" w:hAnsi="Arial"/>
                <w:sz w:val="18"/>
                <w:szCs w:val="18"/>
                <w:color w:val="auto"/>
                <w:w w:val="95"/>
              </w:rPr>
              <w:t>CONDENSED CONSOLIDATED STATEMENTS OF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20" w:type="dxa"/>
            <w:vAlign w:val="bottom"/>
            <w:gridSpan w:val="8"/>
          </w:tcPr>
          <w:p>
            <w:pPr>
              <w:jc w:val="center"/>
              <w:ind w:left="159"/>
              <w:spacing w:after="0"/>
              <w:rPr>
                <w:sz w:val="20"/>
                <w:szCs w:val="20"/>
                <w:color w:val="auto"/>
              </w:rPr>
            </w:pPr>
            <w:r>
              <w:rPr>
                <w:rFonts w:ascii="Arial" w:cs="Arial" w:eastAsia="Arial" w:hAnsi="Arial"/>
                <w:sz w:val="18"/>
                <w:szCs w:val="18"/>
                <w:color w:val="auto"/>
                <w:w w:val="88"/>
              </w:rPr>
              <w:t>(In thousands, except per share amounts)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22"/>
                <w:szCs w:val="22"/>
                <w:color w:val="auto"/>
              </w:rPr>
            </w:pPr>
          </w:p>
        </w:tc>
        <w:tc>
          <w:tcPr>
            <w:tcW w:w="1940" w:type="dxa"/>
            <w:vAlign w:val="bottom"/>
            <w:gridSpan w:val="6"/>
          </w:tcPr>
          <w:p>
            <w:pPr>
              <w:ind w:left="16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60" w:type="dxa"/>
            <w:vAlign w:val="bottom"/>
            <w:gridSpan w:val="4"/>
          </w:tcPr>
          <w:p>
            <w:pPr>
              <w:ind w:left="22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07"/>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83"/>
        </w:trPr>
        <w:tc>
          <w:tcPr>
            <w:tcW w:w="6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89"/>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89"/>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2"/>
        </w:trPr>
        <w:tc>
          <w:tcPr>
            <w:tcW w:w="39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Gas operating revenues</w:t>
            </w: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255,848</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210,834</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w w:val="96"/>
              </w:rPr>
              <w:t>1,070,576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976,095</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1,445,066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1,355,666</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Utility infrastructure services revenues</w:t>
            </w:r>
          </w:p>
        </w:tc>
        <w:tc>
          <w:tcPr>
            <w:tcW w:w="6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632,848</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580,392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1,525,448</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1,408,698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2,065,038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1,877,264</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8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revenues</w:t>
            </w:r>
          </w:p>
        </w:tc>
        <w:tc>
          <w:tcPr>
            <w:tcW w:w="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888,696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791,226</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2,596,024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2,384,793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3,510,104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3,232,930</w:t>
            </w:r>
          </w:p>
        </w:tc>
        <w:tc>
          <w:tcPr>
            <w:tcW w:w="0" w:type="dxa"/>
            <w:vAlign w:val="bottom"/>
          </w:tcPr>
          <w:p>
            <w:pPr>
              <w:spacing w:after="0"/>
              <w:rPr>
                <w:sz w:val="1"/>
                <w:szCs w:val="1"/>
                <w:color w:val="auto"/>
              </w:rPr>
            </w:pPr>
          </w:p>
        </w:tc>
      </w:tr>
      <w:tr>
        <w:trPr>
          <w:trHeight w:val="172"/>
        </w:trPr>
        <w:tc>
          <w:tcPr>
            <w:tcW w:w="39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36,321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296,227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264,615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374,449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356,925</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122,927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101,764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334,450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437,602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407,924</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91,380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80,139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267,670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245,009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354,688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324,995</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60,134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76,087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63,195</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Utility infrastructure services expenses</w:t>
            </w: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567,270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502,951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1,381,524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1,252,489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1,858,464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1,671,478</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Total operating expenses</w:t>
            </w:r>
          </w:p>
        </w:tc>
        <w:tc>
          <w:tcPr>
            <w:tcW w:w="6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865,396</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736,962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2,340,005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2,114,584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3,101,290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2,824,517</w:t>
            </w:r>
          </w:p>
        </w:tc>
        <w:tc>
          <w:tcPr>
            <w:tcW w:w="0" w:type="dxa"/>
            <w:vAlign w:val="bottom"/>
          </w:tcPr>
          <w:p>
            <w:pPr>
              <w:spacing w:after="0"/>
              <w:rPr>
                <w:sz w:val="1"/>
                <w:szCs w:val="1"/>
                <w:color w:val="auto"/>
              </w:rPr>
            </w:pPr>
          </w:p>
        </w:tc>
      </w:tr>
      <w:tr>
        <w:trPr>
          <w:trHeight w:val="179"/>
        </w:trPr>
        <w:tc>
          <w:tcPr>
            <w:tcW w:w="39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Operating income</w:t>
            </w:r>
          </w:p>
        </w:tc>
        <w:tc>
          <w:tcPr>
            <w:tcW w:w="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23,300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54,264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270,209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408,814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408,413</w:t>
            </w:r>
          </w:p>
        </w:tc>
        <w:tc>
          <w:tcPr>
            <w:tcW w:w="0" w:type="dxa"/>
            <w:vAlign w:val="bottom"/>
          </w:tcPr>
          <w:p>
            <w:pPr>
              <w:spacing w:after="0"/>
              <w:rPr>
                <w:sz w:val="1"/>
                <w:szCs w:val="1"/>
                <w:color w:val="auto"/>
              </w:rPr>
            </w:pPr>
          </w:p>
        </w:tc>
      </w:tr>
      <w:tr>
        <w:trPr>
          <w:trHeight w:val="172"/>
        </w:trPr>
        <w:tc>
          <w:tcPr>
            <w:tcW w:w="39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income and (expenses):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Net interest deductions</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(31,298)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(28,311)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(81,201)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(83,141)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auto"/>
                <w:w w:val="96"/>
              </w:rPr>
              <w:t>(109,537)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(111,705)</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 income (deductions)</w:t>
            </w:r>
          </w:p>
        </w:tc>
        <w:tc>
          <w:tcPr>
            <w:tcW w:w="6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(7,788)</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8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other income and (expenses)</w:t>
            </w:r>
          </w:p>
        </w:tc>
        <w:tc>
          <w:tcPr>
            <w:tcW w:w="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(34,410)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(26,512)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(85,176)</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(94,187)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96"/>
              </w:rPr>
              <w:t>(109,255)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(119,493)</w:t>
            </w:r>
          </w:p>
        </w:tc>
        <w:tc>
          <w:tcPr>
            <w:tcW w:w="0" w:type="dxa"/>
            <w:vAlign w:val="bottom"/>
          </w:tcPr>
          <w:p>
            <w:pPr>
              <w:spacing w:after="0"/>
              <w:rPr>
                <w:sz w:val="1"/>
                <w:szCs w:val="1"/>
                <w:color w:val="auto"/>
              </w:rPr>
            </w:pPr>
          </w:p>
        </w:tc>
      </w:tr>
      <w:tr>
        <w:trPr>
          <w:trHeight w:val="186"/>
        </w:trPr>
        <w:tc>
          <w:tcPr>
            <w:tcW w:w="39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170,843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299,559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288,920</w:t>
            </w:r>
          </w:p>
        </w:tc>
        <w:tc>
          <w:tcPr>
            <w:tcW w:w="0" w:type="dxa"/>
            <w:vAlign w:val="bottom"/>
          </w:tcPr>
          <w:p>
            <w:pPr>
              <w:spacing w:after="0"/>
              <w:rPr>
                <w:sz w:val="1"/>
                <w:szCs w:val="1"/>
                <w:color w:val="auto"/>
              </w:rPr>
            </w:pPr>
          </w:p>
        </w:tc>
      </w:tr>
      <w:tr>
        <w:trPr>
          <w:trHeight w:val="186"/>
        </w:trPr>
        <w:tc>
          <w:tcPr>
            <w:tcW w:w="39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Income tax expense (benefit)</w:t>
            </w: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34,818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42,073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58,498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63,065</w:t>
            </w:r>
          </w:p>
        </w:tc>
        <w:tc>
          <w:tcPr>
            <w:tcW w:w="0" w:type="dxa"/>
            <w:vAlign w:val="bottom"/>
          </w:tcPr>
          <w:p>
            <w:pPr>
              <w:spacing w:after="0"/>
              <w:rPr>
                <w:sz w:val="1"/>
                <w:szCs w:val="1"/>
                <w:color w:val="auto"/>
              </w:rPr>
            </w:pPr>
          </w:p>
        </w:tc>
      </w:tr>
      <w:tr>
        <w:trPr>
          <w:trHeight w:val="186"/>
        </w:trPr>
        <w:tc>
          <w:tcPr>
            <w:tcW w:w="39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136,025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133,949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241,061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225,855</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income attributable to noncontrolling interest</w:t>
            </w:r>
          </w:p>
        </w:tc>
        <w:tc>
          <w:tcPr>
            <w:tcW w:w="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5,189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6,681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5,357</w:t>
            </w:r>
          </w:p>
        </w:tc>
        <w:tc>
          <w:tcPr>
            <w:tcW w:w="0" w:type="dxa"/>
            <w:vAlign w:val="bottom"/>
          </w:tcPr>
          <w:p>
            <w:pPr>
              <w:spacing w:after="0"/>
              <w:rPr>
                <w:sz w:val="1"/>
                <w:szCs w:val="1"/>
                <w:color w:val="auto"/>
              </w:rPr>
            </w:pPr>
          </w:p>
        </w:tc>
      </w:tr>
      <w:tr>
        <w:trPr>
          <w:trHeight w:val="211"/>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Southwest Gas Holdings, Inc.</w:t>
            </w: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(11,576)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130,836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128,780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234,380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220,498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Earnings (loss) per share:</w:t>
            </w: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0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840" w:type="dxa"/>
            <w:vAlign w:val="bottom"/>
            <w:gridSpan w:val="3"/>
          </w:tcPr>
          <w:p>
            <w:pPr>
              <w:ind w:left="160"/>
              <w:spacing w:after="0"/>
              <w:rPr>
                <w:sz w:val="20"/>
                <w:szCs w:val="20"/>
                <w:color w:val="auto"/>
              </w:rPr>
            </w:pPr>
            <w:r>
              <w:rPr>
                <w:rFonts w:ascii="Arial" w:cs="Arial" w:eastAsia="Arial" w:hAnsi="Arial"/>
                <w:sz w:val="14"/>
                <w:szCs w:val="14"/>
                <w:color w:val="auto"/>
              </w:rPr>
              <w:t>Diluted</w:t>
            </w:r>
          </w:p>
        </w:tc>
        <w:tc>
          <w:tcPr>
            <w:tcW w:w="6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shares:</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840" w:type="dxa"/>
            <w:vAlign w:val="bottom"/>
            <w:gridSpan w:val="3"/>
          </w:tcPr>
          <w:p>
            <w:pPr>
              <w:ind w:left="160"/>
              <w:spacing w:after="0"/>
              <w:rPr>
                <w:sz w:val="20"/>
                <w:szCs w:val="20"/>
                <w:color w:val="auto"/>
              </w:rPr>
            </w:pPr>
            <w:r>
              <w:rPr>
                <w:rFonts w:ascii="Arial" w:cs="Arial" w:eastAsia="Arial" w:hAnsi="Arial"/>
                <w:sz w:val="14"/>
                <w:szCs w:val="14"/>
                <w:color w:val="auto"/>
              </w:rPr>
              <w:t>Basic</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59,688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56,271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58,639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55,683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58,209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55,508</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59,816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56,357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58,742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58,312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55,577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right"/>
              <w:spacing w:after="0"/>
              <w:rPr>
                <w:sz w:val="20"/>
                <w:szCs w:val="20"/>
                <w:color w:val="auto"/>
              </w:rPr>
            </w:pPr>
            <w:r>
              <w:rPr>
                <w:rFonts w:ascii="Arial" w:cs="Arial" w:eastAsia="Arial" w:hAnsi="Arial"/>
                <w:sz w:val="18"/>
                <w:szCs w:val="18"/>
                <w:color w:val="auto"/>
              </w:rPr>
              <w:t>September 30,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1"/>
          </w:tcPr>
          <w:p>
            <w:pPr>
              <w:jc w:val="center"/>
              <w:ind w:left="190"/>
              <w:spacing w:after="0"/>
              <w:rPr>
                <w:sz w:val="20"/>
                <w:szCs w:val="20"/>
                <w:color w:val="auto"/>
              </w:rPr>
            </w:pPr>
            <w:r>
              <w:rPr>
                <w:rFonts w:ascii="Arial" w:cs="Arial" w:eastAsia="Arial" w:hAnsi="Arial"/>
                <w:sz w:val="18"/>
                <w:szCs w:val="18"/>
                <w:color w:val="auto"/>
                <w:w w:val="96"/>
              </w:rPr>
              <w:t>SOUTHWEST GAS HOLDINGS, INC. AND SUBSIDIARIES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16"/>
          </w:tcPr>
          <w:p>
            <w:pPr>
              <w:jc w:val="center"/>
              <w:ind w:left="218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gridSpan w:val="5"/>
          </w:tcPr>
          <w:p>
            <w:pPr>
              <w:jc w:val="center"/>
              <w:ind w:left="130"/>
              <w:spacing w:after="0"/>
              <w:rPr>
                <w:sz w:val="20"/>
                <w:szCs w:val="20"/>
                <w:color w:val="auto"/>
              </w:rPr>
            </w:pPr>
            <w:r>
              <w:rPr>
                <w:rFonts w:ascii="Arial" w:cs="Arial" w:eastAsia="Arial" w:hAnsi="Arial"/>
                <w:sz w:val="18"/>
                <w:szCs w:val="18"/>
                <w:color w:val="auto"/>
                <w:w w:val="91"/>
              </w:rPr>
              <w:t>(Thousands of dollars)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gridSpan w:val="4"/>
          </w:tcPr>
          <w:p>
            <w:pPr>
              <w:jc w:val="center"/>
              <w:ind w:left="37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color w:val="auto"/>
                <w:w w:val="97"/>
              </w:rPr>
              <w:t>Three Months Ended</w:t>
            </w:r>
          </w:p>
        </w:tc>
        <w:tc>
          <w:tcPr>
            <w:tcW w:w="160" w:type="dxa"/>
            <w:vAlign w:val="bottom"/>
          </w:tcPr>
          <w:p>
            <w:pPr>
              <w:spacing w:after="0"/>
              <w:rPr>
                <w:sz w:val="22"/>
                <w:szCs w:val="22"/>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color w:val="auto"/>
                <w:w w:val="94"/>
              </w:rPr>
              <w:t>Nine Months Ended</w:t>
            </w:r>
          </w:p>
        </w:tc>
        <w:tc>
          <w:tcPr>
            <w:tcW w:w="200" w:type="dxa"/>
            <w:vAlign w:val="bottom"/>
          </w:tcPr>
          <w:p>
            <w:pPr>
              <w:spacing w:after="0"/>
              <w:rPr>
                <w:sz w:val="22"/>
                <w:szCs w:val="22"/>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color w:val="auto"/>
                <w:w w:val="99"/>
              </w:rPr>
              <w:t>Twelve Months Ended</w:t>
            </w: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ind w:left="280"/>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6"/>
                <w:szCs w:val="16"/>
                <w:color w:val="auto"/>
              </w:rPr>
            </w:pPr>
          </w:p>
        </w:tc>
        <w:tc>
          <w:tcPr>
            <w:tcW w:w="1660" w:type="dxa"/>
            <w:vAlign w:val="bottom"/>
            <w:gridSpan w:val="5"/>
          </w:tcPr>
          <w:p>
            <w:pPr>
              <w:jc w:val="center"/>
              <w:ind w:right="280"/>
              <w:spacing w:after="0"/>
              <w:rPr>
                <w:sz w:val="20"/>
                <w:szCs w:val="20"/>
                <w:color w:val="auto"/>
              </w:rPr>
            </w:pPr>
            <w:r>
              <w:rPr>
                <w:rFonts w:ascii="Arial" w:cs="Arial" w:eastAsia="Arial" w:hAnsi="Arial"/>
                <w:sz w:val="14"/>
                <w:szCs w:val="14"/>
                <w:color w:val="auto"/>
                <w:w w:val="89"/>
              </w:rPr>
              <w:t>September 30,</w:t>
            </w:r>
          </w:p>
        </w:tc>
        <w:tc>
          <w:tcPr>
            <w:tcW w:w="200" w:type="dxa"/>
            <w:vAlign w:val="bottom"/>
          </w:tcPr>
          <w:p>
            <w:pPr>
              <w:spacing w:after="0"/>
              <w:rPr>
                <w:sz w:val="16"/>
                <w:szCs w:val="16"/>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color w:val="auto"/>
              </w:rPr>
              <w:t>September 30,</w:t>
            </w:r>
          </w:p>
        </w:tc>
      </w:tr>
      <w:tr>
        <w:trPr>
          <w:trHeight w:val="186"/>
        </w:trPr>
        <w:tc>
          <w:tcPr>
            <w:tcW w:w="6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89"/>
              </w:rPr>
              <w:t>2020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6"/>
                <w:szCs w:val="16"/>
                <w:color w:val="auto"/>
              </w:rPr>
            </w:pPr>
          </w:p>
        </w:tc>
      </w:tr>
      <w:tr>
        <w:trPr>
          <w:trHeight w:val="179"/>
        </w:trPr>
        <w:tc>
          <w:tcPr>
            <w:tcW w:w="45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 (loss)</w:t>
            </w:r>
          </w:p>
        </w:tc>
        <w:tc>
          <w:tcPr>
            <w:tcW w:w="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21,063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136,025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133,949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241,061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225,855</w:t>
            </w:r>
          </w:p>
        </w:tc>
        <w:tc>
          <w:tcPr>
            <w:tcW w:w="340" w:type="dxa"/>
            <w:vAlign w:val="bottom"/>
          </w:tcPr>
          <w:p>
            <w:pPr>
              <w:spacing w:after="0"/>
              <w:rPr>
                <w:sz w:val="15"/>
                <w:szCs w:val="15"/>
                <w:color w:val="auto"/>
              </w:rPr>
            </w:pPr>
          </w:p>
        </w:tc>
      </w:tr>
      <w:tr>
        <w:trPr>
          <w:trHeight w:val="172"/>
        </w:trPr>
        <w:tc>
          <w:tcPr>
            <w:tcW w:w="45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452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c>
          <w:tcPr>
            <w:tcW w:w="340" w:type="dxa"/>
            <w:vAlign w:val="bottom"/>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45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901</w:t>
            </w:r>
          </w:p>
        </w:tc>
        <w:tc>
          <w:tcPr>
            <w:tcW w:w="34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26,004</w:t>
            </w:r>
          </w:p>
        </w:tc>
        <w:tc>
          <w:tcPr>
            <w:tcW w:w="340" w:type="dxa"/>
            <w:vAlign w:val="bottom"/>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4520" w:type="dxa"/>
            <w:vAlign w:val="bottom"/>
            <w:gridSpan w:val="3"/>
          </w:tcPr>
          <w:p>
            <w:pPr>
              <w:ind w:left="160"/>
              <w:spacing w:after="0"/>
              <w:rPr>
                <w:sz w:val="20"/>
                <w:szCs w:val="20"/>
                <w:color w:val="auto"/>
              </w:rPr>
            </w:pPr>
            <w:r>
              <w:rPr>
                <w:rFonts w:ascii="Arial" w:cs="Arial" w:eastAsia="Arial" w:hAnsi="Arial"/>
                <w:sz w:val="14"/>
                <w:szCs w:val="14"/>
                <w:color w:val="auto"/>
              </w:rPr>
              <w:t>Prior service cost</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(1,426)</w:t>
            </w:r>
          </w:p>
        </w:tc>
        <w:tc>
          <w:tcPr>
            <w:tcW w:w="34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7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(19,140)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21,130</w:t>
            </w:r>
          </w:p>
        </w:tc>
        <w:tc>
          <w:tcPr>
            <w:tcW w:w="340" w:type="dxa"/>
            <w:vAlign w:val="bottom"/>
          </w:tcPr>
          <w:p>
            <w:pPr>
              <w:spacing w:after="0"/>
              <w:rPr>
                <w:sz w:val="16"/>
                <w:szCs w:val="16"/>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452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defined benefit pension plans</w:t>
            </w:r>
          </w:p>
        </w:tc>
        <w:tc>
          <w:tcPr>
            <w:tcW w:w="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4,136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(7,417)</w:t>
            </w:r>
          </w:p>
        </w:tc>
        <w:tc>
          <w:tcPr>
            <w:tcW w:w="340" w:type="dxa"/>
            <w:vAlign w:val="bottom"/>
          </w:tcPr>
          <w:p>
            <w:pPr>
              <w:spacing w:after="0"/>
              <w:rPr>
                <w:sz w:val="15"/>
                <w:szCs w:val="15"/>
                <w:color w:val="auto"/>
              </w:rPr>
            </w:pPr>
          </w:p>
        </w:tc>
      </w:tr>
      <w:tr>
        <w:trPr>
          <w:trHeight w:val="172"/>
        </w:trPr>
        <w:tc>
          <w:tcPr>
            <w:tcW w:w="60" w:type="dxa"/>
            <w:vAlign w:val="bottom"/>
            <w:shd w:val="clear" w:color="auto" w:fill="CCEEFF"/>
          </w:tcPr>
          <w:p>
            <w:pPr>
              <w:spacing w:after="0"/>
              <w:rPr>
                <w:sz w:val="14"/>
                <w:szCs w:val="14"/>
                <w:color w:val="auto"/>
              </w:rPr>
            </w:pPr>
          </w:p>
        </w:tc>
        <w:tc>
          <w:tcPr>
            <w:tcW w:w="4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Forward-starting interest rate swaps (“FSIRS”):</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tcPr>
          <w:p>
            <w:pPr>
              <w:spacing w:after="0"/>
              <w:rPr>
                <w:sz w:val="14"/>
                <w:szCs w:val="14"/>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 (loss)</w:t>
            </w:r>
          </w:p>
        </w:tc>
        <w:tc>
          <w:tcPr>
            <w:tcW w:w="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c>
          <w:tcPr>
            <w:tcW w:w="340" w:type="dxa"/>
            <w:vAlign w:val="bottom"/>
          </w:tcPr>
          <w:p>
            <w:pPr>
              <w:spacing w:after="0"/>
              <w:rPr>
                <w:sz w:val="16"/>
                <w:szCs w:val="16"/>
                <w:color w:val="auto"/>
              </w:rPr>
            </w:pPr>
          </w:p>
        </w:tc>
      </w:tr>
      <w:tr>
        <w:trPr>
          <w:trHeight w:val="186"/>
        </w:trPr>
        <w:tc>
          <w:tcPr>
            <w:tcW w:w="6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forward-starting interest rate swaps</w:t>
            </w:r>
          </w:p>
        </w:tc>
        <w:tc>
          <w:tcPr>
            <w:tcW w:w="7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340" w:type="dxa"/>
            <w:vAlign w:val="bottom"/>
          </w:tcPr>
          <w:p>
            <w:pPr>
              <w:spacing w:after="0"/>
              <w:rPr>
                <w:sz w:val="16"/>
                <w:szCs w:val="16"/>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452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340" w:type="dxa"/>
            <w:vAlign w:val="bottom"/>
          </w:tcPr>
          <w:p>
            <w:pPr>
              <w:spacing w:after="0"/>
              <w:rPr>
                <w:sz w:val="15"/>
                <w:szCs w:val="15"/>
                <w:color w:val="auto"/>
              </w:rPr>
            </w:pPr>
          </w:p>
        </w:tc>
      </w:tr>
      <w:tr>
        <w:trPr>
          <w:trHeight w:val="186"/>
        </w:trPr>
        <w:tc>
          <w:tcPr>
            <w:tcW w:w="45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7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5,052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340" w:type="dxa"/>
            <w:vAlign w:val="bottom"/>
          </w:tcPr>
          <w:p>
            <w:pPr>
              <w:spacing w:after="0"/>
              <w:rPr>
                <w:sz w:val="16"/>
                <w:szCs w:val="16"/>
                <w:color w:val="auto"/>
              </w:rPr>
            </w:pPr>
          </w:p>
        </w:tc>
      </w:tr>
      <w:tr>
        <w:trPr>
          <w:trHeight w:val="179"/>
        </w:trPr>
        <w:tc>
          <w:tcPr>
            <w:tcW w:w="4580" w:type="dxa"/>
            <w:vAlign w:val="bottom"/>
            <w:gridSpan w:val="4"/>
          </w:tcPr>
          <w:p>
            <w:pPr>
              <w:ind w:left="20"/>
              <w:spacing w:after="0"/>
              <w:rPr>
                <w:sz w:val="20"/>
                <w:szCs w:val="20"/>
                <w:color w:val="auto"/>
              </w:rPr>
            </w:pPr>
            <w:r>
              <w:rPr>
                <w:rFonts w:ascii="Arial" w:cs="Arial" w:eastAsia="Arial" w:hAnsi="Arial"/>
                <w:sz w:val="14"/>
                <w:szCs w:val="14"/>
                <w:color w:val="auto"/>
              </w:rPr>
              <w:t>Comprehensive income (loss)</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(9,557)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23,897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141,077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137,898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237,893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220,847</w:t>
            </w:r>
          </w:p>
        </w:tc>
        <w:tc>
          <w:tcPr>
            <w:tcW w:w="340" w:type="dxa"/>
            <w:vAlign w:val="bottom"/>
          </w:tcPr>
          <w:p>
            <w:pPr>
              <w:spacing w:after="0"/>
              <w:rPr>
                <w:sz w:val="15"/>
                <w:szCs w:val="15"/>
                <w:color w:val="auto"/>
              </w:rPr>
            </w:pPr>
          </w:p>
        </w:tc>
      </w:tr>
      <w:tr>
        <w:trPr>
          <w:trHeight w:val="192"/>
        </w:trPr>
        <w:tc>
          <w:tcPr>
            <w:tcW w:w="6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Comprehensive income attributable to noncontrolling interest</w:t>
            </w:r>
          </w:p>
        </w:tc>
        <w:tc>
          <w:tcPr>
            <w:tcW w:w="7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5,189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5,357</w:t>
            </w:r>
          </w:p>
        </w:tc>
        <w:tc>
          <w:tcPr>
            <w:tcW w:w="340" w:type="dxa"/>
            <w:vAlign w:val="bottom"/>
          </w:tcPr>
          <w:p>
            <w:pPr>
              <w:spacing w:after="0"/>
              <w:rPr>
                <w:sz w:val="16"/>
                <w:szCs w:val="16"/>
                <w:color w:val="auto"/>
              </w:rPr>
            </w:pPr>
          </w:p>
        </w:tc>
      </w:tr>
      <w:tr>
        <w:trPr>
          <w:trHeight w:val="183"/>
        </w:trPr>
        <w:tc>
          <w:tcPr>
            <w:tcW w:w="4580" w:type="dxa"/>
            <w:vAlign w:val="bottom"/>
            <w:gridSpan w:val="4"/>
          </w:tcPr>
          <w:p>
            <w:pPr>
              <w:ind w:left="20"/>
              <w:spacing w:after="0"/>
              <w:rPr>
                <w:sz w:val="20"/>
                <w:szCs w:val="20"/>
                <w:color w:val="auto"/>
              </w:rPr>
            </w:pPr>
            <w:r>
              <w:rPr>
                <w:rFonts w:ascii="Arial" w:cs="Arial" w:eastAsia="Arial" w:hAnsi="Arial"/>
                <w:sz w:val="14"/>
                <w:szCs w:val="14"/>
                <w:color w:val="auto"/>
                <w:w w:val="98"/>
              </w:rPr>
              <w:t>Comprehensive income (loss) attributable to Southwest Gas Holdings, Inc.</w:t>
            </w:r>
          </w:p>
        </w:tc>
        <w:tc>
          <w:tcPr>
            <w:tcW w:w="7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21,107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135,888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132,729</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231,212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215,490</w:t>
            </w:r>
          </w:p>
        </w:tc>
        <w:tc>
          <w:tcPr>
            <w:tcW w:w="34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September 30, 2021</w:t>
            </w: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5"/>
          </w:tcPr>
          <w:p>
            <w:pPr>
              <w:jc w:val="right"/>
              <w:ind w:right="8"/>
              <w:spacing w:after="0"/>
              <w:rPr>
                <w:sz w:val="20"/>
                <w:szCs w:val="20"/>
                <w:color w:val="auto"/>
              </w:rPr>
            </w:pPr>
            <w:r>
              <w:rPr>
                <w:rFonts w:ascii="Arial" w:cs="Arial" w:eastAsia="Arial" w:hAnsi="Arial"/>
                <w:sz w:val="18"/>
                <w:szCs w:val="18"/>
                <w:color w:val="auto"/>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1"/>
              </w:rPr>
              <w:t>(Thousands of dollars)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color w:val="auto"/>
              </w:rPr>
              <w:t>Nine Months Ended</w:t>
            </w:r>
          </w:p>
        </w:tc>
        <w:tc>
          <w:tcPr>
            <w:tcW w:w="200" w:type="dxa"/>
            <w:vAlign w:val="bottom"/>
          </w:tcPr>
          <w:p>
            <w:pPr>
              <w:spacing w:after="0"/>
              <w:rPr>
                <w:sz w:val="22"/>
                <w:szCs w:val="22"/>
                <w:color w:val="auto"/>
              </w:rPr>
            </w:pPr>
          </w:p>
        </w:tc>
        <w:tc>
          <w:tcPr>
            <w:tcW w:w="1940" w:type="dxa"/>
            <w:vAlign w:val="bottom"/>
            <w:gridSpan w:val="4"/>
          </w:tcPr>
          <w:p>
            <w:pPr>
              <w:jc w:val="right"/>
              <w:ind w:right="348"/>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83"/>
              </w:rPr>
              <w:t>2020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OPERATING ACTIVITIES: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136,025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133,949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241,061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225,855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267,670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245,009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354,688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324,995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45,374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37,752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58,339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45,815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current assets and liabilities: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Accounts receivable, net of allowances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(62,081)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(68,714)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(76,769)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Accrued utility revenue</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Deferred purchased gas costs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(293,410)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59,899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(317,070)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38,016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(51,086)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Accrued taxes</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17,991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26,075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Other current assets and liabilities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23,289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121,185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121,274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Gains on sale of equipment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undistributed stock compensation</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Equity AFUDC</w:t>
            </w:r>
          </w:p>
        </w:tc>
        <w:tc>
          <w:tcPr>
            <w:tcW w:w="2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deferred charges and other assets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(24,370)</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Changes in other liabilities and deferred credits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(57,269)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(54,996)</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51,521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487,818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189,783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609,704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INVESTING ACTIVITIES: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Construction expenditures and property additions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(506,737)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(699,368)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(851,236)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Acquisition of businesses, net of cash acquired</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(830,395)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(830,145)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(28,355)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customer advances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11,643</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14,755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17,238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8,811</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(1,314,437)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(618,513)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(1,497,993)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(859,137)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FINANCING ACTIVITIES: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Issuance of common stock, net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210,812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259,422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(102,292)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(134,479)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(123,099)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Issuance of long-term debt, net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1,654,960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650,619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1,666,718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699,601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Retirement of long-term debt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(406,815)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(289,295)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(473,926)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(375,909)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 in credit facility and commercial paper</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Change in short-term debt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(157,000)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218,000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24,000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Withholding remittance - share-based compensation</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(4,090)</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1,366,056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105,310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1,470,320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245,007</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Effects of currency translation on cash and cash equivalents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 in cash and cash equivalents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103,338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162,745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83,352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49,539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23,945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28,480</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186,690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186,690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SUPPLEMENTAL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7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57,128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63,743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98,567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gridSpan w:val="3"/>
            <w:vMerge w:val="restart"/>
          </w:tcPr>
          <w:p>
            <w:pPr>
              <w:ind w:left="320"/>
              <w:spacing w:after="0"/>
              <w:rPr>
                <w:sz w:val="20"/>
                <w:szCs w:val="20"/>
                <w:color w:val="auto"/>
              </w:rPr>
            </w:pPr>
            <w:r>
              <w:rPr>
                <w:rFonts w:ascii="Arial" w:cs="Arial" w:eastAsia="Arial" w:hAnsi="Arial"/>
                <w:sz w:val="14"/>
                <w:szCs w:val="14"/>
                <w:color w:val="auto"/>
              </w:rPr>
              <w:t>Income taxes paid (received),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gridSpan w:val="3"/>
            <w:vMerge w:val="continue"/>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7,665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12,720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8"/>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September 30,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6"/>
              </w:rPr>
              <w:t>SOUTHWEST GAS HOLDINGS, INC.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5"/>
              </w:rPr>
              <w:t>CONDENSED CONSOLIDATED STATEMENTS OF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4"/>
          </w:tcPr>
          <w:p>
            <w:pPr>
              <w:jc w:val="center"/>
              <w:ind w:left="510"/>
              <w:spacing w:after="0"/>
              <w:rPr>
                <w:sz w:val="20"/>
                <w:szCs w:val="20"/>
                <w:color w:val="auto"/>
              </w:rPr>
            </w:pPr>
            <w:r>
              <w:rPr>
                <w:rFonts w:ascii="Arial" w:cs="Arial" w:eastAsia="Arial" w:hAnsi="Arial"/>
                <w:sz w:val="18"/>
                <w:szCs w:val="18"/>
                <w:color w:val="auto"/>
                <w:w w:val="88"/>
              </w:rPr>
              <w:t>(In thousands, except per share amounts)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color w:val="auto"/>
                <w:w w:val="92"/>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1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55,910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55,007</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60,379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56,459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60,379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56,459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60,718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57,540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58,823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56,637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62,009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58,089</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1,733,572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1,523,630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1,609,155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1,466,937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92,877</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1,823,889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1,559,814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1,823,889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1,559,814</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(55,688)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(56,732)</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Foreign currency exchange translation adjustment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6420" w:type="dxa"/>
            <w:vAlign w:val="bottom"/>
            <w:gridSpan w:val="3"/>
          </w:tcPr>
          <w:p>
            <w:pPr>
              <w:ind w:left="900"/>
              <w:spacing w:after="0" w:line="166" w:lineRule="exact"/>
              <w:rPr>
                <w:sz w:val="20"/>
                <w:szCs w:val="20"/>
                <w:color w:val="auto"/>
              </w:rPr>
            </w:pPr>
            <w:r>
              <w:rPr>
                <w:rFonts w:ascii="Arial" w:cs="Arial" w:eastAsia="Arial" w:hAnsi="Arial"/>
                <w:sz w:val="16"/>
                <w:szCs w:val="16"/>
                <w:color w:val="auto"/>
                <w:w w:val="97"/>
              </w:rPr>
              <w:t>Net actuarial gain arising during period, less amortization of unamortized benefit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420" w:type="dxa"/>
            <w:vAlign w:val="bottom"/>
            <w:gridSpan w:val="3"/>
          </w:tcPr>
          <w:p>
            <w:pPr>
              <w:ind w:left="1060"/>
              <w:spacing w:after="0"/>
              <w:rPr>
                <w:sz w:val="20"/>
                <w:szCs w:val="20"/>
                <w:color w:val="auto"/>
              </w:rPr>
            </w:pPr>
            <w:r>
              <w:rPr>
                <w:rFonts w:ascii="Arial" w:cs="Arial" w:eastAsia="Arial" w:hAnsi="Arial"/>
                <w:sz w:val="16"/>
                <w:szCs w:val="16"/>
                <w:color w:val="auto"/>
              </w:rPr>
              <w:t>plan cost, net of tax</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(52,783)</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1,108,279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1,085,742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1,067,978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1,039,072</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128,780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900"/>
              <w:spacing w:after="0"/>
              <w:rPr>
                <w:sz w:val="20"/>
                <w:szCs w:val="20"/>
                <w:color w:val="auto"/>
              </w:rPr>
            </w:pPr>
            <w:r>
              <w:rPr>
                <w:rFonts w:ascii="Arial" w:cs="Arial" w:eastAsia="Arial" w:hAnsi="Arial"/>
                <w:sz w:val="16"/>
                <w:szCs w:val="16"/>
                <w:color w:val="auto"/>
              </w:rPr>
              <w:t>Dividends declared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(96,161)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Redemption value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(17,573)</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1,079,869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1,054,118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1,079,869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1,054,118</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equity ending balances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2,909,816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2,619,238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2,909,816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2,619,238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gridSpan w:val="4"/>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4"/>
          </w:tcPr>
          <w:p>
            <w:pPr>
              <w:ind w:left="20"/>
              <w:spacing w:after="0"/>
              <w:rPr>
                <w:sz w:val="20"/>
                <w:szCs w:val="20"/>
                <w:color w:val="auto"/>
              </w:rPr>
            </w:pPr>
            <w:r>
              <w:rPr>
                <w:rFonts w:ascii="Arial" w:cs="Arial" w:eastAsia="Arial" w:hAnsi="Arial"/>
                <w:sz w:val="16"/>
                <w:szCs w:val="16"/>
                <w:color w:val="auto"/>
              </w:rPr>
              <w:t>Dividends declared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2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5"/>
              </w:rPr>
              <w:t>September 30, 2021</w:t>
            </w:r>
          </w:p>
        </w:tc>
      </w:tr>
      <w:tr>
        <w:trPr>
          <w:trHeight w:val="870"/>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SOUTHWEST GAS CORPORATION AND SUBSIDIARIES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30"/>
              <w:spacing w:after="0"/>
              <w:rPr>
                <w:sz w:val="20"/>
                <w:szCs w:val="20"/>
                <w:color w:val="auto"/>
              </w:rPr>
            </w:pPr>
            <w:r>
              <w:rPr>
                <w:rFonts w:ascii="Arial" w:cs="Arial" w:eastAsia="Arial" w:hAnsi="Arial"/>
                <w:sz w:val="18"/>
                <w:szCs w:val="18"/>
                <w:color w:val="auto"/>
                <w:w w:val="95"/>
              </w:rPr>
              <w:t>CONDENSED CONSOLIDATED BALANCE SHEETS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4"/>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September 30, 2021</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December 31, 2020</w:t>
            </w:r>
          </w:p>
        </w:tc>
      </w:tr>
      <w:tr>
        <w:trPr>
          <w:trHeight w:val="175"/>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Utility plant:</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8,742,806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8,384,000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Less: accumulated depreciation</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(2,499,488)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(2,419,348)</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211,429</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utility plant</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6,396,418</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6,176,081</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149,926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143,611</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Accounts receivable, net of allowance</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103,430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146,861</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Income taxes receivable,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17,775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11,155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Prepaid and other current assets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170,470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152,748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694,960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436,287</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Deferred charges and other assets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461,212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490,562</w:t>
            </w:r>
          </w:p>
        </w:tc>
        <w:tc>
          <w:tcPr>
            <w:tcW w:w="120" w:type="dxa"/>
            <w:vAlign w:val="bottom"/>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noncurrent assets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471,307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500,657</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7,712,611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7,256,636</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48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color w:val="auto"/>
              </w:rPr>
              <w:t>CAPITALIZATION AND LIABILITIES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Capitalization:</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1,617,796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1,410,345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851,645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835,146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equity</w:t>
            </w: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2,462,794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2,233,468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Long-term debt, less current maturities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2,309,857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2,438,206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4,772,651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4,671,674</w:t>
            </w:r>
          </w:p>
        </w:tc>
        <w:tc>
          <w:tcPr>
            <w:tcW w:w="120" w:type="dxa"/>
            <w:vAlign w:val="bottom"/>
          </w:tcPr>
          <w:p>
            <w:pPr>
              <w:spacing w:after="0"/>
              <w:rPr>
                <w:sz w:val="16"/>
                <w:szCs w:val="16"/>
                <w:color w:val="auto"/>
              </w:rPr>
            </w:pPr>
          </w:p>
        </w:tc>
      </w:tr>
      <w:tr>
        <w:trPr>
          <w:trHeight w:val="162"/>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57,000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161,646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Customer deposits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51,816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67,920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Accrued general taxes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48,640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Accrued interest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34,938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20,495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Payable to parent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146,046</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current liabilities</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941,917</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556,525</w:t>
            </w:r>
          </w:p>
        </w:tc>
        <w:tc>
          <w:tcPr>
            <w:tcW w:w="120" w:type="dxa"/>
            <w:vAlign w:val="bottom"/>
          </w:tcPr>
          <w:p>
            <w:pPr>
              <w:spacing w:after="0"/>
              <w:rPr>
                <w:sz w:val="15"/>
                <w:szCs w:val="15"/>
                <w:color w:val="auto"/>
              </w:rPr>
            </w:pPr>
          </w:p>
        </w:tc>
      </w:tr>
      <w:tr>
        <w:trPr>
          <w:trHeight w:val="172"/>
        </w:trPr>
        <w:tc>
          <w:tcPr>
            <w:tcW w:w="120" w:type="dxa"/>
            <w:vAlign w:val="bottom"/>
          </w:tcPr>
          <w:p>
            <w:pPr>
              <w:spacing w:after="0"/>
              <w:rPr>
                <w:sz w:val="14"/>
                <w:szCs w:val="14"/>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618,597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581,100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Accumulated removal costs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960,446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1,043,337</w:t>
            </w:r>
          </w:p>
        </w:tc>
        <w:tc>
          <w:tcPr>
            <w:tcW w:w="120" w:type="dxa"/>
            <w:vAlign w:val="bottom"/>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1,998,043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2,028,437</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Total capitalization and liabilities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7,712,611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7,256,636</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121920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September 30,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gridSpan w:val="10"/>
          </w:tcPr>
          <w:p>
            <w:pPr>
              <w:jc w:val="center"/>
              <w:ind w:left="130"/>
              <w:spacing w:after="0"/>
              <w:rPr>
                <w:sz w:val="20"/>
                <w:szCs w:val="20"/>
                <w:color w:val="auto"/>
              </w:rPr>
            </w:pPr>
            <w:r>
              <w:rPr>
                <w:rFonts w:ascii="Arial" w:cs="Arial" w:eastAsia="Arial" w:hAnsi="Arial"/>
                <w:sz w:val="18"/>
                <w:szCs w:val="18"/>
                <w:color w:val="auto"/>
                <w:w w:val="95"/>
              </w:rPr>
              <w:t>SOUTHWEST GAS CORPORATION AND SUBSIDIARIES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gridSpan w:val="11"/>
          </w:tcPr>
          <w:p>
            <w:pPr>
              <w:jc w:val="center"/>
              <w:ind w:right="88"/>
              <w:spacing w:after="0"/>
              <w:rPr>
                <w:sz w:val="20"/>
                <w:szCs w:val="20"/>
                <w:color w:val="auto"/>
              </w:rPr>
            </w:pPr>
            <w:r>
              <w:rPr>
                <w:rFonts w:ascii="Arial" w:cs="Arial" w:eastAsia="Arial" w:hAnsi="Arial"/>
                <w:sz w:val="18"/>
                <w:szCs w:val="18"/>
                <w:color w:val="auto"/>
                <w:w w:val="95"/>
              </w:rPr>
              <w:t>CONDENSED CONSOLIDATED STATEMENTS OF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2060" w:type="dxa"/>
            <w:vAlign w:val="bottom"/>
            <w:gridSpan w:val="5"/>
          </w:tcPr>
          <w:p>
            <w:pPr>
              <w:ind w:left="28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w w:val="89"/>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07"/>
              <w:spacing w:after="0"/>
              <w:rPr>
                <w:sz w:val="20"/>
                <w:szCs w:val="20"/>
                <w:color w:val="auto"/>
              </w:rPr>
            </w:pPr>
            <w:r>
              <w:rPr>
                <w:rFonts w:ascii="Arial" w:cs="Arial" w:eastAsia="Arial" w:hAnsi="Arial"/>
                <w:sz w:val="14"/>
                <w:szCs w:val="14"/>
                <w:color w:val="auto"/>
              </w:rPr>
              <w:t>September 30,</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89"/>
              </w:rPr>
              <w:t>2020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89"/>
              </w:rPr>
              <w:t>2020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2020</w:t>
            </w:r>
          </w:p>
        </w:tc>
      </w:tr>
      <w:tr>
        <w:trPr>
          <w:trHeight w:val="179"/>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Gas operating revenues</w:t>
            </w:r>
          </w:p>
        </w:tc>
        <w:tc>
          <w:tcPr>
            <w:tcW w:w="13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98"/>
              </w:rPr>
              <w:t>255,848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210,834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1,070,576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976,095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1,445,066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1,355,666</w:t>
            </w:r>
          </w:p>
        </w:tc>
      </w:tr>
      <w:tr>
        <w:trPr>
          <w:trHeight w:val="17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Arial" w:cs="Arial" w:eastAsia="Arial" w:hAnsi="Arial"/>
                <w:sz w:val="14"/>
                <w:szCs w:val="14"/>
                <w:color w:val="auto"/>
                <w:w w:val="97"/>
              </w:rPr>
              <w:t>63,710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36,321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296,227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264,615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374,449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356,925</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8"/>
              </w:rPr>
              <w:t>119,708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328,980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303,567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431,795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406,169</w:t>
            </w:r>
          </w:p>
        </w:tc>
      </w:tr>
      <w:tr>
        <w:trPr>
          <w:trHeight w:val="186"/>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Arial" w:cs="Arial" w:eastAsia="Arial" w:hAnsi="Arial"/>
                <w:sz w:val="14"/>
                <w:szCs w:val="14"/>
                <w:color w:val="auto"/>
                <w:w w:val="97"/>
              </w:rPr>
              <w:t>61,359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55,942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187,688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173,865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249,118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230,158</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13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w w:val="97"/>
              </w:rPr>
              <w:t>20,109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60,134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47,507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76,087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63,195</w:t>
            </w:r>
          </w:p>
        </w:tc>
      </w:tr>
      <w:tr>
        <w:trPr>
          <w:trHeight w:val="179"/>
        </w:trPr>
        <w:tc>
          <w:tcPr>
            <w:tcW w:w="6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expenses</w:t>
            </w:r>
          </w:p>
        </w:tc>
        <w:tc>
          <w:tcPr>
            <w:tcW w:w="13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98"/>
              </w:rPr>
              <w:t>264,886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209,209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873,029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789,554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1,131,449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1,056,447</w:t>
            </w:r>
          </w:p>
        </w:tc>
      </w:tr>
      <w:tr>
        <w:trPr>
          <w:trHeight w:val="186"/>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3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w w:val="94"/>
              </w:rPr>
              <w:t>(9,038)</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197,547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186,541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313,617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299,219</w:t>
            </w:r>
          </w:p>
        </w:tc>
      </w:tr>
      <w:tr>
        <w:trPr>
          <w:trHeight w:val="16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interest deductions</w:t>
            </w: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1"/>
              </w:rPr>
              <w:t>(24,922)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(71,263)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(100,115)</w:t>
            </w:r>
          </w:p>
        </w:tc>
      </w:tr>
      <w:tr>
        <w:trPr>
          <w:trHeight w:val="186"/>
        </w:trPr>
        <w:tc>
          <w:tcPr>
            <w:tcW w:w="6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 income (deductions)</w:t>
            </w:r>
          </w:p>
        </w:tc>
        <w:tc>
          <w:tcPr>
            <w:tcW w:w="1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94"/>
              </w:rPr>
              <w:t>(4,287)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(7,615)</w:t>
            </w:r>
          </w:p>
        </w:tc>
      </w:tr>
      <w:tr>
        <w:trPr>
          <w:trHeight w:val="186"/>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Total other income and (expenses)</w:t>
            </w:r>
          </w:p>
        </w:tc>
        <w:tc>
          <w:tcPr>
            <w:tcW w:w="13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1"/>
              </w:rPr>
              <w:t>(29,209)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(24,352)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(76,165)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(86,099)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(97,804)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(107,730)</w:t>
            </w:r>
          </w:p>
        </w:tc>
      </w:tr>
      <w:tr>
        <w:trPr>
          <w:trHeight w:val="17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Income (loss) before income taxes</w:t>
            </w: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320"/>
              <w:spacing w:after="0"/>
              <w:rPr>
                <w:sz w:val="20"/>
                <w:szCs w:val="20"/>
                <w:color w:val="auto"/>
              </w:rPr>
            </w:pPr>
            <w:r>
              <w:rPr>
                <w:rFonts w:ascii="Arial" w:cs="Arial" w:eastAsia="Arial" w:hAnsi="Arial"/>
                <w:sz w:val="14"/>
                <w:szCs w:val="14"/>
                <w:color w:val="auto"/>
                <w:w w:val="91"/>
              </w:rPr>
              <w:t>(38,247)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121,382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100,442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215,813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191,489</w:t>
            </w:r>
          </w:p>
        </w:tc>
      </w:tr>
      <w:tr>
        <w:trPr>
          <w:trHeight w:val="19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3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1"/>
              </w:rPr>
              <w:t>(10,703)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18,798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33,679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35,496</w:t>
            </w:r>
          </w:p>
        </w:tc>
      </w:tr>
      <w:tr>
        <w:trPr>
          <w:trHeight w:val="183"/>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Net income (loss)</w:t>
            </w:r>
          </w:p>
        </w:tc>
        <w:tc>
          <w:tcPr>
            <w:tcW w:w="13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91"/>
              </w:rPr>
              <w:t>(27,544)</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(15,973)</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102,584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79,568</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182,134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155,993</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SOUTHWEST GAS HOLDINGS, INC.</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September 30,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10"/>
          </w:tcPr>
          <w:p>
            <w:pPr>
              <w:jc w:val="center"/>
              <w:ind w:right="120"/>
              <w:spacing w:after="0"/>
              <w:rPr>
                <w:sz w:val="20"/>
                <w:szCs w:val="20"/>
                <w:color w:val="auto"/>
              </w:rPr>
            </w:pPr>
            <w:r>
              <w:rPr>
                <w:rFonts w:ascii="Arial" w:cs="Arial" w:eastAsia="Arial" w:hAnsi="Arial"/>
                <w:sz w:val="18"/>
                <w:szCs w:val="18"/>
                <w:color w:val="auto"/>
                <w:w w:val="95"/>
              </w:rPr>
              <w:t>SOUTHWEST GAS CORPORATION AND SUBSIDIARIES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80" w:type="dxa"/>
            <w:vAlign w:val="bottom"/>
            <w:gridSpan w:val="16"/>
          </w:tcPr>
          <w:p>
            <w:pPr>
              <w:jc w:val="center"/>
              <w:ind w:left="18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7"/>
          </w:tcPr>
          <w:p>
            <w:pPr>
              <w:jc w:val="center"/>
              <w:ind w:left="83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2"/>
                <w:szCs w:val="22"/>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2"/>
                <w:szCs w:val="22"/>
                <w:color w:val="auto"/>
              </w:rPr>
            </w:pPr>
          </w:p>
        </w:tc>
        <w:tc>
          <w:tcPr>
            <w:tcW w:w="1780" w:type="dxa"/>
            <w:vAlign w:val="bottom"/>
            <w:gridSpan w:val="4"/>
          </w:tcPr>
          <w:p>
            <w:pPr>
              <w:jc w:val="right"/>
              <w:ind w:right="2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September 30,</w:t>
            </w:r>
          </w:p>
        </w:tc>
        <w:tc>
          <w:tcPr>
            <w:tcW w:w="220" w:type="dxa"/>
            <w:vAlign w:val="bottom"/>
          </w:tcPr>
          <w:p>
            <w:pPr>
              <w:spacing w:after="0"/>
              <w:rPr>
                <w:sz w:val="16"/>
                <w:szCs w:val="16"/>
                <w:color w:val="auto"/>
              </w:rPr>
            </w:pPr>
          </w:p>
        </w:tc>
        <w:tc>
          <w:tcPr>
            <w:tcW w:w="1780" w:type="dxa"/>
            <w:vAlign w:val="bottom"/>
            <w:gridSpan w:val="4"/>
          </w:tcPr>
          <w:p>
            <w:pPr>
              <w:jc w:val="right"/>
              <w:ind w:right="507"/>
              <w:spacing w:after="0"/>
              <w:rPr>
                <w:sz w:val="20"/>
                <w:szCs w:val="20"/>
                <w:color w:val="auto"/>
              </w:rPr>
            </w:pPr>
            <w:r>
              <w:rPr>
                <w:rFonts w:ascii="Arial" w:cs="Arial" w:eastAsia="Arial" w:hAnsi="Arial"/>
                <w:sz w:val="14"/>
                <w:szCs w:val="14"/>
                <w:color w:val="auto"/>
              </w:rPr>
              <w:t>September 30,</w:t>
            </w:r>
          </w:p>
        </w:tc>
      </w:tr>
      <w:tr>
        <w:trPr>
          <w:trHeight w:val="186"/>
        </w:trPr>
        <w:tc>
          <w:tcPr>
            <w:tcW w:w="6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2020</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 (loss)</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(27,544)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102,584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79,568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182,134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155,993</w:t>
            </w:r>
          </w:p>
        </w:tc>
      </w:tr>
      <w:tr>
        <w:trPr>
          <w:trHeight w:val="172"/>
        </w:trPr>
        <w:tc>
          <w:tcPr>
            <w:tcW w:w="3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901</w:t>
            </w:r>
          </w:p>
        </w:tc>
      </w:tr>
      <w:tr>
        <w:trPr>
          <w:trHeight w:val="233"/>
        </w:trPr>
        <w:tc>
          <w:tcPr>
            <w:tcW w:w="60" w:type="dxa"/>
            <w:vAlign w:val="bottom"/>
            <w:shd w:val="clear" w:color="auto" w:fill="CCEEFF"/>
          </w:tcPr>
          <w:p>
            <w:pPr>
              <w:spacing w:after="0"/>
              <w:rPr>
                <w:sz w:val="20"/>
                <w:szCs w:val="20"/>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Prior service cost</w:t>
            </w: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net actuarial loss</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21,563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32,608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26,004</w:t>
            </w: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18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(19,140)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21,130</w:t>
            </w:r>
          </w:p>
        </w:tc>
      </w:tr>
      <w:tr>
        <w:trPr>
          <w:trHeight w:val="179"/>
        </w:trPr>
        <w:tc>
          <w:tcPr>
            <w:tcW w:w="6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defined benefit pension plans</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(7,397)</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(7,417)</w:t>
            </w:r>
          </w:p>
        </w:tc>
      </w:tr>
      <w:tr>
        <w:trPr>
          <w:trHeight w:val="172"/>
        </w:trPr>
        <w:tc>
          <w:tcPr>
            <w:tcW w:w="6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Forward-starting interest rate swaps (“FSIRS”):</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 (loss)</w:t>
            </w:r>
          </w:p>
        </w:tc>
        <w:tc>
          <w:tcPr>
            <w:tcW w:w="18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r>
      <w:tr>
        <w:trPr>
          <w:trHeight w:val="186"/>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color w:val="auto"/>
                <w:w w:val="92"/>
              </w:rPr>
              <w:t>Net forward-starting interest rate swaps</w:t>
            </w:r>
          </w:p>
        </w:tc>
        <w:tc>
          <w:tcPr>
            <w:tcW w:w="18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w w:val="98"/>
              </w:rPr>
              <w:t>Total other comprehensive income (loss), net of tax</w:t>
            </w: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r>
      <w:tr>
        <w:trPr>
          <w:trHeight w:val="211"/>
        </w:trPr>
        <w:tc>
          <w:tcPr>
            <w:tcW w:w="31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107,960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84,704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176,390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151,265</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6"/>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September 30,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80" w:type="dxa"/>
            <w:vAlign w:val="bottom"/>
            <w:gridSpan w:val="4"/>
          </w:tcPr>
          <w:p>
            <w:pPr>
              <w:jc w:val="center"/>
              <w:ind w:right="40"/>
              <w:spacing w:after="0"/>
              <w:rPr>
                <w:sz w:val="20"/>
                <w:szCs w:val="20"/>
                <w:color w:val="auto"/>
              </w:rPr>
            </w:pPr>
            <w:r>
              <w:rPr>
                <w:rFonts w:ascii="Arial" w:cs="Arial" w:eastAsia="Arial" w:hAnsi="Arial"/>
                <w:sz w:val="18"/>
                <w:szCs w:val="18"/>
                <w:color w:val="auto"/>
                <w:w w:val="95"/>
              </w:rPr>
              <w:t>SOUTHWEST GAS CORPORATION AND SUBSIDIARIES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gridSpan w:val="6"/>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80" w:type="dxa"/>
            <w:vAlign w:val="bottom"/>
            <w:gridSpan w:val="2"/>
          </w:tcPr>
          <w:p>
            <w:pPr>
              <w:jc w:val="center"/>
              <w:ind w:left="755"/>
              <w:spacing w:after="0"/>
              <w:rPr>
                <w:sz w:val="20"/>
                <w:szCs w:val="20"/>
                <w:color w:val="auto"/>
              </w:rPr>
            </w:pPr>
            <w:r>
              <w:rPr>
                <w:rFonts w:ascii="Arial" w:cs="Arial" w:eastAsia="Arial" w:hAnsi="Arial"/>
                <w:sz w:val="18"/>
                <w:szCs w:val="18"/>
                <w:color w:val="auto"/>
                <w:w w:val="91"/>
              </w:rPr>
              <w:t>(Thousands of dollars)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gridSpan w:val="2"/>
          </w:tcPr>
          <w:p>
            <w:pPr>
              <w:jc w:val="center"/>
              <w:ind w:left="755"/>
              <w:spacing w:after="0"/>
              <w:rPr>
                <w:sz w:val="20"/>
                <w:szCs w:val="20"/>
                <w:color w:val="auto"/>
              </w:rPr>
            </w:pPr>
            <w:r>
              <w:rPr>
                <w:rFonts w:ascii="Arial" w:cs="Arial" w:eastAsia="Arial" w:hAnsi="Arial"/>
                <w:sz w:val="18"/>
                <w:szCs w:val="18"/>
                <w:color w:val="auto"/>
                <w:w w:val="93"/>
              </w:rPr>
              <w:t>(Unaudited)</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00" w:type="dxa"/>
            <w:vAlign w:val="bottom"/>
            <w:gridSpan w:val="4"/>
          </w:tcPr>
          <w:p>
            <w:pPr>
              <w:jc w:val="right"/>
              <w:ind w:right="348"/>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83"/>
              </w:rPr>
              <w:t>2020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6"/>
        </w:trPr>
        <w:tc>
          <w:tcPr>
            <w:tcW w:w="336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36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102,584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155,993</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980" w:type="dxa"/>
            <w:vAlign w:val="bottom"/>
            <w:gridSpan w:val="5"/>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187,688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230,158</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Deferred income taxes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55,164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23,415</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current assets and liabilities:</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Accounts receivable, net of allowance</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43,430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70,129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(7,135)</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Accrued utility revenue</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Deferred purchased gas costs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(293,410)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59,899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(317,070)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38,016</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Accounts payable</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Accrued taxes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5,396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29,228</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Other current assets and liabilities</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76,194</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Changes in undistributed stock compensation</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Equity AFUDC</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Changes in deferred charges and other assets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(27,688)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(35,329)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(38,357)</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other liabilities and deferred credits</w:t>
            </w:r>
          </w:p>
        </w:tc>
        <w:tc>
          <w:tcPr>
            <w:tcW w:w="34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(55,905)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(52,532)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(55,536)</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30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3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413,045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42,082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451,333</w:t>
            </w:r>
          </w:p>
        </w:tc>
        <w:tc>
          <w:tcPr>
            <w:tcW w:w="0" w:type="dxa"/>
            <w:vAlign w:val="bottom"/>
          </w:tcPr>
          <w:p>
            <w:pPr>
              <w:spacing w:after="0"/>
              <w:rPr>
                <w:sz w:val="1"/>
                <w:szCs w:val="1"/>
                <w:color w:val="auto"/>
              </w:rPr>
            </w:pPr>
          </w:p>
        </w:tc>
      </w:tr>
      <w:tr>
        <w:trPr>
          <w:trHeight w:val="172"/>
        </w:trPr>
        <w:tc>
          <w:tcPr>
            <w:tcW w:w="33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INVESTING ACTIVITIES:</w:t>
            </w:r>
          </w:p>
        </w:tc>
        <w:tc>
          <w:tcPr>
            <w:tcW w:w="3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w w:val="97"/>
              </w:rPr>
              <w:t>Construction expenditures and property additions</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(415,398)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(525,221)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(582,393)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(716,564)</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customer advances</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11,643</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w:t>
            </w:r>
          </w:p>
        </w:tc>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Net cash used in investing activities</w:t>
            </w:r>
          </w:p>
        </w:tc>
        <w:tc>
          <w:tcPr>
            <w:tcW w:w="34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(407,393)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(517,347)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(567,458)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(704,782)</w:t>
            </w:r>
          </w:p>
        </w:tc>
        <w:tc>
          <w:tcPr>
            <w:tcW w:w="0" w:type="dxa"/>
            <w:vAlign w:val="bottom"/>
          </w:tcPr>
          <w:p>
            <w:pPr>
              <w:spacing w:after="0"/>
              <w:rPr>
                <w:sz w:val="1"/>
                <w:szCs w:val="1"/>
                <w:color w:val="auto"/>
              </w:rPr>
            </w:pPr>
          </w:p>
        </w:tc>
      </w:tr>
      <w:tr>
        <w:trPr>
          <w:trHeight w:val="166"/>
        </w:trPr>
        <w:tc>
          <w:tcPr>
            <w:tcW w:w="3360" w:type="dxa"/>
            <w:vAlign w:val="bottom"/>
            <w:gridSpan w:val="4"/>
          </w:tcPr>
          <w:p>
            <w:pPr>
              <w:ind w:left="20"/>
              <w:spacing w:after="0"/>
              <w:rPr>
                <w:sz w:val="20"/>
                <w:szCs w:val="20"/>
                <w:color w:val="auto"/>
              </w:rPr>
            </w:pPr>
            <w:r>
              <w:rPr>
                <w:rFonts w:ascii="Arial" w:cs="Arial" w:eastAsia="Arial" w:hAnsi="Arial"/>
                <w:sz w:val="14"/>
                <w:szCs w:val="14"/>
                <w:color w:val="auto"/>
              </w:rPr>
              <w:t>CASH FLOW FROM FINANCING ACTIVITIES:</w:t>
            </w: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Contributions from parent</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202,583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131,961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248,544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165,711</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Dividends paid</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(77,500)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(102,400)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Issuance of long-term debt, net</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297,318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446,508</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Retirement of long-term debt</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 in credit facility and commercial paper</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(92,000)</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Change in short-term debt</w:t>
            </w: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193,000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(194,000)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w w:val="92"/>
              </w:rPr>
              <w:t>Withholding remittance - share-based compensation</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w:t>
            </w:r>
          </w:p>
        </w:tc>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330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34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458,015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86,047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625,900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258,872</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Change in cash and cash equivalents</w:t>
            </w:r>
          </w:p>
        </w:tc>
        <w:tc>
          <w:tcPr>
            <w:tcW w:w="3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81,688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41,070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40,489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16,811</w:t>
            </w:r>
          </w:p>
        </w:tc>
        <w:tc>
          <w:tcPr>
            <w:tcW w:w="0" w:type="dxa"/>
            <w:vAlign w:val="bottom"/>
          </w:tcPr>
          <w:p>
            <w:pPr>
              <w:spacing w:after="0"/>
              <w:rPr>
                <w:sz w:val="1"/>
                <w:szCs w:val="1"/>
                <w:color w:val="auto"/>
              </w:rPr>
            </w:pPr>
          </w:p>
        </w:tc>
      </w:tr>
      <w:tr>
        <w:trPr>
          <w:trHeight w:val="208"/>
        </w:trPr>
        <w:tc>
          <w:tcPr>
            <w:tcW w:w="33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122,758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122,758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SUPPLEMENTAL INFORMATION:</w:t>
            </w:r>
          </w:p>
        </w:tc>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60" w:type="dxa"/>
            <w:vAlign w:val="bottom"/>
            <w:gridSpan w:val="4"/>
            <w:vMerge w:val="continue"/>
          </w:tcPr>
          <w:p>
            <w:pPr>
              <w:spacing w:after="0"/>
              <w:rPr>
                <w:sz w:val="11"/>
                <w:szCs w:val="11"/>
                <w:color w:val="auto"/>
              </w:rPr>
            </w:pPr>
          </w:p>
        </w:tc>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3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53,220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57,168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92,778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94,106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00" w:type="dxa"/>
            <w:vAlign w:val="bottom"/>
            <w:gridSpan w:val="3"/>
            <w:vMerge w:val="restart"/>
          </w:tcPr>
          <w:p>
            <w:pPr>
              <w:ind w:left="300"/>
              <w:spacing w:after="0"/>
              <w:rPr>
                <w:sz w:val="20"/>
                <w:szCs w:val="20"/>
                <w:color w:val="auto"/>
              </w:rPr>
            </w:pPr>
            <w:r>
              <w:rPr>
                <w:rFonts w:ascii="Arial" w:cs="Arial" w:eastAsia="Arial" w:hAnsi="Arial"/>
                <w:sz w:val="14"/>
                <w:szCs w:val="14"/>
                <w:color w:val="auto"/>
              </w:rPr>
              <w:t>Income taxes paid (received), net</w:t>
            </w:r>
          </w:p>
        </w:tc>
        <w:tc>
          <w:tcPr>
            <w:tcW w:w="36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300" w:type="dxa"/>
            <w:vAlign w:val="bottom"/>
            <w:gridSpan w:val="3"/>
            <w:vMerge w:val="continue"/>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(22,962)</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3,359</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(22,262)</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September 30,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4"/>
          </w:tcPr>
          <w:p>
            <w:pPr>
              <w:jc w:val="center"/>
              <w:ind w:left="310"/>
              <w:spacing w:after="0"/>
              <w:rPr>
                <w:sz w:val="20"/>
                <w:szCs w:val="20"/>
                <w:color w:val="auto"/>
              </w:rPr>
            </w:pPr>
            <w:r>
              <w:rPr>
                <w:rFonts w:ascii="Arial" w:cs="Arial" w:eastAsia="Arial" w:hAnsi="Arial"/>
                <w:sz w:val="18"/>
                <w:szCs w:val="18"/>
                <w:color w:val="auto"/>
                <w:w w:val="95"/>
              </w:rPr>
              <w:t>SOUTHWEST GAS CORPORATION AND SUBSIDIARIES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gridSpan w:val="5"/>
          </w:tcPr>
          <w:p>
            <w:pPr>
              <w:jc w:val="center"/>
              <w:ind w:left="70"/>
              <w:spacing w:after="0"/>
              <w:rPr>
                <w:sz w:val="20"/>
                <w:szCs w:val="20"/>
                <w:color w:val="auto"/>
              </w:rPr>
            </w:pPr>
            <w:r>
              <w:rPr>
                <w:rFonts w:ascii="Arial" w:cs="Arial" w:eastAsia="Arial" w:hAnsi="Arial"/>
                <w:sz w:val="18"/>
                <w:szCs w:val="18"/>
                <w:color w:val="auto"/>
                <w:w w:val="95"/>
              </w:rPr>
              <w:t>CONDENSED CONSOLIDATED STATEMENTS OF EQUITY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jc w:val="center"/>
              <w:ind w:left="143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jc w:val="center"/>
              <w:ind w:left="143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color w:val="auto"/>
                <w:w w:val="92"/>
              </w:rPr>
              <w:t>Three Months Ended</w:t>
            </w:r>
          </w:p>
        </w:tc>
        <w:tc>
          <w:tcPr>
            <w:tcW w:w="200" w:type="dxa"/>
            <w:vAlign w:val="bottom"/>
          </w:tcPr>
          <w:p>
            <w:pPr>
              <w:spacing w:after="0"/>
              <w:rPr>
                <w:sz w:val="24"/>
                <w:szCs w:val="24"/>
                <w:color w:val="auto"/>
              </w:rPr>
            </w:pPr>
          </w:p>
        </w:tc>
        <w:tc>
          <w:tcPr>
            <w:tcW w:w="1980" w:type="dxa"/>
            <w:vAlign w:val="bottom"/>
            <w:gridSpan w:val="4"/>
          </w:tcPr>
          <w:p>
            <w:pPr>
              <w:jc w:val="right"/>
              <w:ind w:right="35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color w:val="auto"/>
                <w:w w:val="89"/>
              </w:rPr>
              <w:t>September 30,</w:t>
            </w:r>
          </w:p>
        </w:tc>
        <w:tc>
          <w:tcPr>
            <w:tcW w:w="200" w:type="dxa"/>
            <w:vAlign w:val="bottom"/>
          </w:tcPr>
          <w:p>
            <w:pPr>
              <w:spacing w:after="0"/>
              <w:rPr>
                <w:sz w:val="18"/>
                <w:szCs w:val="18"/>
                <w:color w:val="auto"/>
              </w:rPr>
            </w:pPr>
          </w:p>
        </w:tc>
        <w:tc>
          <w:tcPr>
            <w:tcW w:w="1980" w:type="dxa"/>
            <w:vAlign w:val="bottom"/>
            <w:gridSpan w:val="4"/>
          </w:tcPr>
          <w:p>
            <w:pPr>
              <w:jc w:val="right"/>
              <w:ind w:right="53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700" w:type="dxa"/>
            <w:vAlign w:val="bottom"/>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199"/>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70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1,529,419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1,329,843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1,410,345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1,229,083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6700" w:type="dxa"/>
            <w:vAlign w:val="bottom"/>
            <w:tcBorders>
              <w:bottom w:val="single" w:sz="8" w:color="CCEEFF"/>
            </w:tcBorders>
            <w:gridSpan w:val="3"/>
          </w:tcPr>
          <w:p>
            <w:pPr>
              <w:ind w:left="620"/>
              <w:spacing w:after="0"/>
              <w:rPr>
                <w:sz w:val="20"/>
                <w:szCs w:val="20"/>
                <w:color w:val="auto"/>
              </w:rPr>
            </w:pPr>
            <w:r>
              <w:rPr>
                <w:rFonts w:ascii="Arial" w:cs="Arial" w:eastAsia="Arial" w:hAnsi="Arial"/>
                <w:sz w:val="16"/>
                <w:szCs w:val="16"/>
                <w:color w:val="auto"/>
              </w:rPr>
              <w:t>Contributions from Southwest Gas Holdings, Inc.</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131,961</w:t>
            </w:r>
          </w:p>
        </w:tc>
        <w:tc>
          <w:tcPr>
            <w:tcW w:w="0" w:type="dxa"/>
            <w:vAlign w:val="bottom"/>
          </w:tcPr>
          <w:p>
            <w:pPr>
              <w:spacing w:after="0"/>
              <w:rPr>
                <w:sz w:val="1"/>
                <w:szCs w:val="1"/>
                <w:color w:val="auto"/>
              </w:rPr>
            </w:pPr>
          </w:p>
        </w:tc>
      </w:tr>
      <w:tr>
        <w:trPr>
          <w:trHeight w:val="213"/>
        </w:trPr>
        <w:tc>
          <w:tcPr>
            <w:tcW w:w="6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1,617,796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1,363,441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1,617,796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1,363,441</w:t>
            </w:r>
          </w:p>
        </w:tc>
        <w:tc>
          <w:tcPr>
            <w:tcW w:w="0" w:type="dxa"/>
            <w:vAlign w:val="bottom"/>
          </w:tcPr>
          <w:p>
            <w:pPr>
              <w:spacing w:after="0"/>
              <w:rPr>
                <w:sz w:val="1"/>
                <w:szCs w:val="1"/>
                <w:color w:val="auto"/>
              </w:rPr>
            </w:pPr>
          </w:p>
        </w:tc>
      </w:tr>
      <w:tr>
        <w:trPr>
          <w:trHeight w:val="193"/>
        </w:trPr>
        <w:tc>
          <w:tcPr>
            <w:tcW w:w="6760" w:type="dxa"/>
            <w:vAlign w:val="bottom"/>
            <w:gridSpan w:val="4"/>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6700" w:type="dxa"/>
            <w:vAlign w:val="bottom"/>
            <w:gridSpan w:val="3"/>
          </w:tcPr>
          <w:p>
            <w:pPr>
              <w:ind w:left="620"/>
              <w:spacing w:after="0" w:line="166" w:lineRule="exact"/>
              <w:rPr>
                <w:sz w:val="20"/>
                <w:szCs w:val="20"/>
                <w:color w:val="auto"/>
              </w:rPr>
            </w:pPr>
            <w:r>
              <w:rPr>
                <w:rFonts w:ascii="Arial" w:cs="Arial" w:eastAsia="Arial" w:hAnsi="Arial"/>
                <w:sz w:val="16"/>
                <w:szCs w:val="16"/>
                <w:color w:val="auto"/>
                <w:w w:val="94"/>
              </w:rPr>
              <w:t>Net actuarial gain arising during period, less amortization of unamortized benefit plan cost,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4,136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700" w:type="dxa"/>
            <w:vAlign w:val="bottom"/>
            <w:gridSpan w:val="3"/>
          </w:tcPr>
          <w:p>
            <w:pPr>
              <w:ind w:left="780"/>
              <w:spacing w:after="0"/>
              <w:rPr>
                <w:sz w:val="20"/>
                <w:szCs w:val="20"/>
                <w:color w:val="auto"/>
              </w:rPr>
            </w:pPr>
            <w:r>
              <w:rPr>
                <w:rFonts w:ascii="Arial" w:cs="Arial" w:eastAsia="Arial" w:hAnsi="Arial"/>
                <w:sz w:val="16"/>
                <w:szCs w:val="16"/>
                <w:color w:val="auto"/>
              </w:rPr>
              <w:t>net of tax</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FSIRS amounts reclassified to net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(50,015)</w:t>
            </w:r>
          </w:p>
        </w:tc>
        <w:tc>
          <w:tcPr>
            <w:tcW w:w="0" w:type="dxa"/>
            <w:vAlign w:val="bottom"/>
          </w:tcPr>
          <w:p>
            <w:pPr>
              <w:spacing w:after="0"/>
              <w:rPr>
                <w:sz w:val="1"/>
                <w:szCs w:val="1"/>
                <w:color w:val="auto"/>
              </w:rPr>
            </w:pPr>
          </w:p>
        </w:tc>
      </w:tr>
      <w:tr>
        <w:trPr>
          <w:trHeight w:val="199"/>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70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908,757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824,847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835,146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782,108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700" w:type="dxa"/>
            <w:vAlign w:val="bottom"/>
            <w:gridSpan w:val="3"/>
          </w:tcPr>
          <w:p>
            <w:pPr>
              <w:ind w:left="62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Dividends declared to Southwest Gas Holdings, Inc.</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(79,300)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851,645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781,735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851,645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781,735</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2,462,794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2,144,273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2,462,794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2,144,273</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is a holding company, owning all of the shares of common stock of Southwest Gas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or the “natural gas operations” segment) and all of the shares of common stock of Centuri Group, Inc. (“Centuri,” or the “utility infrastructure services” segment).</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October 2021, Southwest Gas Holdings, Inc. (the “Company”) entered into an agreement with Dominion Energy Questar Corporation, a wholly owned subsidiary of Dominion Energy, Inc., to acquire all equity interests in Dominion Energy Questar Pipeline, LLC and related entities (“Questar Pipelines”). Upon closing, Questar Pipelines will operate as part of a standalone subsidiary of the Company, and will undergo new branding at or subsequent to close. The agreement provides for consideration of $1.545 billion in cash (subject to certain adjustments) and assumption of approximately $430 million of existing long-term debt. The agreement contains certain termination rights, including a mutual termination right exercisable at any time and a unilateral termination right exercisable by either party if certain conditions have not been met by December 31, 2021 (the initial termination date), subject to an extension unilaterally exercisable by either party if certain conditions have not been met, subsequently extending the initial termination date through June 30, 2022. The completion of this transaction is subject to closing conditions, including the expiration or termination of any waiting period under the Hart-Scott-Rodino Antitrust Improvements Act of 1976, as amended, and approval of certain aspects of the transaction by the Federal Communications Commission. The operations to be acquired would further diversify the Company’s business with an expansion of regulated interstate natural gas pipelines and underground storage services as part of the jurisdiction of the Federal Energy Regulatory Commission (the “FERC”), thereby expanding transportation services into Utah, Wyoming, and Colorado. The Company plans to initially fund this acquisition with a new 364-day term loan, followed by permanent financing. See </w:t>
      </w:r>
      <w:r>
        <w:rPr>
          <w:rFonts w:ascii="Arial" w:cs="Arial" w:eastAsia="Arial" w:hAnsi="Arial"/>
          <w:sz w:val="17"/>
          <w:szCs w:val="17"/>
          <w:b w:val="1"/>
          <w:bCs w:val="1"/>
          <w:color w:val="auto"/>
        </w:rPr>
        <w:t>Note 5 – Debt</w:t>
      </w:r>
      <w:r>
        <w:rPr>
          <w:rFonts w:ascii="Arial" w:cs="Arial" w:eastAsia="Arial" w:hAnsi="Arial"/>
          <w:sz w:val="17"/>
          <w:szCs w:val="17"/>
          <w:color w:val="auto"/>
        </w:rPr>
        <w:t xml:space="preserve"> for more information.</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operations are generally conducted under the business names of NPL Construction Co. (“NPL”), NPL Canada Ltd. (“NPL Canada”), New England Utility Constructors, Inc. (“Neuco”), Linetec Services, LLC (“Linetec”), and Riggs Distler &amp; Company, Inc. (“Riggs Distler”).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 Centuri completed the acquisition of Drum Parent, Inc. (“Drum”), including Drum’s most significant operating subsidiary, Riggs Distler, in August 2021, thereby expanding Centuri’s electric services footprint in the Northeast and Mid-Atlantic regions of the U.S. See </w:t>
      </w:r>
      <w:r>
        <w:rPr>
          <w:rFonts w:ascii="Arial" w:cs="Arial" w:eastAsia="Arial" w:hAnsi="Arial"/>
          <w:sz w:val="18"/>
          <w:szCs w:val="18"/>
          <w:b w:val="1"/>
          <w:bCs w:val="1"/>
          <w:color w:val="auto"/>
        </w:rPr>
        <w:t>Note 8 -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for more information.</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of Southwest Gas Holdings, Inc. and subsidiaries and Southwest included herein</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prepared pursuant to the rules and regulations of the Securities and Exchange Commission (the “SEC”). The year-end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 In association with the novel Coronavirus (“COVID-19”) pandemic environment, utility operations, and to a large extent, utility infrastructure services, were deemed “essential services.” Management has considered the impact of the pandemic and adjusted certain estimates, where relevant, in the preparation of the condensed consolidated financial statements.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included in the 2020 Annual Report to Stockholders, which is incorporated by reference into the 2020 Form 10-K.</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primarily used quoted market prices and other observable market pricing information in valuing cash and cash equivalents, long-term debt outstanding, and assets of the qualified pension plan and postretirement benefit plans required to be recorded and/or disclosed at fair value.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Condensed Consolidated Balance Sheets includes: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0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147,187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140,874</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 Southwest Gas Corporation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149,926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143,611</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property, equipment, and intangibles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1,089,414</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Centuri accumulated provision for depreciation and amortization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(468,206)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(422,741)</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w:t>
            </w: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 Southwest Gas Holdings,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1,305,334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834,245</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Balances reflect impacts of equity and fixed-income securities underlying the cash surrender values at each reporting date; however, ultimately, only the insurance proceeds are ever actually received, due to management’s intent to hold the policies to maturity.</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of the Company include $55 million of money market fund investments at September 30, 2021, and an insignificant amount at December 31, 2020. The money market fund investments for Southwest were insignificant at both balance sheet dates. These investments fall within Level 2 of the fair value hierarchy, due to the asset valuation methods used by money market funds.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Typical non-cash investing activities include customer advances applied as contributions toward utility construction activity, and capital expenditures that were not yet paid as of period-end reporting dates, but rather were included in accounts payable. Typical activities that represent aspects of both non-cash investing and non-cash financing activities relate to right-of-use assets obtained in exchange for lease liabilities (including, at times, lease terminations and modifications). Amounts related to these collective activities were immaterial for the periods presented herein. See also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below.</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7 – Segment Information</w:t>
      </w:r>
      <w:r>
        <w:rPr>
          <w:rFonts w:ascii="Arial" w:cs="Arial" w:eastAsia="Arial" w:hAnsi="Arial"/>
          <w:sz w:val="18"/>
          <w:szCs w:val="18"/>
          <w:color w:val="auto"/>
        </w:rPr>
        <w:t>).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Accounts Receivable, net of allowances. </w:t>
      </w:r>
      <w:r>
        <w:rPr>
          <w:rFonts w:ascii="Arial" w:cs="Arial" w:eastAsia="Arial" w:hAnsi="Arial"/>
          <w:sz w:val="16"/>
          <w:szCs w:val="16"/>
          <w:color w:val="auto"/>
        </w:rPr>
        <w:t>Business activity with respect to natural gas utility operations is conducted with customers located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three-state region of Arizona, Nevada, and California. Southwest’s accounts receivable are short-term in nature with no billing due dates customarily extending beyond one month, with customers’ credit worthiness assessed upon account creation by evaluation of other utility service and related payment history. Southwest lifted the moratorium on disconnection of natural gas service for non-payment in Arizona and Nevada in September 2021, which was initiated (at the same time as a moratorium on late fees) in March 2020 in response to the COVID-19 pandemic. The moratorium on disconnection continues to be in place for California, and is expected to be lifted in the fourth quarter of 2021. </w:t>
      </w:r>
      <w:r>
        <w:rPr>
          <w:rFonts w:ascii="Arial" w:cs="Arial" w:eastAsia="Arial" w:hAnsi="Arial"/>
          <w:sz w:val="16"/>
          <w:szCs w:val="16"/>
          <w:color w:val="212529"/>
        </w:rPr>
        <w:t>Southwest recommenced assessing late fees on past-due</w:t>
      </w:r>
      <w:r>
        <w:rPr>
          <w:rFonts w:ascii="Arial" w:cs="Arial" w:eastAsia="Arial" w:hAnsi="Arial"/>
          <w:sz w:val="16"/>
          <w:szCs w:val="16"/>
          <w:color w:val="auto"/>
        </w:rPr>
        <w:t xml:space="preserve"> </w:t>
      </w:r>
      <w:r>
        <w:rPr>
          <w:rFonts w:ascii="Arial" w:cs="Arial" w:eastAsia="Arial" w:hAnsi="Arial"/>
          <w:sz w:val="16"/>
          <w:szCs w:val="16"/>
          <w:color w:val="212529"/>
        </w:rPr>
        <w:t xml:space="preserve">balances in Arizona and Nevada in April 2021, and expects to recommence late fees in California in the fourth quarter of 2021. Southwest is actively working with customers experiencing financial hardship by means of flexible payment options. Management continues to monitor expected credit losses in light of the impact of COVID-19. The allowance for uncollectible accounts receivable balances as of </w:t>
      </w:r>
      <w:r>
        <w:rPr>
          <w:rFonts w:ascii="Arial" w:cs="Arial" w:eastAsia="Arial" w:hAnsi="Arial"/>
          <w:sz w:val="16"/>
          <w:szCs w:val="16"/>
          <w:color w:val="000000"/>
        </w:rPr>
        <w:t>September 30, 2021</w:t>
      </w:r>
      <w:r>
        <w:rPr>
          <w:rFonts w:ascii="Arial" w:cs="Arial" w:eastAsia="Arial" w:hAnsi="Arial"/>
          <w:sz w:val="16"/>
          <w:szCs w:val="16"/>
          <w:color w:val="212529"/>
        </w:rPr>
        <w:t xml:space="preserve"> reflects the expected impact from the pandemic on balances as of that date, including consideration of customers’ ability to pay those amounts that are due.</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contracts receivable are recorded at face amounts less an allowance for doubtful accounts. Centuri’s customers are generally investment-grade gas and electric utility companies for which Centuri has historically recognized an insignificant amount of write-offs. Centuri has not been significantly impacted, nor does it anticipate it will experience significant difficulty in collecting amounts due, as a result of the current environment surrounding COVID-19 given the nature of its customers.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between periods in the allowance for uncollectible accounts and the balances as of the periods presented within the Company’s and Southwest’s financial statements were not material to the condensed consolidated financial statements overall.</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Deferred Purchased Gas Costs</w:t>
      </w:r>
      <w:r>
        <w:rPr>
          <w:rFonts w:ascii="Arial" w:cs="Arial" w:eastAsia="Arial" w:hAnsi="Arial"/>
          <w:sz w:val="18"/>
          <w:szCs w:val="18"/>
          <w:color w:val="auto"/>
        </w:rPr>
        <w:t>. The various regulatory commissions have established procedures to enable Southwest to adjust its billing rates for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cost of natural gas purchased. The difference between the current cost of gas purchased and the cost of gas recovered in billed rates is deferred. Generally, these deferred amounts are recovered or refunded within one year.</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mid-February 2021, the central U.S. (from south Texas to North Dakota and the eastern Rocky Mountains) experienced extreme cold temperatures, which increased natural gas demand and caused supply issues due to wellhead freeze-offs, power outages, or other adverse operating conditions upstream of Southwest’s distribution systems. These conditions caused daily natural gas prices to reach unprecedented levels. During this time, Southwest secured natural gas supplies, albeit at substantially higher prices, maintaining service to its customers. The incremental cost for these supplies was approximately $250 million, funded using a 364-day $250 million term loan executed in March 2021 (see </w:t>
      </w:r>
      <w:r>
        <w:rPr>
          <w:rFonts w:ascii="Arial" w:cs="Arial" w:eastAsia="Arial" w:hAnsi="Arial"/>
          <w:sz w:val="17"/>
          <w:szCs w:val="17"/>
          <w:b w:val="1"/>
          <w:bCs w:val="1"/>
          <w:color w:val="auto"/>
        </w:rPr>
        <w:t>Note 5 – Debt)</w:t>
      </w:r>
      <w:r>
        <w:rPr>
          <w:rFonts w:ascii="Arial" w:cs="Arial" w:eastAsia="Arial" w:hAnsi="Arial"/>
          <w:sz w:val="17"/>
          <w:szCs w:val="17"/>
          <w:color w:val="auto"/>
        </w:rPr>
        <w:t>. The incremental gas costs are expected to continue to be collected from customers through the purchased gas adjustment (“PGA”) mechanisms.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extreme weather event, an interstate transmission pipeline company billed Southwest, in addition to customary transmission costs, $65 million (later reduced to approximately $55 million) for pipeline imbalance charges, allegedly incurred during the period of the pipeline’s critical operation condition. However, Southwest formally disputed the imbalance charges, in addition to interest on that amount, believing that no amounts were due to the pipeline. In June 2021, the interstate transmission pipeline company requested approval from the Federal Energy Regulatory Commission (the “FERC”) to waive these imbalance charges and interest, affirming that they had the authority to elect the option to waive the underlying charges based on their tariff, but were seeking approval by the FERC for purposes of transparency and regulatory certainty. In August 2021, FERC approval was received. Consequently, no amounts were recognized by Southwest related to the original charge from the pipeline.</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Prepaid and other current assets. </w:t>
      </w:r>
      <w:r>
        <w:rPr>
          <w:rFonts w:ascii="Arial" w:cs="Arial" w:eastAsia="Arial" w:hAnsi="Arial"/>
          <w:sz w:val="18"/>
          <w:szCs w:val="18"/>
          <w:color w:val="auto"/>
        </w:rPr>
        <w:t>Prepaid and other current assets includes gas pipe materials and operating supplies of $55 million at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$50 million at December 31, 2020 (carried at weighted average cost).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2021, the Company and Southwest classified certain assets associated with its previous corporate headquarters as held for sale. As a result, the Company and Southwest reclassified approximately $31 million from Net utility plant to Prepaid and other current assets on their respective Condensed Consolidated Balance Sheets during the third quarter of 2021; this was a non-cash item and therefore did not impact the Company’s or Southwest’s respective Condensed Consolidated Statements of Cash Flows.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assessed as of October 1</w:t>
      </w:r>
      <w:r>
        <w:rPr>
          <w:rFonts w:ascii="Arial" w:cs="Arial" w:eastAsia="Arial" w:hAnsi="Arial"/>
          <w:sz w:val="14"/>
          <w:szCs w:val="14"/>
          <w:color w:val="auto"/>
        </w:rPr>
        <w:t>st</w:t>
      </w:r>
      <w:r>
        <w:rPr>
          <w:rFonts w:ascii="Arial" w:cs="Arial" w:eastAsia="Arial" w:hAnsi="Arial"/>
          <w:sz w:val="16"/>
          <w:szCs w:val="16"/>
          <w:i w:val="1"/>
          <w:iCs w:val="1"/>
          <w:color w:val="auto"/>
        </w:rPr>
        <w:t xml:space="preserve"> </w:t>
      </w:r>
      <w:r>
        <w:rPr>
          <w:rFonts w:ascii="Arial" w:cs="Arial" w:eastAsia="Arial" w:hAnsi="Arial"/>
          <w:sz w:val="16"/>
          <w:szCs w:val="16"/>
          <w:color w:val="auto"/>
        </w:rPr>
        <w:t>each year for impairment, or more frequently, if circumstances indicate an impairment to the carrying</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goodwill may have occurred. Management of the Company and Southwest considered its reporting units and segments and determined that they remained consistent between periods presented below, and that no change was necessary with regard to the level at which goodwill is assessed for impairment. Since December 31, 2020, management also qualitatively assessed whether events during the first nine months of 2021 may have resulted in conditions whereby the carrying value of goodwill was higher than its fair value, which if the case, could be an indication of a permanent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impairment. Through this assessment, no such condition was believed to have existed and therefore, no impairment was deemed to have occurred. The Riggs Distler acquisition in August 2021 (see further discussion in </w:t>
      </w:r>
      <w:r>
        <w:rPr>
          <w:rFonts w:ascii="Arial" w:cs="Arial" w:eastAsia="Arial" w:hAnsi="Arial"/>
          <w:sz w:val="17"/>
          <w:szCs w:val="17"/>
          <w:b w:val="1"/>
          <w:bCs w:val="1"/>
          <w:color w:val="auto"/>
        </w:rPr>
        <w:t>Note 8 - Business Acquisitions</w:t>
      </w:r>
      <w:r>
        <w:rPr>
          <w:rFonts w:ascii="Arial" w:cs="Arial" w:eastAsia="Arial" w:hAnsi="Arial"/>
          <w:sz w:val="17"/>
          <w:szCs w:val="17"/>
          <w:color w:val="auto"/>
        </w:rPr>
        <w:t>) was deemed a stock purchase for tax purposes, and as a result, only pre-acquisition goodwill that was historically tax-deductible by Riggs Distler will continue to be deductible for tax purposes by the Company. Goodwill on Southwest’s and the Company’s Condensed Consolidated Balance Sheets includes: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1"/>
              </w:rPr>
              <w:t>Natural Gas</w:t>
            </w: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rPr>
              <w:t>Utility</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Infrastructure</w:t>
            </w:r>
          </w:p>
        </w:tc>
        <w:tc>
          <w:tcPr>
            <w:tcW w:w="140" w:type="dxa"/>
            <w:vAlign w:val="bottom"/>
          </w:tcPr>
          <w:p>
            <w:pPr>
              <w:spacing w:after="0"/>
              <w:rPr>
                <w:sz w:val="15"/>
                <w:szCs w:val="15"/>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Total Company</w:t>
            </w:r>
          </w:p>
        </w:tc>
        <w:tc>
          <w:tcPr>
            <w:tcW w:w="0" w:type="dxa"/>
            <w:vAlign w:val="bottom"/>
          </w:tcPr>
          <w:p>
            <w:pPr>
              <w:spacing w:after="0"/>
              <w:rPr>
                <w:sz w:val="1"/>
                <w:szCs w:val="1"/>
                <w:color w:val="auto"/>
              </w:rPr>
            </w:pPr>
          </w:p>
        </w:tc>
      </w:tr>
      <w:tr>
        <w:trPr>
          <w:trHeight w:val="229"/>
        </w:trPr>
        <w:tc>
          <w:tcPr>
            <w:tcW w:w="6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Operations</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Services</w:t>
            </w: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345,184</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Additional goodwill from Riggs Distler acquisition</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446,794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446,794</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781,807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791,902</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includes $35.9 million and $32.6 million of dividends declared as of September 30, 2021 and December 31, 2020, respectively, as well as liabilities included as part of the Riggs Distler acquisition.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6"/>
                <w:szCs w:val="16"/>
                <w:color w:val="auto"/>
                <w:w w:val="90"/>
              </w:rPr>
              <w:t>Three Months Ended</w:t>
            </w:r>
          </w:p>
        </w:tc>
        <w:tc>
          <w:tcPr>
            <w:tcW w:w="200" w:type="dxa"/>
            <w:vAlign w:val="bottom"/>
          </w:tcPr>
          <w:p>
            <w:pPr>
              <w:spacing w:after="0"/>
              <w:rPr>
                <w:sz w:val="16"/>
                <w:szCs w:val="16"/>
                <w:color w:val="auto"/>
              </w:rPr>
            </w:pPr>
          </w:p>
        </w:tc>
        <w:tc>
          <w:tcPr>
            <w:tcW w:w="1780" w:type="dxa"/>
            <w:vAlign w:val="bottom"/>
            <w:gridSpan w:val="5"/>
          </w:tcPr>
          <w:p>
            <w:pPr>
              <w:ind w:left="80"/>
              <w:spacing w:after="0"/>
              <w:rPr>
                <w:sz w:val="20"/>
                <w:szCs w:val="20"/>
                <w:color w:val="auto"/>
              </w:rPr>
            </w:pPr>
            <w:r>
              <w:rPr>
                <w:rFonts w:ascii="Arial" w:cs="Arial" w:eastAsia="Arial" w:hAnsi="Arial"/>
                <w:sz w:val="16"/>
                <w:szCs w:val="16"/>
                <w:color w:val="auto"/>
              </w:rPr>
              <w:t>Nine Months Ended</w:t>
            </w:r>
          </w:p>
        </w:tc>
        <w:tc>
          <w:tcPr>
            <w:tcW w:w="200" w:type="dxa"/>
            <w:vAlign w:val="bottom"/>
          </w:tcPr>
          <w:p>
            <w:pPr>
              <w:spacing w:after="0"/>
              <w:rPr>
                <w:sz w:val="16"/>
                <w:szCs w:val="16"/>
                <w:color w:val="auto"/>
              </w:rPr>
            </w:pPr>
          </w:p>
        </w:tc>
        <w:tc>
          <w:tcPr>
            <w:tcW w:w="1880" w:type="dxa"/>
            <w:vAlign w:val="bottom"/>
            <w:gridSpan w:val="4"/>
          </w:tcPr>
          <w:p>
            <w:pPr>
              <w:jc w:val="right"/>
              <w:ind w:right="219"/>
              <w:spacing w:after="0"/>
              <w:rPr>
                <w:sz w:val="20"/>
                <w:szCs w:val="20"/>
                <w:color w:val="auto"/>
              </w:rPr>
            </w:pPr>
            <w:r>
              <w:rPr>
                <w:rFonts w:ascii="Arial" w:cs="Arial" w:eastAsia="Arial" w:hAnsi="Arial"/>
                <w:sz w:val="16"/>
                <w:szCs w:val="16"/>
                <w:color w:val="auto"/>
                <w:w w:val="98"/>
              </w:rPr>
              <w:t>Twelve Months Ended</w:t>
            </w:r>
          </w:p>
        </w:tc>
      </w:tr>
      <w:tr>
        <w:trPr>
          <w:trHeight w:val="209"/>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6"/>
                <w:szCs w:val="16"/>
                <w:color w:val="auto"/>
                <w:w w:val="89"/>
              </w:rPr>
              <w:t>September 30,</w:t>
            </w:r>
          </w:p>
        </w:tc>
        <w:tc>
          <w:tcPr>
            <w:tcW w:w="200" w:type="dxa"/>
            <w:vAlign w:val="bottom"/>
          </w:tcPr>
          <w:p>
            <w:pPr>
              <w:spacing w:after="0"/>
              <w:rPr>
                <w:sz w:val="18"/>
                <w:szCs w:val="18"/>
                <w:color w:val="auto"/>
              </w:rPr>
            </w:pPr>
          </w:p>
        </w:tc>
        <w:tc>
          <w:tcPr>
            <w:tcW w:w="1780" w:type="dxa"/>
            <w:vAlign w:val="bottom"/>
            <w:gridSpan w:val="5"/>
          </w:tcPr>
          <w:p>
            <w:pPr>
              <w:ind w:left="280"/>
              <w:spacing w:after="0"/>
              <w:rPr>
                <w:sz w:val="20"/>
                <w:szCs w:val="20"/>
                <w:color w:val="auto"/>
              </w:rPr>
            </w:pPr>
            <w:r>
              <w:rPr>
                <w:rFonts w:ascii="Arial" w:cs="Arial" w:eastAsia="Arial" w:hAnsi="Arial"/>
                <w:sz w:val="16"/>
                <w:szCs w:val="16"/>
                <w:color w:val="auto"/>
              </w:rPr>
              <w:t>September 30,</w:t>
            </w:r>
          </w:p>
        </w:tc>
        <w:tc>
          <w:tcPr>
            <w:tcW w:w="200" w:type="dxa"/>
            <w:vAlign w:val="bottom"/>
          </w:tcPr>
          <w:p>
            <w:pPr>
              <w:spacing w:after="0"/>
              <w:rPr>
                <w:sz w:val="18"/>
                <w:szCs w:val="18"/>
                <w:color w:val="auto"/>
              </w:rPr>
            </w:pPr>
          </w:p>
        </w:tc>
        <w:tc>
          <w:tcPr>
            <w:tcW w:w="1880" w:type="dxa"/>
            <w:vAlign w:val="bottom"/>
            <w:gridSpan w:val="4"/>
          </w:tcPr>
          <w:p>
            <w:pPr>
              <w:jc w:val="right"/>
              <w:ind w:right="499"/>
              <w:spacing w:after="0"/>
              <w:rPr>
                <w:sz w:val="20"/>
                <w:szCs w:val="20"/>
                <w:color w:val="auto"/>
              </w:rPr>
            </w:pPr>
            <w:r>
              <w:rPr>
                <w:rFonts w:ascii="Arial" w:cs="Arial" w:eastAsia="Arial" w:hAnsi="Arial"/>
                <w:sz w:val="16"/>
                <w:szCs w:val="16"/>
                <w:color w:val="auto"/>
              </w:rPr>
              <w:t>September 30,</w:t>
            </w:r>
          </w:p>
        </w:tc>
      </w:tr>
      <w:tr>
        <w:trPr>
          <w:trHeight w:val="30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r>
      <w:tr>
        <w:trPr>
          <w:trHeight w:val="19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natural gas operations segment: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Change in COLI policies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7,200</w:t>
            </w: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w:t>
            </w: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4,395</w:t>
            </w: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components of net periodic benefit cost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(18,780)</w:t>
            </w:r>
          </w:p>
        </w:tc>
      </w:tr>
      <w:tr>
        <w:trPr>
          <w:trHeight w:val="21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(5,060)</w:t>
            </w: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total other income (deductions)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(7,615)</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Utility infrastructure services segment:</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transaction gain (loss)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Centuri - total other income (deductions)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color w:val="auto"/>
              </w:rPr>
              <w:t>Corporate and administrative</w:t>
            </w: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Consolidated Southwest Gas Holdings, Inc. - total other income (deductions)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also to the discussion of </w:t>
      </w:r>
      <w:r>
        <w:rPr>
          <w:rFonts w:ascii="Arial" w:cs="Arial" w:eastAsia="Arial" w:hAnsi="Arial"/>
          <w:sz w:val="18"/>
          <w:szCs w:val="18"/>
          <w:i w:val="1"/>
          <w:iCs w:val="1"/>
          <w:color w:val="auto"/>
        </w:rPr>
        <w:t>Other Property and Investments</w:t>
      </w:r>
      <w:r>
        <w:rPr>
          <w:rFonts w:ascii="Arial" w:cs="Arial" w:eastAsia="Arial" w:hAnsi="Arial"/>
          <w:sz w:val="18"/>
          <w:szCs w:val="18"/>
          <w:color w:val="auto"/>
        </w:rPr>
        <w:t xml:space="preserve"> above and to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Redeemable Noncontrolling Interest. </w:t>
      </w:r>
      <w:r>
        <w:rPr>
          <w:rFonts w:ascii="Arial" w:cs="Arial" w:eastAsia="Arial" w:hAnsi="Arial"/>
          <w:sz w:val="17"/>
          <w:szCs w:val="17"/>
          <w:color w:val="auto"/>
        </w:rPr>
        <w:t>In connection with the acquisition of Linetec in November 2018, the previous owner retained a 20% equity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Linetec, the reduction of which is subject to certain rights based on the passage of time or upon the occurrence of certain triggering events.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Adjustment to the redemption value also impacts retained earnings, as reflected in the Company’s Condensed Consolidated Statement of Equity, but does not impact net income. The following depicts the change to the balance of the redeemable noncontrolling interest: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17"/>
                <w:szCs w:val="17"/>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Redeemable</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vMerge w:val="continue"/>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Noncontrolling Interest</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165,716</w:t>
            </w:r>
          </w:p>
        </w:tc>
        <w:tc>
          <w:tcPr>
            <w:tcW w:w="0" w:type="dxa"/>
            <w:vAlign w:val="bottom"/>
          </w:tcPr>
          <w:p>
            <w:pPr>
              <w:spacing w:after="0"/>
              <w:rPr>
                <w:sz w:val="1"/>
                <w:szCs w:val="1"/>
                <w:color w:val="auto"/>
              </w:rPr>
            </w:pPr>
          </w:p>
        </w:tc>
      </w:tr>
      <w:tr>
        <w:trPr>
          <w:trHeight w:val="229"/>
        </w:trPr>
        <w:tc>
          <w:tcPr>
            <w:tcW w:w="9480" w:type="dxa"/>
            <w:vAlign w:val="bottom"/>
          </w:tcPr>
          <w:p>
            <w:pPr>
              <w:ind w:left="180"/>
              <w:spacing w:after="0"/>
              <w:rPr>
                <w:sz w:val="20"/>
                <w:szCs w:val="20"/>
                <w:color w:val="auto"/>
              </w:rPr>
            </w:pPr>
            <w:r>
              <w:rPr>
                <w:rFonts w:ascii="Arial" w:cs="Arial" w:eastAsia="Arial" w:hAnsi="Arial"/>
                <w:sz w:val="18"/>
                <w:szCs w:val="18"/>
                <w:color w:val="auto"/>
              </w:rPr>
              <w:t>Net income attributable to redeemable noncontrolling interest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adjustment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183,547</w:t>
            </w:r>
          </w:p>
        </w:tc>
        <w:tc>
          <w:tcPr>
            <w:tcW w:w="0" w:type="dxa"/>
            <w:vAlign w:val="bottom"/>
          </w:tcPr>
          <w:p>
            <w:pPr>
              <w:spacing w:after="0"/>
              <w:rPr>
                <w:sz w:val="1"/>
                <w:szCs w:val="1"/>
                <w:color w:val="auto"/>
              </w:rPr>
            </w:pPr>
          </w:p>
        </w:tc>
      </w:tr>
      <w:tr>
        <w:trPr>
          <w:trHeight w:val="21"/>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24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40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Nine Months Ended</w:t>
            </w:r>
          </w:p>
        </w:tc>
        <w:tc>
          <w:tcPr>
            <w:tcW w:w="2300" w:type="dxa"/>
            <w:vAlign w:val="bottom"/>
            <w:gridSpan w:val="3"/>
          </w:tcPr>
          <w:p>
            <w:pPr>
              <w:jc w:val="right"/>
              <w:ind w:right="250"/>
              <w:spacing w:after="0"/>
              <w:rPr>
                <w:sz w:val="20"/>
                <w:szCs w:val="20"/>
                <w:color w:val="auto"/>
              </w:rPr>
            </w:pPr>
            <w:r>
              <w:rPr>
                <w:rFonts w:ascii="Arial" w:cs="Arial" w:eastAsia="Arial" w:hAnsi="Arial"/>
                <w:sz w:val="18"/>
                <w:szCs w:val="18"/>
                <w:color w:val="auto"/>
              </w:rPr>
              <w:t>Twelve Months Ended</w:t>
            </w:r>
          </w:p>
        </w:tc>
      </w:tr>
      <w:tr>
        <w:trPr>
          <w:trHeight w:val="230"/>
        </w:trPr>
        <w:tc>
          <w:tcPr>
            <w:tcW w:w="4140" w:type="dxa"/>
            <w:vAlign w:val="bottom"/>
          </w:tcPr>
          <w:p>
            <w:pPr>
              <w:spacing w:after="0"/>
              <w:rPr>
                <w:sz w:val="19"/>
                <w:szCs w:val="19"/>
                <w:color w:val="auto"/>
              </w:rPr>
            </w:pPr>
          </w:p>
        </w:tc>
        <w:tc>
          <w:tcPr>
            <w:tcW w:w="24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24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2300" w:type="dxa"/>
            <w:vAlign w:val="bottom"/>
            <w:gridSpan w:val="3"/>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55,508</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Incentive Plan shares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 (1)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58,742</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0"/>
        <w:spacing w:after="0" w:line="315" w:lineRule="auto"/>
        <w:tabs>
          <w:tab w:leader="none" w:pos="43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number of securities included 115,000 and 76,000 performance shares during the three months ending September 30, 2021 and 2020, 95,000 and 63,000 performance shares during the nine months ending September 30, 2021 and 2020, and 93,000 and 57,000 performance shares during the twelve months ending September 30, 2021 and 2020, respectively, the total of which was derived by assuming that target performance will be achieved during the relevant performance period.</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Contingency. </w:t>
      </w:r>
      <w:r>
        <w:rPr>
          <w:rFonts w:ascii="Arial" w:cs="Arial" w:eastAsia="Arial" w:hAnsi="Arial"/>
          <w:sz w:val="18"/>
          <w:szCs w:val="18"/>
          <w:color w:val="auto"/>
        </w:rPr>
        <w:t>Southwest maintains liability insurance for various risks associated with the operation of its natural gas pipelines and facilities.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these liability insurance policies, Southwest is responsible for an initial deductible or self-insured retention amount per incident, after which the insurance carriers would be responsible for amounts up to the policy limits. For the policy year August 2021 to July 2022, these liability insurance policies require Southwest to be responsible for the first $1 million (self-insured retention) of each incident plus the first $4 million in aggregate claims above its self-insured retention in the policy year. In August 2021, a natural gas pipe was involved in an explosion that injured four individuals and damaged property. The explosion was caused by a leak in the pipe, and is under investigation. Claims are expected to be filed against Southwest. If Southwest is deemed fully or partially responsible, Southwest estimates its exposure could be as much as $5 million (the maximum noted above). As of September 30, 2021, pursuant to Accounting Standards Codification 450, Contingencies, Southwest recorded a $5 million liability related to this incident reflecting the maximum noted above; an estimate of actual loss greater than this exposure (to be covered by insurance) cannot be estimated as of the date these financial statements are issued.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2021:</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Financial Accounting Standards Board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Company and Southwest adopted the update in the first quarter of 2021, the impact of which was not material to the condensed consolidated financial statements of the Company or Southwest.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after 2021:</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Topic 848) to replace a reference rate affected by such reform. The update applies only to contracts and hedging relationships that reference the London Interbank Offered Rate (“LIBOR”) or another rate expected to be discontinued due to reference rate reform. The guidance was eligible to be applied upon issuance on March 12, 2020, and can generally be applied through December 31, 2022, but to date, no further updates have occurred that would extend the optional guidance to the full tenor of LIBOR expiration dates occurring after 2022. Management will monitor the impacts this update might have on the Company’s and Southwest’s consolidated financial statements and disclosures, and will reflect such appropriately, in the event that the optional guidance is elected. It will also monitor further FASB action, if any, in regard to the full tenor of LIBOR expiration dates. See also LIBOR discussion in </w:t>
      </w:r>
      <w:r>
        <w:rPr>
          <w:rFonts w:ascii="Arial" w:cs="Arial" w:eastAsia="Arial" w:hAnsi="Arial"/>
          <w:sz w:val="16"/>
          <w:szCs w:val="16"/>
          <w:b w:val="1"/>
          <w:bCs w:val="1"/>
          <w:color w:val="auto"/>
        </w:rPr>
        <w:t>Note 5 – Debt</w:t>
      </w:r>
      <w:r>
        <w:rPr>
          <w:rFonts w:ascii="Arial" w:cs="Arial" w:eastAsia="Arial" w:hAnsi="Arial"/>
          <w:sz w:val="16"/>
          <w:szCs w:val="16"/>
          <w:color w:val="auto"/>
        </w:rPr>
        <w:t>.</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earnings-per-share for convertible instruments and contracts in an entity’s own equity. The update is effective for fiscal years beginning after December 15, 2021, including interim periods within those fiscal years; early adoption is permitted. Management is evaluating what impacts, if any, this update might have on the Company’s consolidated financial statements and disclosures.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92"/>
              </w:rPr>
              <w:t>Qualified Retirement Plan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10,289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30,869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39,443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32,191</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46,416</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(64,033)</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32,608</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47,182</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5"/>
              </w:rPr>
              <w:t>SERP</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0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1"/>
              </w:rPr>
              <w:t>PBOP</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(3,345)</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new employees hired on or after January 1, 2022, the defined benefit retirement plan will be replaced with enhanced contributions to the 401(k) plan. The change is not applicable to existing employees, nor to employees hired during the remainder of 2021. Current employees will continue to be eligible to receive employer 401(k) matching contributions on one-half of amounts deferred by them, up to a maximum matching contribution of 3.5% of their eligible annual compensation. Employees hired after 2021 will be eligible for enhanced employer 401(k) contributions of 3% plus a matching contribution (dollar-for-dollar) up to 7% of eligible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operations segment and Centuri encompasses the utility infrastructure services segment.</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60"/>
              <w:spacing w:after="0"/>
              <w:rPr>
                <w:sz w:val="20"/>
                <w:szCs w:val="20"/>
                <w:color w:val="auto"/>
              </w:rPr>
            </w:pPr>
            <w:r>
              <w:rPr>
                <w:rFonts w:ascii="Arial" w:cs="Arial" w:eastAsia="Arial" w:hAnsi="Arial"/>
                <w:sz w:val="16"/>
                <w:szCs w:val="16"/>
                <w:color w:val="auto"/>
                <w:w w:val="90"/>
              </w:rPr>
              <w:t>Three Months Ended</w:t>
            </w:r>
          </w:p>
        </w:tc>
        <w:tc>
          <w:tcPr>
            <w:tcW w:w="200" w:type="dxa"/>
            <w:vAlign w:val="bottom"/>
          </w:tcPr>
          <w:p>
            <w:pPr>
              <w:spacing w:after="0"/>
              <w:rPr>
                <w:sz w:val="16"/>
                <w:szCs w:val="16"/>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6"/>
                <w:szCs w:val="16"/>
                <w:color w:val="auto"/>
                <w:w w:val="92"/>
              </w:rPr>
              <w:t>Nine Months Ended</w:t>
            </w:r>
          </w:p>
        </w:tc>
        <w:tc>
          <w:tcPr>
            <w:tcW w:w="220" w:type="dxa"/>
            <w:vAlign w:val="bottom"/>
          </w:tcPr>
          <w:p>
            <w:pPr>
              <w:spacing w:after="0"/>
              <w:rPr>
                <w:sz w:val="16"/>
                <w:szCs w:val="16"/>
                <w:color w:val="auto"/>
              </w:rPr>
            </w:pPr>
          </w:p>
        </w:tc>
        <w:tc>
          <w:tcPr>
            <w:tcW w:w="2000" w:type="dxa"/>
            <w:vAlign w:val="bottom"/>
            <w:gridSpan w:val="4"/>
          </w:tcPr>
          <w:p>
            <w:pPr>
              <w:jc w:val="right"/>
              <w:ind w:right="299"/>
              <w:spacing w:after="0"/>
              <w:rPr>
                <w:sz w:val="20"/>
                <w:szCs w:val="20"/>
                <w:color w:val="auto"/>
              </w:rPr>
            </w:pPr>
            <w:r>
              <w:rPr>
                <w:rFonts w:ascii="Arial" w:cs="Arial" w:eastAsia="Arial" w:hAnsi="Arial"/>
                <w:sz w:val="16"/>
                <w:szCs w:val="16"/>
                <w:color w:val="auto"/>
              </w:rPr>
              <w:t>Twelve Months Ended</w:t>
            </w:r>
          </w:p>
        </w:tc>
      </w:tr>
      <w:tr>
        <w:trPr>
          <w:trHeight w:val="206"/>
        </w:trPr>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80"/>
              <w:spacing w:after="0"/>
              <w:rPr>
                <w:sz w:val="20"/>
                <w:szCs w:val="20"/>
                <w:color w:val="auto"/>
              </w:rPr>
            </w:pPr>
            <w:r>
              <w:rPr>
                <w:rFonts w:ascii="Arial" w:cs="Arial" w:eastAsia="Arial" w:hAnsi="Arial"/>
                <w:sz w:val="16"/>
                <w:szCs w:val="16"/>
                <w:color w:val="auto"/>
                <w:w w:val="89"/>
              </w:rPr>
              <w:t>September 30,</w:t>
            </w:r>
          </w:p>
        </w:tc>
        <w:tc>
          <w:tcPr>
            <w:tcW w:w="20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6"/>
                <w:szCs w:val="16"/>
                <w:color w:val="auto"/>
                <w:w w:val="89"/>
              </w:rPr>
              <w:t>September 30,</w:t>
            </w:r>
          </w:p>
        </w:tc>
        <w:tc>
          <w:tcPr>
            <w:tcW w:w="220" w:type="dxa"/>
            <w:vAlign w:val="bottom"/>
          </w:tcPr>
          <w:p>
            <w:pPr>
              <w:spacing w:after="0"/>
              <w:rPr>
                <w:sz w:val="17"/>
                <w:szCs w:val="17"/>
                <w:color w:val="auto"/>
              </w:rPr>
            </w:pPr>
          </w:p>
        </w:tc>
        <w:tc>
          <w:tcPr>
            <w:tcW w:w="2000" w:type="dxa"/>
            <w:vAlign w:val="bottom"/>
            <w:gridSpan w:val="4"/>
          </w:tcPr>
          <w:p>
            <w:pPr>
              <w:jc w:val="right"/>
              <w:ind w:right="559"/>
              <w:spacing w:after="0"/>
              <w:rPr>
                <w:sz w:val="20"/>
                <w:szCs w:val="20"/>
                <w:color w:val="auto"/>
              </w:rPr>
            </w:pPr>
            <w:r>
              <w:rPr>
                <w:rFonts w:ascii="Arial" w:cs="Arial" w:eastAsia="Arial" w:hAnsi="Arial"/>
                <w:sz w:val="16"/>
                <w:szCs w:val="16"/>
                <w:color w:val="auto"/>
              </w:rPr>
              <w:t>September 30,</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743,791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1,011,450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957,379</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Small commercial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48,283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185,774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248,193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228,720</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Large commercial</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52,075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45,493</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Industrial/other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19,089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25,435</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68,217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91,151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89,364</w:t>
            </w:r>
          </w:p>
        </w:tc>
      </w:tr>
      <w:tr>
        <w:trPr>
          <w:trHeight w:val="207"/>
        </w:trPr>
        <w:tc>
          <w:tcPr>
            <w:tcW w:w="4320" w:type="dxa"/>
            <w:vAlign w:val="bottom"/>
          </w:tcPr>
          <w:p>
            <w:pPr>
              <w:ind w:left="360"/>
              <w:spacing w:after="0"/>
              <w:rPr>
                <w:sz w:val="20"/>
                <w:szCs w:val="20"/>
                <w:color w:val="auto"/>
              </w:rPr>
            </w:pPr>
            <w:r>
              <w:rPr>
                <w:rFonts w:ascii="Arial" w:cs="Arial" w:eastAsia="Arial" w:hAnsi="Arial"/>
                <w:sz w:val="16"/>
                <w:szCs w:val="16"/>
                <w:color w:val="auto"/>
              </w:rPr>
              <w:t>Revenue from contracts with customers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241,300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203,082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1,068,164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966,941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1,440,374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1,346,391</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Alternative revenue program revenues (deferrals)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7,629</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w:t>
            </w:r>
          </w:p>
        </w:tc>
      </w:tr>
      <w:tr>
        <w:trPr>
          <w:trHeight w:val="237"/>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Gas 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255,848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210,834</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1,070,576</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976,095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1,445,066</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1,355,666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180" w:hanging="10"/>
        <w:spacing w:after="0" w:line="261" w:lineRule="auto"/>
        <w:tabs>
          <w:tab w:leader="none" w:pos="409"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include late fees and other miscellaneous revenues, and may also include the impact of certain regulatory mechanisms, such as cost-of-service components in customer rates expected to be returned to customers in future periods. Also includes the impacts of a temporary moratorium on late fees and disconnection for nonpayment during the COVID-19 pandemic.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6"/>
                <w:szCs w:val="16"/>
                <w:color w:val="auto"/>
                <w:w w:val="90"/>
              </w:rPr>
              <w:t>Three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8"/>
          </w:tcPr>
          <w:p>
            <w:pPr>
              <w:jc w:val="center"/>
              <w:ind w:right="340"/>
              <w:spacing w:after="0"/>
              <w:rPr>
                <w:sz w:val="20"/>
                <w:szCs w:val="20"/>
                <w:color w:val="auto"/>
              </w:rPr>
            </w:pPr>
            <w:r>
              <w:rPr>
                <w:rFonts w:ascii="Arial" w:cs="Arial" w:eastAsia="Arial" w:hAnsi="Arial"/>
                <w:sz w:val="16"/>
                <w:szCs w:val="16"/>
                <w:color w:val="auto"/>
                <w:w w:val="92"/>
              </w:rPr>
              <w:t>Nine Months Ended</w:t>
            </w:r>
          </w:p>
        </w:tc>
        <w:tc>
          <w:tcPr>
            <w:tcW w:w="240" w:type="dxa"/>
            <w:vAlign w:val="bottom"/>
          </w:tcPr>
          <w:p>
            <w:pPr>
              <w:spacing w:after="0"/>
              <w:rPr>
                <w:sz w:val="16"/>
                <w:szCs w:val="16"/>
                <w:color w:val="auto"/>
              </w:rPr>
            </w:pPr>
          </w:p>
        </w:tc>
        <w:tc>
          <w:tcPr>
            <w:tcW w:w="2100" w:type="dxa"/>
            <w:vAlign w:val="bottom"/>
            <w:gridSpan w:val="4"/>
          </w:tcPr>
          <w:p>
            <w:pPr>
              <w:jc w:val="center"/>
              <w:ind w:right="159"/>
              <w:spacing w:after="0"/>
              <w:rPr>
                <w:sz w:val="20"/>
                <w:szCs w:val="20"/>
                <w:color w:val="auto"/>
              </w:rPr>
            </w:pPr>
            <w:r>
              <w:rPr>
                <w:rFonts w:ascii="Arial" w:cs="Arial" w:eastAsia="Arial" w:hAnsi="Arial"/>
                <w:sz w:val="16"/>
                <w:szCs w:val="16"/>
                <w:color w:val="auto"/>
                <w:w w:val="92"/>
              </w:rPr>
              <w:t>Twelve Months Ended</w:t>
            </w:r>
          </w:p>
        </w:tc>
      </w:tr>
      <w:tr>
        <w:trPr>
          <w:trHeight w:val="206"/>
        </w:trPr>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6"/>
                <w:szCs w:val="16"/>
                <w:color w:val="auto"/>
                <w:w w:val="87"/>
              </w:rPr>
              <w:t>September 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8"/>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7"/>
                <w:szCs w:val="17"/>
                <w:color w:val="auto"/>
              </w:rPr>
            </w:pPr>
          </w:p>
        </w:tc>
        <w:tc>
          <w:tcPr>
            <w:tcW w:w="2100" w:type="dxa"/>
            <w:vAlign w:val="bottom"/>
            <w:gridSpan w:val="4"/>
          </w:tcPr>
          <w:p>
            <w:pPr>
              <w:jc w:val="center"/>
              <w:ind w:right="159"/>
              <w:spacing w:after="0"/>
              <w:rPr>
                <w:sz w:val="20"/>
                <w:szCs w:val="20"/>
                <w:color w:val="auto"/>
              </w:rPr>
            </w:pPr>
            <w:r>
              <w:rPr>
                <w:rFonts w:ascii="Arial" w:cs="Arial" w:eastAsia="Arial" w:hAnsi="Arial"/>
                <w:sz w:val="16"/>
                <w:szCs w:val="16"/>
                <w:color w:val="auto"/>
                <w:w w:val="89"/>
              </w:rPr>
              <w:t>September 30,</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19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Types: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Gas infrastructure services</w:t>
            </w: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393,122</w:t>
            </w:r>
          </w:p>
        </w:tc>
        <w:tc>
          <w:tcPr>
            <w:tcW w:w="40" w:type="dxa"/>
            <w:vAlign w:val="bottom"/>
          </w:tcPr>
          <w:p>
            <w:pPr>
              <w:spacing w:after="0"/>
              <w:rPr>
                <w:sz w:val="18"/>
                <w:szCs w:val="18"/>
                <w:color w:val="auto"/>
              </w:rPr>
            </w:pPr>
          </w:p>
        </w:tc>
        <w:tc>
          <w:tcPr>
            <w:tcW w:w="3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387,578</w:t>
            </w:r>
          </w:p>
        </w:tc>
        <w:tc>
          <w:tcPr>
            <w:tcW w:w="40" w:type="dxa"/>
            <w:vAlign w:val="bottom"/>
          </w:tcPr>
          <w:p>
            <w:pPr>
              <w:spacing w:after="0"/>
              <w:rPr>
                <w:sz w:val="18"/>
                <w:szCs w:val="18"/>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961,836</w:t>
            </w:r>
          </w:p>
        </w:tc>
        <w:tc>
          <w:tcPr>
            <w:tcW w:w="20" w:type="dxa"/>
            <w:vAlign w:val="bottom"/>
          </w:tcPr>
          <w:p>
            <w:pPr>
              <w:spacing w:after="0"/>
              <w:rPr>
                <w:sz w:val="18"/>
                <w:szCs w:val="18"/>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935,444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1,287,552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1,288,468</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 power infrastructure services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282,992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346,432</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84,270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77,428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216,551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190,262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242,364</w:t>
            </w:r>
          </w:p>
        </w:tc>
      </w:tr>
      <w:tr>
        <w:trPr>
          <w:trHeight w:val="233"/>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632,848</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580,392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1,525,448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1,408,698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2,065,038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1,877,264</w:t>
            </w:r>
          </w:p>
        </w:tc>
      </w:tr>
      <w:tr>
        <w:trPr>
          <w:trHeight w:val="20"/>
        </w:trPr>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261"/>
        </w:trPr>
        <w:tc>
          <w:tcPr>
            <w:tcW w:w="4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00" w:type="dxa"/>
            <w:vAlign w:val="bottom"/>
            <w:gridSpan w:val="7"/>
          </w:tcPr>
          <w:p>
            <w:pPr>
              <w:jc w:val="center"/>
              <w:ind w:right="300"/>
              <w:spacing w:after="0"/>
              <w:rPr>
                <w:sz w:val="20"/>
                <w:szCs w:val="20"/>
                <w:color w:val="auto"/>
              </w:rPr>
            </w:pPr>
            <w:r>
              <w:rPr>
                <w:rFonts w:ascii="Arial" w:cs="Arial" w:eastAsia="Arial" w:hAnsi="Arial"/>
                <w:sz w:val="16"/>
                <w:szCs w:val="16"/>
                <w:color w:val="auto"/>
                <w:w w:val="90"/>
              </w:rPr>
              <w:t>Three Months Ended</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gridSpan w:val="8"/>
          </w:tcPr>
          <w:p>
            <w:pPr>
              <w:jc w:val="center"/>
              <w:ind w:right="380"/>
              <w:spacing w:after="0"/>
              <w:rPr>
                <w:sz w:val="20"/>
                <w:szCs w:val="20"/>
                <w:color w:val="auto"/>
              </w:rPr>
            </w:pPr>
            <w:r>
              <w:rPr>
                <w:rFonts w:ascii="Arial" w:cs="Arial" w:eastAsia="Arial" w:hAnsi="Arial"/>
                <w:sz w:val="16"/>
                <w:szCs w:val="16"/>
                <w:color w:val="auto"/>
                <w:w w:val="92"/>
              </w:rPr>
              <w:t>Nine Months Ended</w:t>
            </w:r>
          </w:p>
        </w:tc>
        <w:tc>
          <w:tcPr>
            <w:tcW w:w="240" w:type="dxa"/>
            <w:vAlign w:val="bottom"/>
          </w:tcPr>
          <w:p>
            <w:pPr>
              <w:spacing w:after="0"/>
              <w:rPr>
                <w:sz w:val="22"/>
                <w:szCs w:val="22"/>
                <w:color w:val="auto"/>
              </w:rPr>
            </w:pPr>
          </w:p>
        </w:tc>
        <w:tc>
          <w:tcPr>
            <w:tcW w:w="2100" w:type="dxa"/>
            <w:vAlign w:val="bottom"/>
            <w:gridSpan w:val="4"/>
          </w:tcPr>
          <w:p>
            <w:pPr>
              <w:jc w:val="center"/>
              <w:ind w:right="159"/>
              <w:spacing w:after="0"/>
              <w:rPr>
                <w:sz w:val="20"/>
                <w:szCs w:val="20"/>
                <w:color w:val="auto"/>
              </w:rPr>
            </w:pPr>
            <w:r>
              <w:rPr>
                <w:rFonts w:ascii="Arial" w:cs="Arial" w:eastAsia="Arial" w:hAnsi="Arial"/>
                <w:sz w:val="16"/>
                <w:szCs w:val="16"/>
                <w:color w:val="auto"/>
                <w:w w:val="92"/>
              </w:rPr>
              <w:t>Twelve Months Ended</w:t>
            </w:r>
          </w:p>
        </w:tc>
      </w:tr>
      <w:tr>
        <w:trPr>
          <w:trHeight w:val="206"/>
        </w:trPr>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7"/>
          </w:tcPr>
          <w:p>
            <w:pPr>
              <w:jc w:val="center"/>
              <w:ind w:right="280"/>
              <w:spacing w:after="0"/>
              <w:rPr>
                <w:sz w:val="20"/>
                <w:szCs w:val="20"/>
                <w:color w:val="auto"/>
              </w:rPr>
            </w:pPr>
            <w:r>
              <w:rPr>
                <w:rFonts w:ascii="Arial" w:cs="Arial" w:eastAsia="Arial" w:hAnsi="Arial"/>
                <w:sz w:val="16"/>
                <w:szCs w:val="16"/>
                <w:color w:val="auto"/>
                <w:w w:val="89"/>
              </w:rPr>
              <w:t>September 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8"/>
          </w:tcPr>
          <w:p>
            <w:pPr>
              <w:jc w:val="center"/>
              <w:ind w:right="38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7"/>
                <w:szCs w:val="17"/>
                <w:color w:val="auto"/>
              </w:rPr>
            </w:pPr>
          </w:p>
        </w:tc>
        <w:tc>
          <w:tcPr>
            <w:tcW w:w="2100" w:type="dxa"/>
            <w:vAlign w:val="bottom"/>
            <w:gridSpan w:val="4"/>
          </w:tcPr>
          <w:p>
            <w:pPr>
              <w:jc w:val="center"/>
              <w:ind w:right="159"/>
              <w:spacing w:after="0"/>
              <w:rPr>
                <w:sz w:val="20"/>
                <w:szCs w:val="20"/>
                <w:color w:val="auto"/>
              </w:rPr>
            </w:pPr>
            <w:r>
              <w:rPr>
                <w:rFonts w:ascii="Arial" w:cs="Arial" w:eastAsia="Arial" w:hAnsi="Arial"/>
                <w:sz w:val="16"/>
                <w:szCs w:val="16"/>
                <w:color w:val="auto"/>
                <w:w w:val="89"/>
              </w:rPr>
              <w:t>September 30,</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19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Types: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Master services agreement</w:t>
            </w: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467,869</w:t>
            </w:r>
          </w:p>
        </w:tc>
        <w:tc>
          <w:tcPr>
            <w:tcW w:w="40" w:type="dxa"/>
            <w:vAlign w:val="bottom"/>
          </w:tcPr>
          <w:p>
            <w:pPr>
              <w:spacing w:after="0"/>
              <w:rPr>
                <w:sz w:val="18"/>
                <w:szCs w:val="18"/>
                <w:color w:val="auto"/>
              </w:rPr>
            </w:pPr>
          </w:p>
        </w:tc>
        <w:tc>
          <w:tcPr>
            <w:tcW w:w="32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437,914</w:t>
            </w:r>
          </w:p>
        </w:tc>
        <w:tc>
          <w:tcPr>
            <w:tcW w:w="4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1,160,199</w:t>
            </w:r>
          </w:p>
        </w:tc>
        <w:tc>
          <w:tcPr>
            <w:tcW w:w="2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1,076,961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1,573,247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1,438,540</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Bid contract</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164,979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365,249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438,724</w:t>
            </w:r>
          </w:p>
        </w:tc>
      </w:tr>
      <w:tr>
        <w:trPr>
          <w:trHeight w:val="212"/>
        </w:trPr>
        <w:tc>
          <w:tcPr>
            <w:tcW w:w="4000" w:type="dxa"/>
            <w:vAlign w:val="bottom"/>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632,848</w:t>
            </w:r>
          </w:p>
        </w:tc>
        <w:tc>
          <w:tcPr>
            <w:tcW w:w="40" w:type="dxa"/>
            <w:vAlign w:val="bottom"/>
          </w:tcPr>
          <w:p>
            <w:pPr>
              <w:spacing w:after="0"/>
              <w:rPr>
                <w:sz w:val="18"/>
                <w:szCs w:val="18"/>
                <w:color w:val="auto"/>
              </w:rPr>
            </w:pPr>
          </w:p>
        </w:tc>
        <w:tc>
          <w:tcPr>
            <w:tcW w:w="32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580,392</w:t>
            </w:r>
          </w:p>
        </w:tc>
        <w:tc>
          <w:tcPr>
            <w:tcW w:w="4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1,525,448</w:t>
            </w:r>
          </w:p>
        </w:tc>
        <w:tc>
          <w:tcPr>
            <w:tcW w:w="2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1,408,698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2,065,038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1,877,264</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Unit price contracts</w:t>
            </w: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406,404</w:t>
            </w:r>
          </w:p>
        </w:tc>
        <w:tc>
          <w:tcPr>
            <w:tcW w:w="40" w:type="dxa"/>
            <w:vAlign w:val="bottom"/>
          </w:tcPr>
          <w:p>
            <w:pPr>
              <w:spacing w:after="0"/>
              <w:rPr>
                <w:sz w:val="18"/>
                <w:szCs w:val="18"/>
                <w:color w:val="auto"/>
              </w:rPr>
            </w:pPr>
          </w:p>
        </w:tc>
        <w:tc>
          <w:tcPr>
            <w:tcW w:w="32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377,284</w:t>
            </w:r>
          </w:p>
        </w:tc>
        <w:tc>
          <w:tcPr>
            <w:tcW w:w="4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1,002,779</w:t>
            </w:r>
          </w:p>
        </w:tc>
        <w:tc>
          <w:tcPr>
            <w:tcW w:w="2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985,673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1,373,746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1,359,352</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price contracts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142,356</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and materials contracts</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156,729</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372,988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313,090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493,845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375,556</w:t>
            </w:r>
          </w:p>
        </w:tc>
      </w:tr>
      <w:tr>
        <w:trPr>
          <w:trHeight w:val="233"/>
        </w:trPr>
        <w:tc>
          <w:tcPr>
            <w:tcW w:w="4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632,848</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580,392</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1,525,448</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1,408,698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2,065,038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1,877,264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assets), which are both included within Accounts receivable, net of allowances; the table also includes amounts billed in excess of revenue earned on contracts (contract liabilities), which are included in Other current liabilities as of September 30, 2021 and December 31, 2020 on the Company’s 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278,316</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207,318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96,996</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revenue earned on contracts in progress in excess of billings (contract asset) primarily relates to Centuri’s rights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2020 to September 30, 2021 is due to revenue recognized of approximately $4.5 million that was included in this item as of January 1, 2021, after which time it became earned and the balance was reduced; the change also includes increases due to cash received, net of revenue recognized during the period, related to contracts that commenced during the period.</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2021, Centuri had 18 contracts with an original duration of more than one year. The aggregate amount of the transaction price allocated to the unsatisfied performance obligations of these contracts as of September 30, 2021 was $53.8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are provided by the customer.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64"/>
        </w:trPr>
        <w:tc>
          <w:tcPr>
            <w:tcW w:w="63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September 30, 2021</w:t>
            </w:r>
          </w:p>
        </w:tc>
        <w:tc>
          <w:tcPr>
            <w:tcW w:w="300" w:type="dxa"/>
            <w:vAlign w:val="bottom"/>
          </w:tcPr>
          <w:p>
            <w:pPr>
              <w:spacing w:after="0"/>
              <w:rPr>
                <w:sz w:val="24"/>
                <w:szCs w:val="24"/>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December 31, 2020</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273,778</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280,470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48"/>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The following table provides the activity under the Equity Shelf Program for the three-month and life-to-date periods ended September 30,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Three Months Ended</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Life-To-Date Ended</w:t>
            </w:r>
          </w:p>
        </w:tc>
      </w:tr>
      <w:tr>
        <w:trPr>
          <w:trHeight w:val="223"/>
        </w:trPr>
        <w:tc>
          <w:tcPr>
            <w:tcW w:w="69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140" w:type="dxa"/>
            <w:vAlign w:val="bottom"/>
            <w:tcBorders>
              <w:bottom w:val="single" w:sz="8" w:color="auto"/>
            </w:tcBorders>
            <w:gridSpan w:val="4"/>
            <w:shd w:val="clear" w:color="auto" w:fill="CCEEFF"/>
          </w:tcPr>
          <w:p>
            <w:pPr>
              <w:jc w:val="right"/>
              <w:ind w:right="1370"/>
              <w:spacing w:after="0"/>
              <w:rPr>
                <w:sz w:val="20"/>
                <w:szCs w:val="20"/>
                <w:color w:val="auto"/>
              </w:rPr>
            </w:pPr>
            <w:r>
              <w:rPr>
                <w:rFonts w:ascii="Arial" w:cs="Arial" w:eastAsia="Arial" w:hAnsi="Arial"/>
                <w:sz w:val="18"/>
                <w:szCs w:val="18"/>
                <w:color w:val="auto"/>
              </w:rPr>
              <w:t>September 30, 2021</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Gross proceeds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87,819,931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158,180,343</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agent commissions</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(878,199)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(1,581,803)</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proceeds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86,941,732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156,598,540</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sold</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2,302,407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Weighted average price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70.15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68.70</w:t>
            </w:r>
          </w:p>
        </w:tc>
      </w:tr>
    </w:tbl>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the Company had up to $341,819,657 in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the repayment or repurchase of indebtedness (including amounts outstanding from time to time under the credit facilities, senior notes, term loan, or future credit facilities), and to provide for working capital.</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March 31, 2021, the Company sold essentially all of the remaining common stock available for sale under a previously effective equity shelf program.</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2021, the Company issued approximately 47,500 shares of common stock through the Restricted Stock/Unit Plan and Omnibus Incentive Plan.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nine months ended September 30, 2021, the Company issued 130,000 shares of common stock through the Dividend Reinvestment and Stock Purchase Plan, raising approximately $8.5 million.</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October 10, 2021, the Company’s Board of Directors (the “Board”) authorized and declared a dividend of one preferred stock purchase right (a “Right”) for each share of common stock outstanding, $1 par value per share, of the Company to stockholders of record at the close of business on October 21, 2021. Each right entitles the registered holder to purchase from the Company one ten-thousandth (a “unit”) of a share of Series A Junior Participating Preferred Stock, no par value per share, of the Company at a purchase price of $321.70 per unit, subject to adjustment. Generally, the Rights become exercisable in the event any person or group of affiliated or associated persons acquires beneficial ownership of 10% (20% in the case of a passive institutional investor) or more of the Company’s common stock without the approval of the Board, and until such time, are inseparable from and trade with the Company’s common stock. The Rights were issued pursuant to the Rights Agreement dated October 10, 2021 (the “Rights Agreement”), between the Company and Equiniti Trust Company, as rights agent. The Rights expire at the close of business on October 9, 2022 or upon an earlier merger or other acquisition transaction involving the Company, redemption, or exchange as provided in the Rights Agreement.</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Long-term debt is recognized in the Company’s and Southwest’s Condensed Consolidated Balance Sheets generally at the carrying value of the obligations outstanding. Details surrounding the fair value, as described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and individual carrying values of instruments are provided in the table that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ind w:left="320"/>
              <w:spacing w:after="0"/>
              <w:rPr>
                <w:sz w:val="20"/>
                <w:szCs w:val="20"/>
                <w:color w:val="auto"/>
              </w:rPr>
            </w:pPr>
            <w:r>
              <w:rPr>
                <w:rFonts w:ascii="Arial" w:cs="Arial" w:eastAsia="Arial" w:hAnsi="Arial"/>
                <w:sz w:val="18"/>
                <w:szCs w:val="18"/>
                <w:color w:val="auto"/>
              </w:rPr>
              <w:t>September 30, 2021</w:t>
            </w:r>
          </w:p>
        </w:tc>
        <w:tc>
          <w:tcPr>
            <w:tcW w:w="200" w:type="dxa"/>
            <w:vAlign w:val="bottom"/>
          </w:tcPr>
          <w:p>
            <w:pPr>
              <w:spacing w:after="0"/>
              <w:rPr>
                <w:sz w:val="20"/>
                <w:szCs w:val="20"/>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December 31, 2020</w:t>
            </w:r>
          </w:p>
        </w:tc>
      </w:tr>
      <w:tr>
        <w:trPr>
          <w:trHeight w:val="169"/>
        </w:trPr>
        <w:tc>
          <w:tcPr>
            <w:tcW w:w="6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Fair</w:t>
            </w:r>
          </w:p>
        </w:tc>
      </w:tr>
      <w:tr>
        <w:trPr>
          <w:trHeight w:val="229"/>
        </w:trPr>
        <w:tc>
          <w:tcPr>
            <w:tcW w:w="6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0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Value</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Notes, 6.1%, due 2041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167,755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174,858</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3.875%, due 2022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258,825</w:t>
            </w: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Notes, 4.875%, due 2043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317,190</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 due 2046</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347,046</w:t>
            </w: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Notes, 3.7%, due 2028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331,536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344,553</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4.15%, due 2049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370,278</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Notes, 2.2%, due 2030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474,552</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3.18%, due 2051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8% Series, due 2026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99,723</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7.78% series, due 2022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26,663</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Medium-term notes, 7.92% series, due 2027</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33,802</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6.76% series, due 2027</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r>
      <w:tr>
        <w:trPr>
          <w:trHeight w:val="230"/>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r>
      <w:tr>
        <w:trPr>
          <w:trHeight w:val="223"/>
        </w:trPr>
        <w:tc>
          <w:tcPr>
            <w:tcW w:w="6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2,386,773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150,000</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development revenue bonds: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Variable-rate bonds: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Tax-exempt Series A, due 2028</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2003 Series A, due 2038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2008 Series A, due 2038</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2009 Series A, due 2039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Long-term debt, less current maturities - Southwest Gas Corporation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2,309,857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r>
      <w:tr>
        <w:trPr>
          <w:trHeight w:val="197"/>
        </w:trPr>
        <w:tc>
          <w:tcPr>
            <w:tcW w:w="6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Centuri:</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Centuri term loan facility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1,146,431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226,648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230,824</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1,119,615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26,645</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Centuri other debt obligations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84,246</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Long-term debt, less current maturities - Centuri</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1,263,926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r>
      <w:tr>
        <w:trPr>
          <w:trHeight w:val="196"/>
        </w:trPr>
        <w:tc>
          <w:tcPr>
            <w:tcW w:w="6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Southwest Gas Holdings, Inc.:</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Southwest Gas Corporation long-term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2,584,857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2,438,206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long-term debt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of Southwest's and Centuri’s revolving credit facilities and Southwest’s IDRBs are categorized as Level 1 based on the FASB’s fair value hierarchy, due to the ability to access similar debt arrangements at measurement dates with comparable terms, including variable/market rates. The fair values of Southwest’s debentures (which include senior and medium-term notes) and Centuri's term loan facility as of September 30, 2021 were determined utilizing a market-based valuation approach, where fair values are determined based on evaluated pricing data, and as such are categorized as Level 2 in the hierarchy. Prior to amending its secured revolving credit and term loan facility in the third quarter 2021 (see below), the Centuri credit facility was categorized as Level 3, as fair values were based on a conventional discounted cash flow methodology utilizing current market pricing yield curves.</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LIBOR or an “alternate base rate,” plus in each case an applicable margin that is determined based on Southwest’s senior unsecured debt rating. At September 30, 2021, the applicable margin is 1.125% for loans bearing interest with reference to LIBOR and 0.125% for loans bearing interest with reference to the alternative base rate. At September 30, 2021, no borrowings were outstanding on the long-term portion (including under the commercial paper program, discussed below) of the facility or on the short-term portion of this credit facility discussed below.</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are designated as long-term debt. Interest rates for the program are calculated at the then current commercial paper rate. At September 30, 2021, as noted above, no borrowings were outstanding under the commercial paper program.</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Southwest issued $300 million aggregate principal amount of 3.18% Senior Notes at a discount of 0.019%. The notes will mature in August 2051. Southwest used the net proceeds from the offering to repay the outstanding balance under its credit facility, with the remaining net proceeds used for general corporate purposes.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referred to above, on August 27, 2021, Centuri, in association with the acquisition of Riggs Distler (see </w:t>
      </w:r>
      <w:r>
        <w:rPr>
          <w:rFonts w:ascii="Arial" w:cs="Arial" w:eastAsia="Arial" w:hAnsi="Arial"/>
          <w:sz w:val="17"/>
          <w:szCs w:val="17"/>
          <w:b w:val="1"/>
          <w:bCs w:val="1"/>
          <w:color w:val="auto"/>
        </w:rPr>
        <w:t>Note 8 - Business Acquisitions)</w:t>
      </w:r>
      <w:r>
        <w:rPr>
          <w:rFonts w:ascii="Arial" w:cs="Arial" w:eastAsia="Arial" w:hAnsi="Arial"/>
          <w:sz w:val="17"/>
          <w:szCs w:val="17"/>
          <w:color w:val="auto"/>
        </w:rPr>
        <w:t>, entered into an amended and restated credit agreement. The agreement provided for a $1.145 billion secured term loan facility, at a discount of 1.00%, and a $400 million secured revolving credit facility, which in addition to funding the Riggs Distler acquisition, refinanced the previous $590 million loan facility. This multi-currency facility allows the borrower to request loan advances in either Canadian dollars or U.S. dollars. Amounts borrowed and repaid under the revolving line of credit portion of the facility are available to be re-borrowed.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The term loan facility matures on August 27, 2028 and the revolving credit facility matures on August 27, 2026.</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Interest rates for the term loan facility and the revolving credit facility are based on either a “base rate” or LIBOR, plus an applicable margin in either case. The term loan facility is also subject to a LIBOR floor of 0.50%. Furthermore, Centuri Canada Division Inc. may borrow under the revolving credit facility with interest rates based on either a “base rate” or the Canadian Dealer Offered Rate (“CDOR”) plus the applicable margin, at the borrower’s option. The margin for the term loan facility will be 1.50% for base rate loans and 2.50% for LIBOR loans. The margin for the revolving credit facility ranges from 0.0% to 1.25% for base rate loans and from 1.00% to 2.25% for LIBOR loans, depending on Centuri’s net leverage ratio. Upon the occurrence of certain events providing for a transition away from LIBOR, or if LIBOR is no longer a widely recognized benchmark rate, Centuri may further amend the credit agreement with a replacement rate as set forth in the amended agreement. Centuri is also required to pay a commitment fee on the unused portion of the commitments. The commitment fee ranges from 0.15% to 0.35% per annum. The credit agreement contains certain customary representations and warranties, affirmative and negative covenants and events of default. There are no financial covenants related to the term loan facility. The revolving credit facility requires Centuri to maintain a maximum total net leverage ratio of 5.50 to 1.00 with a step-down to 4.75 to 1.0 on December 31, 2022, and a step-down to 4.00 to 1.00 on December 31, 2023; provided, however, Centuri may elect to increase the maximum total net leverage ratio up to 4.50 to 1.00 in connection with certain material acquisitions, with such increase being applicable for one year following such acquisition; and the agreement also requires Centuri to maintain a minimum interest coverage ratio of 2.50 to 1.00. Centuri’s assets securing the facility at September 30, 2021 totaled $2.6 billion. At September 30, 2021, $1.257 billion in borrowings were outstanding under Centuri’s combined secured revolving credit and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$100 million credit facility that is scheduled to expire in April 2025 and is primarily used for short-term financing needs. There was $22 million outstanding under this credit facility as of September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indicated above, under Southwest’s $400 million credit facility, no short-term borrowings were outstanding at September 30, 2021.</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March 2021, Southwest entered into a $250 million Term Loan that matures March 22, 2022. The proceeds were used to fund the increased cost of natural gas supply during the month of February 2021, caused by extreme weather conditions in the central U.S. (see </w:t>
      </w:r>
      <w:r>
        <w:rPr>
          <w:rFonts w:ascii="Arial" w:cs="Arial" w:eastAsia="Arial" w:hAnsi="Arial"/>
          <w:sz w:val="17"/>
          <w:szCs w:val="17"/>
          <w:i w:val="1"/>
          <w:iCs w:val="1"/>
          <w:color w:val="auto"/>
        </w:rPr>
        <w:t>Deferred Purchased Gas Costs</w:t>
      </w:r>
      <w:r>
        <w:rPr>
          <w:rFonts w:ascii="Arial" w:cs="Arial" w:eastAsia="Arial" w:hAnsi="Arial"/>
          <w:sz w:val="17"/>
          <w:szCs w:val="17"/>
          <w:color w:val="auto"/>
        </w:rPr>
        <w:t xml:space="preserve"> in </w:t>
      </w:r>
      <w:r>
        <w:rPr>
          <w:rFonts w:ascii="Arial" w:cs="Arial" w:eastAsia="Arial" w:hAnsi="Arial"/>
          <w:sz w:val="17"/>
          <w:szCs w:val="17"/>
          <w:b w:val="1"/>
          <w:bCs w:val="1"/>
          <w:color w:val="auto"/>
        </w:rPr>
        <w:t>Note 1 – Background, Organization, and Summary of Significant Accounting Policies</w:t>
      </w:r>
      <w:r>
        <w:rPr>
          <w:rFonts w:ascii="Arial" w:cs="Arial" w:eastAsia="Arial" w:hAnsi="Arial"/>
          <w:sz w:val="17"/>
          <w:szCs w:val="17"/>
          <w:color w:val="auto"/>
        </w:rPr>
        <w:t>). Interest rates for the term loan are calculated at either LIBOR</w:t>
      </w:r>
      <w:r>
        <w:rPr>
          <w:rFonts w:ascii="Arial" w:cs="Arial" w:eastAsia="Arial" w:hAnsi="Arial"/>
          <w:sz w:val="17"/>
          <w:szCs w:val="17"/>
          <w:b w:val="1"/>
          <w:bCs w:val="1"/>
          <w:color w:val="auto"/>
        </w:rPr>
        <w:t xml:space="preserve"> </w:t>
      </w:r>
      <w:r>
        <w:rPr>
          <w:rFonts w:ascii="Arial" w:cs="Arial" w:eastAsia="Arial" w:hAnsi="Arial"/>
          <w:sz w:val="17"/>
          <w:szCs w:val="17"/>
          <w:color w:val="auto"/>
        </w:rPr>
        <w:t>or an “alternate base rate,” plus in each case an applicable margin that is determined based on Southwest’s senior unsecured long-term debt rating. The applicable margin ranges from 0.550% to 1.000% for loans bearing interest with reference to LIBOR and 0.000% for loans bearing interest with reference to an alternate base rate. The agreement contains a financial covenant requiring Southwest to maintain a ratio of funded debt to total capitalization not to exceed 0.70 to 1.00 as of the end of any quarter of any fiscal year.</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2021, the Company entered into a 364-day term loan credit agreement (the “Credit Agreement”). The Credit Agreement provides for a $1.6 billion delayed-draw term loan (the “Term Loan Facility”) to fund and to pay fees, commissions, and expenses related to the Term Loan Facility and the acquisition by the Company of the equity interests in Questar Pipelines. The Term Loan Facility matures 364 days from the date of the funding of the Term Loan Facility.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interest rate for the Term Loan Facility is based on either “base rate” or LIBOR, plus an applicable margin in either case. The applicable margin for the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Term Loan Facility will be 0% to 0.50% for base rate loans and 0.75% to 1.50% for LIBOR loans, depending on the applicable pricing level in effect. Each of the interest rate spreads will increase by 0.25% at certain time intervals after the funding date. The commitment fee ranges from 0.060% to 0.175% per calendar quarter commencing January 3, 2022, depending on the applicable pricing level in effect. The pricing levels are based on the Company’s senior debt ratings. The interest rate is subject to customary benchmark replacement provisions.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representations and warranties, affirmative, negative, and financial covenants and events of default substantially similar to the Company’s existing credit facility. Subject to certain exceptions, after the funding date, the Company must make a mandatory prepayment from 100% of the net cash proceeds received by the Company or any of its subsidiaries from any debt offerings or equity issuances and/or 100% of the committed amount under any specified acquisition financings.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rates established at LIBOR are scheduled to be discontinued as a benchmark or reference rate after 2021, while other LIBOR-based rates are scheduled to be discontinued after June 2023. In order to mitigate the impact of a discontinuance on the Company’s and Southwest’s financial condition and results of operations, management will monitor developments and work with lenders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4"/>
              </w:rPr>
              <w:t>September 30, 2021</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2"/>
              </w:rPr>
              <w:t>September 30, 2020</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2"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239</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289</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(6,380)</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w w:val="97"/>
              </w:rPr>
              <w:t>Nine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w w:val="95"/>
              </w:rPr>
              <w:t>Nine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4"/>
              </w:rPr>
              <w:t>September 30, 2021</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2"/>
              </w:rPr>
              <w:t>September 30, 2020</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2"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719</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867</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21,563</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(21,831)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(19,140)</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5,136</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jc w:val="center"/>
              <w:ind w:left="347"/>
              <w:spacing w:after="0"/>
              <w:rPr>
                <w:sz w:val="20"/>
                <w:szCs w:val="20"/>
                <w:color w:val="auto"/>
              </w:rPr>
            </w:pPr>
            <w:r>
              <w:rPr>
                <w:rFonts w:ascii="Arial" w:cs="Arial" w:eastAsia="Arial" w:hAnsi="Arial"/>
                <w:sz w:val="18"/>
                <w:szCs w:val="18"/>
                <w:color w:val="auto"/>
                <w:w w:val="88"/>
              </w:rPr>
              <w:t>September 30, 2021</w:t>
            </w:r>
          </w:p>
        </w:tc>
        <w:tc>
          <w:tcPr>
            <w:tcW w:w="0" w:type="dxa"/>
            <w:vAlign w:val="bottom"/>
          </w:tcPr>
          <w:p>
            <w:pPr>
              <w:spacing w:after="0"/>
              <w:rPr>
                <w:sz w:val="1"/>
                <w:szCs w:val="1"/>
                <w:color w:val="auto"/>
              </w:rPr>
            </w:pPr>
          </w:p>
        </w:tc>
      </w:tr>
      <w:tr>
        <w:trPr>
          <w:trHeight w:val="83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3"/>
              </w:rPr>
              <w:t>Twelve Months Ended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Twelve Months Ended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September 30, 2021</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September 30, 2020</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8"/>
              <w:spacing w:after="0" w:line="132"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68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108"/>
              <w:spacing w:after="0" w:line="132" w:lineRule="exact"/>
              <w:rPr>
                <w:sz w:val="20"/>
                <w:szCs w:val="20"/>
                <w:color w:val="auto"/>
              </w:rPr>
            </w:pPr>
            <w:r>
              <w:rPr>
                <w:rFonts w:ascii="Arial" w:cs="Arial" w:eastAsia="Arial" w:hAnsi="Arial"/>
                <w:sz w:val="14"/>
                <w:szCs w:val="14"/>
                <w:color w:val="auto"/>
                <w:w w:val="91"/>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660" w:type="dxa"/>
            <w:vAlign w:val="bottom"/>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gridSpan w:val="4"/>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6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or Benefit (1)</w:t>
            </w:r>
          </w:p>
        </w:tc>
        <w:tc>
          <w:tcPr>
            <w:tcW w:w="140" w:type="dxa"/>
            <w:vAlign w:val="bottom"/>
          </w:tcPr>
          <w:p>
            <w:pPr>
              <w:spacing w:after="0"/>
              <w:rPr>
                <w:sz w:val="16"/>
                <w:szCs w:val="16"/>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(57,539)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(43,730)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(71,087)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17,061</w:t>
            </w:r>
          </w:p>
        </w:tc>
        <w:tc>
          <w:tcPr>
            <w:tcW w:w="10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42,906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32,608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26,004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2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180" w:hanging="10"/>
        <w:spacing w:after="0" w:line="261" w:lineRule="auto"/>
        <w:tabs>
          <w:tab w:leader="none" w:pos="6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$828,000 of realized losses (net of tax) related to the remaining balance of Southwest’s previously settled forward-starting interest rate swap (“FSIRS”), included in AOCI at September 30, 2021, will be reclassified into interest expense within the next 6 months (the remainder of the amortization period for the balance) as the related interest payments on long-term debt occur.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Defined Benefit Plans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FSIRS</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color w:val="auto"/>
              </w:rPr>
              <w:t>Foreign Currency Items</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8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Before-Tax</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1"/>
                <w:szCs w:val="11"/>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w w:val="93"/>
              </w:rPr>
              <w:t>After-Tax</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After-Tax</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7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After-Tax</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266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5"/>
              </w:rPr>
              <w:t>Benefit (4)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Tax</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9"/>
              </w:rPr>
              <w:t>Benefit (4)</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Tax</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Benefit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Beginning Balance AOCI</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(77,720)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18,653</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4"/>
              </w:rPr>
              <w:t>(2,719)</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(61,003)</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2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Translation adjustments</w:t>
            </w: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54"/>
        </w:trPr>
        <w:tc>
          <w:tcPr>
            <w:tcW w:w="266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color w:val="auto"/>
              </w:rPr>
              <w:t>Other comprehensive income (loss)</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before reclassifications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4"/>
                <w:szCs w:val="14"/>
                <w:color w:val="auto"/>
              </w:rPr>
              <w:t>FSIRS amount reclassified from AOCI (1)</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(2)</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86"/>
        </w:trPr>
        <w:tc>
          <w:tcPr>
            <w:tcW w:w="2660" w:type="dxa"/>
            <w:vAlign w:val="bottom"/>
          </w:tcPr>
          <w:p>
            <w:pPr>
              <w:ind w:left="20"/>
              <w:spacing w:after="0"/>
              <w:rPr>
                <w:sz w:val="20"/>
                <w:szCs w:val="20"/>
                <w:color w:val="auto"/>
              </w:rPr>
            </w:pPr>
            <w:r>
              <w:rPr>
                <w:rFonts w:ascii="Arial" w:cs="Arial" w:eastAsia="Arial" w:hAnsi="Arial"/>
                <w:sz w:val="14"/>
                <w:szCs w:val="14"/>
                <w:color w:val="auto"/>
              </w:rPr>
              <w:t>Amortization of net actuarial loss (2)</w:t>
            </w:r>
          </w:p>
        </w:tc>
        <w:tc>
          <w:tcPr>
            <w:tcW w:w="2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33,448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25,420</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 (3)</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(21,831)</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line="151" w:lineRule="exact"/>
              <w:rPr>
                <w:sz w:val="20"/>
                <w:szCs w:val="20"/>
                <w:color w:val="auto"/>
              </w:rPr>
            </w:pPr>
            <w:r>
              <w:rPr>
                <w:rFonts w:ascii="Arial" w:cs="Arial" w:eastAsia="Arial" w:hAnsi="Arial"/>
                <w:sz w:val="14"/>
                <w:szCs w:val="14"/>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income (loss) attributable to Southwest</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60" w:type="dxa"/>
            <w:vAlign w:val="bottom"/>
          </w:tcPr>
          <w:p>
            <w:pPr>
              <w:ind w:left="140"/>
              <w:spacing w:after="0"/>
              <w:rPr>
                <w:sz w:val="20"/>
                <w:szCs w:val="20"/>
                <w:color w:val="auto"/>
              </w:rPr>
            </w:pPr>
            <w:r>
              <w:rPr>
                <w:rFonts w:ascii="Arial" w:cs="Arial" w:eastAsia="Arial" w:hAnsi="Arial"/>
                <w:sz w:val="14"/>
                <w:szCs w:val="14"/>
                <w:color w:val="auto"/>
              </w:rPr>
              <w:t>Gas Holdings, Inc.</w:t>
            </w:r>
          </w:p>
        </w:tc>
        <w:tc>
          <w:tcPr>
            <w:tcW w:w="2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5,442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5,052</w:t>
            </w:r>
          </w:p>
        </w:tc>
        <w:tc>
          <w:tcPr>
            <w:tcW w:w="0" w:type="dxa"/>
            <w:vAlign w:val="bottom"/>
          </w:tcPr>
          <w:p>
            <w:pPr>
              <w:spacing w:after="0"/>
              <w:rPr>
                <w:sz w:val="1"/>
                <w:szCs w:val="1"/>
                <w:color w:val="auto"/>
              </w:rPr>
            </w:pPr>
          </w:p>
        </w:tc>
      </w:tr>
      <w:tr>
        <w:trPr>
          <w:trHeight w:val="213"/>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Ending Balance AOCI September 30, 2021</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94"/>
              </w:rPr>
              <w:t>(1,087)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(55,951)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color w:val="auto"/>
                <w:w w:val="93"/>
              </w:rPr>
              <w:t>Defined Benefit Plans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6"/>
              </w:rPr>
              <w:t>FSIRS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Tax</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Before-Tax</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3"/>
              </w:rPr>
              <w:t>(Expense)</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After-Tax</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Before-Tax</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color w:val="auto"/>
              </w:rPr>
              <w:t>After-Tax</w:t>
            </w:r>
          </w:p>
        </w:tc>
        <w:tc>
          <w:tcPr>
            <w:tcW w:w="200" w:type="dxa"/>
            <w:vAlign w:val="bottom"/>
          </w:tcPr>
          <w:p>
            <w:pPr>
              <w:spacing w:after="0"/>
              <w:rPr>
                <w:sz w:val="11"/>
                <w:szCs w:val="11"/>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3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(8)</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Benefit (8)</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(77,720)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18,653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(61,135)</w:t>
            </w:r>
          </w:p>
        </w:tc>
        <w:tc>
          <w:tcPr>
            <w:tcW w:w="0" w:type="dxa"/>
            <w:vAlign w:val="bottom"/>
          </w:tcPr>
          <w:p>
            <w:pPr>
              <w:spacing w:after="0"/>
              <w:rPr>
                <w:sz w:val="1"/>
                <w:szCs w:val="1"/>
                <w:color w:val="auto"/>
              </w:rPr>
            </w:pPr>
          </w:p>
        </w:tc>
      </w:tr>
      <w:tr>
        <w:trPr>
          <w:trHeight w:val="179"/>
        </w:trPr>
        <w:tc>
          <w:tcPr>
            <w:tcW w:w="3700" w:type="dxa"/>
            <w:vAlign w:val="bottom"/>
          </w:tcPr>
          <w:p>
            <w:pPr>
              <w:ind w:left="20"/>
              <w:spacing w:after="0"/>
              <w:rPr>
                <w:sz w:val="20"/>
                <w:szCs w:val="20"/>
                <w:color w:val="auto"/>
              </w:rPr>
            </w:pPr>
            <w:r>
              <w:rPr>
                <w:rFonts w:ascii="Arial" w:cs="Arial" w:eastAsia="Arial" w:hAnsi="Arial"/>
                <w:sz w:val="14"/>
                <w:szCs w:val="14"/>
                <w:color w:val="auto"/>
              </w:rPr>
              <w:t>FSIRS amount reclassified from AOCI (5)</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86"/>
        </w:trPr>
        <w:tc>
          <w:tcPr>
            <w:tcW w:w="3700" w:type="dxa"/>
            <w:vAlign w:val="bottom"/>
          </w:tcPr>
          <w:p>
            <w:pPr>
              <w:ind w:left="20"/>
              <w:spacing w:after="0"/>
              <w:rPr>
                <w:sz w:val="20"/>
                <w:szCs w:val="20"/>
                <w:color w:val="auto"/>
              </w:rPr>
            </w:pPr>
            <w:r>
              <w:rPr>
                <w:rFonts w:ascii="Arial" w:cs="Arial" w:eastAsia="Arial" w:hAnsi="Arial"/>
                <w:sz w:val="14"/>
                <w:szCs w:val="14"/>
                <w:color w:val="auto"/>
              </w:rPr>
              <w:t>Amortization of net actuarial loss (6)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33,448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25,420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25,420</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 (7)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6,894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(21,831)</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line="151" w:lineRule="exact"/>
              <w:rPr>
                <w:sz w:val="20"/>
                <w:szCs w:val="20"/>
                <w:color w:val="auto"/>
              </w:rPr>
            </w:pPr>
            <w:r>
              <w:rPr>
                <w:rFonts w:ascii="Arial" w:cs="Arial" w:eastAsia="Arial" w:hAnsi="Arial"/>
                <w:sz w:val="14"/>
                <w:szCs w:val="14"/>
                <w:color w:val="auto"/>
                <w:w w:val="99"/>
              </w:rPr>
              <w:t>Net current period other comprehensive income attributable</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 Southwest Gas Corporation</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5,376</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17,347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(55,759)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20" w:hanging="350"/>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2021</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4"/>
              </w:rPr>
              <w:t>December 31, 2020</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(502,783)</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427,550</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(77,720)</w:t>
            </w:r>
          </w:p>
        </w:tc>
      </w:tr>
      <w:tr>
        <w:trPr>
          <w:trHeight w:val="21"/>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two reportable segments: natural gas operations and utility infrastructure services. Southwest has a single reportable segment that is referred to herein as the natural gas operations segment of the Company.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Centuri accounts for the services provided to Southwest at contractual prices at contract inception. Accounts receivable for these services, which are not eliminated during consolidation, are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accounts receivable for services provided to Southwest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Utility infrastructure services total assets increased significantly since December 31, 2020, primarily due to Centuri’s acquisition of Riggs Distler (see </w:t>
      </w:r>
      <w:r>
        <w:rPr>
          <w:rFonts w:ascii="Arial" w:cs="Arial" w:eastAsia="Arial" w:hAnsi="Arial"/>
          <w:sz w:val="18"/>
          <w:szCs w:val="18"/>
          <w:b w:val="1"/>
          <w:bCs w:val="1"/>
          <w:color w:val="auto"/>
        </w:rPr>
        <w:t>Note</w:t>
      </w:r>
      <w:r>
        <w:rPr>
          <w:rFonts w:ascii="Arial" w:cs="Arial" w:eastAsia="Arial" w:hAnsi="Arial"/>
          <w:sz w:val="18"/>
          <w:szCs w:val="18"/>
          <w:color w:val="auto"/>
        </w:rPr>
        <w:t xml:space="preserve"> </w:t>
      </w:r>
      <w:r>
        <w:rPr>
          <w:rFonts w:ascii="Arial" w:cs="Arial" w:eastAsia="Arial" w:hAnsi="Arial"/>
          <w:sz w:val="18"/>
          <w:szCs w:val="18"/>
          <w:b w:val="1"/>
          <w:bCs w:val="1"/>
          <w:color w:val="auto"/>
        </w:rPr>
        <w:t>8 - Business Acquisitions</w:t>
      </w:r>
      <w:r>
        <w:rPr>
          <w:rFonts w:ascii="Arial" w:cs="Arial" w:eastAsia="Arial" w:hAnsi="Arial"/>
          <w:sz w:val="18"/>
          <w:szCs w:val="18"/>
          <w:color w:val="auto"/>
        </w:rPr>
        <w:t>),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September 30,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segment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1,475,237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reconcile (below) to net income as disclosed in the Condensed Consolidated Statements of Income, an Other column is included associated with impacts of corporate and administrative activities related to Southwest Gas Holdings, Inc. The financial information pertaining to the natural gas operations and utility infrastructure services segments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vMerge w:val="restart"/>
          </w:tcPr>
          <w:p>
            <w:pPr>
              <w:jc w:val="center"/>
              <w:ind w:right="340"/>
              <w:spacing w:after="0"/>
              <w:rPr>
                <w:sz w:val="20"/>
                <w:szCs w:val="20"/>
                <w:color w:val="auto"/>
              </w:rPr>
            </w:pPr>
            <w:r>
              <w:rPr>
                <w:rFonts w:ascii="Arial" w:cs="Arial" w:eastAsia="Arial" w:hAnsi="Arial"/>
                <w:sz w:val="18"/>
                <w:szCs w:val="18"/>
                <w:color w:val="auto"/>
                <w:w w:val="89"/>
              </w:rPr>
              <w:t>Natural Gas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rPr>
              <w:t>Utility</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40" w:type="dxa"/>
            <w:vAlign w:val="bottom"/>
            <w:gridSpan w:val="2"/>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320"/>
              <w:spacing w:after="0" w:line="176" w:lineRule="exact"/>
              <w:rPr>
                <w:sz w:val="20"/>
                <w:szCs w:val="20"/>
                <w:color w:val="auto"/>
              </w:rPr>
            </w:pPr>
            <w:r>
              <w:rPr>
                <w:rFonts w:ascii="Arial" w:cs="Arial" w:eastAsia="Arial" w:hAnsi="Arial"/>
                <w:sz w:val="18"/>
                <w:szCs w:val="18"/>
                <w:color w:val="auto"/>
                <w:w w:val="92"/>
              </w:rPr>
              <w:t>Infrastructure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Services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2021</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255,848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606,006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861,854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632,848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210,834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548,300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759,134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vMerge w:val="restart"/>
          </w:tcPr>
          <w:p>
            <w:pPr>
              <w:jc w:val="center"/>
              <w:ind w:right="340"/>
              <w:spacing w:after="0"/>
              <w:rPr>
                <w:sz w:val="20"/>
                <w:szCs w:val="20"/>
                <w:color w:val="auto"/>
              </w:rPr>
            </w:pPr>
            <w:r>
              <w:rPr>
                <w:rFonts w:ascii="Arial" w:cs="Arial" w:eastAsia="Arial" w:hAnsi="Arial"/>
                <w:sz w:val="18"/>
                <w:szCs w:val="18"/>
                <w:color w:val="auto"/>
                <w:w w:val="89"/>
              </w:rPr>
              <w:t>Natural Gas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rPr>
              <w:t>Utility</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40" w:type="dxa"/>
            <w:vAlign w:val="bottom"/>
            <w:gridSpan w:val="2"/>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320"/>
              <w:spacing w:after="0" w:line="176" w:lineRule="exact"/>
              <w:rPr>
                <w:sz w:val="20"/>
                <w:szCs w:val="20"/>
                <w:color w:val="auto"/>
              </w:rPr>
            </w:pPr>
            <w:r>
              <w:rPr>
                <w:rFonts w:ascii="Arial" w:cs="Arial" w:eastAsia="Arial" w:hAnsi="Arial"/>
                <w:sz w:val="18"/>
                <w:szCs w:val="18"/>
                <w:color w:val="auto"/>
                <w:w w:val="92"/>
              </w:rPr>
              <w:t>Infrastructure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Services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2021</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1,070,576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1,450,719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2,521,295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1,070,576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1,525,448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976,095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1,306,481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2,282,576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976,095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1,408,698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3"/>
            <w:vMerge w:val="restart"/>
          </w:tcPr>
          <w:p>
            <w:pPr>
              <w:jc w:val="center"/>
              <w:ind w:right="260"/>
              <w:spacing w:after="0"/>
              <w:rPr>
                <w:sz w:val="20"/>
                <w:szCs w:val="20"/>
                <w:color w:val="auto"/>
              </w:rPr>
            </w:pPr>
            <w:r>
              <w:rPr>
                <w:rFonts w:ascii="Arial" w:cs="Arial" w:eastAsia="Arial" w:hAnsi="Arial"/>
                <w:sz w:val="18"/>
                <w:szCs w:val="18"/>
                <w:color w:val="auto"/>
                <w:w w:val="89"/>
              </w:rPr>
              <w:t>Natural Gas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color w:val="auto"/>
              </w:rPr>
              <w:t>Utility</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700" w:type="dxa"/>
            <w:vAlign w:val="bottom"/>
            <w:vMerge w:val="restart"/>
          </w:tcPr>
          <w:p>
            <w:pPr>
              <w:spacing w:after="0"/>
              <w:rPr>
                <w:sz w:val="20"/>
                <w:szCs w:val="20"/>
                <w:color w:val="auto"/>
              </w:rPr>
            </w:pPr>
            <w:r>
              <w:rPr>
                <w:rFonts w:ascii="Arial" w:cs="Arial" w:eastAsia="Arial" w:hAnsi="Arial"/>
                <w:sz w:val="18"/>
                <w:szCs w:val="18"/>
                <w:color w:val="auto"/>
              </w:rPr>
              <w:t>(Thousands of dollars)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200"/>
              <w:spacing w:after="0" w:line="176" w:lineRule="exact"/>
              <w:rPr>
                <w:sz w:val="20"/>
                <w:szCs w:val="20"/>
                <w:color w:val="auto"/>
              </w:rPr>
            </w:pPr>
            <w:r>
              <w:rPr>
                <w:rFonts w:ascii="Arial" w:cs="Arial" w:eastAsia="Arial" w:hAnsi="Arial"/>
                <w:sz w:val="18"/>
                <w:szCs w:val="18"/>
                <w:color w:val="auto"/>
                <w:w w:val="92"/>
              </w:rPr>
              <w:t>Infrastructure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vMerge w:val="restart"/>
          </w:tcPr>
          <w:p>
            <w:pPr>
              <w:ind w:left="24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Services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September 30, 2021</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1,445,066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1,957,667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3,402,733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1,445,066</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2,065,038</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ind w:left="9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3,510,104</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56,723</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September 30, 2020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1,355,666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1,738,430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3,094,096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1,355,666</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1,877,264</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ind w:left="9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3,232,930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155,993</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66,615</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Acquisitions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27, 2021, the Company, through its subsidiaries, led principally by Centuri, completed the acquisition of a privately held regional infrastructure services business, Drum Parent, Inc. (“Drum”), for $830.4 million in cash consideration, and also assumed a long-term financing lease obligation. Drum, and its primary subsidiary Riggs Distler &amp; Company, Inc. (“Riggs Distler”), are now wholly owned subsidiaries of the Company.</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acquisition extended the utility services operations in the northeastern region of the U.S. and provides additional opportunities for expansion of the amount of work Centuri performs for electric and gas utilities. Funding for the acquisition was provided by proceeds from Centuri’s new term loan facility, as described in </w:t>
      </w:r>
      <w:r>
        <w:rPr>
          <w:rFonts w:ascii="Arial" w:cs="Arial" w:eastAsia="Arial" w:hAnsi="Arial"/>
          <w:sz w:val="18"/>
          <w:szCs w:val="18"/>
          <w:b w:val="1"/>
          <w:bCs w:val="1"/>
          <w:color w:val="auto"/>
        </w:rPr>
        <w:t>Note 5 – Debt</w:t>
      </w:r>
      <w:r>
        <w:rPr>
          <w:rFonts w:ascii="Arial" w:cs="Arial" w:eastAsia="Arial" w:hAnsi="Arial"/>
          <w:sz w:val="18"/>
          <w:szCs w:val="18"/>
          <w:color w:val="auto"/>
        </w:rPr>
        <w: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performing a detailed valuation analysis of the assets and liabilities of the acquired company, which was substantially completed during the third quarter of 2021. Certain payments were estimated as of the acquisition date and will be adjusted when paid. The necessary analysis will consider acquired intangibles (including customer relationships, trademarks, and backlog). Based on preliminary results, a substantial portion of the purchase price will be allocated to goodwill and other finite-lived intangible assets.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acquired and liabilities assumed in the transaction were recorded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those indicated above. The gross contractual receivable is $81 million, exclusive of $12 million representing specific customer accounts that were deemed uncollectible. Of the $12 million, any amounts subsequently collected prior to December 31, 2021 would pass to the sellers. Due to the estimations made, the final purchase accounting has not yet been completed. Further refinement is expected to occur, including potential changes to income taxes, fixed assets, and intangibles.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estimated fair values of assets acquired and liabilities assumed as of August 27, 2021, are as follows (in millions of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Income taxes receivable, net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under operating leases</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335.0</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r>
      <w:tr>
        <w:trPr>
          <w:trHeight w:val="223"/>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w:t>
            </w:r>
          </w:p>
        </w:tc>
      </w:tr>
      <w:tr>
        <w:trPr>
          <w:trHeight w:val="237"/>
        </w:trPr>
        <w:tc>
          <w:tcPr>
            <w:tcW w:w="9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257" w:right="339" w:bottom="1440" w:gutter="0" w:footer="0" w:header="0"/>
        </w:sectPr>
      </w:pPr>
    </w:p>
    <w:p>
      <w:pPr>
        <w:ind w:left="20"/>
        <w:spacing w:after="0"/>
        <w:rPr>
          <w:sz w:val="20"/>
          <w:szCs w:val="20"/>
          <w:color w:val="auto"/>
        </w:rPr>
      </w:pPr>
      <w:r>
        <w:rPr>
          <w:rFonts w:ascii="Arial" w:cs="Arial" w:eastAsia="Arial" w:hAnsi="Arial"/>
          <w:sz w:val="17"/>
          <w:szCs w:val="17"/>
          <w:color w:val="auto"/>
        </w:rPr>
        <w:t>Trade and other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Finance lease obligations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obligations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46.2</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27.5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801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188.0</w:t>
      </w:r>
    </w:p>
    <w:p>
      <w:pPr>
        <w:spacing w:after="0" w:line="36" w:lineRule="exact"/>
        <w:rPr>
          <w:sz w:val="20"/>
          <w:szCs w:val="20"/>
          <w:color w:val="auto"/>
        </w:rPr>
      </w:pPr>
    </w:p>
    <w:p>
      <w:pPr>
        <w:ind w:left="1210" w:hanging="1210"/>
        <w:spacing w:after="0"/>
        <w:tabs>
          <w:tab w:leader="none" w:pos="1210" w:val="left"/>
        </w:tabs>
        <w:numPr>
          <w:ilvl w:val="0"/>
          <w:numId w:val="8"/>
        </w:numPr>
        <w:rPr>
          <w:rFonts w:ascii="Arial" w:cs="Arial" w:eastAsia="Arial" w:hAnsi="Arial"/>
          <w:sz w:val="15"/>
          <w:szCs w:val="15"/>
          <w:color w:val="auto"/>
        </w:rPr>
      </w:pPr>
      <w:r>
        <w:rPr>
          <w:rFonts w:ascii="Arial" w:cs="Arial" w:eastAsia="Arial" w:hAnsi="Arial"/>
          <w:sz w:val="15"/>
          <w:szCs w:val="15"/>
          <w:color w:val="auto"/>
        </w:rPr>
        <w:t>830.4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62230</wp:posOffset>
            </wp:positionV>
            <wp:extent cx="10801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810" w:space="720"/>
            <w:col w:w="1710"/>
          </w:cols>
          <w:pgMar w:left="320" w:top="257"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w w:val="95"/>
              </w:rPr>
              <w:t>September 30, 2021</w:t>
            </w:r>
          </w:p>
        </w:tc>
        <w:tc>
          <w:tcPr>
            <w:tcW w:w="0" w:type="dxa"/>
            <w:vAlign w:val="bottom"/>
          </w:tcPr>
          <w:p>
            <w:pPr>
              <w:spacing w:after="0"/>
              <w:rPr>
                <w:sz w:val="1"/>
                <w:szCs w:val="1"/>
                <w:color w:val="auto"/>
              </w:rPr>
            </w:pPr>
          </w:p>
        </w:tc>
      </w:tr>
      <w:tr>
        <w:trPr>
          <w:trHeight w:val="979"/>
        </w:trPr>
        <w:tc>
          <w:tcPr>
            <w:tcW w:w="7480" w:type="dxa"/>
            <w:vAlign w:val="bottom"/>
            <w:gridSpan w:val="4"/>
          </w:tcPr>
          <w:p>
            <w:pPr>
              <w:spacing w:after="0"/>
              <w:rPr>
                <w:sz w:val="20"/>
                <w:szCs w:val="20"/>
                <w:color w:val="auto"/>
              </w:rPr>
            </w:pPr>
            <w:r>
              <w:rPr>
                <w:rFonts w:ascii="Arial" w:cs="Arial" w:eastAsia="Arial" w:hAnsi="Arial"/>
                <w:sz w:val="18"/>
                <w:szCs w:val="18"/>
                <w:color w:val="auto"/>
              </w:rPr>
              <w:t>The amounts allocated to major classes of intangibles are as follows: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Estimated Weighted</w:t>
            </w:r>
          </w:p>
        </w:tc>
        <w:tc>
          <w:tcPr>
            <w:tcW w:w="0" w:type="dxa"/>
            <w:vAlign w:val="bottom"/>
          </w:tcPr>
          <w:p>
            <w:pPr>
              <w:spacing w:after="0"/>
              <w:rPr>
                <w:sz w:val="1"/>
                <w:szCs w:val="1"/>
                <w:color w:val="auto"/>
              </w:rPr>
            </w:pPr>
          </w:p>
        </w:tc>
      </w:tr>
      <w:tr>
        <w:trPr>
          <w:trHeight w:val="176"/>
        </w:trPr>
        <w:tc>
          <w:tcPr>
            <w:tcW w:w="7480" w:type="dxa"/>
            <w:vAlign w:val="bottom"/>
            <w:gridSpan w:val="4"/>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Estimated fair Value</w:t>
            </w:r>
          </w:p>
        </w:tc>
        <w:tc>
          <w:tcPr>
            <w:tcW w:w="1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2"/>
              </w:rPr>
              <w:t>Average Useful Life</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in Years</w:t>
            </w:r>
          </w:p>
        </w:tc>
        <w:tc>
          <w:tcPr>
            <w:tcW w:w="0" w:type="dxa"/>
            <w:vAlign w:val="bottom"/>
          </w:tcPr>
          <w:p>
            <w:pPr>
              <w:spacing w:after="0"/>
              <w:rPr>
                <w:sz w:val="1"/>
                <w:szCs w:val="1"/>
                <w:color w:val="auto"/>
              </w:rPr>
            </w:pPr>
          </w:p>
        </w:tc>
      </w:tr>
      <w:tr>
        <w:trPr>
          <w:trHeight w:val="223"/>
        </w:trPr>
        <w:tc>
          <w:tcPr>
            <w:tcW w:w="7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80" w:type="dxa"/>
            <w:vAlign w:val="bottom"/>
            <w:gridSpan w:val="4"/>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and expensed acquisition costs of $14 million which were included in Utility infrastructure services expenses on the Company’s Condensed Consolidated Statement of Income. Acquisition-related costs of $13.2 million and $14 million were incurred during the three and nine months ended September 30, 2021, respectively.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preliminary allocation of the purchase price of Drum was accounted for in accordance with applicable accounting guidance. Goodwill consists of the value associated with the assembled workforce, consolidation of operations, and the estimated economic value attributable to future opportunities related to the transaction. As the business of Drum was deemed a stock purchase for tax purposes, only pre-acquisition goodwill of $76 million that was historically tax-deductible by Riggs will continue to be deductible for tax purposes by the Company.</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unaudited pro forma financial information reflects the consolidated results of operations of the Company assuming the acquisition had taken place on January 1, 2020. The most significant pro forma adjustments relate to: (i) reflecting approximately $30 million in transaction costs (incurred by Centuri and Riggs Distler) in the nine months ended September 30, 2020, and excluding such costs from the three and nine month periods ended September 30, 2021, and (ii) reflecting incremental interest expense related to the new loan facility of $7 million and $27 million in the three and nine month periods, respectively, ended September 30, 2021, and approximately $9 million and $24.5 million in the comparable periods in 2020. This information is preliminary in nature and subject to change based upon final purchase price adjustments. Amounts are in thousands of dollars,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60" w:type="dxa"/>
            <w:vAlign w:val="bottom"/>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2340" w:type="dxa"/>
            <w:vAlign w:val="bottom"/>
            <w:gridSpan w:val="3"/>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30"/>
        </w:trPr>
        <w:tc>
          <w:tcPr>
            <w:tcW w:w="5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September 30,</w:t>
            </w:r>
          </w:p>
        </w:tc>
        <w:tc>
          <w:tcPr>
            <w:tcW w:w="3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September 30,</w:t>
            </w:r>
          </w:p>
        </w:tc>
      </w:tr>
      <w:tr>
        <w:trPr>
          <w:trHeight w:val="223"/>
        </w:trPr>
        <w:tc>
          <w:tcPr>
            <w:tcW w:w="5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956,120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907,512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2,903,658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2,702,062</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Southwest Gas Holdings, Inc.</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12,688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120,828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84,049</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Basic earnings (loss) per share</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(loss) per share</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results from operations for Riggs Distler, excluding transaction costs and interest expense on acquisition related debt incurred by Centuri, included in the Consolidated Statements of Income since the date of acquisition are as follows (in thousands of dollars):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color w:val="auto"/>
                <w:w w:val="98"/>
              </w:rPr>
              <w:t>Nine Months Ended</w:t>
            </w:r>
          </w:p>
        </w:tc>
      </w:tr>
      <w:tr>
        <w:trPr>
          <w:trHeight w:val="230"/>
        </w:trPr>
        <w:tc>
          <w:tcPr>
            <w:tcW w:w="65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September 30, 2021</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2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49,520</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Net income attributable to Southwest Gas Holdings, Inc.</w:t>
            </w:r>
          </w:p>
        </w:tc>
        <w:tc>
          <w:tcPr>
            <w:tcW w:w="2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October 2021, the Company entered into an agreement for the acquisition of Dominion Energy Questar Pipeline, LLC and related entities (“Questar Pipelines”), including an essential Rocky Mountain energy hub with 2,160-miles of highly contracted, FERC-regulated interstate natural gas pipelines providing transportation and underground storage services in Utah, Wyoming, and Colorado. The operations to be acquired would further diversify the Company’s business with an expansion of FERC-regulated interstate natural gas pipelines and underground storage services, thereby expanding transportation services into Utah, Wyoming, and Colorado. The Company plans to initially fund this acquisition with a new 364-day term loan, followed by permanent financing. The transaction is expected to be completed near year-end 2021. The acquisition remains subject to certain conditions and approvals, and we can provide no assurances that it will be completed within the anticipated timeline or at all. See </w:t>
      </w:r>
      <w:r>
        <w:rPr>
          <w:rFonts w:ascii="Arial" w:cs="Arial" w:eastAsia="Arial" w:hAnsi="Arial"/>
          <w:sz w:val="17"/>
          <w:szCs w:val="17"/>
          <w:b w:val="1"/>
          <w:bCs w:val="1"/>
          <w:color w:val="auto"/>
        </w:rPr>
        <w:t>Note 1 – Background, Organization,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color w:val="auto"/>
        </w:rPr>
        <w:t>for additional information.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October 10, 2021, our Board of Directors (the “Board”) authorized and declared a dividend of one preferred stock purchase right for each share of common stock outstanding to stockholders of record at the close of business on October 21, 2021. See </w:t>
      </w:r>
      <w:r>
        <w:rPr>
          <w:rFonts w:ascii="Arial" w:cs="Arial" w:eastAsia="Arial" w:hAnsi="Arial"/>
          <w:sz w:val="18"/>
          <w:szCs w:val="18"/>
          <w:b w:val="1"/>
          <w:bCs w:val="1"/>
          <w:color w:val="auto"/>
        </w:rPr>
        <w:t>Note 4 – Common Stock</w:t>
      </w:r>
      <w:r>
        <w:rPr>
          <w:rFonts w:ascii="Arial" w:cs="Arial" w:eastAsia="Arial" w:hAnsi="Arial"/>
          <w:sz w:val="18"/>
          <w:szCs w:val="18"/>
          <w:color w:val="auto"/>
        </w:rPr>
        <w:t>.</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 Through its subsidiaries, Southwest operates two federally regulated interstate pipelines serving portions of the foregoing northern territories of Nevada and California.</w:t>
      </w:r>
    </w:p>
    <w:p>
      <w:pPr>
        <w:spacing w:after="0" w:line="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of September 30, 2021, Southwest had 2,147,000 residential, commercial, industrial, and other natural gas customers, of which 1,146,000 customers were located in Arizona, 799,000 in Nevada, and 202,000 in California. </w:t>
      </w:r>
      <w:r>
        <w:rPr>
          <w:rFonts w:ascii="Arial" w:cs="Arial" w:eastAsia="Arial" w:hAnsi="Arial"/>
          <w:sz w:val="16"/>
          <w:szCs w:val="16"/>
          <w:color w:val="212529"/>
        </w:rPr>
        <w:t>Over the past twelve months, first-time meter sets were approximately 37,000, the</w:t>
      </w:r>
      <w:r>
        <w:rPr>
          <w:rFonts w:ascii="Arial" w:cs="Arial" w:eastAsia="Arial" w:hAnsi="Arial"/>
          <w:sz w:val="16"/>
          <w:szCs w:val="16"/>
          <w:color w:val="auto"/>
        </w:rPr>
        <w:t xml:space="preserve"> </w:t>
      </w:r>
      <w:r>
        <w:rPr>
          <w:rFonts w:ascii="Arial" w:cs="Arial" w:eastAsia="Arial" w:hAnsi="Arial"/>
          <w:sz w:val="16"/>
          <w:szCs w:val="16"/>
          <w:color w:val="212529"/>
        </w:rPr>
        <w:t xml:space="preserve">same as for the twelve months ended September 2020. In comparison to the September 30, 2020 total of 2,112,000 customers, there was an offsetting decrease related to management’s lifting its moratorium on disconnection of service for non-payment. Southwest implemented the moratorium in March 2020 and also ceased charging late fees due to the COVID-19 pandemic. Southwest recommenced assessing late fees in Nevada and Arizona in April 2021, and expects to recommence late fees in California in the fourth quarter of 2021. The moratorium on disconnections for non-payment was lifted in September 2021 for Arizona and Nevada. The moratorium continues to be in place for California, which is expected to be lifted in the fourth quarter 2021. </w:t>
      </w:r>
      <w:r>
        <w:rPr>
          <w:rFonts w:ascii="Arial" w:cs="Arial" w:eastAsia="Arial" w:hAnsi="Arial"/>
          <w:sz w:val="16"/>
          <w:szCs w:val="16"/>
          <w:color w:val="000000"/>
        </w:rPr>
        <w:t>Residential and small commercial customers represented over 99% of the total customer base. During the twelve months ended September 30, 2021, 53% of operating margin (gas operating revenues less the net cost of gas sold) was earned in Arizona, 35% in Nevada, and 12% in California. During this same period, Southwest earned 85% of its operating margin from residential and small commercial customers, 4% from other sales customers, and 11% from transportation customers. While these general patterns are expected to remain materially consistent for the foreseeable future, the continuing COVID-19 pandemic, as discussed further below, could impact these statistics and associated patterns in the short term.</w:t>
      </w:r>
    </w:p>
    <w:p>
      <w:pPr>
        <w:spacing w:after="0" w:line="6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Refer to the Summary Operating Results table below for a reconciliation of Gross margin to</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operating margin, and refer to </w:t>
      </w:r>
      <w:r>
        <w:rPr>
          <w:rFonts w:ascii="Arial" w:cs="Arial" w:eastAsia="Arial" w:hAnsi="Arial"/>
          <w:sz w:val="16"/>
          <w:szCs w:val="16"/>
          <w:i w:val="1"/>
          <w:iCs w:val="1"/>
          <w:color w:val="auto"/>
        </w:rPr>
        <w:t>Rates and Regulatory Proceedings</w:t>
      </w:r>
      <w:r>
        <w:rPr>
          <w:rFonts w:ascii="Arial" w:cs="Arial" w:eastAsia="Arial" w:hAnsi="Arial"/>
          <w:sz w:val="16"/>
          <w:szCs w:val="16"/>
          <w:color w:val="auto"/>
        </w:rPr>
        <w:t xml:space="preserve"> in this Management’s Discussion and Analysis, for details of various rate proceedings.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operates in 69 primary locations across 45 states and provinces in the United States (“U.S.”) and Canada. Centuri operates in the U.S., primarily as NPL, Neuco, Linetec, and Riggs Distler, Inc. (“Riggs Distler”), and in Canada, primarily as NPL Canada. In June 2021, Centuri entered into an agreement for the acquisition of Drum Parent, Inc. (“Drum”) and its U.S. operations, consisting principally of the utility infrastructure services operations of Drum’s primary subsidiary, Riggs Distler, serving utility customers in the Northeast and Mid-Atlantic regions. The transaction was completed in August 2021. Information surrounding this acquisition can be found in </w:t>
      </w:r>
      <w:r>
        <w:rPr>
          <w:rFonts w:ascii="Arial" w:cs="Arial" w:eastAsia="Arial" w:hAnsi="Arial"/>
          <w:sz w:val="17"/>
          <w:szCs w:val="17"/>
          <w:b w:val="1"/>
          <w:bCs w:val="1"/>
          <w:color w:val="auto"/>
        </w:rPr>
        <w:t>Note 8 - Business Acquisitions</w:t>
      </w:r>
      <w:r>
        <w:rPr>
          <w:rFonts w:ascii="Arial" w:cs="Arial" w:eastAsia="Arial" w:hAnsi="Arial"/>
          <w:sz w:val="17"/>
          <w:szCs w:val="17"/>
          <w:color w:val="auto"/>
        </w:rPr>
        <w:t>.</w:t>
      </w:r>
    </w:p>
    <w:p>
      <w:pPr>
        <w:spacing w:after="0" w:line="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While the novel coronavirus (“COVID-19”) pandemic has been ongoing since the first quarter of 2020, management has remained focused on the impacts to local and U.S. economies, including the breadth of vaccine deployment, the level of commerce/employment, as well as impacts from new virus variants on these economies. Our utility operations, as essential services, have been ongoing during this time and Southwest has continued to provide services to meet the demand of its customers. Consistent with federal and state guidelines and protocols, Southwest has continued to operate across its territories. Similarly, Centuri has continued nearly all operations from the outset of the pandemic in the U.S., and demand has not significantly diminished. For the duration of the pandemic, the ability to work may nonetheless be impacted by individuals contracting or being exposed to COVID-19, governmental requirements or restrictions in some of the Company’s jurisdictions, or by management imposed restrictions for safety precautions; to date, these factors have not had a significant impact on the Company’s ability to maintain operations. Employees at some offices (including corporate headquarters) continue to work from home on a temporary basis; Southwest has introduced plans for employees to begin returning to the office environment at the safest, most appropriate time, which is currently anticipated in the first quarter of 2022, while Centuri employees have resumed work in the office. At the same time, management is also focused on the need for adaptability in an environment of virus variants and governmental actions related thereto. Both segments continue to facilitate administration, communication, and all critical functions, supported by deployed technology whenever employees are working remotely. To date, there has not been a significant disruption in the Company’s supply chains, transportation network, or ability to serve customers.</w:t>
      </w:r>
    </w:p>
    <w:p>
      <w:pPr>
        <w:spacing w:after="0" w:line="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12529"/>
        </w:rPr>
        <w:t xml:space="preserve">As noted earlier, management had a moratorium on natural gas disconnections for non-payment that was lifted in our Nevada and Arizona jurisdictions in the third quarter of 2021, with the expectation to lift the moratorium in California in the fourth quarter of 2021. Southwest continues to work with customers experiencing financial hardship through flexible payment arrangements. Management also continues to coordinate with certain governmental and nonprofit entities for customer payment assistance. Management has increased the allowance for uncollectibles; however, neither this nor other measures associated with the moratorium have had a material impact on our financial position overall. See </w:t>
      </w:r>
      <w:r>
        <w:rPr>
          <w:rFonts w:ascii="Arial" w:cs="Arial" w:eastAsia="Arial" w:hAnsi="Arial"/>
          <w:sz w:val="16"/>
          <w:szCs w:val="16"/>
          <w:i w:val="1"/>
          <w:iCs w:val="1"/>
          <w:color w:val="212529"/>
        </w:rPr>
        <w:t>Accounts receivable, net of allowances</w:t>
      </w:r>
      <w:r>
        <w:rPr>
          <w:rFonts w:ascii="Arial" w:cs="Arial" w:eastAsia="Arial" w:hAnsi="Arial"/>
          <w:sz w:val="16"/>
          <w:szCs w:val="16"/>
          <w:color w:val="212529"/>
        </w:rPr>
        <w:t xml:space="preserve"> in </w:t>
      </w:r>
      <w:r>
        <w:rPr>
          <w:rFonts w:ascii="Arial" w:cs="Arial" w:eastAsia="Arial" w:hAnsi="Arial"/>
          <w:sz w:val="16"/>
          <w:szCs w:val="16"/>
          <w:b w:val="1"/>
          <w:bCs w:val="1"/>
          <w:color w:val="212529"/>
        </w:rPr>
        <w:t>Note 1</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212529"/>
        </w:rPr>
        <w:t>– Background, Organization, and Summary of Significant Accounting Policies</w:t>
      </w:r>
      <w:r>
        <w:rPr>
          <w:rFonts w:ascii="Arial" w:cs="Arial" w:eastAsia="Arial" w:hAnsi="Arial"/>
          <w:sz w:val="17"/>
          <w:szCs w:val="17"/>
          <w:color w:val="212529"/>
        </w:rPr>
        <w:t>. In the utility infrastructure services segment, a limited number of</w:t>
      </w:r>
      <w:r>
        <w:rPr>
          <w:rFonts w:ascii="Arial" w:cs="Arial" w:eastAsia="Arial" w:hAnsi="Arial"/>
          <w:sz w:val="17"/>
          <w:szCs w:val="17"/>
          <w:b w:val="1"/>
          <w:bCs w:val="1"/>
          <w:color w:val="212529"/>
        </w:rPr>
        <w:t xml:space="preserve"> </w:t>
      </w:r>
      <w:r>
        <w:rPr>
          <w:rFonts w:ascii="Arial" w:cs="Arial" w:eastAsia="Arial" w:hAnsi="Arial"/>
          <w:sz w:val="17"/>
          <w:szCs w:val="17"/>
          <w:color w:val="212529"/>
        </w:rPr>
        <w:t>Centuri customers at the outset of the pandemic delayed some projects, and crews were temporarily reduced; however, most work continued, while following appropriate government protocols. Some crew reductions are ongoing in specific areas; however, the associated revenue impacts have not been significant. Management continues to monitor these circumstances, the future impacts of which are not currently known, such as the impact from business curtailments, weak market conditions, or any restrictions that may limit the timing of fulfillment by Centuri of its contractual obligations.</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 xml:space="preserve">The extent to which COVID-19 may adversely impact the Company’s business depends on future developments, including the timing of full resumption of commerce across our service territories, the deployment of vaccines and population immunity, the state of local and North American economies, and impacts of these collective conditions on our customers, in addition to other unmitigated effects related to the virus and its variants. Management does not currently expect the impact of these conditions to be material to the Company’s liquidity or financial position overall; however, continued uncertainty of economic and operational impacts means management cannot predict whether the related financial impact in future periods will be different from impacts reflected for the three, </w:t>
      </w:r>
      <w:r>
        <w:rPr>
          <w:rFonts w:ascii="Arial" w:cs="Arial" w:eastAsia="Arial" w:hAnsi="Arial"/>
          <w:sz w:val="17"/>
          <w:szCs w:val="17"/>
          <w:color w:val="000000"/>
        </w:rPr>
        <w:t>nine,</w:t>
      </w:r>
      <w:r>
        <w:rPr>
          <w:rFonts w:ascii="Arial" w:cs="Arial" w:eastAsia="Arial" w:hAnsi="Arial"/>
          <w:sz w:val="17"/>
          <w:szCs w:val="17"/>
          <w:color w:val="212529"/>
        </w:rPr>
        <w:t xml:space="preserve"> and twelve months ended </w:t>
      </w:r>
      <w:r>
        <w:rPr>
          <w:rFonts w:ascii="Arial" w:cs="Arial" w:eastAsia="Arial" w:hAnsi="Arial"/>
          <w:sz w:val="17"/>
          <w:szCs w:val="17"/>
          <w:color w:val="000000"/>
        </w:rPr>
        <w:t>September 30, 2021</w:t>
      </w:r>
      <w:r>
        <w:rPr>
          <w:rFonts w:ascii="Arial" w:cs="Arial" w:eastAsia="Arial" w:hAnsi="Arial"/>
          <w:sz w:val="17"/>
          <w:szCs w:val="17"/>
          <w:color w:val="212529"/>
        </w:rPr>
        <w:t>. In anticipation of a redeployment of employees to their normal work locations, management created a multi-phase reintegration plan to safeguard the well-being of our teams. Management will continue to monitor developments by government officials, and those affecting employees, customers, and operations, and will take additional steps as necessary to address impacts from the pandemic. Events and circumstances arising after September 30, 2021, including those resulting from COVID-19, will be reflected in management’s estimates for future periods.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MD&amp;A, included in the 2020 Annual Report to Stockholders, which is incorporated by reference into the 2020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6"/>
          <w:szCs w:val="16"/>
          <w:color w:val="auto"/>
        </w:rPr>
        <w:t>As reflected in the table below, the natural gas operations segment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accounted for an average of 74% of twelve-month-to-date consolidated net income over the past two years. Natural gas sales are seasonal, peaking during the winter months; therefore, results of operations for interim periods are not necessarily indicative of results for a full year.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88"/>
              </w:rPr>
              <w:t>Period Ended September 30,</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color w:val="auto"/>
              </w:rPr>
              <w:t>Three Months</w:t>
            </w:r>
          </w:p>
        </w:tc>
        <w:tc>
          <w:tcPr>
            <w:tcW w:w="140" w:type="dxa"/>
            <w:vAlign w:val="bottom"/>
          </w:tcPr>
          <w:p>
            <w:pPr>
              <w:spacing w:after="0"/>
              <w:rPr>
                <w:sz w:val="19"/>
                <w:szCs w:val="19"/>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Nine Months</w:t>
            </w:r>
          </w:p>
        </w:tc>
        <w:tc>
          <w:tcPr>
            <w:tcW w:w="220" w:type="dxa"/>
            <w:vAlign w:val="bottom"/>
          </w:tcPr>
          <w:p>
            <w:pPr>
              <w:spacing w:after="0"/>
              <w:rPr>
                <w:sz w:val="19"/>
                <w:szCs w:val="19"/>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Contribution to net income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w w:val="94"/>
              </w:rPr>
              <w:t>Natural gas operations</w:t>
            </w:r>
          </w:p>
        </w:tc>
        <w:tc>
          <w:tcPr>
            <w:tcW w:w="1980" w:type="dxa"/>
            <w:vAlign w:val="bottom"/>
            <w:tcBorders>
              <w:top w:val="single" w:sz="8" w:color="CCEEFF"/>
            </w:tcBorders>
            <w:gridSpan w:val="2"/>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102,584</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79,568</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182,134</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155,993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Corporate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Basic earnings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2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Natural Gas Operations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gridSpan w:val="4"/>
          </w:tcPr>
          <w:p>
            <w:pPr>
              <w:spacing w:after="0" w:line="176" w:lineRule="exact"/>
              <w:rPr>
                <w:sz w:val="20"/>
                <w:szCs w:val="20"/>
                <w:color w:val="auto"/>
              </w:rPr>
            </w:pPr>
            <w:r>
              <w:rPr>
                <w:rFonts w:ascii="Arial" w:cs="Arial" w:eastAsia="Arial" w:hAnsi="Arial"/>
                <w:sz w:val="18"/>
                <w:szCs w:val="18"/>
                <w:color w:val="auto"/>
              </w:rPr>
              <w:t>Reconciliation of Gross Margin to Operating</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gridSpan w:val="4"/>
          </w:tcPr>
          <w:p>
            <w:pPr>
              <w:ind w:left="160"/>
              <w:spacing w:after="0"/>
              <w:rPr>
                <w:sz w:val="20"/>
                <w:szCs w:val="20"/>
                <w:color w:val="auto"/>
              </w:rPr>
            </w:pPr>
            <w:r>
              <w:rPr>
                <w:rFonts w:ascii="Arial" w:cs="Arial" w:eastAsia="Arial" w:hAnsi="Arial"/>
                <w:sz w:val="18"/>
                <w:szCs w:val="18"/>
                <w:color w:val="auto"/>
              </w:rPr>
              <w:t>Margin (Non-GAAP measure)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Utility Gross Margin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920" w:type="dxa"/>
            <w:vAlign w:val="bottom"/>
            <w:gridSpan w:val="4"/>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Operations and maintenance (excluding Admin.</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194,471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182,761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255,434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244,573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&amp; General) expense</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230,158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3rd Quarter 2021 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Natural gas operations highlights include the following:</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37,000 first-time meters sets occurred over the past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margin increased $18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Issued $300 million in 3.18% 30-year Notes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13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Utility infrastructure services revenues increased $52 million, or 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Completed the acquisition of Riggs Distler for $830 million in August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 million of acquisition costs incurred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Amended and restated credit agreement in connection with the Riggs Distler acquisition; $1.145 billion secured term loan facility and $400 million secured revolving credit facility</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Southwest Gas Holdings highlights include the following:</w:t>
      </w:r>
    </w:p>
    <w:p>
      <w:pPr>
        <w:spacing w:after="0" w:line="23" w:lineRule="exact"/>
        <w:rPr>
          <w:sz w:val="20"/>
          <w:szCs w:val="20"/>
          <w:color w:val="auto"/>
        </w:rPr>
      </w:pPr>
    </w:p>
    <w:p>
      <w:pPr>
        <w:ind w:left="660" w:right="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Announced planned acquisition of Questar Pipelines for $1.545 billion in cash (subject to certain adjustments) and assumption of approximately $430 million of existing long-term debt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Authorized a preferred stock purchase right for each outstanding common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29"/>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2020</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210,834</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36,321</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174,513</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119,708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101,159</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55,942</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26,103</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(38,247)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(22,727)</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(15,973)</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operations decreased $11.6 million between the third quarters of 2021 and 2020. The decline was primarily due to an increase in Operations and maintenance expense, higher Depreciation and amortization, and a decrease in Other income, offset by an increase in Operating margin.</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margin increased $18 million. Approximately $2 million of incremental margin was attributable to customer growth from 37,000 first-time meter sets during the last twelve months. Rate relief in Arizona, Nevada, and California added $13 million of margin. Also contributing to the increase were late fees that were $1.5 million greater in the current quarter due to lifting the moratorium on such fees in Arizona and Nevada that had been in place since March 2020. Amounts collected from and returned to customers associated with regulatory account balances, as well as differences in miscellaneous revenue and margin from customers outside the decoupling mechanisms, also impacted the variance between quarters.</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Operations and maintenance expense increased $18.5 million between quarters reflecting a $5 million legal reserve (as described in </w:t>
      </w:r>
      <w:r>
        <w:rPr>
          <w:rFonts w:ascii="Arial" w:cs="Arial" w:eastAsia="Arial" w:hAnsi="Arial"/>
          <w:sz w:val="17"/>
          <w:szCs w:val="17"/>
          <w:b w:val="1"/>
          <w:bCs w:val="1"/>
          <w:color w:val="auto"/>
        </w:rPr>
        <w:t>Note 1 – Background,</w:t>
      </w:r>
      <w:r>
        <w:rPr>
          <w:rFonts w:ascii="Arial" w:cs="Arial" w:eastAsia="Arial" w:hAnsi="Arial"/>
          <w:sz w:val="17"/>
          <w:szCs w:val="17"/>
          <w:color w:val="auto"/>
        </w:rPr>
        <w:t xml:space="preserve"> </w:t>
      </w:r>
      <w:r>
        <w:rPr>
          <w:rFonts w:ascii="Arial" w:cs="Arial" w:eastAsia="Arial" w:hAnsi="Arial"/>
          <w:sz w:val="17"/>
          <w:szCs w:val="17"/>
          <w:b w:val="1"/>
          <w:bCs w:val="1"/>
          <w:color w:val="auto"/>
        </w:rPr>
        <w:t>Organization, and Summary of Significant Accounting Policies)</w:t>
      </w:r>
      <w:r>
        <w:rPr>
          <w:rFonts w:ascii="Arial" w:cs="Arial" w:eastAsia="Arial" w:hAnsi="Arial"/>
          <w:sz w:val="17"/>
          <w:szCs w:val="17"/>
          <w:color w:val="auto"/>
        </w:rPr>
        <w:t>, a $1.7 million increase in the service-related component of employee pension costs,</w:t>
      </w:r>
      <w:r>
        <w:rPr>
          <w:rFonts w:ascii="Arial" w:cs="Arial" w:eastAsia="Arial" w:hAnsi="Arial"/>
          <w:sz w:val="17"/>
          <w:szCs w:val="17"/>
          <w:b w:val="1"/>
          <w:bCs w:val="1"/>
          <w:color w:val="auto"/>
        </w:rPr>
        <w:t xml:space="preserve"> </w:t>
      </w:r>
      <w:r>
        <w:rPr>
          <w:rFonts w:ascii="Arial" w:cs="Arial" w:eastAsia="Arial" w:hAnsi="Arial"/>
          <w:sz w:val="17"/>
          <w:szCs w:val="17"/>
          <w:color w:val="auto"/>
        </w:rPr>
        <w:t>and $2.2 million of incremental temporary staffing, training, and stabilization costs associated with a new customer information system implemented in May 2021. In addition, the timing of vacation, other time-off, and miscellaneous employee benefits resulted in an increase of $2.5 million when compared to the COVID-impacted third quarter of 2020. Increased expenditures for pipeline damage prevention programs, higher travel and training costs, and general cost increases were also recognized in the current quarter.</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Depreciation and amortization expense increased $5.4 million, or 10%, between quarters, primarily due to a $574 million, or 7%, increase in average gas plant in service compared to the corresponding quarter a year ago, including the replacement of the customer information system, which occurred in May 2021. Software/systems have shorter useful lives than pipeline assets. Amortization related to regulatory account recoveries increased approximately $1.5 million between quarters and is also reflected as an increase in Operating margin above. The increase in plant was attributable to pipeline capacity reinforcement work, franchise requirements, scheduled pipe replacement activities, and new infrastructure.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Taxes other than income taxes increased $4 million between quarters primarily due to an increase in Arizona property taxes.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income decreased $6 million, including a decline in income from COLI policies. The current quarter reflects no change in COLI policy cash surrender values, while the prior-year quarter reflected a $4.5 million increase. These fluctuations primarily result from changes in the portion of the cash surrender values that are associated with equity securities, and are directionally consistent with the broader securities markets. Amounts associated with the allowance for funds used during construction (“AFUDC”) decreased $1.2 million in the current quarter compared to the prior year quarter due to an update to the assumptions related to the impact short-term borrowings have on AFUDC. Partially offsetting these combined impacts is a decrease in the non-service-related components of employee pension and other postretirement benefit costs between quarters.</w:t>
      </w:r>
    </w:p>
    <w:p>
      <w:pPr>
        <w:spacing w:after="0" w:line="70" w:lineRule="exact"/>
        <w:rPr>
          <w:sz w:val="20"/>
          <w:szCs w:val="20"/>
          <w:color w:val="auto"/>
        </w:rPr>
      </w:pPr>
    </w:p>
    <w:p>
      <w:pPr>
        <w:ind w:right="2220"/>
        <w:spacing w:after="0" w:line="277" w:lineRule="auto"/>
        <w:rPr>
          <w:sz w:val="20"/>
          <w:szCs w:val="20"/>
          <w:color w:val="auto"/>
        </w:rPr>
      </w:pPr>
      <w:r>
        <w:rPr>
          <w:rFonts w:ascii="Arial" w:cs="Arial" w:eastAsia="Arial" w:hAnsi="Arial"/>
          <w:sz w:val="18"/>
          <w:szCs w:val="18"/>
          <w:color w:val="auto"/>
        </w:rPr>
        <w:t>Net interest deductions decreased $1 million in the third quarter of 2021, as compared to the prior-year quarter, primarily due to a decrease in the amortization of an interest-related regulatory balance in Arizona.</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Results of Natural Gas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Nine-Month Analysis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1120" w:type="dxa"/>
            <w:vAlign w:val="bottom"/>
          </w:tcPr>
          <w:p>
            <w:pPr>
              <w:spacing w:after="0"/>
              <w:rPr>
                <w:sz w:val="17"/>
                <w:szCs w:val="17"/>
                <w:color w:val="auto"/>
              </w:rPr>
            </w:pPr>
          </w:p>
        </w:tc>
      </w:tr>
      <w:tr>
        <w:trPr>
          <w:trHeight w:val="229"/>
        </w:trPr>
        <w:tc>
          <w:tcPr>
            <w:tcW w:w="7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2020</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1,070,576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976,095</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296,227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264,615</w:t>
            </w:r>
          </w:p>
        </w:tc>
      </w:tr>
      <w:tr>
        <w:trPr>
          <w:trHeight w:val="223"/>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774,349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711,480</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328,980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303,567</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187,688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173,865</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47,507</w:t>
            </w:r>
          </w:p>
        </w:tc>
      </w:tr>
      <w:tr>
        <w:trPr>
          <w:trHeight w:val="223"/>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197,547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186,541</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(10,947)</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75,152</w:t>
            </w:r>
          </w:p>
        </w:tc>
      </w:tr>
      <w:tr>
        <w:trPr>
          <w:trHeight w:val="223"/>
        </w:trPr>
        <w:tc>
          <w:tcPr>
            <w:tcW w:w="75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121,382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100,442</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20,874</w:t>
            </w:r>
          </w:p>
        </w:tc>
      </w:tr>
      <w:tr>
        <w:trPr>
          <w:trHeight w:val="223"/>
        </w:trPr>
        <w:tc>
          <w:tcPr>
            <w:tcW w:w="7500" w:type="dxa"/>
            <w:vAlign w:val="bottom"/>
          </w:tcPr>
          <w:p>
            <w:pPr>
              <w:ind w:left="24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79,568</w:t>
            </w:r>
          </w:p>
        </w:tc>
      </w:tr>
      <w:tr>
        <w:trPr>
          <w:trHeight w:val="21"/>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operations to consolidated net income increased $23 million between the first nine months of 2021 and 2020. The increase was primarily due to an improvement in Operating margin and Other income (deductions) and a decline in Net interest deductions, offset by increases in Depreciation and amortization, Operations and maintenance expense, and Taxes other than income taxes.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$62.9 million, including $10 million attributable to customer growth. Rate relief contributed an additional $46 million in operating margin. Late fees also increased (approximately $725,000), as the moratorium due to COVID was lifted and charges re-commenced, as described earlier. Residual impacts include those related to regulatory mechanisms, including recovery/return of regulatory program balances (primarily offset in amortization expense), in addition to margin from customers outside the decoupling mechanisms.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and maintenance expense increased $25.4 million, or 8%, between periods, including a $5 million legal reserve in the third quarter of 2021 and a $5 million increase in the service-related component of pension cost. Other increases include expenditures for pipeline integrity management and damage prevention programs associated with a growing infrastructure and customer base, and increases in customer service-related and information technology costs.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Depreciation and amortization expense increased $13.8 million, or 8%, between periods primarily due to a $557 million, or 7%, increase in average gas plant in service between periods. The increase in plant was attributable to pipeline capacity reinforcement work, franchise requirements, scheduled pipe replacement activities, and new infrastructure, as well as the implementation of the customer information system in May 2021. Recoveries associated with regulatory program balances, as noted above, resulted in a $3 million increase in amortization expense compared to the first nine months of 2020.</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$12.6 million between periods primarily due to an increase in property taxes in Arizona, and to a lesser extent, in the California and Nevada jurisdictions.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(deductions) improved $6 million overall between periods. The current period reflects $5.8 million in income from the combined effects of an increase in COLI policy cash surrender values and recognized death benefits, while the prior-year period reflected $1 million in COLI-related income. The non-service cost components of employee pension and other postretirement benefit costs were $4.5 million lower between periods. Lower equity AFUDC partially offset the improvements in the current period.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Net interest deductions decreased $3.9 million between periods primarily due to amortization of an interest-related regulatory balance in Arizona.</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income tax amount in both quarters includes the amortization of Excess Accumulated Deferred Income Tax (“EADIT”) balances and the impacts of COLI cash surrender value increases, which are recognized without tax consequences.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5"/>
              </w:rPr>
              <w:t>Twelve Months Ended September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1,355,666</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356,925</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1,070,617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998,741</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431,795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406,169</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230,158</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63,195</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299,219</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(7,615)</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100,115</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215,813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191,489</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35,496</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Contribution to consolidated 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182,134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155,993</w:t>
            </w:r>
          </w:p>
        </w:tc>
      </w:tr>
      <w:tr>
        <w:trPr>
          <w:trHeight w:val="21"/>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natural gas operations increased $26 million between the twelve-month periods ended September 2021 and 2020. The increase was due primarily to an increase in Operating margin and Other income, offset by increases in Operations and maintenance expense, Depreciation and amortization, and Taxes other than income taxes.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$72 million between periods. Customer growth provided $13 million, and combined rate relief provided $52 million of incremental operating margin. Offsetting these impacts was a reduction in late fees ($817,000) due to the pandemic-period moratorium on these fees from March 2020 through March 2021 (resuming in Arizona and Nevada in April 2021). Regulatory account balance return/recoveries impacted both periods, in addition to margin from customers outside the decoupling mechanisms.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and maintenance expense increased $26 million, or 6%, between periods primarily due to higher legal-claim related costs as noted earlier, higher levels of service-related pension costs ($7.3 million), expenditures for pipeline damage prevention programs associated with a growing infrastructure and customer base, increased customer-related and information technology costs, and higher reserves for customer accounts deemed uncollectible.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expense increased $19 million, or 8%, between periods primarily due to a $579 million, or 7%, increase in average gas plant in service since the corresponding period in the prior year and due to a $3.8 million increase in regulatory account amortization.</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$12.9 million between periods primarily due to an increase in property taxes in Arizona, and to a lesser extent, in Southwest’s California and Nevada jurisdictions.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increased $7.1 million between the twelve-month periods of 2021 and 2020, primarily due to a current-period $14 million increase in COLI policy cash surrender values and recognized death benefits, compared to the twelve months ended September 30, 2020, which reflected a $7.2 million increase. The non-service cost components of employee pension and other postretirement benefit costs were $3.3 million lower between periods, which was offset by lower equity AFUDC.</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decreased $2.9 million between periods primarily due to decreases in the amortization of an interest-related regulatory balance in Arizona.</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in both periods reflects that COLI results are recognized without tax consequences, and also reflects the amortization of EADIT balances.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7"/>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0"/>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2020</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580,392</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502,951</w:t>
            </w:r>
          </w:p>
        </w:tc>
      </w:tr>
      <w:tr>
        <w:trPr>
          <w:trHeight w:val="229"/>
        </w:trPr>
        <w:tc>
          <w:tcPr>
            <w:tcW w:w="7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w:t>
            </w:r>
          </w:p>
        </w:tc>
      </w:tr>
      <w:tr>
        <w:trPr>
          <w:trHeight w:val="223"/>
        </w:trPr>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53,244</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30,475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51,292</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13,629</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20,822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37,663</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results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34,873</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Utility infrastructure services revenues increased $52.5 million in the third quarter of 2021 when compared to the prior-year quarter, including $49.5 million from Riggs Distler subsequent to the August 27, 2021 acquisition date. Revenues specific to electric infrastructure services work increased $40.1 million in the third quarter of 2021 when compared to the prior-year quarter, of which $34.1 million related to Riggs Distler. Included in electric services revenues overall was $45.7 million from emergency restoration services performed by Linetec and Riggs Distler following hurricane, tornado, and other storm damage to customers’ above-ground utility infrastructure in and around the Gulf Coast and eastern regions of the U.S., compared to $48.7 million in the third quarter of the prior year in regard to Linetec. Storm restoration work typically generates a higher profit margin than core infrastructure services, due to improved operating efficiencies related to equipment utilization and absorption of fixed costs. Partially offsetting the improved revenues overall was reduced work with two significant gas infrastructure services customers during the third quarter of 2021 (totaling $17.1 million), due to timing and mix of projects under each customer’s multi-year capital spending programs.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Utility infrastructure services expenses increased $64.3 million (including $13 million of professional fees related to the acquisition of Riggs Distler) in the third quarter of 2021, compared to the prior-year quarter, and also included $42.4 million in expenses (including storm-related) recorded by Riggs Distler subsequent to the acquisition, as well as other incremental costs related to electric infrastructure services (inclusive of storm-related work) and costs necessary for the completion of additional gas infrastructure work. Higher fuel costs and equipment rental expense were also incurred due to the mix of work and in support of growth in our electric infrastructure business. Included in total Utility infrastructure services expenses were general and administrative costs, which increased approximately $18 million between comparative periods, including $13 million of professional fees previously noted, $3 million of other administrative costs incurred by Riggs Distler subsequent to the acquisition, and other costs resulting from general growth in the business. The reduction in revenues with two large customers, as noted earlier, resulted in an unfavorable impact on profit margins during the third quarter of 2021, due to reduced operating efficiencies from equipment and facility utilization and under-absorption of other fixed costs.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increased $1.1 million between quarters attributable to proceeds from life insurance policies of $1.7 million, partially offset by $700,000 of unamortized loan fees that were expensed in connection with Centuri’s debt refinancing.</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Depreciation and amortization expense increased $5.8 million between quarters, of which $4.7 million was recorded by Riggs Distler subsequent to the acquisition. The remaining increase was attributable to equipment and computer systems purchased to support the growing volume of infrastructure work.</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Net interest deductions of $4.3 million was primarily due to incremental interest related to outstanding borrowings under Centuri’s $1.545 billion amended and restated secured revolving credit and term loan facility in conjunction with the acquisition of Riggs Distler.</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decreased $4 million between quarters, primarily due to reduced profitability in 2021. Certain costs related to the Riggs Distler acquisition were non-deductible for U.S. federal income tax purposes, impacting the recorded Income tax expense during the third quarter of 2021.</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Arial" w:cs="Arial" w:eastAsia="Arial" w:hAnsi="Arial"/>
                <w:sz w:val="18"/>
                <w:szCs w:val="18"/>
                <w:color w:val="auto"/>
              </w:rPr>
              <w:t>Nine-Month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1580" w:type="dxa"/>
            <w:vAlign w:val="bottom"/>
            <w:tcBorders>
              <w:top w:val="single" w:sz="8" w:color="auto"/>
            </w:tcBorders>
          </w:tcPr>
          <w:p>
            <w:pPr>
              <w:spacing w:after="0"/>
              <w:rPr>
                <w:sz w:val="24"/>
                <w:szCs w:val="24"/>
                <w:color w:val="auto"/>
              </w:rPr>
            </w:pPr>
          </w:p>
        </w:tc>
        <w:tc>
          <w:tcPr>
            <w:tcW w:w="5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1120" w:type="dxa"/>
            <w:vAlign w:val="bottom"/>
          </w:tcPr>
          <w:p>
            <w:pPr>
              <w:spacing w:after="0"/>
              <w:rPr>
                <w:sz w:val="24"/>
                <w:szCs w:val="24"/>
                <w:color w:val="auto"/>
              </w:rPr>
            </w:pPr>
          </w:p>
        </w:tc>
      </w:tr>
      <w:tr>
        <w:trPr>
          <w:trHeight w:val="230"/>
        </w:trPr>
        <w:tc>
          <w:tcPr>
            <w:tcW w:w="158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19"/>
                <w:szCs w:val="19"/>
                <w:color w:val="auto"/>
              </w:rPr>
            </w:pP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2020</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1,525,448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1,408,698</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1,381,524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1,252,489</w:t>
            </w:r>
          </w:p>
        </w:tc>
      </w:tr>
      <w:tr>
        <w:trPr>
          <w:trHeight w:val="229"/>
        </w:trPr>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71,144</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85,065</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55,358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77,820</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21,715</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37,986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56,105</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r>
      <w:tr>
        <w:trPr>
          <w:trHeight w:val="22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50,936</w:t>
            </w:r>
          </w:p>
        </w:tc>
      </w:tr>
      <w:tr>
        <w:trPr>
          <w:trHeight w:val="20"/>
        </w:trPr>
        <w:tc>
          <w:tcPr>
            <w:tcW w:w="15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revenues increased $116.8 million in the first nine months of 2021 when compared to the same period in the prior year primarily due to incremental electric infrastructure revenues of $64.1 million. Included in the incremental electric infrastructure revenues during the first nine months of 2021 was $57.9 million from emergency restoration services performed by Linetec and Riggs Distler following hurricane, tornado, and other storm damage to customers’ above-ground utility infrastructure in and around the Gulf Coast and eastern regions of the U.S., compared to $55.9 million in the first nine months of the prior year in regard to Linetec. The remaining increase in revenues was attributable to increased work under existing master service agreements and bid projects for gas infrastructure services in the central and eastern U.S. regions and Canada, partially offset by reduced work with two significant customers ($61.1 million) during the first nine months of 2021, due to the timing and mix of projects under each customer’s multi-year capital spending programs.</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Utility infrastructure services expenses increased $129 million (including $14 million of acquisition costs) in the first nine months of 2021 as compared to the same period in 2020, primarily due to costs to complete additional electric and gas infrastructure work. Operating efficiencies during the first nine months of 2021 from favorable weather conditions were offset by higher fuel, equipment rental, payroll, and subcontractor costs caused by changes in the mix of work and continued growth in our electric infrastructure business. The significant reduction in revenues with two large customers noted above, resulted in an unfavorable impact on profit margins during the first nine months of 2021, due to reduced operating efficiencies from equipment and facility utilization and under-absorption of other fixed costs. Centuri recognized $2.5 million in wage and rent subsidies from the Canadian government amidst the COVID-19 environment during 2021, compared to $4.1 million in the prior nine-month period, in each case, recorded as a reduction in Utility infrastructure services expense. Included in total Utility infrastructure services expenses were general and administrative costs, which increased $21.9 million in 2021 compared to 2020, associated with growth of the business (including $14 million of professional fees related to the acquisition of Riggs Distler and $3 million of administrative costs incurred by Riggs Distler subsequent to the acquisition). Gains on sale of equipment (reflected as an offset to Utility infrastructure services expenses) were approximately $5.4 million and $600,000 in the nine-month periods in 2021 and 2020, respectively.</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approximately $8.8 million between periods, of which $4.7 million was recorded by Riggs Distler subsequent to the acquisition. The remaining increase was attributable to equipment and computer systems purchased to support the growing volume of infrastructure work.</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Net interest deductions of $2.4 million was due to incremental interest from outstanding borrowings under Centuri’s $1.545 billion amended and restated secured revolving credit and term loan facility discussed earlier, partially offset by lower interest from lower borrowings in 2021 compared to 2020 on Centuri’s facility prior to the 2021 refinancing.</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in 2021 was impacted by the combined effects of reduced profitability and certain non-deductible costs related to the Riggs Distler acquisition in 2021.</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83"/>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5"/>
              </w:rPr>
              <w:t>Twelve Months Ended September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1,877,264</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1,858,464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1,671,478</w:t>
            </w:r>
          </w:p>
        </w:tc>
      </w:tr>
      <w:tr>
        <w:trPr>
          <w:trHeight w:val="230"/>
        </w:trPr>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94,837</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110,949</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90,189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100,029</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28,057</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71,972</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r>
      <w:tr>
        <w:trPr>
          <w:trHeight w:val="22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66,615</w:t>
            </w:r>
          </w:p>
        </w:tc>
      </w:tr>
      <w:tr>
        <w:trPr>
          <w:trHeight w:val="20"/>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revenues increased $187.8 million, or 10%, in the current twelve-month period compared to the corresponding period of 2020, primarily due to incremental electric infrastructure revenues of $129.5 million from expansion of work with existing customers and securing work with new customers. Included in the incremental electric infrastructure revenues during the twelve-month period of 2021 was $83.5 million from emergency restoration services performed by Linetec and Riggs Distler following hurricane, tornado, and other storm damage to customers’ above-ground utility infrastructure in and around the Gulf Coast and eastern regions of the U.S., compared to $55.9 million in the twelve-month period of the prior year. Centuri’s revenues derived from storm-related services vary from period to period due to the unpredictable nature of weather-related events. The remaining increase in revenue was attributable to continued growth with existing gas infrastructure customers under master service and bid agreements.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expenses increased $187 million (including $14 million of acquisition costs) between periods, largely due to incremental costs related to electric infrastructure work, including costs associated with storm restoration work overall and other costs incurred by Riggs Distler following its acquisition in August 2021, as well as costs necessary for the completion of additional gas infrastructure work. Storm restoration work typically generates a higher profit margin than core infrastructure services, due to improved operating efficiencies related to equipment utilization and absorption of fixed costs. Also included in Utility infrastructure services expenses were general and administrative costs, which increased $30.5 million during the twelve-month period in 2021 when compared to 2020, due to $14 million in professional fees incurred related to Centuri’s acquisition of Riggs Distler, $3 million of costs incurred by Riggs Distler subsequent to the acquisition, higher payroll and operating costs associated with continued growth of the business, and higher profit-based incentive compensation. Offsetting these increases were lower insurance costs from favorable claims experience under Centuri’s self-insurance programs. Gains on sale of equipment (reflected as an offset to Utility infrastructure services expenses) were approximately $6.6 million and $2.9 million for the twelve-month periods in 2021 and 2020, respectively.</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$10.7 million between the current and prior-year twelve-month periods. The increase was primarily attributable to incremental costs related to electric infrastructure depreciation of $6.3 million, including $4.7 million from Riggs Distler. The remaining increase is attributable to equipment and computer systems implemented to support the growing volume of work being performed.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interest deductions of $932,000 was primarily due to incremental interest related to outstanding borrowings under Centuri’s $1.545 billion amended and restated secured revolving credit and term loan facility that was entered into during August 2021 in conjunction with the acquisition of Riggs Distler. This increase was partially offset by lower interest associated with reduced borrowings in 2021, compared to the same period of 2020, under Centuri’s credit facility existing prior to the 2021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changes (including the cost of natural gas purchased),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operations are disclosed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In May 2019, Southwest filed a general rate case application requesting to increase revenue by approximately $57 million to</w:t>
      </w:r>
      <w:r>
        <w:rPr>
          <w:rFonts w:ascii="Arial" w:cs="Arial" w:eastAsia="Arial" w:hAnsi="Arial"/>
          <w:sz w:val="16"/>
          <w:szCs w:val="16"/>
          <w:i w:val="1"/>
          <w:iCs w:val="1"/>
          <w:color w:val="auto"/>
        </w:rPr>
        <w:t xml:space="preserve"> </w:t>
      </w:r>
      <w:r>
        <w:rPr>
          <w:rFonts w:ascii="Arial" w:cs="Arial" w:eastAsia="Arial" w:hAnsi="Arial"/>
          <w:sz w:val="16"/>
          <w:szCs w:val="16"/>
          <w:color w:val="auto"/>
        </w:rPr>
        <w:t>update the cost of service to reflect recent U.S. tax reform changes, incorporating the return of excess deferred income taxes to customers, and to reflect capital investments, including certain post-test year additions and the southern Arizona liquefied natural gas (“LNG”) facility. The application included a proposed 10.3% return on equity (“ROE”) relative to a capital structure of 51.1% equity. Southwest later updated its request multiple times, in order to reflect the actual amortization of EADIT resulting from U.S. tax reform and to include additional post-test year plant associated with its Customer-owned Yard Line (“COYL”) and Vintage Steel Pipe (“VSP”) programs, and to reflect certain other aspects of cost of service, including a revised proposed ROE of 10.15%. The request and amendments included the retention of a fully decoupled rate design, other previously approved regulatory mechanisms, and a new infrastructure tracking mechanism for specific plastic pipe, in addition to a proposal for a renewable natural gas (“RNG”) program as part of its PGA mechanism. Southwest entered into a stipulation for certain aspects of the case, including continuing the COYL program; establishing a Tax Expense Adjustor Mechanism to track annual changes in the amortization of EADIT, as well as any future changes in the federal tax rate; including a 10-year amortization of EADIT associated with deemed “unprotected” plant; addressing other aspects regarding EADIT; incorporating various tariff proposals; and incorporating other ratemaking adjustments. EADIT associated with “protected” plant relates to timing differences from using accelerated depreciation for tax purposes and another method for book purposes, and unprotected amounts relate to all other timing differences. Following the hearing and the legal briefing process, the updated proposal reflected a request to increase rates by $80.7 million.</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final decision was issued in December 2020, with new rates becoming effective in January 2021, resulting in an overall annual revenue increase of $36.8 million, and the continuation of both full revenue decoupling and the COYL program. The overall increase reflects the inclusion of six months (as compared to eleven months previously contemplated) of post-test year plant additions. An ROE of 9.1% was approved with a capital structure comprised of 48.9% long-term debt and 51.1% common equity. See additional discussion related to the LNG facility, in addition to the COYL and VSP programs below. The continuation of the property tax tracker was supported in the final decision, as was the Tax Expense Adjustor Mechanism (noted above). While the RNG proposal was not approved as part of the decision, the ACC conducted a workshop in May 2021 to further explore the role of RNG in Arizona.</w:t>
      </w: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Delivery Charge Adjustment. </w:t>
      </w:r>
      <w:r>
        <w:rPr>
          <w:rFonts w:ascii="Arial" w:cs="Arial" w:eastAsia="Arial" w:hAnsi="Arial"/>
          <w:sz w:val="17"/>
          <w:szCs w:val="17"/>
          <w:color w:val="auto"/>
        </w:rPr>
        <w:t>The Delivery Charge Adjustment (“DCA”) is filed each April, which along with other reporting requirements, contemplates a</w:t>
      </w:r>
      <w:r>
        <w:rPr>
          <w:rFonts w:ascii="Arial" w:cs="Arial" w:eastAsia="Arial" w:hAnsi="Arial"/>
          <w:sz w:val="17"/>
          <w:szCs w:val="17"/>
          <w:i w:val="1"/>
          <w:iCs w:val="1"/>
          <w:color w:val="auto"/>
        </w:rPr>
        <w:t xml:space="preserve"> </w:t>
      </w:r>
      <w:r>
        <w:rPr>
          <w:rFonts w:ascii="Arial" w:cs="Arial" w:eastAsia="Arial" w:hAnsi="Arial"/>
          <w:sz w:val="17"/>
          <w:szCs w:val="17"/>
          <w:color w:val="auto"/>
        </w:rPr>
        <w:t>rate to recover the over- or under-collected margin tracker (decoupling mechanism) amounts based on the balance at the end of the preceding calendar year. In April 2020, Southwest filed to adjust the existing rate to consider, instead, the modest balance existing at the end of February 2020. Ultimately, the ACC elected to set the rate to zero in an effort to provide some measure of customer relief in light of the COVID-19 pandemic, and at the time of both the April filing and the ACC decision, the balance was a liability (in an over-recovered status). For 2021, once again, the balance at the end of the preceding calendar year was a modest positive balance, but in an over-collected status by the time rates would be requested to be re-set. Therefore, the zero rate will be maintained until the next annual filing date.</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LNG Facility</w:t>
      </w:r>
      <w:r>
        <w:rPr>
          <w:rFonts w:ascii="Arial" w:cs="Arial" w:eastAsia="Arial" w:hAnsi="Arial"/>
          <w:sz w:val="18"/>
          <w:szCs w:val="18"/>
          <w:color w:val="auto"/>
        </w:rPr>
        <w:t>. In 2014, Southwest sought ACC preapproval to construct, operate, and maintain a 233,000 dekatherm LNG facility in southern Arizona. This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intended to enhance service reliability and flexibility related to natural gas deliveries in the southern Arizona area by providing a local storage option, and to be connected directly to Southwest’s distribution system. Southwest was ultimately granted approval for construction and deferral of costs. The facility was placed in service in December 2019. The capital costs and the operating expenses associated with plant operation were considered and</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approved as part of Southwest’s recently approved general rate case. Approximately $12 million in costs, incurred following the in-service date of the facility and after the period considered as part of the recently concluded general rate case, were deferred in the previously authorized regulatory asset and will be included for consideration in the next Arizona general rate case application.</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originally received approval, in connection with its 2010 Arizona general rate case, to implement a program to conduct leak</w:t>
      </w:r>
      <w:r>
        <w:rPr>
          <w:rFonts w:ascii="Arial" w:cs="Arial" w:eastAsia="Arial" w:hAnsi="Arial"/>
          <w:sz w:val="17"/>
          <w:szCs w:val="17"/>
          <w:i w:val="1"/>
          <w:iCs w:val="1"/>
          <w:color w:val="auto"/>
        </w:rPr>
        <w:t xml:space="preserve"> </w:t>
      </w:r>
      <w:r>
        <w:rPr>
          <w:rFonts w:ascii="Arial" w:cs="Arial" w:eastAsia="Arial" w:hAnsi="Arial"/>
          <w:sz w:val="17"/>
          <w:szCs w:val="17"/>
          <w:color w:val="auto"/>
        </w:rPr>
        <w:t>surveys, and if leaks were present, to replace and relocate service lines and meters for Arizona customers whose meters were set off from the customer’s home, representing a non-traditional configuration. In 2014, the ACC approved “Phase II” of the COYL program, which included the replacement of non-leaking COYLs. Annual surcharges are designed to collect the revenue requirement associated with the program. In a February 2019 filing, Southwest requested to increase its surcharge to recover a revenue requirement of $6.7 million (an increase of $3.2 million) associated with $26.6 million in capital projects completed in 2018. The ACC ultimately issued an Order in October 2019 authorizing Southwest to retain the existing annual surcharge in place, while it reviewed the program as part of the general rate case. As indicated earlier, parties to the rate case stipulated to continue the COYL program and recommended recovery of certain plant as part of a post-test year plant adjustment, with inclusion of related amounts in base rates. The ACC final rate case decision limited post-test year plant to six months (inclusive of COYL plant), and limited future COYL activity to the replacement of leaking COYLs, or in cases when other replacement activity is taking place in the vicinity. A filing in May 2021 proposed the recovery of the remaining 2019 and 2020 revenue requirement associated with prior COYL program activity. The filing proposed the associated revenue requirement (approximately $13.7 million) be recovered over one year. In November 2021, the ACC approved full recovery over the proposed one-year timeline, with the associated rate expected to be implemented during that same month.</w:t>
      </w:r>
    </w:p>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VSP Program. </w:t>
      </w:r>
      <w:r>
        <w:rPr>
          <w:rFonts w:ascii="Arial" w:cs="Arial" w:eastAsia="Arial" w:hAnsi="Arial"/>
          <w:sz w:val="16"/>
          <w:szCs w:val="16"/>
          <w:color w:val="auto"/>
        </w:rPr>
        <w:t>As part of a settlement agreement from its 2016 Arizona general rate case, Southwest received approval to implement a VSP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As part of the program, Southwest proposed to begin replacing the pipe on an accelerated basis and recover the costs through an annual surcharge filing. Once implemented, surcharges to collect the annual revenue requirement associated with the capital expenditures were designed to be revised annually under the program. In February 2019, Southwest requested to increase its surcharge revenue by $9.5 million (to $11.9 million) associated with the replacement of approximately $100 million in 2018 VSP capital projects. The ACC’s October 2019 Order authorizing Southwest to retain the existing annual surcharge indicated the program would be subject to review as part of the general rate case. As noted above, the decision in the most recent general rate case provided for a post-test year plant adjustment period of six months (including for VSP). However, the ACC ultimately decided to discontinue the accelerated VSP program at this time. A filing in May 2021 proposed the recovery of the otherwise unrecovered revenue requirement (associated with years 2019 through 2022), related to VSP plant investment during 2019 and 2020, which was not included as part of the recently concluded rate case. The filing proposed the associated revenue requirement (approximately $60 million) be recovered over a three-year period. In November 2021, the ACC approved full recovery over the proposed three-year timeline, electing to permit the recovery rate to be implemented in March 2022.</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Southwest embarked on an initiative to replace its customer information system and gas transaction systems, each</w:t>
      </w:r>
      <w:r>
        <w:rPr>
          <w:rFonts w:ascii="Arial" w:cs="Arial" w:eastAsia="Arial" w:hAnsi="Arial"/>
          <w:sz w:val="17"/>
          <w:szCs w:val="17"/>
          <w:i w:val="1"/>
          <w:iCs w:val="1"/>
          <w:color w:val="auto"/>
        </w:rPr>
        <w:t xml:space="preserve"> </w:t>
      </w:r>
      <w:r>
        <w:rPr>
          <w:rFonts w:ascii="Arial" w:cs="Arial" w:eastAsia="Arial" w:hAnsi="Arial"/>
          <w:sz w:val="17"/>
          <w:szCs w:val="17"/>
          <w:color w:val="auto"/>
        </w:rPr>
        <w:t>to be utilized to support all Southwest service territories. Combined, these undertakings were referred to as the Customer Data Modernization Initiative (the “CDMI”). In March 2019, Southwest filed an application with the ACC seeking an accounting order to track and defer all costs associated with the CDMI to mitigate adverse financial implications associated with this multi-year initiative. The ACC issued a decision in this matter in early April 2021 denying Southwest’s request for a regulatory asset, indicating that the requested recovery mechanism was not warranted, and that Southwest could, instead, seek to recover the costs as part of a future rate case. The total CDMI costs were estimated at approximately $174 million, of which $96 million would be allocable to the Arizona rate jurisdiction. The customer information system was placed in service in May 2021.</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Graham County Utilities. </w:t>
      </w:r>
      <w:r>
        <w:rPr>
          <w:rFonts w:ascii="Arial" w:cs="Arial" w:eastAsia="Arial" w:hAnsi="Arial"/>
          <w:sz w:val="18"/>
          <w:szCs w:val="18"/>
          <w:color w:val="auto"/>
        </w:rPr>
        <w:t>In April 2021, Southwest and Graham County Utilities, Inc. (“GCU”) filed a joint application with the ACC for approval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assets of GCU to Southwest and extend Southwest’s Certificate of Public Convenience and Necessity to serve the associated customers. Approval of the application would provide for transfer of the natural gas system of GCU to Southwest for the purchase price of $3.5 million and the addition of more than 5,000 customers. A decision is expected in the fourth quarter of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California General Rate Case. </w:t>
      </w:r>
      <w:r>
        <w:rPr>
          <w:rFonts w:ascii="Arial" w:cs="Arial" w:eastAsia="Arial" w:hAnsi="Arial"/>
          <w:sz w:val="18"/>
          <w:szCs w:val="18"/>
          <w:color w:val="auto"/>
        </w:rPr>
        <w:t>In August 2019, Southwest filed a general rate case based on a 2021 test year, seeking authority to increase rates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rate jurisdictions, after being granted earlier permission to extend the rate case cycle by two years and continue its 2.75% previously approved Post-Test Year (“PTY”) attrition adjustments for 2019 and 2020. The proposed combined revenue increase of $12.8 million was net of a $10.9 million revenue reduction associated with changes from U.S. tax reform. The overall revenue request also included $1.6 million of EADIT proposed to be returned to customers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year until the amount is reset again later as part of a future rate case. Southwest’s proposal included an ROE of 10.5% relative to a 53% equity ratio; continuation of annual post-test year margin adjustments of 2.75%; implementation of various safety-related programs, including a targeted pipe replacement program and a meter protection program (with a combination of measures, such as snow sheds, excess flow valves, upgraded meter set piping and upgraded Encoder Receiver Transmitter protocol); as well as an expansion of the school COYL replacement program.</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 reached an agreement in principle with the Public Advocate’s Office, which was unanimously approved by the CPUC on March 25, 2021, including a $6.4 million total combined revenue increase with a 10% ROE, relative to a 52% equity ratio. Approximately $4 million of the original proposed increase was associated with a North Lake Tahoe project that would not ultimately be completed by the beginning of 2021; consequently, the parties agreed to provide for recovery of the cost of service impacts of the project through a future surcharge. The rate case decision maintains Southwest’s existing 2.75% annual attrition adjustments, the continuation of the pension balancing account, and a proposed increase in the residential basic service charge from $5.00 to $5.75 per month. It also includes cumulative expenditures totaling $119 million over the five-year rate cycle to implement risk-informed proposals, consisting of the school COYL replacement, meter protection, and pipe replacement programs. Although new rates were originally anticipated to be in place by January 1, 2021, in light of an administrative delay, Southwest was granted authority to establish a general rate case memorandum account to track the impacts related to the delay in the implementation of new rates for purposes of later recovery. New rates were ultimately implemented April 1, 2021.</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Following the 2021 implementation of new rates approved as part of the recently concluded general rate case, Southwest is also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to implement annual PTY attrition increases of 2.75% starting in 2022.</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Greenhouse Gas (“GHG”) Compliance. </w:t>
      </w:r>
      <w:r>
        <w:rPr>
          <w:rFonts w:ascii="Arial" w:cs="Arial" w:eastAsia="Arial" w:hAnsi="Arial"/>
          <w:sz w:val="18"/>
          <w:szCs w:val="18"/>
          <w:color w:val="auto"/>
        </w:rPr>
        <w:t>California Assembly Bill Number 32 and regulations promulgated by the California Air Resources Board,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as a covered entity, to comply with applicable requirements associated with California GHG emissions reporting and the California Cap and Trade Program. The CPUC issued a decision in 2018 adopting an allocation methodology to distribute the net revenues or costs.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which has continued in the current year. GHG compliance costs recovered through rates have no impact on earnings.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Natural Gas. </w:t>
      </w:r>
      <w:r>
        <w:rPr>
          <w:rFonts w:ascii="Arial" w:cs="Arial" w:eastAsia="Arial" w:hAnsi="Arial"/>
          <w:sz w:val="18"/>
          <w:szCs w:val="18"/>
          <w:color w:val="auto"/>
        </w:rPr>
        <w:t>In February 2019, Southwest filed an application that, among other things, sought to formally allow renewable natural gas (or</w:t>
      </w:r>
      <w:r>
        <w:rPr>
          <w:rFonts w:ascii="Arial" w:cs="Arial" w:eastAsia="Arial" w:hAnsi="Arial"/>
          <w:sz w:val="18"/>
          <w:szCs w:val="18"/>
          <w:i w:val="1"/>
          <w:iCs w:val="1"/>
          <w:color w:val="auto"/>
        </w:rPr>
        <w:t xml:space="preserve"> </w:t>
      </w:r>
      <w:r>
        <w:rPr>
          <w:rFonts w:ascii="Arial" w:cs="Arial" w:eastAsia="Arial" w:hAnsi="Arial"/>
          <w:sz w:val="18"/>
          <w:szCs w:val="18"/>
          <w:color w:val="auto"/>
        </w:rPr>
        <w:t>biomethane) as an includible component of Southwest’s gas supply portfolio through the Biomethane Gas Program (“BGP”). This proposal was designed to further the goals of the California Global Warming Solutions Act of 2006, the California Low Carbon Fuel Standard, Senate Bills 1383 and 1440, as well as current or future legislative or regulatory efforts to reduce greenhouse gas emissions. Implementation of the BGP addresses cost recovery as part of Southwest’s existing Gas Cost Incentive Mechanism related to the purchase or sale of biomethane. The CPUC issued a final decision approving the proposal in March 2020.</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In April 2019, Southwest filed an application with the CPUC seeking authority to establish a two-way,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bearing balancing account to record costs associated with the CDMI to mitigate adverse financial implications associated with this multi-year project. Approximately $19 million of the estimated $174 million total for the CDMI would be allocable to the California rate jurisdiction. Southwest filed a separate request to establish a memorandum account while the CPUC considered its application request to establish the two-way balancing account. Effective October 2019, the CPUC granted Southwest’s memorandum account request, which allowed Southwest to track costs, including operations and maintenance costs and capital-related costs, such as depreciation, taxes, and return associated with California’s portion of the CDMI. The balance tracked in the memorandum account was transferred to the two-way balancing account in July 2020. A rate to begin recovering the balance accumulated through June 30, 2020 was established and made effective September 1, 2020, updated in January 2021, and updated further in August 2021. This rate is expected to be updated at least annually. As noted earlier, the customer information system, the largest of the two systems associated with the CDMI, was placed in service in May 2021.</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Emergency Relief Program Related to COVID-19. </w:t>
      </w:r>
      <w:r>
        <w:rPr>
          <w:rFonts w:ascii="Arial" w:cs="Arial" w:eastAsia="Arial" w:hAnsi="Arial"/>
          <w:sz w:val="17"/>
          <w:szCs w:val="17"/>
          <w:color w:val="auto"/>
        </w:rPr>
        <w:t>In March 2020, in light of the COVID-19 pandemic, Southwest requested to establish a memorandum</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to track costs as part of customer protections under Emergency Relief regulations implemented in California in 2019 (in the event of a state or federal declared emergency or disaster). The CPUC passed an emergency resolution on April 16, 2020 authorizing and directing utilities to implement customer protections and to establish memorandum accounts to track the financial impacts of complying with the resolution. On May 1, 2020, Southwest requested to establish a COVID-19 Pandemic Protections Memorandum Account (“CPPMA”) to record incremental costs and lost revenues incurred by Southwest associated with its implementation of the protections outlined in the CPUC resolution. The protections were retroactively applied to March 4, 2020, the date Governor Gavin Newsom declared a state of emergency</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related to COVID-19. The CPPMA was originally effective March 4, 2020 through April 16, 2021, but was extended through September 30, 2021. These customer protections focus on flexible payment plan options, additional protections for income-qualified customers, as well as the suspension of disconnections for non-payment and waiver of deposit and late fee requirements. Tracked amounts will be considered by the CPUC for future recovery.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Nevada General Rate Case. </w:t>
      </w:r>
      <w:r>
        <w:rPr>
          <w:rFonts w:ascii="Arial" w:cs="Arial" w:eastAsia="Arial" w:hAnsi="Arial"/>
          <w:sz w:val="18"/>
          <w:szCs w:val="18"/>
          <w:color w:val="auto"/>
        </w:rPr>
        <w:t>In June 2021, Southwest filed a Notice of Intent to file a general rate case, and on August 31, 2021 filed its most recent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rate case, which proposes a combined revenue increase of approximately $30.5 million. This request also proposes a return on common equity of 9.90% with a target equity ratio of 51%; a request to recover approximately $6.6 million in previously deferred late payment charges related to a regulatory asset associated with COVID-19 (as noted below); and a continuation of full-revenue decoupling with the General Revenues Adjustment (“GRA”) mechanism. The filing utilizes a May 31, 2021 test year with certification of certain adjustments through November 30, 2021. A decision is expected in the first quarter of 2022 with new rates effective April 2022.</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Southwest’s previous general rate case application was filed with the PUCN in February 2020, which requested a statewide overall general rate increase of approximately $38.3 million. The request sought an ROE of 10% relative to a proposed capital structure of 50% equity and continuation of the GRA mechanism. The PUCN issued its final order in September 2020, which provided for an authorized combined revenue increase of approximately $23 million for northern and southern Nevada and continuation of the previously authorized 9.25% ROE, with a capital structure of 49.26% equity and 50.74% debt. Southwest’s GRA was authorized to continue without modification. Full cost recovery of the unamortized balance of excluded software projects from the previous general rate case was authorized in this case, along with the inclusion of all proposed Gas Infrastructure Replacement (“GIR”) and Mesquite Expansion projects in rate base, as well as full recovery of test year and certification operations and maintenance expenses associated with the CDMI. Rates became effective in October 2020.</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association with an earlier Nevada rate case decision in December 2018, management requested reconsideration of several issues in the case; however, the PUCN ultimately granted no further relief. Management decided to seek judicial review of the PUCN’s rate order, which was considered in January 2020. The District Court Judge deferred to the PUCN’s original findings. In March 2020, Southwest filed an appeal with the Nevada Supreme Court, which remains active; the resolution will likely take up to 24 months from the date of the appeal.</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General Revenues Adjustment. </w:t>
      </w:r>
      <w:r>
        <w:rPr>
          <w:rFonts w:ascii="Arial" w:cs="Arial" w:eastAsia="Arial" w:hAnsi="Arial"/>
          <w:sz w:val="16"/>
          <w:szCs w:val="16"/>
          <w:color w:val="auto"/>
        </w:rPr>
        <w:t>As noted above, the continuation of the GRA was affirmed as part of Southwest’s previous general rate case,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2020, and a request to continue the GRA is included in the most recently filed general rate case request. Southwest makes Annual Rate Adjustment (“ARA”) filings to update rates to recover or return amounts associated with various regulatory mechanisms, including the GRA. In May 2020, Southwest made its most recent ARA filing, which proposed an annualized margin decrease of $5.3 million in southern Nevada and an increase of $1.6 million in northern Nevada. The ARA filing was resolved through a settlement of the parties, in which the proposed changes associated with the GRA were approved, effective January 2021. With timing changes approved in the most recent ARA, the next ARA filing will be made in November 2021 with a test year ended September 30, 2021. New rates related to that filing will be effective July 1, 2022. While there is no impact to net income overall from adjustments to recovery rates associated with the related regulatory balances, operating cash flows are impacted by such changes.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COYL Program. </w:t>
      </w:r>
      <w:r>
        <w:rPr>
          <w:rFonts w:ascii="Arial" w:cs="Arial" w:eastAsia="Arial" w:hAnsi="Arial"/>
          <w:sz w:val="18"/>
          <w:szCs w:val="18"/>
          <w:color w:val="auto"/>
        </w:rPr>
        <w:t>In August 2021, Southwest filed a joint petition with the Regulatory Operations Staff of the PUCN proposing a Nevada COYL</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program to include residential COYLs, public schools, and any other COYLs that are identified to be a safety concern. The proposal contemplates capital investments of $5 million per year for five years, with $2 million allocated to northern Nevada and $3 million allocated to southern Nevada, and the establishment of a regulatory asset to track the capital- related costs. After five years, the program will be reassessed to determine if it should be continued. Southwest anticipates a decision by the end of the year.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RNG. </w:t>
      </w:r>
      <w:r>
        <w:rPr>
          <w:rFonts w:ascii="Arial" w:cs="Arial" w:eastAsia="Arial" w:hAnsi="Arial"/>
          <w:sz w:val="18"/>
          <w:szCs w:val="18"/>
          <w:color w:val="auto"/>
        </w:rPr>
        <w:t>In January 2021, Southwest filed an application seeking approval to purchase RNG for incorporation into its gas supply portfolio pursuant to Senate</w:t>
      </w:r>
      <w:r>
        <w:rPr>
          <w:rFonts w:ascii="Arial" w:cs="Arial" w:eastAsia="Arial" w:hAnsi="Arial"/>
          <w:sz w:val="18"/>
          <w:szCs w:val="18"/>
          <w:i w:val="1"/>
          <w:iCs w:val="1"/>
          <w:color w:val="auto"/>
        </w:rPr>
        <w:t xml:space="preserve"> </w:t>
      </w:r>
      <w:r>
        <w:rPr>
          <w:rFonts w:ascii="Arial" w:cs="Arial" w:eastAsia="Arial" w:hAnsi="Arial"/>
          <w:sz w:val="18"/>
          <w:szCs w:val="18"/>
          <w:color w:val="auto"/>
        </w:rPr>
        <w:t>Bill 154 (2019). Southwest sought authority to purchase up to 3% of 2035 forecasted demands in an effort to reach the established legislative goals of 1% or more by 2025, 2% or more by 2030 and 3% or more by 2035. In October 2021, the PUCN issued an order authorizing Southwest to purchase up to 1.99% of annual forecasted demand each year between 2021 and year end 2029.</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Infrastructure Replacement Mechanism. </w:t>
      </w:r>
      <w:r>
        <w:rPr>
          <w:rFonts w:ascii="Arial" w:cs="Arial" w:eastAsia="Arial" w:hAnsi="Arial"/>
          <w:sz w:val="18"/>
          <w:szCs w:val="18"/>
          <w:color w:val="auto"/>
        </w:rPr>
        <w:t>In 2014, the PUCN approved final rules for the GIR mechanism, which provided for the deferral and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costs associated with accelerated replacement of qualifying infrastructure that would not otherwise provide incremental revenues between general rate cases. Associated with the replacement of various types of pipe infrastructure under the mechanism (Early Vintage Plastic Pipe, COYL, and VSP), the related regulations provide Southwest with the opportunity to file a GIR “Advance Application” annually to seek preapproval of qualifying replacement projects.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preapproval of projects is requested and granted, a GIR rate application is separately filed to reset the GIR recovery surcharge rate related to previously approved and completed projects. On September 30, 2021, Southwest filed its latest rate application to reset the recovery surcharge to include cumulative deferrals through August 31, 2021. The updated surcharge rate is expected to result in an annual revenue decrease of approximately $1.4 million in southern Nevada and an annual revenue increase of $66,000 in northern Nevada. A decision is expected in the fourth quarter 2021 with new rates anticipated January 1, 2022.</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Conservation and Energy Efficiency. </w:t>
      </w:r>
      <w:r>
        <w:rPr>
          <w:rFonts w:ascii="Arial" w:cs="Arial" w:eastAsia="Arial" w:hAnsi="Arial"/>
          <w:sz w:val="18"/>
          <w:szCs w:val="18"/>
          <w:color w:val="auto"/>
        </w:rPr>
        <w:t>The PUCN allows deferral (and later recovery) of approved conservation and energy efficiency costs, recovery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are adjusted in association with ARA filings. In its May 2020 ARA filing, Southwest proposed annualized margin decreases of $313,000 and $55,000 for southern and northern Nevada, respectively, which were approved and became effective in January 2021. In May 2021, Southwest filed its proposed Conservation and Energy Efficiency plan for the years 2022 – 2024, with a proposed annual budget amount of approximately $3 million. In October 2021, the PUCN approved the continuation of Southwest’s currently authorized commercial incentives program, residential incentives program and energy education with an annual budget of approximately $1.4 million.</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November 2017, Southwest filed for preapproval of a project to extend service to Mesquite, Nevada, in accordance with the SB 151 regulations. Ultimately, the PUCN issued an order approving Southwest’s proposal for the expansion, including a capital investment of approximately $28 million and the construction of approximately 37 miles of distribution pipeline (including the approach main). The annual revenue requirement associated with the project is $2.8 million. A volumetric rate, applicable to all southern Nevada customers (including new customers in Mesquite), was implemented in October 2019 to recover the cost. Southwest’s May 2020 ARA filing, which proposed an annualized margin increase of $185,000, reflects the cumulative deferred revenue requirement associated with the Mesquite facilities that were placed in service through April 30, 2020. During 2020, Southwest continued serving certain customers in Mesquite from an approved “virtual” pipeline network, providing temporary natural gas supply using portions of the approved distribution system and compressed natural gas. Construction of the tap site, approach main, as well as distribution mains was completed and facilities were placed in service in December 2020. A distribution loop, included in the initial estimated cost, is expected to be in service later this year.</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2019, Southwest filed for preapproval to construct the infrastructure necessary to expand natural gas service to Spring Creek, Nevada, and to implement a cost recovery methodology to timely recover the associated revenue requirement consistent with the SB 151 regulations. Expansion to the Spring Creek area near Elko, Nevada consists of a high-pressure approach main and associated regulator stations, an interior backbone, and the extension of the distribution system from the interior backbone system. The total capital investment was estimated to be $61.9 million. A stipulation was reached with the parties and approved by the PUCN in December 2019, largely accepting Southwest’s proposal with modifications in the rate recovery allocations amongst northern Nevada, Elko, and Spring Creek expansion customers. Construction of the initial phase of the expansion began in the third quarter of 2020, and service commenced to the first Spring Creek customers in December 2020. The expansion overall, as part of the earlier estimate, is anticipated to be completed in 2026.</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Customer Data Modernization Initiative. </w:t>
      </w:r>
      <w:r>
        <w:rPr>
          <w:rFonts w:ascii="Arial" w:cs="Arial" w:eastAsia="Arial" w:hAnsi="Arial"/>
          <w:sz w:val="16"/>
          <w:szCs w:val="16"/>
          <w:color w:val="auto"/>
        </w:rPr>
        <w:t>In March 2019, Southwest filed a request seeking authority to establish a regulatory asset to defer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related to the CDMI to mitigate the financial attrition associated with the multi-year project. Approximately $59 million of the estimated $174 million cost of the CDMI would be allocable to the Nevada rate jurisdictions. A hearing was held in August 2019 and the PUCN issued a decision in September 2019, denying Southwest’s request for regulatory asset treatment, finding a general rate case to be the most appropriate avenue to address such costs. In response to the PUCN’s decision, Southwest filed a Petition for Reconsideration in October 2019, which was denied. As part of its 2020 general rate case filing, Southwest was authorized to include CDMI operations and maintenance costs since the beginning of the associated test year as part of its revenue requirement in the case. The customer information system portion of the CDMI was placed in service in May 2021 and the related capital costs, as well as ongoing operations and maintenance expenses, are included in Southwest’s recent general rate case request.</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Regulatory Asset Related to COVID-19. </w:t>
      </w:r>
      <w:r>
        <w:rPr>
          <w:rFonts w:ascii="Arial" w:cs="Arial" w:eastAsia="Arial" w:hAnsi="Arial"/>
          <w:sz w:val="16"/>
          <w:szCs w:val="16"/>
          <w:color w:val="auto"/>
        </w:rPr>
        <w:t>The PUCN issued an order directing utilities within the state to establish regulatory asset accounts, effective March</w:t>
      </w:r>
      <w:r>
        <w:rPr>
          <w:rFonts w:ascii="Arial" w:cs="Arial" w:eastAsia="Arial" w:hAnsi="Arial"/>
          <w:sz w:val="16"/>
          <w:szCs w:val="16"/>
          <w:i w:val="1"/>
          <w:iCs w:val="1"/>
          <w:color w:val="auto"/>
        </w:rPr>
        <w:t xml:space="preserve"> </w:t>
      </w:r>
      <w:r>
        <w:rPr>
          <w:rFonts w:ascii="Arial" w:cs="Arial" w:eastAsia="Arial" w:hAnsi="Arial"/>
          <w:sz w:val="16"/>
          <w:szCs w:val="16"/>
          <w:color w:val="auto"/>
        </w:rPr>
        <w:t>12, 2020, the date that Governor Steve Sisolak declared a state of emergency related to COVID-19, to track the financial impacts associated with maintaining service for customers affected by COVID-19, including those whose service would have been otherwise terminated/disconnected. These costs, totaling approximately $6.6 million, are included in Southwest’s recent general rate case request and have a proposed two-year recovery period.</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Proposed Carbon Offset Program. </w:t>
      </w:r>
      <w:r>
        <w:rPr>
          <w:rFonts w:ascii="Arial" w:cs="Arial" w:eastAsia="Arial" w:hAnsi="Arial"/>
          <w:sz w:val="18"/>
          <w:szCs w:val="18"/>
          <w:color w:val="auto"/>
        </w:rPr>
        <w:t>In June 2021, Southwest filed an application to seek approval to offer a voluntary program to northern and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Nevada customers to purchase carbon offsets in an effort to provide customers additional options to</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reduce their respective GHG emissions. A request to establish a regulatory asset to track program-related costs and revenues was included as part of the application. A decision is expected in the first quarter of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General Rate Case. </w:t>
      </w:r>
      <w:r>
        <w:rPr>
          <w:rFonts w:ascii="Arial" w:cs="Arial" w:eastAsia="Arial" w:hAnsi="Arial"/>
          <w:sz w:val="16"/>
          <w:szCs w:val="16"/>
          <w:color w:val="auto"/>
        </w:rPr>
        <w:t>Great Basin Gas Transmission Company (“Great Basin”), formerly Paiute Pipeline Company, a wholly owned subsidiary of Southwest,</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general rate case with the FERC in May 2019. The filing fulfilled an obligation from the settlement agreement reached in an earlier general rate case. In January 2020, an agreement in principle was reached with the FERC Staff and intervenors to settle the case, the results of which would not significantly impact revenues overall. The agreement required the three largest transportation customers and all storage customers to have primary terms remaining of at least five years under their agreements, provided for the continuance of term-differentiated rates generally, and included a 9.90% pre-tax rate of return. Interim rates were made effective February 2020, and in August 2020 a FERC letter order approving the settlement became final. As part of the settlement, it was agreed that a future rate case would not be filed prior to January 1, 2022, but would be filed no later than May 31,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September 30, 2021, under-collections in each of Southwest’s service territories resulted in an asset of $240.8 million on the Company’s and Southwest’s Condensed Consolidated Balance Sheets. The significant change in the PGA balance was primarily due to incremental natural gas costs associated with an extreme weather event in the central U.S. in mid-February 2021. See also </w:t>
      </w:r>
      <w:r>
        <w:rPr>
          <w:rFonts w:ascii="Arial" w:cs="Arial" w:eastAsia="Arial" w:hAnsi="Arial"/>
          <w:sz w:val="16"/>
          <w:szCs w:val="16"/>
          <w:i w:val="1"/>
          <w:iCs w:val="1"/>
          <w:color w:val="auto"/>
        </w:rPr>
        <w:t>Deferred Purchased Gas Costs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Background, Organization, and Summary of Significant Accounting Policies </w:t>
      </w:r>
      <w:r>
        <w:rPr>
          <w:rFonts w:ascii="Arial" w:cs="Arial" w:eastAsia="Arial" w:hAnsi="Arial"/>
          <w:sz w:val="16"/>
          <w:szCs w:val="16"/>
          <w:color w:val="auto"/>
        </w:rPr>
        <w:t>in this quarterly report on Form 10-Q</w:t>
      </w:r>
      <w:r>
        <w:rPr>
          <w:rFonts w:ascii="Arial" w:cs="Arial" w:eastAsia="Arial" w:hAnsi="Arial"/>
          <w:sz w:val="16"/>
          <w:szCs w:val="16"/>
          <w:b w:val="1"/>
          <w:bCs w:val="1"/>
          <w:color w:val="auto"/>
        </w:rPr>
        <w:t>.</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September 30, 2021</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December 31, 2020</w:t>
            </w:r>
          </w:p>
        </w:tc>
        <w:tc>
          <w:tcPr>
            <w:tcW w:w="2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w w:val="93"/>
              </w:rPr>
              <w:t>September 30, 2020</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(12,724)</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(45,506)</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r>
      <w:tr>
        <w:trPr>
          <w:trHeight w:val="248"/>
        </w:trPr>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The Company endeavors to maintain an appropriate balance of equity and debt to preserve investment-grade credit ratings, which should minimize interest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Cash flows from consolidated operating activities decreased $436 million in the first nine months of 2021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of 2020. The decline in cash flows primarily resulted from amounts under purchased gas adjustment mechanisms, including amounts resulting from the temporary escalation in gas commodity prices during the first quarter of 2021 associated with the extreme cold temperatures in the central U.S. (see </w:t>
      </w:r>
      <w:r>
        <w:rPr>
          <w:rFonts w:ascii="Arial" w:cs="Arial" w:eastAsia="Arial" w:hAnsi="Arial"/>
          <w:sz w:val="16"/>
          <w:szCs w:val="16"/>
          <w:b w:val="1"/>
          <w:bCs w:val="1"/>
          <w:color w:val="auto"/>
        </w:rPr>
        <w:t>Note 1 – Background, Organization, and Summary of Significant Accounting Policies</w:t>
      </w:r>
      <w:r>
        <w:rPr>
          <w:rFonts w:ascii="Arial" w:cs="Arial" w:eastAsia="Arial" w:hAnsi="Arial"/>
          <w:sz w:val="16"/>
          <w:szCs w:val="16"/>
          <w:color w:val="auto"/>
        </w:rPr>
        <w:t>). Other impacts include a decrease ($45 million) in recoveries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Arizona decoupling mechanism balance between nine-month periods, and the impact of changes in components of working capital overall.</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$696 million in the first nine months of 2021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of 2020. The change was primarily due to Centuri’s acquisition of Riggs Distler (see </w:t>
      </w:r>
      <w:r>
        <w:rPr>
          <w:rFonts w:ascii="Arial" w:cs="Arial" w:eastAsia="Arial" w:hAnsi="Arial"/>
          <w:sz w:val="18"/>
          <w:szCs w:val="18"/>
          <w:b w:val="1"/>
          <w:bCs w:val="1"/>
          <w:color w:val="auto"/>
        </w:rPr>
        <w:t>Note 8 - Business Acquisitions</w:t>
      </w:r>
      <w:r>
        <w:rPr>
          <w:rFonts w:ascii="Arial" w:cs="Arial" w:eastAsia="Arial" w:hAnsi="Arial"/>
          <w:sz w:val="18"/>
          <w:szCs w:val="18"/>
          <w:color w:val="auto"/>
        </w:rPr>
        <w:t>). The overall increase was offset by a decrease in capital expenditures in the natural gas operations segment.</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consolidated financing activities increased $1.3 billion in the first nine months of 2021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2020. The change was primarily due to Centuri, in association with the acquisition of Riggs Distler, entering into an amended and restated credit agreement. The agreement provided for a $1.145 billion secured term loan facility and a $400 million secured revolving credit facility, which in addition to funding the Riggs Distler acquisition, refinanced the previous $590 million loan facility. Approximately $1.26 billion was outstanding under the combined facility as of September 30, 2021. Additionally, the Company issued approximately $120 million more in common stock under its equity shelf programs in the first nine months of 2021 compared to issuances in the prior year, and also increased its dividend.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also issued 130,000 shares of common stock through the Dividend Reinvestment and Stock Purchase Plan, raising approximately $8.5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capital requirements and resources of the Company generally are determined independently for the natural gas operations and utility infrastructure services segments. Each business activity is generally responsible for securing its own external debt financing sources. However, the holding company may raise funds through stock issuances or other external financing sources. See </w:t>
      </w:r>
      <w:r>
        <w:rPr>
          <w:rFonts w:ascii="Arial" w:cs="Arial" w:eastAsia="Arial" w:hAnsi="Arial"/>
          <w:sz w:val="18"/>
          <w:szCs w:val="18"/>
          <w:b w:val="1"/>
          <w:bCs w:val="1"/>
          <w:color w:val="auto"/>
        </w:rPr>
        <w:t>Note 4 – Common Stock</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from operating activities decreased $382 million in the first nine months of 2021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decline in operating cash flows was primarily attributable to the impacts related to deferred purchased gas costs and the Arizona decoupling mechanism noted above, and other working capital changes.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decreased $110 million in the first nine months of 2021 as compared to the same period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change was primarily due to a decrease in capital expenditures in 2021 as compared the same period in the prior year. See also </w:t>
      </w:r>
      <w:r>
        <w:rPr>
          <w:rFonts w:ascii="Arial" w:cs="Arial" w:eastAsia="Arial" w:hAnsi="Arial"/>
          <w:sz w:val="18"/>
          <w:szCs w:val="18"/>
          <w:i w:val="1"/>
          <w:iCs w:val="1"/>
          <w:color w:val="auto"/>
        </w:rPr>
        <w:t>Gas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Construction Expenditures and Financing </w:t>
      </w:r>
      <w:r>
        <w:rPr>
          <w:rFonts w:ascii="Arial" w:cs="Arial" w:eastAsia="Arial" w:hAnsi="Arial"/>
          <w:sz w:val="18"/>
          <w:szCs w:val="18"/>
          <w:color w:val="auto"/>
        </w:rPr>
        <w:t>below.</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$372 million in the first nine months of 2021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2020. The increase was primarily due to Southwest’s $250 million Term Loan issued in the first quarter of 2021 to fund the increased cost of natural gas supply during the extreme cold weather event. Additionally, Southwest issued $300 million in notes during the current period, compared to $450 million in notes issued in the prior period, and also redeemed $125 million in notes in September 2020 that were otherwise due in December 2020. Borrowings and repayments between periods under Southwest’s credit facility, as well as and increase in dividends paid, comprised the remainder of the change. See </w:t>
      </w:r>
      <w:r>
        <w:rPr>
          <w:rFonts w:ascii="Arial" w:cs="Arial" w:eastAsia="Arial" w:hAnsi="Arial"/>
          <w:sz w:val="18"/>
          <w:szCs w:val="18"/>
          <w:b w:val="1"/>
          <w:bCs w:val="1"/>
          <w:color w:val="auto"/>
        </w:rPr>
        <w:t>Note 5</w:t>
      </w:r>
      <w:r>
        <w:rPr>
          <w:rFonts w:ascii="Arial" w:cs="Arial" w:eastAsia="Arial" w:hAnsi="Arial"/>
          <w:sz w:val="18"/>
          <w:szCs w:val="18"/>
          <w:color w:val="auto"/>
        </w:rPr>
        <w:t xml:space="preserve"> </w:t>
      </w:r>
      <w:r>
        <w:rPr>
          <w:rFonts w:ascii="Arial" w:cs="Arial" w:eastAsia="Arial" w:hAnsi="Arial"/>
          <w:sz w:val="18"/>
          <w:szCs w:val="18"/>
          <w:b w:val="1"/>
          <w:bCs w:val="1"/>
          <w:color w:val="auto"/>
        </w:rPr>
        <w:t>– Debt</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twelve-month period ended September 30, 2021, construction expenditures for the natural gas operations segment were $582 million. The majority of these expenditures represented costs associated with the replacement of existing transmission, distribution, and general plant (including costs to implement our customer information system).</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2023 will be approximately $2.1 billion. Of this amount, approximately $650 million to $675 million is scheduled to be incurred in 2021.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During the three-year period, cash flows from operating activities of Southwest are expected to provide approximately 50% of the funding for gas operations of Southwest and total construction expenditures and dividend requirements. Any additional cash requirements, including construction-related, and paydown or refinancing of debt, are expected to be provided by existing credit facilities, equity contributions from the Company, and/or other external financing sources. The timing, types, and amounts of additional external financings will be dependent on a number of factors, including the cost of gas purchases, conditions in the capital markets, timing and amounts of rate relief, timing and amounts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earlier, in August 2021, Southwest issued $300 million aggregate principal amount of 3.18% Senior Notes at a discount of 0.019%. The notes will mature in August 2051. Southwest used the net proceeds from the offering to repay the outstanding balance under its credit facility, with the remaining net proceeds used for general corporate purposes.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2021, the Company entered into a Sales Agency Agreement between the Company and BNY Mellon Capital Markets, LLC and J.P. Morgan Securities LLC (the “Equity Shelf Program”) for the offer and sale of up to $500 million of common stock from time to time in at-the-market offerings under the related prospectus supplement filed with the Securities and Exchange Commission (the “SEC”) the same month. The Company issued $88 million under this multi-year program during the third quarter of 2021.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Term Loan or future credit facilities), and to provide for working capital.</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the Company filed an earlier automatic shelf registration statement with the SEC for the offer and sale of up to $300 million of common stock from time to time in at-the-market offerings under the related prospectus and sales agency agreement. The Company issued the remaining capacity ($46 million) of this equity program during the quarter ended March 31,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twelve months ended September 30, 2021, 3,699,445 shares were issued in at-the-market offerings at an average price of $67.86 per share with gross proceeds of $251 million, agent commissions of $2.5 million, and net proceeds of $248.5 million under the equity shelf programs noted above. See </w:t>
      </w:r>
      <w:r>
        <w:rPr>
          <w:rFonts w:ascii="Arial" w:cs="Arial" w:eastAsia="Arial" w:hAnsi="Arial"/>
          <w:sz w:val="18"/>
          <w:szCs w:val="18"/>
          <w:b w:val="1"/>
          <w:bCs w:val="1"/>
          <w:color w:val="auto"/>
        </w:rPr>
        <w:t xml:space="preserve">Note 4 – Common Stock </w:t>
      </w:r>
      <w:r>
        <w:rPr>
          <w:rFonts w:ascii="Arial" w:cs="Arial" w:eastAsia="Arial" w:hAnsi="Arial"/>
          <w:sz w:val="18"/>
          <w:szCs w:val="18"/>
          <w:color w:val="auto"/>
        </w:rPr>
        <w:t>for more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 Company estimates bonus depreciation will defer the payment of approximately $20 million of federal income taxes for 2021, none of which relates to natural gas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Dividends are payable on the Company’s common stock at the discretion of the Board. In setting the dividend rate, the Board currently targets a payout ratio of 55% to 65% of consolidated earnings per share and considers, among other factors, current and expected future earnings levels, our ongoing capital expenditure plans, expected external funding needs, and our ability to maintain strong credit ratings and liquidity. The Company has paid dividends on its common stock since 1956 and has increased that dividend each year since 2007. In February 2021, the Board elected to increase the quarterly dividend from $0.57 to $0.595 per share, representing a 4.4% increase, effective with the June 2021 payment.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Liquidity refers to the ability of an enterprise to generate sufficient amounts of cash through its operating activities and external financing to meet its cash requirements. Several factors (some of which are out of the control of the Company) that could significantly affect liquidity in the future include: variability of natural gas prices, changes in ratemaking policies of regulatory commissions, regulatory lag, customer growth in the natural gas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September 30, 2021, the combined balance in the PGA accounts totaled an under-collection of $241 million. See </w:t>
      </w:r>
      <w:r>
        <w:rPr>
          <w:rFonts w:ascii="Arial" w:cs="Arial" w:eastAsia="Arial" w:hAnsi="Arial"/>
          <w:sz w:val="18"/>
          <w:szCs w:val="18"/>
          <w:b w:val="1"/>
          <w:bCs w:val="1"/>
          <w:color w:val="auto"/>
        </w:rPr>
        <w:t>PGA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Filings </w:t>
      </w:r>
      <w:r>
        <w:rPr>
          <w:rFonts w:ascii="Arial" w:cs="Arial" w:eastAsia="Arial" w:hAnsi="Arial"/>
          <w:sz w:val="18"/>
          <w:szCs w:val="18"/>
          <w:color w:val="auto"/>
        </w:rPr>
        <w:t>for more information.</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2021, Southwest issued a $250 million Term Loan that will mature in March 22, 2022, or 364 days after issuance. The proceeds were used to fund the increased cost of natural gas supply during the month of February 2021 caused by extreme weather conditions in the central U.S.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$100 million that expires in April 2025. This facility is intended for short-term financing needs. At September 30, 2021, $22 million was outstanding under this facility.</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the credit facility (including a commercial paper program) during the first nine months of 2021 was $150 million. The maximum amount outstanding on the short-term portion of the credit facility during the first nine months of 2021 was $125 million. As of September 30, 2021, no borrowings were outstanding on the short-term portion of this credit facility. The credit facility can be used as necessary to meet liquidity requirements, including temporarily financing under-collected PGA balances, or meeting the refund needs of over-collected balances. The credit facility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2021 will be designated as long-term debt. Interest rates for the commercial paper program are calculated at the current commercial paper rate during the borrowing term. At September 30, 2021, there were no borrowings outstanding under this program.</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August 2021, in association with the acquisition of Riggs Distler (refer to </w:t>
      </w:r>
      <w:r>
        <w:rPr>
          <w:rFonts w:ascii="Arial" w:cs="Arial" w:eastAsia="Arial" w:hAnsi="Arial"/>
          <w:sz w:val="18"/>
          <w:szCs w:val="18"/>
          <w:b w:val="1"/>
          <w:bCs w:val="1"/>
          <w:color w:val="auto"/>
        </w:rPr>
        <w:t>Note 8 - Business Acquisitions),</w:t>
      </w:r>
      <w:r>
        <w:rPr>
          <w:rFonts w:ascii="Arial" w:cs="Arial" w:eastAsia="Arial" w:hAnsi="Arial"/>
          <w:sz w:val="18"/>
          <w:szCs w:val="18"/>
          <w:color w:val="auto"/>
        </w:rPr>
        <w:t xml:space="preserve"> Centuri entered into an amended and restated credit agreement (refer to </w:t>
      </w:r>
      <w:r>
        <w:rPr>
          <w:rFonts w:ascii="Arial" w:cs="Arial" w:eastAsia="Arial" w:hAnsi="Arial"/>
          <w:sz w:val="18"/>
          <w:szCs w:val="18"/>
          <w:b w:val="1"/>
          <w:bCs w:val="1"/>
          <w:color w:val="auto"/>
        </w:rPr>
        <w:t>Note 5 – Debt</w:t>
      </w:r>
      <w:r>
        <w:rPr>
          <w:rFonts w:ascii="Arial" w:cs="Arial" w:eastAsia="Arial" w:hAnsi="Arial"/>
          <w:sz w:val="18"/>
          <w:szCs w:val="18"/>
          <w:color w:val="auto"/>
        </w:rPr>
        <w:t>). The line of credit portion comprises $400 million; associated amounts borrowed and repaid are available to be re-borrowed. The term loan facility portion provided approximately $1.145 billion. The term loan facility expires on August 27, 2028 and the revolving credit facility expires on August 27, 2026. The obligations under the credit agreement are secured by present and future ownership interests in substantially all direct and indirect subsidiaries of Centuri, substantially all of the tangible and intangible personal property of each borrower, and certain of their direct and indirect subsidiaries, and all products, profits, and proceeds of the foregoing. Centuri assets securing the facility at September 30, 2021 totaled $2.6 billion. The maximum amount outstanding on the combined facility during the first nine months of 2021 was $1.3 billion. As of September 30, 2021, $112 million was outstanding on the revolving credit facility, in addition to $1.145 billion that was outstanding on the term loan portion of the facility. Also at September 30, 2021, there was approximately $235 million, net of letters of credit, available for borrowing under the line of credit.</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rates for the credit facilities of the holding company, Southwest, and Centuri, and for Southwest’s Term Loan contain LIBOR-based rates. Upon the occurrence of certain events providing for a transition away from LIBOR, or when LIBOR is no longer a widely recognized benchmark rate, the holding company and Southwest each may amend their respective credit facility as set forth in their credit facility agreement, which is also the case of Southwest’s Term Loan, in order to accommodate a replacement benchmark as set forth in the agreements. Certain LIBOR-based rates are scheduled to be discontinued as a benchmark or reference rate after 2021, while other LIBOR-based rates are scheduled to be discontinued after June 2023. In order to mitigate the impact of a discontinuance on the Company’s and Southwest’s financial condition and results of operations, management will monitor developments and work with lenders, where relevant,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Sales Agency Agreement with BNY Mellon Capital Markets, LLC and J.P. Morgan Securities LLC for the offer and sale of up to $500 million of common stock from time to time in at-the-market offerings, which is an additional source of liquidity. The Company had approximately $341.8 million available under the program as of September 30, 2021.</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October 5, 2021, the Company and Dominion Energy Questar Corporation, a wholly owned subsidiary of Dominion Energy, Inc., entered into a Purchase and Sale Agreement pursuant to which the Company would acquire the equity interests in Questar Pipelines. Pursuant to the Purchase and Sale Agreement, the purchase price is $1.545 billion in cash and the assumption of approximately $430 million in existing long-term debt. The Company has entered into an agreement for a new 364-day term loan that will provide the necessary consideration. If the acquisition closes as planned by the end of 2021, the Company expects this will be followed by permanent financing. See </w:t>
      </w:r>
      <w:r>
        <w:rPr>
          <w:rFonts w:ascii="Arial" w:cs="Arial" w:eastAsia="Arial" w:hAnsi="Arial"/>
          <w:sz w:val="18"/>
          <w:szCs w:val="18"/>
          <w:b w:val="1"/>
          <w:bCs w:val="1"/>
          <w:color w:val="auto"/>
        </w:rPr>
        <w:t>Note 5 – Debt.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expressions are generally used and intended to identify forward-looking statements. For example, statements regarding operating margin patterns, customer growth, the composition of our customer base, price volatility, seasonal patterns, payment of debt, the Company’s COLI strategy, replacement market and new construction market, our intent and ability to complete planned acquisitions and at amounts originally set out, impacts from the COVID-19 pandemic, including on our employees, customers, or otherwise, our financial position, revenue, earnings, cash flows, debt covenants, operations, regulatory recovery, work deployment or resumption and related uncertainties stemming from this pandemic or otherwise, expected impacts of valuation adjustments associated with any redeemable noncontrolling interest, the profitability of storm work, mix of work, or absorption of fixed costs by larger infrastructure services customers including Southwest, the impacts of U.S. tax reform including disposition in any regulatory proceeding and bonus depreciation tax deductions, the impact of recent PHMSA rulemaking, the amounts and timing for completion of estimated future construction expenditures, plans to pursue infrastructure programs or programs under SB151 legislation, forecasted operating cash flows and results of operations, net earnings impacts or recovery of costs from gas infrastructure replacement and COYL programs and surcharges, funding sources of cash requirements, amounts generally expected to be reflected in future period revenues from regulatory rate proceedings including amounts requested or settled from recent and ongoing general rate cases or other regulatory proceedings, the outcome of judicial review of the previous Nevada rate case, rates and surcharges, PGA administration and recovery,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the final resolution for recovery of the CDMI-related amounts and balances in any jurisdiction, and statements regarding pending approvals are forward-looking statements. All forward-looking statements are intended to be subject to the safe harbor protection provided by the Reform Act.</w:t>
      </w:r>
    </w:p>
    <w:p>
      <w:pPr>
        <w:spacing w:after="0" w:line="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continued or sustained restriction by government officials or otherwise, including impacts on employment in our territories, the health impacts to our customers and employees due to the persistence of the virus or virus variants or efficacy of vaccines, the ability to collect on customer accounts due to the suspension or lifted moratorium on late fees or service disconnection in any or all jurisdictions, the ability to obtain regulatory recovery of all costs and financial impacts resulting from this pandemic, the ability of the infrastructure services business to resume or continue work with all customers and the impact of a delay or termination of work as a result thereof, the impacts of future restrictions placed on our business by government regulation or otherwise (such as self-imposed restrictions for the safety of employees and customers), including related to personal distancing, investment in personal protective equipment and other protocols, the impact of a resurgence of the virus or its variants following the ongoing resumption of commerce in our territories, and decisions of Centuri customers (including Southwest) as to whether to pursue capital projects due to economic impacts resulting from the pandemic or otherwise, the ability to recover and timing thereof related to costs associated with the PGA mechanisms or other regulatory assets or programs, the effects of regulation/deregulation, governmental or regulatory policy regarding pipeline safety, greenhouse gas emissions, natural gas or alternative energy, the regulatory support for ongoing infrastructure programs or expansions,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credit rating actions and conditions in the capital markets on financing costs, the impact of variable rate indebtedness associated with a discontinuance of LIBOR including in relation to amounts of indebtedness then outstanding, changes in construction expenditures and financing, levels of or changes in operations and maintenance expenses,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planned (including accretion within the first twelve months) and future acquisition-related costs, impacts of changes in value of any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the mix of work awarded, the amount of work awarded to Centuri following the lifting of work stoppages 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reduction, the result of productivity inefficiencies from regulatory requirements or otherwise, delays in commissioning individual projects, acquisitions and management’s plans related thereto, the ability of management to successfully finance, close, and assimilate acquired businesses, the impact on our stock price or our credit ratings due to undertaking or failing to undertake acquisition activity or other strategic endeavors, the impact on our stock price, costs, or businesses from the stock rights program, actions or disruptions of significant shareholders,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or plans relating to its financing and operating expenses will continue, proceed as planned, or cease to continue in future periods. For additional information on the risks associated with the Company’s business, see </w:t>
      </w:r>
      <w:r>
        <w:rPr>
          <w:rFonts w:ascii="Arial" w:cs="Arial" w:eastAsia="Arial" w:hAnsi="Arial"/>
          <w:sz w:val="17"/>
          <w:szCs w:val="17"/>
          <w:b w:val="1"/>
          <w:bCs w:val="1"/>
          <w:color w:val="auto"/>
        </w:rPr>
        <w:t>Item 1A. Risk Factors and Item 7A. Quantitative and Qualitative Disclosures About Market Risk</w:t>
      </w:r>
      <w:r>
        <w:rPr>
          <w:rFonts w:ascii="Arial" w:cs="Arial" w:eastAsia="Arial" w:hAnsi="Arial"/>
          <w:sz w:val="17"/>
          <w:szCs w:val="17"/>
          <w:color w:val="auto"/>
        </w:rPr>
        <w:t xml:space="preserve"> in the Annual Report on Form 10-K for the year ended December 31, 2020, as updated in association with the Quarterly Report on Form 10-Q for the quarter ended June 30, 2020 and in this quarterly report on Form 10-Q.</w:t>
      </w:r>
    </w:p>
    <w:p>
      <w:pPr>
        <w:spacing w:after="0" w:line="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Arial" w:cs="Arial" w:eastAsia="Arial" w:hAnsi="Arial"/>
          <w:sz w:val="16"/>
          <w:szCs w:val="16"/>
          <w:b w:val="1"/>
          <w:bCs w:val="1"/>
          <w:color w:val="auto"/>
        </w:rPr>
        <w:t>We caution you not to unduly rely on any forward-looking statement(s).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2020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2021, the Company, through its utility infrastructure services subsidiaries, completed the acquisition of Drum Parent, Inc. (“Drum”) and its U.S. operations consisting principally of the utility infrastructure services operations of Drum’s primary subsidiary, Riggs Distler &amp; Company, Inc. (“Riggs Distler”), a privately held infrastructure services business. Existing assets of the acquired business represents 2% of consolidated total assets and 2% of consolidated revenues for the period ended September 30, 2021 and is not significant to the Company’s consolidated financial statements. As permitted by SEC guidance for newly acquired businesses, the Company’s management elected to exclude Riggs Distler from its evaluation of disclosure controls and procedures and management’s report on changes in internal control over financial reporting from the date of the acquisition through September 30, 2021. The Company’s management is in the process of reviewing the operations of Riggs Distler and implementing the Company’s internal control structure over the acquired operations. This review will be completed in 2022.</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most recent evaluation, as of September 30, 2021,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Company’s or Southwest’s internal control over financial reporting (as defined in Rules 13a-15(f) and 15d-15(f) of the Exchange Act) during the third quarter of 2021 that have materially affected, or are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2" w:name="page53"/>
    <w:bookmarkEnd w:id="5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 See </w:t>
      </w:r>
      <w:r>
        <w:rPr>
          <w:rFonts w:ascii="Arial" w:cs="Arial" w:eastAsia="Arial" w:hAnsi="Arial"/>
          <w:sz w:val="18"/>
          <w:szCs w:val="18"/>
          <w:i w:val="1"/>
          <w:iCs w:val="1"/>
          <w:color w:val="auto"/>
        </w:rPr>
        <w:t>Contingency</w:t>
      </w:r>
      <w:r>
        <w:rPr>
          <w:rFonts w:ascii="Arial" w:cs="Arial" w:eastAsia="Arial" w:hAnsi="Arial"/>
          <w:sz w:val="18"/>
          <w:szCs w:val="18"/>
          <w:color w:val="auto"/>
        </w:rPr>
        <w:t xml:space="preserve"> within </w:t>
      </w:r>
      <w:r>
        <w:rPr>
          <w:rFonts w:ascii="Arial" w:cs="Arial" w:eastAsia="Arial" w:hAnsi="Arial"/>
          <w:sz w:val="18"/>
          <w:szCs w:val="18"/>
          <w:b w:val="1"/>
          <w:bCs w:val="1"/>
          <w:color w:val="auto"/>
        </w:rPr>
        <w:t>Note 1 – Background, Organization, and Summary of Significant Accounting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Policies </w:t>
      </w:r>
      <w:r>
        <w:rPr>
          <w:rFonts w:ascii="Arial" w:cs="Arial" w:eastAsia="Arial" w:hAnsi="Arial"/>
          <w:sz w:val="18"/>
          <w:szCs w:val="18"/>
          <w:color w:val="auto"/>
        </w:rPr>
        <w:t>for potential future liability claims.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color w:val="auto"/>
        </w:rPr>
        <w:t>Described below are risk factors that we have identified that may have a negative impact on our future financial performance or affect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we achieve the goals or expectations expressed or implied in any forward-looking statements contained herein. These risk factors supplement, and do not replace, the Risk Factors and other disclosures made in our Annual Report on Form 10-K filed February 25, 2021 or Quarterly Report on Form 10-Q for the quarter ended June 30,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Economic, and Market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may be unexpected delays in the completion of the acquisition of Questar Pipelines, or it may not be completed at all.</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mentioned above in Note 1 to Part I Item 1, in October 2021 the Company entered into an agreement to purchase Dominion Energy Questar Pipeline, LLC and related entities (“Questar Pipelines”), a FERC-regulated interstate natural gas pipeline group that provides transportation and underground storage services in Utah, Wyoming, and Colorado. The acquisition is currently expected to close near year-end 2021, conditioned on the satisfaction or waiver (where legally permissible) of conditions in the Purchase and Sale Agreement (“Agreement”). The Agreement provides that either the Company or Questar Pipelines may terminate the Agreement if the acquisition has not occurred before December 31, 2021, subject to an extension if certain conditions have not been met, subsequently extending the termination date through June 30, 2022. Certain events may delay the completion of the acquisition or result in a termination of the Agreement. Some of these events are outside the control of either party. In particular, we are obligated to obtain various other third-party consents and approvals, and we can provide no assurances that such clearances, consents, or approvals will be obtained on terms acceptable to us, or at all. We may incur significant additional costs in connection with any delay in completing the acquisition or termination of the Agreement, in addition to significant transaction costs, including legal, financial advisory, accounting, and other costs beyond that which we have already incurred. We cannot provide assurance that the conditions to the completion of the acquisition will be satisfied or waived or that any adverse change, effect, event, circumstance, occurrence, or statement of facts that could give rise to the termination of the Agreement will not occur, and we cannot provide any assurances as to whether or when the acquisition will be completed on the terms set forth in the Agreement or at all.</w:t>
      </w:r>
    </w:p>
    <w:p>
      <w:pPr>
        <w:spacing w:after="0" w:line="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complete the acquisition of Questar Pipelines in a timely manner or at all could negatively affect our stock price. Completion of the acquisition could negatively impact our credit ratings.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can provide no assurance that an acquisition will occur or that the conditions to it will be satisfied or waived in a timely manner, or at all. Also, we can provide no assurance that an event, change, or other circumstance that could give rise to the termination of an Agreement will not occur. Delays in completing an acquisition or the failure to complete one at all could negatively impact the market price of our common stock and it could decline significantly, particularly to the extent that the current market price reflects a market assumption that an acquisition will be completed. If an acquisition is delayed for any reason, we will be subject to several risks, including the diversion of management focus and resources from operational matters and other strategic opportunities while working to complete the acquisition. In addition, certain credit ratings agencies have indicated that an acquisition could have a negative impact on our current credit ratings. We can provide no assurances as to the final determination as to any downgrade in our (or Southwest’s) ratings and what impact such a downgrade would have on our businesses.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as a result of actions of activist shareholders.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2021, certain funds affiliated with Carl Icahn initiated a tender offer for shares of our common stock and threatened a proxy contest with respect to the election of directors at our 2022 Annual Meeting of Stockholders. Responding to actions such as these and other actions by activist shareholders can be costly and time-consuming, disrupt our operations, and divert the attention of management and our employees. Perceived uncertainties among current and potential customers, employees, and other parties as to our future direction may result in the loss of potential business opportunities and may make it more difficult to attract and retain qualified personnel and business partners. These actions could also cause our stock price to experience periods of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3" w:name="page54"/>
    <w:bookmarkEnd w:id="5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Following the completion of the acquisition of Questar Pipelines, we may be unable to successfully integrate Questar Pipelines into our business and realize the anticipated benefits of the acquisition.</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not be able to achieve the anticipated benefits of the acquisition of Questar Pipelines. We may not be able to integrate Questar Pipeline’s business without increases in costs or other difficulties. We and Questar are expecting to enter into a transition services agreement for a period of time following closing of the transaction. Upon the expiration of the anticipated transition services agreement, we may not be able to hire or retain sufficient staff to operate the Questar Pipelines business efficiently. Any unexpected costs or delays incurred in connection with the integration of Questar Pipelines could have a material adverse effect on our business, results of operations, financial condition, as well as the market price of our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2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4" w:name="page55"/>
    <w:bookmarkEnd w:id="5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Exhibit 2.02*</w:t>
            </w:r>
          </w:p>
        </w:tc>
        <w:tc>
          <w:tcPr>
            <w:tcW w:w="9880" w:type="dxa"/>
            <w:vAlign w:val="bottom"/>
            <w:gridSpan w:val="21"/>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68">
              <w:r>
                <w:rPr>
                  <w:rFonts w:ascii="Arial" w:cs="Arial" w:eastAsia="Arial" w:hAnsi="Arial"/>
                  <w:sz w:val="18"/>
                  <w:szCs w:val="18"/>
                  <w:color w:val="0000FF"/>
                  <w:w w:val="98"/>
                </w:rPr>
                <w:t>Purchase and Sale Agreement, dated as of October 5, 2021, by and between Dominion Energy Questar Corporation and</w:t>
              </w:r>
            </w:hyperlink>
          </w:p>
        </w:tc>
      </w:tr>
      <w:tr>
        <w:trPr>
          <w:trHeight w:val="155"/>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Southwest Gas Holdings, Inc.. Incorporated herein by reference to Exhibit 2.1 to Form 8-K dated October 5, 2021,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Arial" w:cs="Arial" w:eastAsia="Arial" w:hAnsi="Arial"/>
                <w:sz w:val="18"/>
                <w:szCs w:val="18"/>
                <w:color w:val="0000FF"/>
                <w:w w:val="87"/>
              </w:rPr>
            </w:pPr>
            <w:hyperlink r:id="rId68">
              <w:r>
                <w:rPr>
                  <w:rFonts w:ascii="Arial" w:cs="Arial" w:eastAsia="Arial" w:hAnsi="Arial"/>
                  <w:sz w:val="18"/>
                  <w:szCs w:val="18"/>
                  <w:color w:val="0000FF"/>
                  <w:w w:val="87"/>
                </w:rPr>
                <w:t>37976.</w:t>
              </w:r>
            </w:hyperlink>
          </w:p>
        </w:tc>
        <w:tc>
          <w:tcPr>
            <w:tcW w:w="2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3(i)</w:t>
            </w:r>
          </w:p>
        </w:tc>
        <w:tc>
          <w:tcPr>
            <w:tcW w:w="9880" w:type="dxa"/>
            <w:vAlign w:val="bottom"/>
            <w:gridSpan w:val="21"/>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69">
              <w:r>
                <w:rPr>
                  <w:rFonts w:ascii="Arial" w:cs="Arial" w:eastAsia="Arial" w:hAnsi="Arial"/>
                  <w:sz w:val="18"/>
                  <w:szCs w:val="18"/>
                  <w:color w:val="0000FF"/>
                  <w:w w:val="94"/>
                </w:rPr>
                <w:t>Certificate of Designations of the Series A Junior Participating Preferred Stock. Incorporated herein by reference to Exhibit 3.1</w:t>
              </w:r>
            </w:hyperlink>
          </w:p>
        </w:tc>
      </w:tr>
      <w:tr>
        <w:trPr>
          <w:trHeight w:val="156"/>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to Form 8-K dated October 10, 2021, File No. 001-37976.</w:t>
              </w:r>
            </w:hyperlink>
          </w:p>
        </w:tc>
        <w:tc>
          <w:tcPr>
            <w:tcW w:w="50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3.01</w:t>
            </w:r>
          </w:p>
        </w:tc>
        <w:tc>
          <w:tcPr>
            <w:tcW w:w="9880" w:type="dxa"/>
            <w:vAlign w:val="bottom"/>
            <w:gridSpan w:val="21"/>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0">
              <w:r>
                <w:rPr>
                  <w:rFonts w:ascii="Arial" w:cs="Arial" w:eastAsia="Arial" w:hAnsi="Arial"/>
                  <w:sz w:val="18"/>
                  <w:szCs w:val="18"/>
                  <w:color w:val="0000FF"/>
                  <w:w w:val="94"/>
                </w:rPr>
                <w:t>Amended and Restated Bylaws of Southwest Gas Holdings, Inc., effective October 18, 2021. Incorporated herein by reference</w:t>
              </w:r>
            </w:hyperlink>
          </w:p>
        </w:tc>
      </w:tr>
      <w:tr>
        <w:trPr>
          <w:trHeight w:val="156"/>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to Exhibit 3.1 to Form 8-K dated October 18, 2021, File No. 001-37976.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Exhibit 4.01</w:t>
            </w:r>
          </w:p>
        </w:tc>
        <w:tc>
          <w:tcPr>
            <w:tcW w:w="9880" w:type="dxa"/>
            <w:vAlign w:val="bottom"/>
            <w:gridSpan w:val="21"/>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1">
              <w:r>
                <w:rPr>
                  <w:rFonts w:ascii="Arial" w:cs="Arial" w:eastAsia="Arial" w:hAnsi="Arial"/>
                  <w:sz w:val="18"/>
                  <w:szCs w:val="18"/>
                  <w:color w:val="0000FF"/>
                  <w:w w:val="96"/>
                </w:rPr>
                <w:t>Second Supplemental Indenture, dated August 20, 2021, by and between Southwest Gas Corporation and The Bank of New</w:t>
              </w:r>
            </w:hyperlink>
          </w:p>
        </w:tc>
      </w:tr>
      <w:tr>
        <w:trPr>
          <w:trHeight w:val="155"/>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20" w:type="dxa"/>
            <w:vAlign w:val="bottom"/>
            <w:tcBorders>
              <w:top w:val="single" w:sz="8" w:color="0000FF"/>
            </w:tcBorders>
            <w:gridSpan w:val="14"/>
          </w:tcPr>
          <w:p>
            <w:pPr>
              <w:spacing w:after="0" w:line="15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York Mellon Trust Company, N.A., as Trustee. Incorporated herein by reference to Exhibit 4.1 to Form 8-K dated August 18,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2021, File Nos. 001-37976 and 001-07850.</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Exhibit 4.02</w:t>
            </w:r>
          </w:p>
        </w:tc>
        <w:tc>
          <w:tcPr>
            <w:tcW w:w="9880" w:type="dxa"/>
            <w:vAlign w:val="bottom"/>
            <w:gridSpan w:val="21"/>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1">
              <w:r>
                <w:rPr>
                  <w:rFonts w:ascii="Arial" w:cs="Arial" w:eastAsia="Arial" w:hAnsi="Arial"/>
                  <w:sz w:val="18"/>
                  <w:szCs w:val="18"/>
                  <w:color w:val="0000FF"/>
                  <w:w w:val="96"/>
                </w:rPr>
                <w:t>Form of 3.18% Senior Note due 2051 (included in Exhibit 4.01). Incorporated herein by reference to Exhibit 4.2 to Form 8-K</w:t>
              </w:r>
            </w:hyperlink>
          </w:p>
        </w:tc>
      </w:tr>
      <w:tr>
        <w:trPr>
          <w:trHeight w:val="155"/>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dated August 18, 2021, File Nos. 001-37976 and 001-07850.</w:t>
              </w:r>
            </w:hyperlink>
          </w:p>
        </w:tc>
        <w:tc>
          <w:tcPr>
            <w:tcW w:w="50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4.03</w:t>
            </w:r>
          </w:p>
        </w:tc>
        <w:tc>
          <w:tcPr>
            <w:tcW w:w="9880" w:type="dxa"/>
            <w:vAlign w:val="bottom"/>
            <w:gridSpan w:val="21"/>
          </w:tcPr>
          <w:p>
            <w:pPr>
              <w:ind w:left="2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2">
              <w:r>
                <w:rPr>
                  <w:rFonts w:ascii="Arial" w:cs="Arial" w:eastAsia="Arial" w:hAnsi="Arial"/>
                  <w:sz w:val="18"/>
                  <w:szCs w:val="18"/>
                  <w:color w:val="0000FF"/>
                  <w:w w:val="97"/>
                </w:rPr>
                <w:t>Southwest Gas Corporation 3.18% Senior Notes due 2051. Incorporated herein by reference to prospectus 424(b)(5) dated</w:t>
              </w:r>
            </w:hyperlink>
          </w:p>
        </w:tc>
      </w:tr>
      <w:tr>
        <w:trPr>
          <w:trHeight w:val="156"/>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August 18, 2021, File No. 333-251074-01.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4.04</w:t>
            </w:r>
          </w:p>
        </w:tc>
        <w:tc>
          <w:tcPr>
            <w:tcW w:w="9880" w:type="dxa"/>
            <w:vAlign w:val="bottom"/>
            <w:gridSpan w:val="21"/>
          </w:tcPr>
          <w:p>
            <w:pPr>
              <w:ind w:left="2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3">
              <w:r>
                <w:rPr>
                  <w:rFonts w:ascii="Arial" w:cs="Arial" w:eastAsia="Arial" w:hAnsi="Arial"/>
                  <w:sz w:val="18"/>
                  <w:szCs w:val="18"/>
                  <w:color w:val="0000FF"/>
                  <w:w w:val="97"/>
                </w:rPr>
                <w:t>Rights Agreement, dated October 10, 2021, between Southwest Gas Holdings, Inc. and Equiniti Trust Company, as Rights</w:t>
              </w:r>
            </w:hyperlink>
          </w:p>
        </w:tc>
      </w:tr>
      <w:tr>
        <w:trPr>
          <w:trHeight w:val="155"/>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Agent. Incorporated herein by reference to Exhibit 4.1 to Form 8-K dated October 10, 2021, File No. 001-37976.</w:t>
              </w:r>
            </w:hyperlink>
          </w:p>
        </w:tc>
        <w:tc>
          <w:tcPr>
            <w:tcW w:w="110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Exhibit 10.01</w:t>
            </w:r>
          </w:p>
        </w:tc>
        <w:tc>
          <w:tcPr>
            <w:tcW w:w="9880" w:type="dxa"/>
            <w:vAlign w:val="bottom"/>
            <w:gridSpan w:val="21"/>
          </w:tcPr>
          <w:p>
            <w:pPr>
              <w:ind w:left="2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w:anchor="page57">
              <w:r>
                <w:rPr>
                  <w:rFonts w:ascii="Arial" w:cs="Arial" w:eastAsia="Arial" w:hAnsi="Arial"/>
                  <w:sz w:val="18"/>
                  <w:szCs w:val="18"/>
                  <w:color w:val="0000FF"/>
                  <w:w w:val="99"/>
                </w:rPr>
                <w:t>Credit Agreement with Wells Fargo Securities, LLC and BofA Securities, Inc., as joint lead arrangers, Wells Fargo Bank,</w:t>
              </w:r>
            </w:hyperlink>
          </w:p>
        </w:tc>
      </w:tr>
      <w:tr>
        <w:trPr>
          <w:trHeight w:val="156"/>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w:anchor="page57">
              <w:r>
                <w:rPr>
                  <w:rFonts w:ascii="Arial" w:cs="Arial" w:eastAsia="Arial" w:hAnsi="Arial"/>
                  <w:sz w:val="18"/>
                  <w:szCs w:val="18"/>
                  <w:color w:val="0000FF"/>
                  <w:w w:val="94"/>
                </w:rPr>
                <w:t>National Association, as administrative agent, Bank of America, N.A., as syndication agent, and the other lenders and agents</w:t>
              </w:r>
            </w:hyperlink>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80" w:type="dxa"/>
            <w:vAlign w:val="bottom"/>
            <w:tcBorders>
              <w:top w:val="single" w:sz="8" w:color="0000FF"/>
            </w:tcBorders>
            <w:gridSpan w:val="12"/>
          </w:tcPr>
          <w:p>
            <w:pPr>
              <w:spacing w:after="0" w:line="156" w:lineRule="exact"/>
              <w:rPr>
                <w:rFonts w:ascii="Arial" w:cs="Arial" w:eastAsia="Arial" w:hAnsi="Arial"/>
                <w:sz w:val="18"/>
                <w:szCs w:val="18"/>
                <w:color w:val="0000FF"/>
                <w:w w:val="97"/>
              </w:rPr>
            </w:pPr>
            <w:hyperlink w:anchor="page57">
              <w:r>
                <w:rPr>
                  <w:rFonts w:ascii="Arial" w:cs="Arial" w:eastAsia="Arial" w:hAnsi="Arial"/>
                  <w:sz w:val="18"/>
                  <w:szCs w:val="18"/>
                  <w:color w:val="0000FF"/>
                  <w:w w:val="97"/>
                </w:rPr>
                <w:t>party thereto. Incorporated herein by reference to Exhibit 10.1 to Form 8-K dated August 27, 2021, File No. 001-37976</w:t>
              </w:r>
              <w:r>
                <w:rPr>
                  <w:rFonts w:ascii="Arial" w:cs="Arial" w:eastAsia="Arial" w:hAnsi="Arial"/>
                  <w:sz w:val="18"/>
                  <w:szCs w:val="18"/>
                  <w:color w:val="000000"/>
                  <w:w w:val="97"/>
                </w:rPr>
                <w:t>.</w:t>
              </w:r>
            </w:hyperlink>
          </w:p>
        </w:tc>
        <w:tc>
          <w:tcPr>
            <w:tcW w:w="160" w:type="dxa"/>
            <w:vAlign w:val="bottom"/>
            <w:gridSpan w:val="8"/>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Exhibit 31.01</w:t>
            </w:r>
          </w:p>
        </w:tc>
        <w:tc>
          <w:tcPr>
            <w:tcW w:w="9880" w:type="dxa"/>
            <w:vAlign w:val="bottom"/>
            <w:gridSpan w:val="2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48">
              <w:r>
                <w:rPr>
                  <w:rFonts w:ascii="Arial" w:cs="Arial" w:eastAsia="Arial" w:hAnsi="Arial"/>
                  <w:sz w:val="18"/>
                  <w:szCs w:val="18"/>
                  <w:color w:val="0000FF"/>
                </w:rPr>
                <w:t>Section 302 Certifications–Southwest Gas Holdings, Inc.</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340" w:type="dxa"/>
            <w:vAlign w:val="bottom"/>
            <w:gridSpan w:val="16"/>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31.02</w:t>
            </w:r>
          </w:p>
        </w:tc>
        <w:tc>
          <w:tcPr>
            <w:tcW w:w="9880" w:type="dxa"/>
            <w:vAlign w:val="bottom"/>
            <w:gridSpan w:val="2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50">
              <w:r>
                <w:rPr>
                  <w:rFonts w:ascii="Arial" w:cs="Arial" w:eastAsia="Arial" w:hAnsi="Arial"/>
                  <w:sz w:val="18"/>
                  <w:szCs w:val="18"/>
                  <w:color w:val="0000FF"/>
                </w:rPr>
                <w:t>Section 302 Certifications–Southwest Gas Corporation</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480" w:type="dxa"/>
            <w:vAlign w:val="bottom"/>
            <w:gridSpan w:val="17"/>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Exhibit 32.01</w:t>
            </w:r>
          </w:p>
        </w:tc>
        <w:tc>
          <w:tcPr>
            <w:tcW w:w="9880" w:type="dxa"/>
            <w:vAlign w:val="bottom"/>
            <w:gridSpan w:val="2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52">
              <w:r>
                <w:rPr>
                  <w:rFonts w:ascii="Arial" w:cs="Arial" w:eastAsia="Arial" w:hAnsi="Arial"/>
                  <w:sz w:val="18"/>
                  <w:szCs w:val="18"/>
                  <w:color w:val="0000FF"/>
                </w:rPr>
                <w:t>Section 906 Certifications–Southwest Gas Holdings, Inc.</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5340" w:type="dxa"/>
            <w:vAlign w:val="bottom"/>
            <w:gridSpan w:val="16"/>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32.02</w:t>
            </w:r>
          </w:p>
        </w:tc>
        <w:tc>
          <w:tcPr>
            <w:tcW w:w="9880" w:type="dxa"/>
            <w:vAlign w:val="bottom"/>
            <w:gridSpan w:val="2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53">
              <w:r>
                <w:rPr>
                  <w:rFonts w:ascii="Arial" w:cs="Arial" w:eastAsia="Arial" w:hAnsi="Arial"/>
                  <w:sz w:val="18"/>
                  <w:szCs w:val="18"/>
                  <w:color w:val="0000FF"/>
                </w:rPr>
                <w:t>Section 906 Certifications–Southwest Gas Corporation</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480" w:type="dxa"/>
            <w:vAlign w:val="bottom"/>
            <w:gridSpan w:val="17"/>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9880" w:type="dxa"/>
            <w:vAlign w:val="bottom"/>
            <w:gridSpan w:val="21"/>
          </w:tcPr>
          <w:p>
            <w:pPr>
              <w:ind w:left="200"/>
              <w:spacing w:after="0"/>
              <w:rPr>
                <w:sz w:val="20"/>
                <w:szCs w:val="20"/>
                <w:color w:val="auto"/>
              </w:rPr>
            </w:pPr>
            <w:r>
              <w:rPr>
                <w:rFonts w:ascii="Arial" w:cs="Arial" w:eastAsia="Arial" w:hAnsi="Arial"/>
                <w:sz w:val="18"/>
                <w:szCs w:val="18"/>
                <w:color w:val="auto"/>
                <w:w w:val="97"/>
              </w:rPr>
              <w:t>-  XBRL Instance Document - the instance document does not appear in the Interactive Data File because its XBRL tags are</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9880" w:type="dxa"/>
            <w:vAlign w:val="bottom"/>
            <w:gridSpan w:val="21"/>
          </w:tcPr>
          <w:p>
            <w:pPr>
              <w:ind w:left="200"/>
              <w:spacing w:after="0"/>
              <w:rPr>
                <w:sz w:val="20"/>
                <w:szCs w:val="20"/>
                <w:color w:val="auto"/>
              </w:rPr>
            </w:pPr>
            <w:r>
              <w:rPr>
                <w:rFonts w:ascii="Arial" w:cs="Arial" w:eastAsia="Arial" w:hAnsi="Arial"/>
                <w:sz w:val="18"/>
                <w:szCs w:val="18"/>
                <w:color w:val="auto"/>
              </w:rPr>
              <w:t>-  XBRL Schema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9880" w:type="dxa"/>
            <w:vAlign w:val="bottom"/>
            <w:gridSpan w:val="21"/>
          </w:tcPr>
          <w:p>
            <w:pPr>
              <w:ind w:left="200"/>
              <w:spacing w:after="0"/>
              <w:rPr>
                <w:sz w:val="20"/>
                <w:szCs w:val="20"/>
                <w:color w:val="auto"/>
              </w:rPr>
            </w:pPr>
            <w:r>
              <w:rPr>
                <w:rFonts w:ascii="Arial" w:cs="Arial" w:eastAsia="Arial" w:hAnsi="Arial"/>
                <w:sz w:val="18"/>
                <w:szCs w:val="18"/>
                <w:color w:val="auto"/>
              </w:rPr>
              <w:t>-  XBRL Calculation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9880" w:type="dxa"/>
            <w:vAlign w:val="bottom"/>
            <w:gridSpan w:val="21"/>
          </w:tcPr>
          <w:p>
            <w:pPr>
              <w:ind w:left="200"/>
              <w:spacing w:after="0"/>
              <w:rPr>
                <w:sz w:val="20"/>
                <w:szCs w:val="20"/>
                <w:color w:val="auto"/>
              </w:rPr>
            </w:pPr>
            <w:r>
              <w:rPr>
                <w:rFonts w:ascii="Arial" w:cs="Arial" w:eastAsia="Arial" w:hAnsi="Arial"/>
                <w:sz w:val="18"/>
                <w:szCs w:val="18"/>
                <w:color w:val="auto"/>
              </w:rPr>
              <w:t>-  XBRL Definition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9880" w:type="dxa"/>
            <w:vAlign w:val="bottom"/>
            <w:gridSpan w:val="21"/>
          </w:tcPr>
          <w:p>
            <w:pPr>
              <w:ind w:left="200"/>
              <w:spacing w:after="0"/>
              <w:rPr>
                <w:sz w:val="20"/>
                <w:szCs w:val="20"/>
                <w:color w:val="auto"/>
              </w:rPr>
            </w:pPr>
            <w:r>
              <w:rPr>
                <w:rFonts w:ascii="Arial" w:cs="Arial" w:eastAsia="Arial" w:hAnsi="Arial"/>
                <w:sz w:val="18"/>
                <w:szCs w:val="18"/>
                <w:color w:val="auto"/>
              </w:rPr>
              <w:t>-  XBRL Label Linkbase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Exhibit 101.PRE</w:t>
            </w:r>
          </w:p>
        </w:tc>
        <w:tc>
          <w:tcPr>
            <w:tcW w:w="9880" w:type="dxa"/>
            <w:vAlign w:val="bottom"/>
            <w:gridSpan w:val="21"/>
          </w:tcPr>
          <w:p>
            <w:pPr>
              <w:ind w:left="200"/>
              <w:spacing w:after="0"/>
              <w:rPr>
                <w:sz w:val="20"/>
                <w:szCs w:val="20"/>
                <w:color w:val="auto"/>
              </w:rPr>
            </w:pPr>
            <w:r>
              <w:rPr>
                <w:rFonts w:ascii="Arial" w:cs="Arial" w:eastAsia="Arial" w:hAnsi="Arial"/>
                <w:sz w:val="18"/>
                <w:szCs w:val="18"/>
                <w:color w:val="auto"/>
              </w:rPr>
              <w:t>-  XBRL Presentation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104</w:t>
            </w:r>
          </w:p>
        </w:tc>
        <w:tc>
          <w:tcPr>
            <w:tcW w:w="9880" w:type="dxa"/>
            <w:vAlign w:val="bottom"/>
            <w:gridSpan w:val="21"/>
          </w:tcPr>
          <w:p>
            <w:pPr>
              <w:ind w:left="200"/>
              <w:spacing w:after="0"/>
              <w:rPr>
                <w:sz w:val="20"/>
                <w:szCs w:val="20"/>
                <w:color w:val="auto"/>
              </w:rPr>
            </w:pPr>
            <w:r>
              <w:rPr>
                <w:rFonts w:ascii="Arial" w:cs="Arial" w:eastAsia="Arial" w:hAnsi="Arial"/>
                <w:sz w:val="18"/>
                <w:szCs w:val="18"/>
                <w:color w:val="auto"/>
              </w:rPr>
              <w:t>-  Cover Page Interactive Data File (embedded within the Inline XBRL document).</w:t>
            </w:r>
          </w:p>
        </w:tc>
      </w:tr>
    </w:tbl>
    <w:p>
      <w:pPr>
        <w:spacing w:after="0" w:line="53" w:lineRule="exact"/>
        <w:rPr>
          <w:sz w:val="20"/>
          <w:szCs w:val="20"/>
          <w:color w:val="auto"/>
        </w:rPr>
      </w:pPr>
    </w:p>
    <w:p>
      <w:pPr>
        <w:ind w:left="20" w:right="340"/>
        <w:spacing w:after="0" w:line="235" w:lineRule="auto"/>
        <w:rPr>
          <w:sz w:val="20"/>
          <w:szCs w:val="20"/>
          <w:color w:val="auto"/>
        </w:rPr>
      </w:pPr>
      <w:r>
        <w:rPr>
          <w:rFonts w:ascii="Arial" w:cs="Arial" w:eastAsia="Arial" w:hAnsi="Arial"/>
          <w:sz w:val="18"/>
          <w:szCs w:val="18"/>
          <w:color w:val="auto"/>
        </w:rPr>
        <w:t>*The Company has omitted schedules and other similar attachments to such agreement pursuant to Item 601(b) of Regulation S-K. The Company will furnish a copy of such omitted document to the SEC upon request.</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55" w:name="page56"/>
    <w:bookmarkEnd w:id="5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25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Number: 15643XAA6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Revolving Credit CUSIP Number: 15643XAB4</w:t>
      </w:r>
    </w:p>
    <w:p>
      <w:pPr>
        <w:jc w:val="right"/>
        <w:spacing w:after="0"/>
        <w:rPr>
          <w:sz w:val="20"/>
          <w:szCs w:val="20"/>
          <w:color w:val="auto"/>
        </w:rPr>
      </w:pPr>
      <w:r>
        <w:rPr>
          <w:rFonts w:ascii="Arial" w:cs="Arial" w:eastAsia="Arial" w:hAnsi="Arial"/>
          <w:sz w:val="20"/>
          <w:szCs w:val="20"/>
          <w:color w:val="auto"/>
        </w:rPr>
        <w:t>Initial Term Loan CUSIP Number: 15643XAC2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CREDIT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August 27, 2021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CENTURI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b w:val="1"/>
          <w:bCs w:val="1"/>
          <w:color w:val="auto"/>
        </w:rPr>
        <w:t>each Additional Borrower,</w:t>
      </w:r>
    </w:p>
    <w:p>
      <w:pPr>
        <w:jc w:val="center"/>
        <w:spacing w:after="0"/>
        <w:rPr>
          <w:sz w:val="20"/>
          <w:szCs w:val="20"/>
          <w:color w:val="auto"/>
        </w:rPr>
      </w:pPr>
      <w:r>
        <w:rPr>
          <w:rFonts w:ascii="Arial" w:cs="Arial" w:eastAsia="Arial" w:hAnsi="Arial"/>
          <w:sz w:val="20"/>
          <w:szCs w:val="20"/>
          <w:color w:val="auto"/>
        </w:rPr>
        <w:t>as US Borrowers,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CENTURI CANADA DIVISION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b w:val="1"/>
          <w:bCs w:val="1"/>
          <w:color w:val="auto"/>
        </w:rPr>
        <w:t>each Additional Borrower,</w:t>
      </w:r>
    </w:p>
    <w:p>
      <w:pPr>
        <w:jc w:val="center"/>
        <w:spacing w:after="0"/>
        <w:rPr>
          <w:sz w:val="20"/>
          <w:szCs w:val="20"/>
          <w:color w:val="auto"/>
        </w:rPr>
      </w:pPr>
      <w:r>
        <w:rPr>
          <w:rFonts w:ascii="Arial" w:cs="Arial" w:eastAsia="Arial" w:hAnsi="Arial"/>
          <w:sz w:val="20"/>
          <w:szCs w:val="20"/>
          <w:color w:val="auto"/>
        </w:rPr>
        <w:t>as Canadian Borrowers,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referred to herein,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Lenders,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jc w:val="center"/>
        <w:spacing w:after="0"/>
        <w:rPr>
          <w:sz w:val="20"/>
          <w:szCs w:val="20"/>
          <w:color w:val="auto"/>
        </w:rPr>
      </w:pPr>
      <w:r>
        <w:rPr>
          <w:rFonts w:ascii="Arial" w:cs="Arial" w:eastAsia="Arial" w:hAnsi="Arial"/>
          <w:sz w:val="20"/>
          <w:szCs w:val="20"/>
          <w:color w:val="auto"/>
        </w:rPr>
        <w:t>Swingline Lender and Issuing Lender,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WELLS FARGO SECURITIES,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b w:val="1"/>
          <w:bCs w:val="1"/>
          <w:color w:val="auto"/>
        </w:rPr>
        <w:t>BOFA SECURITIES, INC.,</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Syndication Agent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CANADIAN IMPERIAL BANK OF COMMERCE,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PNC BANK, NATIONAL ASSOCIATION,</w:t>
      </w:r>
    </w:p>
    <w:p>
      <w:pPr>
        <w:jc w:val="center"/>
        <w:spacing w:after="0"/>
        <w:rPr>
          <w:sz w:val="20"/>
          <w:szCs w:val="20"/>
          <w:color w:val="auto"/>
        </w:rPr>
      </w:pPr>
      <w:r>
        <w:rPr>
          <w:rFonts w:ascii="Arial" w:cs="Arial" w:eastAsia="Arial" w:hAnsi="Arial"/>
          <w:sz w:val="20"/>
          <w:szCs w:val="20"/>
          <w:b w:val="1"/>
          <w:bCs w:val="1"/>
          <w:color w:val="auto"/>
        </w:rPr>
        <w:t>TRUIST BANK,</w:t>
      </w:r>
    </w:p>
    <w:p>
      <w:pPr>
        <w:jc w:val="center"/>
        <w:spacing w:after="0"/>
        <w:rPr>
          <w:sz w:val="20"/>
          <w:szCs w:val="20"/>
          <w:color w:val="auto"/>
        </w:rPr>
      </w:pPr>
      <w:r>
        <w:rPr>
          <w:rFonts w:ascii="Arial" w:cs="Arial" w:eastAsia="Arial" w:hAnsi="Arial"/>
          <w:sz w:val="20"/>
          <w:szCs w:val="20"/>
          <w:b w:val="1"/>
          <w:bCs w:val="1"/>
          <w:color w:val="auto"/>
        </w:rPr>
        <w:t>U.S. BANK NATIONAL ASSOCIATION</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18"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1769110</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1820545</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108703956_2</w:t>
      </w:r>
    </w:p>
    <w:p>
      <w:pPr>
        <w:sectPr>
          <w:pgSz w:w="11900" w:h="16838" w:orient="portrait"/>
          <w:cols w:equalWidth="0" w:num="1">
            <w:col w:w="10139"/>
          </w:cols>
          <w:pgMar w:left="320" w:top="1440" w:right="1440" w:bottom="1440" w:gutter="0" w:footer="0" w:header="0"/>
        </w:sectPr>
      </w:pPr>
    </w:p>
    <w:bookmarkStart w:id="58" w:name="page59"/>
    <w:bookmarkEnd w:id="58"/>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540" w:type="dxa"/>
            <w:vAlign w:val="bottom"/>
            <w:gridSpan w:val="2"/>
          </w:tcPr>
          <w:p>
            <w:pPr>
              <w:spacing w:after="0"/>
              <w:rPr>
                <w:sz w:val="20"/>
                <w:szCs w:val="20"/>
                <w:color w:val="auto"/>
              </w:rPr>
            </w:pPr>
            <w:r>
              <w:rPr>
                <w:rFonts w:ascii="Arial" w:cs="Arial" w:eastAsia="Arial" w:hAnsi="Arial"/>
                <w:sz w:val="20"/>
                <w:szCs w:val="20"/>
                <w:color w:val="auto"/>
              </w:rPr>
              <w:t>ARTICLE I  DEFINITIONS</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1.1</w:t>
            </w:r>
          </w:p>
        </w:tc>
        <w:tc>
          <w:tcPr>
            <w:tcW w:w="1020" w:type="dxa"/>
            <w:vAlign w:val="bottom"/>
            <w:gridSpan w:val="2"/>
          </w:tcPr>
          <w:p>
            <w:pPr>
              <w:ind w:left="40"/>
              <w:spacing w:after="0"/>
              <w:rPr>
                <w:sz w:val="20"/>
                <w:szCs w:val="20"/>
                <w:color w:val="auto"/>
              </w:rPr>
            </w:pPr>
            <w:r>
              <w:rPr>
                <w:rFonts w:ascii="Arial" w:cs="Arial" w:eastAsia="Arial" w:hAnsi="Arial"/>
                <w:sz w:val="20"/>
                <w:szCs w:val="20"/>
                <w:color w:val="auto"/>
              </w:rPr>
              <w:t>Definitions</w:t>
            </w: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7"/>
        </w:trPr>
        <w:tc>
          <w:tcPr>
            <w:tcW w:w="1940" w:type="dxa"/>
            <w:vAlign w:val="bottom"/>
          </w:tcPr>
          <w:p>
            <w:pPr>
              <w:ind w:left="660"/>
              <w:spacing w:after="0"/>
              <w:rPr>
                <w:sz w:val="20"/>
                <w:szCs w:val="20"/>
                <w:color w:val="auto"/>
              </w:rPr>
            </w:pPr>
            <w:r>
              <w:rPr>
                <w:rFonts w:ascii="Arial" w:cs="Arial" w:eastAsia="Arial" w:hAnsi="Arial"/>
                <w:sz w:val="20"/>
                <w:szCs w:val="20"/>
                <w:color w:val="auto"/>
              </w:rPr>
              <w:t>SECTION 1.2</w:t>
            </w:r>
          </w:p>
        </w:tc>
        <w:tc>
          <w:tcPr>
            <w:tcW w:w="2660" w:type="dxa"/>
            <w:vAlign w:val="bottom"/>
            <w:gridSpan w:val="6"/>
          </w:tcPr>
          <w:p>
            <w:pPr>
              <w:ind w:left="40"/>
              <w:spacing w:after="0"/>
              <w:rPr>
                <w:sz w:val="20"/>
                <w:szCs w:val="20"/>
                <w:color w:val="auto"/>
              </w:rPr>
            </w:pPr>
            <w:r>
              <w:rPr>
                <w:rFonts w:ascii="Arial" w:cs="Arial" w:eastAsia="Arial" w:hAnsi="Arial"/>
                <w:sz w:val="20"/>
                <w:szCs w:val="20"/>
                <w:color w:val="auto"/>
                <w:w w:val="91"/>
              </w:rPr>
              <w:t>Other Definitions and Provisions</w:t>
            </w:r>
          </w:p>
        </w:tc>
        <w:tc>
          <w:tcPr>
            <w:tcW w:w="400" w:type="dxa"/>
            <w:vAlign w:val="bottom"/>
          </w:tcPr>
          <w:p>
            <w:pPr>
              <w:jc w:val="right"/>
              <w:spacing w:after="0"/>
              <w:rPr>
                <w:sz w:val="20"/>
                <w:szCs w:val="20"/>
                <w:color w:val="auto"/>
              </w:rPr>
            </w:pPr>
            <w:r>
              <w:rPr>
                <w:rFonts w:ascii="Arial" w:cs="Arial" w:eastAsia="Arial" w:hAnsi="Arial"/>
                <w:sz w:val="20"/>
                <w:szCs w:val="20"/>
                <w:color w:val="auto"/>
              </w:rPr>
              <w:t>49</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1.3</w:t>
            </w:r>
          </w:p>
        </w:tc>
        <w:tc>
          <w:tcPr>
            <w:tcW w:w="1540" w:type="dxa"/>
            <w:vAlign w:val="bottom"/>
            <w:gridSpan w:val="3"/>
          </w:tcPr>
          <w:p>
            <w:pPr>
              <w:ind w:left="40"/>
              <w:spacing w:after="0"/>
              <w:rPr>
                <w:sz w:val="20"/>
                <w:szCs w:val="20"/>
                <w:color w:val="auto"/>
              </w:rPr>
            </w:pPr>
            <w:r>
              <w:rPr>
                <w:rFonts w:ascii="Arial" w:cs="Arial" w:eastAsia="Arial" w:hAnsi="Arial"/>
                <w:sz w:val="20"/>
                <w:szCs w:val="20"/>
                <w:color w:val="auto"/>
                <w:w w:val="91"/>
              </w:rPr>
              <w:t>Accounting Terms</w:t>
            </w:r>
          </w:p>
        </w:tc>
        <w:tc>
          <w:tcPr>
            <w:tcW w:w="380" w:type="dxa"/>
            <w:vAlign w:val="bottom"/>
          </w:tcPr>
          <w:p>
            <w:pPr>
              <w:jc w:val="right"/>
              <w:spacing w:after="0"/>
              <w:rPr>
                <w:sz w:val="20"/>
                <w:szCs w:val="20"/>
                <w:color w:val="auto"/>
              </w:rPr>
            </w:pPr>
            <w:r>
              <w:rPr>
                <w:rFonts w:ascii="Arial" w:cs="Arial" w:eastAsia="Arial" w:hAnsi="Arial"/>
                <w:sz w:val="20"/>
                <w:szCs w:val="20"/>
                <w:color w:val="auto"/>
              </w:rPr>
              <w:t>50</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1.4</w:t>
            </w:r>
          </w:p>
        </w:tc>
        <w:tc>
          <w:tcPr>
            <w:tcW w:w="1920" w:type="dxa"/>
            <w:vAlign w:val="bottom"/>
            <w:gridSpan w:val="4"/>
          </w:tcPr>
          <w:p>
            <w:pPr>
              <w:ind w:left="40"/>
              <w:spacing w:after="0"/>
              <w:rPr>
                <w:sz w:val="20"/>
                <w:szCs w:val="20"/>
                <w:color w:val="auto"/>
              </w:rPr>
            </w:pPr>
            <w:r>
              <w:rPr>
                <w:rFonts w:ascii="Arial" w:cs="Arial" w:eastAsia="Arial" w:hAnsi="Arial"/>
                <w:sz w:val="20"/>
                <w:szCs w:val="20"/>
                <w:color w:val="auto"/>
                <w:w w:val="91"/>
              </w:rPr>
              <w:t>UCC and PPSA Terms</w:t>
            </w:r>
          </w:p>
        </w:tc>
        <w:tc>
          <w:tcPr>
            <w:tcW w:w="740" w:type="dxa"/>
            <w:vAlign w:val="bottom"/>
            <w:gridSpan w:val="2"/>
          </w:tcPr>
          <w:p>
            <w:pPr>
              <w:jc w:val="right"/>
              <w:ind w:right="321"/>
              <w:spacing w:after="0"/>
              <w:rPr>
                <w:sz w:val="20"/>
                <w:szCs w:val="20"/>
                <w:color w:val="auto"/>
              </w:rPr>
            </w:pPr>
            <w:r>
              <w:rPr>
                <w:rFonts w:ascii="Arial" w:cs="Arial" w:eastAsia="Arial" w:hAnsi="Arial"/>
                <w:sz w:val="20"/>
                <w:szCs w:val="20"/>
                <w:color w:val="auto"/>
              </w:rPr>
              <w:t>50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1.5</w:t>
            </w:r>
          </w:p>
        </w:tc>
        <w:tc>
          <w:tcPr>
            <w:tcW w:w="1020" w:type="dxa"/>
            <w:vAlign w:val="bottom"/>
            <w:gridSpan w:val="2"/>
          </w:tcPr>
          <w:p>
            <w:pPr>
              <w:ind w:left="40"/>
              <w:spacing w:after="0"/>
              <w:rPr>
                <w:sz w:val="20"/>
                <w:szCs w:val="20"/>
                <w:color w:val="auto"/>
              </w:rPr>
            </w:pPr>
            <w:r>
              <w:rPr>
                <w:rFonts w:ascii="Arial" w:cs="Arial" w:eastAsia="Arial" w:hAnsi="Arial"/>
                <w:sz w:val="20"/>
                <w:szCs w:val="20"/>
                <w:color w:val="auto"/>
              </w:rPr>
              <w:t>Rounding</w:t>
            </w:r>
          </w:p>
        </w:tc>
        <w:tc>
          <w:tcPr>
            <w:tcW w:w="520" w:type="dxa"/>
            <w:vAlign w:val="bottom"/>
          </w:tcPr>
          <w:p>
            <w:pPr>
              <w:jc w:val="right"/>
              <w:ind w:right="221"/>
              <w:spacing w:after="0"/>
              <w:rPr>
                <w:sz w:val="20"/>
                <w:szCs w:val="20"/>
                <w:color w:val="auto"/>
              </w:rPr>
            </w:pPr>
            <w:r>
              <w:rPr>
                <w:rFonts w:ascii="Arial" w:cs="Arial" w:eastAsia="Arial" w:hAnsi="Arial"/>
                <w:sz w:val="20"/>
                <w:szCs w:val="20"/>
                <w:color w:val="auto"/>
                <w:w w:val="80"/>
              </w:rPr>
              <w:t>50</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1.6</w:t>
            </w:r>
          </w:p>
        </w:tc>
        <w:tc>
          <w:tcPr>
            <w:tcW w:w="3060" w:type="dxa"/>
            <w:vAlign w:val="bottom"/>
            <w:gridSpan w:val="7"/>
          </w:tcPr>
          <w:p>
            <w:pPr>
              <w:ind w:left="40"/>
              <w:spacing w:after="0"/>
              <w:rPr>
                <w:sz w:val="20"/>
                <w:szCs w:val="20"/>
                <w:color w:val="auto"/>
              </w:rPr>
            </w:pPr>
            <w:r>
              <w:rPr>
                <w:rFonts w:ascii="Arial" w:cs="Arial" w:eastAsia="Arial" w:hAnsi="Arial"/>
                <w:sz w:val="20"/>
                <w:szCs w:val="20"/>
                <w:color w:val="auto"/>
                <w:w w:val="94"/>
              </w:rPr>
              <w:t>References to Agreement and Laws</w:t>
            </w:r>
          </w:p>
        </w:tc>
        <w:tc>
          <w:tcPr>
            <w:tcW w:w="560" w:type="dxa"/>
            <w:vAlign w:val="bottom"/>
          </w:tcPr>
          <w:p>
            <w:pPr>
              <w:jc w:val="right"/>
              <w:ind w:right="261"/>
              <w:spacing w:after="0"/>
              <w:rPr>
                <w:sz w:val="20"/>
                <w:szCs w:val="20"/>
                <w:color w:val="auto"/>
              </w:rPr>
            </w:pPr>
            <w:r>
              <w:rPr>
                <w:rFonts w:ascii="Arial" w:cs="Arial" w:eastAsia="Arial" w:hAnsi="Arial"/>
                <w:sz w:val="20"/>
                <w:szCs w:val="20"/>
                <w:color w:val="auto"/>
                <w:w w:val="80"/>
              </w:rPr>
              <w:t>51</w:t>
            </w: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1.7</w:t>
            </w:r>
          </w:p>
        </w:tc>
        <w:tc>
          <w:tcPr>
            <w:tcW w:w="1540" w:type="dxa"/>
            <w:vAlign w:val="bottom"/>
            <w:gridSpan w:val="3"/>
          </w:tcPr>
          <w:p>
            <w:pPr>
              <w:ind w:left="40"/>
              <w:spacing w:after="0"/>
              <w:rPr>
                <w:sz w:val="20"/>
                <w:szCs w:val="20"/>
                <w:color w:val="auto"/>
              </w:rPr>
            </w:pPr>
            <w:r>
              <w:rPr>
                <w:rFonts w:ascii="Arial" w:cs="Arial" w:eastAsia="Arial" w:hAnsi="Arial"/>
                <w:sz w:val="20"/>
                <w:szCs w:val="20"/>
                <w:color w:val="auto"/>
                <w:w w:val="97"/>
              </w:rPr>
              <w:t>Times of Day  51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1.8</w:t>
            </w:r>
          </w:p>
        </w:tc>
        <w:tc>
          <w:tcPr>
            <w:tcW w:w="2140" w:type="dxa"/>
            <w:vAlign w:val="bottom"/>
            <w:gridSpan w:val="5"/>
          </w:tcPr>
          <w:p>
            <w:pPr>
              <w:ind w:left="40"/>
              <w:spacing w:after="0"/>
              <w:rPr>
                <w:sz w:val="20"/>
                <w:szCs w:val="20"/>
                <w:color w:val="auto"/>
              </w:rPr>
            </w:pPr>
            <w:r>
              <w:rPr>
                <w:rFonts w:ascii="Arial" w:cs="Arial" w:eastAsia="Arial" w:hAnsi="Arial"/>
                <w:sz w:val="20"/>
                <w:szCs w:val="20"/>
                <w:color w:val="auto"/>
                <w:w w:val="95"/>
              </w:rPr>
              <w:t>Letter of Credit Amounts</w:t>
            </w:r>
          </w:p>
        </w:tc>
        <w:tc>
          <w:tcPr>
            <w:tcW w:w="520" w:type="dxa"/>
            <w:vAlign w:val="bottom"/>
          </w:tcPr>
          <w:p>
            <w:pPr>
              <w:jc w:val="right"/>
              <w:ind w:right="121"/>
              <w:spacing w:after="0"/>
              <w:rPr>
                <w:sz w:val="20"/>
                <w:szCs w:val="20"/>
                <w:color w:val="auto"/>
              </w:rPr>
            </w:pPr>
            <w:r>
              <w:rPr>
                <w:rFonts w:ascii="Arial" w:cs="Arial" w:eastAsia="Arial" w:hAnsi="Arial"/>
                <w:sz w:val="20"/>
                <w:szCs w:val="20"/>
                <w:color w:val="auto"/>
              </w:rPr>
              <w:t>51</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1.9</w:t>
            </w:r>
          </w:p>
        </w:tc>
        <w:tc>
          <w:tcPr>
            <w:tcW w:w="1920" w:type="dxa"/>
            <w:vAlign w:val="bottom"/>
            <w:gridSpan w:val="4"/>
          </w:tcPr>
          <w:p>
            <w:pPr>
              <w:ind w:left="40"/>
              <w:spacing w:after="0"/>
              <w:rPr>
                <w:sz w:val="20"/>
                <w:szCs w:val="20"/>
                <w:color w:val="auto"/>
              </w:rPr>
            </w:pPr>
            <w:r>
              <w:rPr>
                <w:rFonts w:ascii="Arial" w:cs="Arial" w:eastAsia="Arial" w:hAnsi="Arial"/>
                <w:sz w:val="20"/>
                <w:szCs w:val="20"/>
                <w:color w:val="auto"/>
                <w:w w:val="92"/>
              </w:rPr>
              <w:t>Guarantees/Earn-Outs</w:t>
            </w:r>
          </w:p>
        </w:tc>
        <w:tc>
          <w:tcPr>
            <w:tcW w:w="740" w:type="dxa"/>
            <w:vAlign w:val="bottom"/>
            <w:gridSpan w:val="2"/>
          </w:tcPr>
          <w:p>
            <w:pPr>
              <w:jc w:val="right"/>
              <w:ind w:right="361"/>
              <w:spacing w:after="0"/>
              <w:rPr>
                <w:sz w:val="20"/>
                <w:szCs w:val="20"/>
                <w:color w:val="auto"/>
              </w:rPr>
            </w:pPr>
            <w:r>
              <w:rPr>
                <w:rFonts w:ascii="Arial" w:cs="Arial" w:eastAsia="Arial" w:hAnsi="Arial"/>
                <w:sz w:val="20"/>
                <w:szCs w:val="20"/>
                <w:color w:val="auto"/>
              </w:rPr>
              <w:t>51</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1.10</w:t>
            </w:r>
          </w:p>
        </w:tc>
        <w:tc>
          <w:tcPr>
            <w:tcW w:w="2660" w:type="dxa"/>
            <w:vAlign w:val="bottom"/>
            <w:gridSpan w:val="6"/>
          </w:tcPr>
          <w:p>
            <w:pPr>
              <w:ind w:left="140"/>
              <w:spacing w:after="0"/>
              <w:rPr>
                <w:sz w:val="20"/>
                <w:szCs w:val="20"/>
                <w:color w:val="auto"/>
              </w:rPr>
            </w:pPr>
            <w:r>
              <w:rPr>
                <w:rFonts w:ascii="Arial" w:cs="Arial" w:eastAsia="Arial" w:hAnsi="Arial"/>
                <w:sz w:val="20"/>
                <w:szCs w:val="20"/>
                <w:color w:val="auto"/>
                <w:w w:val="98"/>
              </w:rPr>
              <w:t>Alternative Currency Matters</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w w:val="80"/>
              </w:rPr>
              <w:t>51</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1.11</w:t>
            </w:r>
          </w:p>
        </w:tc>
        <w:tc>
          <w:tcPr>
            <w:tcW w:w="600" w:type="dxa"/>
            <w:vAlign w:val="bottom"/>
          </w:tcPr>
          <w:p>
            <w:pPr>
              <w:ind w:left="140"/>
              <w:spacing w:after="0"/>
              <w:rPr>
                <w:sz w:val="20"/>
                <w:szCs w:val="20"/>
                <w:color w:val="auto"/>
              </w:rPr>
            </w:pPr>
            <w:r>
              <w:rPr>
                <w:rFonts w:ascii="Arial" w:cs="Arial" w:eastAsia="Arial" w:hAnsi="Arial"/>
                <w:sz w:val="20"/>
                <w:szCs w:val="20"/>
                <w:color w:val="auto"/>
                <w:w w:val="84"/>
              </w:rPr>
              <w:t>Rates</w:t>
            </w:r>
          </w:p>
        </w:tc>
        <w:tc>
          <w:tcPr>
            <w:tcW w:w="420" w:type="dxa"/>
            <w:vAlign w:val="bottom"/>
          </w:tcPr>
          <w:p>
            <w:pPr>
              <w:jc w:val="right"/>
              <w:spacing w:after="0"/>
              <w:rPr>
                <w:sz w:val="20"/>
                <w:szCs w:val="20"/>
                <w:color w:val="auto"/>
              </w:rPr>
            </w:pPr>
            <w:r>
              <w:rPr>
                <w:rFonts w:ascii="Arial" w:cs="Arial" w:eastAsia="Arial" w:hAnsi="Arial"/>
                <w:sz w:val="20"/>
                <w:szCs w:val="20"/>
                <w:color w:val="auto"/>
              </w:rPr>
              <w:t>52</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1.12</w:t>
            </w:r>
          </w:p>
        </w:tc>
        <w:tc>
          <w:tcPr>
            <w:tcW w:w="2660" w:type="dxa"/>
            <w:vAlign w:val="bottom"/>
            <w:gridSpan w:val="6"/>
          </w:tcPr>
          <w:p>
            <w:pPr>
              <w:ind w:left="140"/>
              <w:spacing w:after="0"/>
              <w:rPr>
                <w:sz w:val="20"/>
                <w:szCs w:val="20"/>
                <w:color w:val="auto"/>
              </w:rPr>
            </w:pPr>
            <w:r>
              <w:rPr>
                <w:rFonts w:ascii="Arial" w:cs="Arial" w:eastAsia="Arial" w:hAnsi="Arial"/>
                <w:sz w:val="20"/>
                <w:szCs w:val="20"/>
                <w:color w:val="auto"/>
                <w:w w:val="93"/>
              </w:rPr>
              <w:t>Limited Condition Acquisitions</w:t>
            </w:r>
          </w:p>
        </w:tc>
        <w:tc>
          <w:tcPr>
            <w:tcW w:w="400" w:type="dxa"/>
            <w:vAlign w:val="bottom"/>
          </w:tcPr>
          <w:p>
            <w:pPr>
              <w:jc w:val="right"/>
              <w:spacing w:after="0"/>
              <w:rPr>
                <w:sz w:val="20"/>
                <w:szCs w:val="20"/>
                <w:color w:val="auto"/>
              </w:rPr>
            </w:pPr>
            <w:r>
              <w:rPr>
                <w:rFonts w:ascii="Arial" w:cs="Arial" w:eastAsia="Arial" w:hAnsi="Arial"/>
                <w:sz w:val="20"/>
                <w:szCs w:val="20"/>
                <w:color w:val="auto"/>
              </w:rPr>
              <w:t>53</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1.13</w:t>
            </w:r>
          </w:p>
        </w:tc>
        <w:tc>
          <w:tcPr>
            <w:tcW w:w="1020" w:type="dxa"/>
            <w:vAlign w:val="bottom"/>
            <w:gridSpan w:val="2"/>
          </w:tcPr>
          <w:p>
            <w:pPr>
              <w:ind w:left="140"/>
              <w:spacing w:after="0"/>
              <w:rPr>
                <w:sz w:val="20"/>
                <w:szCs w:val="20"/>
                <w:color w:val="auto"/>
              </w:rPr>
            </w:pPr>
            <w:r>
              <w:rPr>
                <w:rFonts w:ascii="Arial" w:cs="Arial" w:eastAsia="Arial" w:hAnsi="Arial"/>
                <w:sz w:val="20"/>
                <w:szCs w:val="20"/>
                <w:color w:val="auto"/>
              </w:rPr>
              <w:t>Divisions</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54</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4080" w:type="dxa"/>
            <w:vAlign w:val="bottom"/>
            <w:gridSpan w:val="6"/>
          </w:tcPr>
          <w:p>
            <w:pPr>
              <w:spacing w:after="0"/>
              <w:rPr>
                <w:sz w:val="20"/>
                <w:szCs w:val="20"/>
                <w:color w:val="auto"/>
              </w:rPr>
            </w:pPr>
            <w:r>
              <w:rPr>
                <w:rFonts w:ascii="Arial" w:cs="Arial" w:eastAsia="Arial" w:hAnsi="Arial"/>
                <w:sz w:val="20"/>
                <w:szCs w:val="20"/>
                <w:color w:val="auto"/>
              </w:rPr>
              <w:t>ARTICLE II  REVOLVING CREDIT FACILITY</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54</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2.1</w:t>
            </w:r>
          </w:p>
        </w:tc>
        <w:tc>
          <w:tcPr>
            <w:tcW w:w="2140" w:type="dxa"/>
            <w:vAlign w:val="bottom"/>
            <w:gridSpan w:val="5"/>
          </w:tcPr>
          <w:p>
            <w:pPr>
              <w:ind w:left="40"/>
              <w:spacing w:after="0"/>
              <w:rPr>
                <w:sz w:val="20"/>
                <w:szCs w:val="20"/>
                <w:color w:val="auto"/>
              </w:rPr>
            </w:pPr>
            <w:r>
              <w:rPr>
                <w:rFonts w:ascii="Arial" w:cs="Arial" w:eastAsia="Arial" w:hAnsi="Arial"/>
                <w:sz w:val="20"/>
                <w:szCs w:val="20"/>
                <w:color w:val="auto"/>
              </w:rPr>
              <w:t>Revolving Credit Loans</w:t>
            </w:r>
          </w:p>
        </w:tc>
        <w:tc>
          <w:tcPr>
            <w:tcW w:w="520" w:type="dxa"/>
            <w:vAlign w:val="bottom"/>
          </w:tcPr>
          <w:p>
            <w:pPr>
              <w:jc w:val="right"/>
              <w:ind w:right="221"/>
              <w:spacing w:after="0"/>
              <w:rPr>
                <w:sz w:val="20"/>
                <w:szCs w:val="20"/>
                <w:color w:val="auto"/>
              </w:rPr>
            </w:pPr>
            <w:r>
              <w:rPr>
                <w:rFonts w:ascii="Arial" w:cs="Arial" w:eastAsia="Arial" w:hAnsi="Arial"/>
                <w:sz w:val="20"/>
                <w:szCs w:val="20"/>
                <w:color w:val="auto"/>
                <w:w w:val="80"/>
              </w:rPr>
              <w:t>54</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2.2</w:t>
            </w:r>
          </w:p>
        </w:tc>
        <w:tc>
          <w:tcPr>
            <w:tcW w:w="1540" w:type="dxa"/>
            <w:vAlign w:val="bottom"/>
            <w:gridSpan w:val="3"/>
          </w:tcPr>
          <w:p>
            <w:pPr>
              <w:ind w:left="40"/>
              <w:spacing w:after="0"/>
              <w:rPr>
                <w:sz w:val="20"/>
                <w:szCs w:val="20"/>
                <w:color w:val="auto"/>
              </w:rPr>
            </w:pPr>
            <w:r>
              <w:rPr>
                <w:rFonts w:ascii="Arial" w:cs="Arial" w:eastAsia="Arial" w:hAnsi="Arial"/>
                <w:sz w:val="20"/>
                <w:szCs w:val="20"/>
                <w:color w:val="auto"/>
              </w:rPr>
              <w:t>Swingline Loans</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w w:val="98"/>
              </w:rPr>
              <w:t>55</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2.3</w:t>
            </w:r>
          </w:p>
        </w:tc>
        <w:tc>
          <w:tcPr>
            <w:tcW w:w="6240" w:type="dxa"/>
            <w:vAlign w:val="bottom"/>
            <w:gridSpan w:val="9"/>
          </w:tcPr>
          <w:p>
            <w:pPr>
              <w:ind w:left="40"/>
              <w:spacing w:after="0"/>
              <w:rPr>
                <w:sz w:val="20"/>
                <w:szCs w:val="20"/>
                <w:color w:val="auto"/>
              </w:rPr>
            </w:pPr>
            <w:r>
              <w:rPr>
                <w:rFonts w:ascii="Arial" w:cs="Arial" w:eastAsia="Arial" w:hAnsi="Arial"/>
                <w:sz w:val="20"/>
                <w:szCs w:val="20"/>
                <w:color w:val="auto"/>
                <w:w w:val="91"/>
              </w:rPr>
              <w:t>Procedure for Advances of Revolving Credit Loans and Swingline Loans  56</w:t>
            </w: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2.4</w:t>
            </w:r>
          </w:p>
        </w:tc>
        <w:tc>
          <w:tcPr>
            <w:tcW w:w="6240" w:type="dxa"/>
            <w:vAlign w:val="bottom"/>
            <w:gridSpan w:val="9"/>
          </w:tcPr>
          <w:p>
            <w:pPr>
              <w:ind w:left="40"/>
              <w:spacing w:after="0"/>
              <w:rPr>
                <w:sz w:val="20"/>
                <w:szCs w:val="20"/>
                <w:color w:val="auto"/>
              </w:rPr>
            </w:pPr>
            <w:r>
              <w:rPr>
                <w:rFonts w:ascii="Arial" w:cs="Arial" w:eastAsia="Arial" w:hAnsi="Arial"/>
                <w:sz w:val="20"/>
                <w:szCs w:val="20"/>
                <w:color w:val="auto"/>
                <w:w w:val="94"/>
              </w:rPr>
              <w:t>Repayment and Prepayment of Revolving Credit and Swingline Loans  57</w:t>
            </w: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2.5</w:t>
            </w:r>
          </w:p>
        </w:tc>
        <w:tc>
          <w:tcPr>
            <w:tcW w:w="6240" w:type="dxa"/>
            <w:vAlign w:val="bottom"/>
            <w:gridSpan w:val="9"/>
          </w:tcPr>
          <w:p>
            <w:pPr>
              <w:ind w:left="40"/>
              <w:spacing w:after="0"/>
              <w:rPr>
                <w:sz w:val="20"/>
                <w:szCs w:val="20"/>
                <w:color w:val="auto"/>
              </w:rPr>
            </w:pPr>
            <w:r>
              <w:rPr>
                <w:rFonts w:ascii="Arial" w:cs="Arial" w:eastAsia="Arial" w:hAnsi="Arial"/>
                <w:sz w:val="20"/>
                <w:szCs w:val="20"/>
                <w:color w:val="auto"/>
              </w:rPr>
              <w:t>Permanent Reduction of the Revolving Credit Commitment  59</w:t>
            </w: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2.6</w:t>
            </w:r>
          </w:p>
        </w:tc>
        <w:tc>
          <w:tcPr>
            <w:tcW w:w="6240" w:type="dxa"/>
            <w:vAlign w:val="bottom"/>
            <w:gridSpan w:val="9"/>
          </w:tcPr>
          <w:p>
            <w:pPr>
              <w:ind w:left="40"/>
              <w:spacing w:after="0"/>
              <w:rPr>
                <w:sz w:val="20"/>
                <w:szCs w:val="20"/>
                <w:color w:val="auto"/>
              </w:rPr>
            </w:pPr>
            <w:r>
              <w:rPr>
                <w:rFonts w:ascii="Arial" w:cs="Arial" w:eastAsia="Arial" w:hAnsi="Arial"/>
                <w:sz w:val="20"/>
                <w:szCs w:val="20"/>
                <w:color w:val="auto"/>
              </w:rPr>
              <w:t>Termination of Revolving Credit Facility  59</w:t>
            </w:r>
          </w:p>
        </w:tc>
      </w:tr>
      <w:tr>
        <w:trPr>
          <w:trHeight w:val="338"/>
        </w:trPr>
        <w:tc>
          <w:tcPr>
            <w:tcW w:w="4080" w:type="dxa"/>
            <w:vAlign w:val="bottom"/>
            <w:gridSpan w:val="6"/>
          </w:tcPr>
          <w:p>
            <w:pPr>
              <w:spacing w:after="0"/>
              <w:rPr>
                <w:sz w:val="20"/>
                <w:szCs w:val="20"/>
                <w:color w:val="auto"/>
              </w:rPr>
            </w:pPr>
            <w:r>
              <w:rPr>
                <w:rFonts w:ascii="Arial" w:cs="Arial" w:eastAsia="Arial" w:hAnsi="Arial"/>
                <w:sz w:val="20"/>
                <w:szCs w:val="20"/>
                <w:color w:val="auto"/>
              </w:rPr>
              <w:t>ARTICLE III  LETTER OF CREDIT FACILITY</w:t>
            </w:r>
          </w:p>
        </w:tc>
        <w:tc>
          <w:tcPr>
            <w:tcW w:w="520" w:type="dxa"/>
            <w:vAlign w:val="bottom"/>
          </w:tcPr>
          <w:p>
            <w:pPr>
              <w:jc w:val="right"/>
              <w:ind w:right="101"/>
              <w:spacing w:after="0"/>
              <w:rPr>
                <w:sz w:val="20"/>
                <w:szCs w:val="20"/>
                <w:color w:val="auto"/>
              </w:rPr>
            </w:pPr>
            <w:r>
              <w:rPr>
                <w:rFonts w:ascii="Arial" w:cs="Arial" w:eastAsia="Arial" w:hAnsi="Arial"/>
                <w:sz w:val="20"/>
                <w:szCs w:val="20"/>
                <w:color w:val="auto"/>
              </w:rPr>
              <w:t>60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3.1</w:t>
            </w:r>
          </w:p>
        </w:tc>
        <w:tc>
          <w:tcPr>
            <w:tcW w:w="1020" w:type="dxa"/>
            <w:vAlign w:val="bottom"/>
            <w:gridSpan w:val="2"/>
          </w:tcPr>
          <w:p>
            <w:pPr>
              <w:ind w:left="40"/>
              <w:spacing w:after="0"/>
              <w:rPr>
                <w:sz w:val="20"/>
                <w:szCs w:val="20"/>
                <w:color w:val="auto"/>
              </w:rPr>
            </w:pPr>
            <w:r>
              <w:rPr>
                <w:rFonts w:ascii="Arial" w:cs="Arial" w:eastAsia="Arial" w:hAnsi="Arial"/>
                <w:sz w:val="20"/>
                <w:szCs w:val="20"/>
                <w:color w:val="auto"/>
                <w:w w:val="97"/>
              </w:rPr>
              <w:t>L/C Facility</w:t>
            </w:r>
          </w:p>
        </w:tc>
        <w:tc>
          <w:tcPr>
            <w:tcW w:w="520" w:type="dxa"/>
            <w:vAlign w:val="bottom"/>
          </w:tcPr>
          <w:p>
            <w:pPr>
              <w:jc w:val="right"/>
              <w:ind w:right="41"/>
              <w:spacing w:after="0"/>
              <w:rPr>
                <w:sz w:val="20"/>
                <w:szCs w:val="20"/>
                <w:color w:val="auto"/>
              </w:rPr>
            </w:pPr>
            <w:r>
              <w:rPr>
                <w:rFonts w:ascii="Arial" w:cs="Arial" w:eastAsia="Arial" w:hAnsi="Arial"/>
                <w:sz w:val="20"/>
                <w:szCs w:val="20"/>
                <w:color w:val="auto"/>
              </w:rPr>
              <w:t>60</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3.2</w:t>
            </w:r>
          </w:p>
        </w:tc>
        <w:tc>
          <w:tcPr>
            <w:tcW w:w="3620" w:type="dxa"/>
            <w:vAlign w:val="bottom"/>
            <w:gridSpan w:val="8"/>
          </w:tcPr>
          <w:p>
            <w:pPr>
              <w:ind w:left="40"/>
              <w:spacing w:after="0"/>
              <w:rPr>
                <w:sz w:val="20"/>
                <w:szCs w:val="20"/>
                <w:color w:val="auto"/>
              </w:rPr>
            </w:pPr>
            <w:r>
              <w:rPr>
                <w:rFonts w:ascii="Arial" w:cs="Arial" w:eastAsia="Arial" w:hAnsi="Arial"/>
                <w:sz w:val="20"/>
                <w:szCs w:val="20"/>
                <w:color w:val="auto"/>
                <w:w w:val="94"/>
              </w:rPr>
              <w:t>Procedure for Issuance of Letters of Credit</w:t>
            </w:r>
          </w:p>
        </w:tc>
        <w:tc>
          <w:tcPr>
            <w:tcW w:w="2620" w:type="dxa"/>
            <w:vAlign w:val="bottom"/>
          </w:tcPr>
          <w:p>
            <w:pPr>
              <w:jc w:val="right"/>
              <w:ind w:right="2321"/>
              <w:spacing w:after="0"/>
              <w:rPr>
                <w:sz w:val="20"/>
                <w:szCs w:val="20"/>
                <w:color w:val="auto"/>
              </w:rPr>
            </w:pPr>
            <w:r>
              <w:rPr>
                <w:rFonts w:ascii="Arial" w:cs="Arial" w:eastAsia="Arial" w:hAnsi="Arial"/>
                <w:sz w:val="20"/>
                <w:szCs w:val="20"/>
                <w:color w:val="auto"/>
                <w:w w:val="80"/>
              </w:rPr>
              <w:t>61</w:t>
            </w: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3.3</w:t>
            </w:r>
          </w:p>
        </w:tc>
        <w:tc>
          <w:tcPr>
            <w:tcW w:w="2660" w:type="dxa"/>
            <w:vAlign w:val="bottom"/>
            <w:gridSpan w:val="6"/>
          </w:tcPr>
          <w:p>
            <w:pPr>
              <w:ind w:left="40"/>
              <w:spacing w:after="0"/>
              <w:rPr>
                <w:sz w:val="20"/>
                <w:szCs w:val="20"/>
                <w:color w:val="auto"/>
              </w:rPr>
            </w:pPr>
            <w:r>
              <w:rPr>
                <w:rFonts w:ascii="Arial" w:cs="Arial" w:eastAsia="Arial" w:hAnsi="Arial"/>
                <w:sz w:val="20"/>
                <w:szCs w:val="20"/>
                <w:color w:val="auto"/>
                <w:w w:val="87"/>
              </w:rPr>
              <w:t>Commissions and Other Charges</w:t>
            </w:r>
          </w:p>
        </w:tc>
        <w:tc>
          <w:tcPr>
            <w:tcW w:w="400" w:type="dxa"/>
            <w:vAlign w:val="bottom"/>
          </w:tcPr>
          <w:p>
            <w:pPr>
              <w:jc w:val="right"/>
              <w:spacing w:after="0"/>
              <w:rPr>
                <w:sz w:val="20"/>
                <w:szCs w:val="20"/>
                <w:color w:val="auto"/>
              </w:rPr>
            </w:pPr>
            <w:r>
              <w:rPr>
                <w:rFonts w:ascii="Arial" w:cs="Arial" w:eastAsia="Arial" w:hAnsi="Arial"/>
                <w:sz w:val="20"/>
                <w:szCs w:val="20"/>
                <w:color w:val="auto"/>
              </w:rPr>
              <w:t>61</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3.4</w:t>
            </w:r>
          </w:p>
        </w:tc>
        <w:tc>
          <w:tcPr>
            <w:tcW w:w="1540" w:type="dxa"/>
            <w:vAlign w:val="bottom"/>
            <w:gridSpan w:val="3"/>
          </w:tcPr>
          <w:p>
            <w:pPr>
              <w:ind w:left="40"/>
              <w:spacing w:after="0"/>
              <w:rPr>
                <w:sz w:val="20"/>
                <w:szCs w:val="20"/>
                <w:color w:val="auto"/>
              </w:rPr>
            </w:pPr>
            <w:r>
              <w:rPr>
                <w:rFonts w:ascii="Arial" w:cs="Arial" w:eastAsia="Arial" w:hAnsi="Arial"/>
                <w:sz w:val="20"/>
                <w:szCs w:val="20"/>
                <w:color w:val="auto"/>
                <w:w w:val="94"/>
              </w:rPr>
              <w:t>L/C Participations</w:t>
            </w:r>
          </w:p>
        </w:tc>
        <w:tc>
          <w:tcPr>
            <w:tcW w:w="380" w:type="dxa"/>
            <w:vAlign w:val="bottom"/>
          </w:tcPr>
          <w:p>
            <w:pPr>
              <w:jc w:val="right"/>
              <w:spacing w:after="0"/>
              <w:rPr>
                <w:sz w:val="20"/>
                <w:szCs w:val="20"/>
                <w:color w:val="auto"/>
              </w:rPr>
            </w:pPr>
            <w:r>
              <w:rPr>
                <w:rFonts w:ascii="Arial" w:cs="Arial" w:eastAsia="Arial" w:hAnsi="Arial"/>
                <w:sz w:val="20"/>
                <w:szCs w:val="20"/>
                <w:color w:val="auto"/>
              </w:rPr>
              <w:t>62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7"/>
        </w:trPr>
        <w:tc>
          <w:tcPr>
            <w:tcW w:w="1940" w:type="dxa"/>
            <w:vAlign w:val="bottom"/>
          </w:tcPr>
          <w:p>
            <w:pPr>
              <w:ind w:left="660"/>
              <w:spacing w:after="0"/>
              <w:rPr>
                <w:sz w:val="20"/>
                <w:szCs w:val="20"/>
                <w:color w:val="auto"/>
              </w:rPr>
            </w:pPr>
            <w:r>
              <w:rPr>
                <w:rFonts w:ascii="Arial" w:cs="Arial" w:eastAsia="Arial" w:hAnsi="Arial"/>
                <w:sz w:val="20"/>
                <w:szCs w:val="20"/>
                <w:color w:val="auto"/>
              </w:rPr>
              <w:t>SECTION 3.5</w:t>
            </w:r>
          </w:p>
        </w:tc>
        <w:tc>
          <w:tcPr>
            <w:tcW w:w="3620" w:type="dxa"/>
            <w:vAlign w:val="bottom"/>
            <w:gridSpan w:val="8"/>
          </w:tcPr>
          <w:p>
            <w:pPr>
              <w:ind w:left="40"/>
              <w:spacing w:after="0"/>
              <w:rPr>
                <w:sz w:val="20"/>
                <w:szCs w:val="20"/>
                <w:color w:val="auto"/>
              </w:rPr>
            </w:pPr>
            <w:r>
              <w:rPr>
                <w:rFonts w:ascii="Arial" w:cs="Arial" w:eastAsia="Arial" w:hAnsi="Arial"/>
                <w:sz w:val="20"/>
                <w:szCs w:val="20"/>
                <w:color w:val="auto"/>
                <w:w w:val="91"/>
              </w:rPr>
              <w:t>Reimbursement Obligation of the Borrowers</w:t>
            </w:r>
          </w:p>
        </w:tc>
        <w:tc>
          <w:tcPr>
            <w:tcW w:w="2620" w:type="dxa"/>
            <w:vAlign w:val="bottom"/>
          </w:tcPr>
          <w:p>
            <w:pPr>
              <w:jc w:val="right"/>
              <w:ind w:right="2161"/>
              <w:spacing w:after="0"/>
              <w:rPr>
                <w:sz w:val="20"/>
                <w:szCs w:val="20"/>
                <w:color w:val="auto"/>
              </w:rPr>
            </w:pPr>
            <w:r>
              <w:rPr>
                <w:rFonts w:ascii="Arial" w:cs="Arial" w:eastAsia="Arial" w:hAnsi="Arial"/>
                <w:sz w:val="20"/>
                <w:szCs w:val="20"/>
                <w:color w:val="auto"/>
              </w:rPr>
              <w:t>62</w:t>
            </w: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3.6</w:t>
            </w:r>
          </w:p>
        </w:tc>
        <w:tc>
          <w:tcPr>
            <w:tcW w:w="1920" w:type="dxa"/>
            <w:vAlign w:val="bottom"/>
            <w:gridSpan w:val="4"/>
          </w:tcPr>
          <w:p>
            <w:pPr>
              <w:ind w:left="40"/>
              <w:spacing w:after="0"/>
              <w:rPr>
                <w:sz w:val="20"/>
                <w:szCs w:val="20"/>
                <w:color w:val="auto"/>
              </w:rPr>
            </w:pPr>
            <w:r>
              <w:rPr>
                <w:rFonts w:ascii="Arial" w:cs="Arial" w:eastAsia="Arial" w:hAnsi="Arial"/>
                <w:sz w:val="20"/>
                <w:szCs w:val="20"/>
                <w:color w:val="auto"/>
              </w:rPr>
              <w:t>Obligations Absolute</w:t>
            </w:r>
          </w:p>
        </w:tc>
        <w:tc>
          <w:tcPr>
            <w:tcW w:w="220" w:type="dxa"/>
            <w:vAlign w:val="bottom"/>
          </w:tcPr>
          <w:p>
            <w:pPr>
              <w:jc w:val="right"/>
              <w:spacing w:after="0"/>
              <w:rPr>
                <w:sz w:val="20"/>
                <w:szCs w:val="20"/>
                <w:color w:val="auto"/>
              </w:rPr>
            </w:pPr>
            <w:r>
              <w:rPr>
                <w:rFonts w:ascii="Arial" w:cs="Arial" w:eastAsia="Arial" w:hAnsi="Arial"/>
                <w:sz w:val="20"/>
                <w:szCs w:val="20"/>
                <w:color w:val="auto"/>
                <w:w w:val="80"/>
              </w:rPr>
              <w:t>63</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3.7</w:t>
            </w:r>
          </w:p>
        </w:tc>
        <w:tc>
          <w:tcPr>
            <w:tcW w:w="3060" w:type="dxa"/>
            <w:vAlign w:val="bottom"/>
            <w:gridSpan w:val="7"/>
          </w:tcPr>
          <w:p>
            <w:pPr>
              <w:ind w:left="40"/>
              <w:spacing w:after="0"/>
              <w:rPr>
                <w:sz w:val="20"/>
                <w:szCs w:val="20"/>
                <w:color w:val="auto"/>
              </w:rPr>
            </w:pPr>
            <w:r>
              <w:rPr>
                <w:rFonts w:ascii="Arial" w:cs="Arial" w:eastAsia="Arial" w:hAnsi="Arial"/>
                <w:sz w:val="20"/>
                <w:szCs w:val="20"/>
                <w:color w:val="auto"/>
                <w:w w:val="95"/>
              </w:rPr>
              <w:t>Effect of Letter of Credit Application</w:t>
            </w:r>
          </w:p>
        </w:tc>
        <w:tc>
          <w:tcPr>
            <w:tcW w:w="560" w:type="dxa"/>
            <w:vAlign w:val="bottom"/>
          </w:tcPr>
          <w:p>
            <w:pPr>
              <w:jc w:val="right"/>
              <w:ind w:right="121"/>
              <w:spacing w:after="0"/>
              <w:rPr>
                <w:sz w:val="20"/>
                <w:szCs w:val="20"/>
                <w:color w:val="auto"/>
              </w:rPr>
            </w:pPr>
            <w:r>
              <w:rPr>
                <w:rFonts w:ascii="Arial" w:cs="Arial" w:eastAsia="Arial" w:hAnsi="Arial"/>
                <w:sz w:val="20"/>
                <w:szCs w:val="20"/>
                <w:color w:val="auto"/>
              </w:rPr>
              <w:t>63</w:t>
            </w:r>
          </w:p>
        </w:tc>
        <w:tc>
          <w:tcPr>
            <w:tcW w:w="262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3.8</w:t>
            </w:r>
          </w:p>
        </w:tc>
        <w:tc>
          <w:tcPr>
            <w:tcW w:w="3620" w:type="dxa"/>
            <w:vAlign w:val="bottom"/>
            <w:gridSpan w:val="8"/>
          </w:tcPr>
          <w:p>
            <w:pPr>
              <w:ind w:left="40"/>
              <w:spacing w:after="0"/>
              <w:rPr>
                <w:sz w:val="20"/>
                <w:szCs w:val="20"/>
                <w:color w:val="auto"/>
              </w:rPr>
            </w:pPr>
            <w:r>
              <w:rPr>
                <w:rFonts w:ascii="Arial" w:cs="Arial" w:eastAsia="Arial" w:hAnsi="Arial"/>
                <w:sz w:val="20"/>
                <w:szCs w:val="20"/>
                <w:color w:val="auto"/>
                <w:w w:val="89"/>
              </w:rPr>
              <w:t>Removal and Resignation of Issuing Lenders</w:t>
            </w:r>
          </w:p>
        </w:tc>
        <w:tc>
          <w:tcPr>
            <w:tcW w:w="2620" w:type="dxa"/>
            <w:vAlign w:val="bottom"/>
          </w:tcPr>
          <w:p>
            <w:pPr>
              <w:jc w:val="right"/>
              <w:ind w:right="2141"/>
              <w:spacing w:after="0"/>
              <w:rPr>
                <w:sz w:val="20"/>
                <w:szCs w:val="20"/>
                <w:color w:val="auto"/>
              </w:rPr>
            </w:pPr>
            <w:r>
              <w:rPr>
                <w:rFonts w:ascii="Arial" w:cs="Arial" w:eastAsia="Arial" w:hAnsi="Arial"/>
                <w:sz w:val="20"/>
                <w:szCs w:val="20"/>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40"/>
          </w:cols>
          <w:pgMar w:left="320" w:top="118" w:right="4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146960219_6</w:t>
      </w:r>
    </w:p>
    <w:p>
      <w:pPr>
        <w:sectPr>
          <w:pgSz w:w="11900" w:h="16838" w:orient="portrait"/>
          <w:cols w:equalWidth="0" w:num="1">
            <w:col w:w="11140"/>
          </w:cols>
          <w:pgMar w:left="320" w:top="118" w:right="439" w:bottom="1440" w:gutter="0" w:footer="0" w:header="0"/>
          <w:type w:val="continuous"/>
        </w:sectPr>
      </w:pPr>
    </w:p>
    <w:bookmarkStart w:id="59" w:name="page60"/>
    <w:bookmarkEnd w:id="59"/>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3.9</w:t>
            </w:r>
          </w:p>
        </w:tc>
        <w:tc>
          <w:tcPr>
            <w:tcW w:w="5500" w:type="dxa"/>
            <w:vAlign w:val="bottom"/>
            <w:gridSpan w:val="9"/>
          </w:tcPr>
          <w:p>
            <w:pPr>
              <w:ind w:left="40"/>
              <w:spacing w:after="0"/>
              <w:rPr>
                <w:sz w:val="20"/>
                <w:szCs w:val="20"/>
                <w:color w:val="auto"/>
              </w:rPr>
            </w:pPr>
            <w:r>
              <w:rPr>
                <w:rFonts w:ascii="Arial" w:cs="Arial" w:eastAsia="Arial" w:hAnsi="Arial"/>
                <w:sz w:val="20"/>
                <w:szCs w:val="20"/>
                <w:color w:val="auto"/>
                <w:w w:val="93"/>
              </w:rPr>
              <w:t>Reporting of Letter of Credit Information and L/C Commitment  64</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3.10</w:t>
            </w:r>
          </w:p>
        </w:tc>
        <w:tc>
          <w:tcPr>
            <w:tcW w:w="3700" w:type="dxa"/>
            <w:vAlign w:val="bottom"/>
            <w:gridSpan w:val="7"/>
          </w:tcPr>
          <w:p>
            <w:pPr>
              <w:ind w:left="140"/>
              <w:spacing w:after="0"/>
              <w:rPr>
                <w:sz w:val="20"/>
                <w:szCs w:val="20"/>
                <w:color w:val="auto"/>
              </w:rPr>
            </w:pPr>
            <w:r>
              <w:rPr>
                <w:rFonts w:ascii="Arial" w:cs="Arial" w:eastAsia="Arial" w:hAnsi="Arial"/>
                <w:sz w:val="20"/>
                <w:szCs w:val="20"/>
                <w:color w:val="auto"/>
                <w:w w:val="92"/>
              </w:rPr>
              <w:t>Letters of Credit Issued for Subsidiaries  64</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20"/>
                <w:szCs w:val="20"/>
                <w:color w:val="auto"/>
              </w:rPr>
              <w:t>ARTICLE IV</w:t>
            </w:r>
          </w:p>
        </w:tc>
        <w:tc>
          <w:tcPr>
            <w:tcW w:w="2260" w:type="dxa"/>
            <w:vAlign w:val="bottom"/>
            <w:gridSpan w:val="3"/>
          </w:tcPr>
          <w:p>
            <w:pPr>
              <w:jc w:val="right"/>
              <w:spacing w:after="0"/>
              <w:rPr>
                <w:sz w:val="20"/>
                <w:szCs w:val="20"/>
                <w:color w:val="auto"/>
              </w:rPr>
            </w:pPr>
            <w:r>
              <w:rPr>
                <w:rFonts w:ascii="Arial" w:cs="Arial" w:eastAsia="Arial" w:hAnsi="Arial"/>
                <w:sz w:val="20"/>
                <w:szCs w:val="20"/>
                <w:color w:val="auto"/>
              </w:rPr>
              <w:t>TERM LOAN FACILITY</w:t>
            </w:r>
          </w:p>
        </w:tc>
        <w:tc>
          <w:tcPr>
            <w:tcW w:w="320" w:type="dxa"/>
            <w:vAlign w:val="bottom"/>
          </w:tcPr>
          <w:p>
            <w:pPr>
              <w:jc w:val="right"/>
              <w:spacing w:after="0"/>
              <w:rPr>
                <w:sz w:val="20"/>
                <w:szCs w:val="20"/>
                <w:color w:val="auto"/>
              </w:rPr>
            </w:pPr>
            <w:r>
              <w:rPr>
                <w:rFonts w:ascii="Arial" w:cs="Arial" w:eastAsia="Arial" w:hAnsi="Arial"/>
                <w:sz w:val="20"/>
                <w:szCs w:val="20"/>
                <w:color w:val="auto"/>
              </w:rPr>
              <w:t>65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4.1</w:t>
            </w:r>
          </w:p>
        </w:tc>
        <w:tc>
          <w:tcPr>
            <w:tcW w:w="1500" w:type="dxa"/>
            <w:vAlign w:val="bottom"/>
            <w:gridSpan w:val="2"/>
          </w:tcPr>
          <w:p>
            <w:pPr>
              <w:ind w:left="40"/>
              <w:spacing w:after="0"/>
              <w:rPr>
                <w:sz w:val="20"/>
                <w:szCs w:val="20"/>
                <w:color w:val="auto"/>
              </w:rPr>
            </w:pPr>
            <w:r>
              <w:rPr>
                <w:rFonts w:ascii="Arial" w:cs="Arial" w:eastAsia="Arial" w:hAnsi="Arial"/>
                <w:sz w:val="20"/>
                <w:szCs w:val="20"/>
                <w:color w:val="auto"/>
                <w:w w:val="96"/>
              </w:rPr>
              <w:t>Initial Term Loan</w:t>
            </w:r>
          </w:p>
        </w:tc>
        <w:tc>
          <w:tcPr>
            <w:tcW w:w="580" w:type="dxa"/>
            <w:vAlign w:val="bottom"/>
            <w:gridSpan w:val="2"/>
          </w:tcPr>
          <w:p>
            <w:pPr>
              <w:jc w:val="right"/>
              <w:ind w:right="141"/>
              <w:spacing w:after="0"/>
              <w:rPr>
                <w:sz w:val="20"/>
                <w:szCs w:val="20"/>
                <w:color w:val="auto"/>
              </w:rPr>
            </w:pPr>
            <w:r>
              <w:rPr>
                <w:rFonts w:ascii="Arial" w:cs="Arial" w:eastAsia="Arial" w:hAnsi="Arial"/>
                <w:sz w:val="20"/>
                <w:szCs w:val="20"/>
                <w:color w:val="auto"/>
              </w:rPr>
              <w:t>65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4.2</w:t>
            </w:r>
          </w:p>
        </w:tc>
        <w:tc>
          <w:tcPr>
            <w:tcW w:w="3700" w:type="dxa"/>
            <w:vAlign w:val="bottom"/>
            <w:gridSpan w:val="7"/>
          </w:tcPr>
          <w:p>
            <w:pPr>
              <w:ind w:left="40"/>
              <w:spacing w:after="0"/>
              <w:rPr>
                <w:sz w:val="20"/>
                <w:szCs w:val="20"/>
                <w:color w:val="auto"/>
              </w:rPr>
            </w:pPr>
            <w:r>
              <w:rPr>
                <w:rFonts w:ascii="Arial" w:cs="Arial" w:eastAsia="Arial" w:hAnsi="Arial"/>
                <w:sz w:val="20"/>
                <w:szCs w:val="20"/>
                <w:color w:val="auto"/>
                <w:w w:val="95"/>
              </w:rPr>
              <w:t>Procedure for Advance of Initial Term Loan</w:t>
            </w:r>
          </w:p>
        </w:tc>
        <w:tc>
          <w:tcPr>
            <w:tcW w:w="1180" w:type="dxa"/>
            <w:vAlign w:val="bottom"/>
          </w:tcPr>
          <w:p>
            <w:pPr>
              <w:jc w:val="right"/>
              <w:ind w:right="841"/>
              <w:spacing w:after="0"/>
              <w:rPr>
                <w:sz w:val="20"/>
                <w:szCs w:val="20"/>
                <w:color w:val="auto"/>
              </w:rPr>
            </w:pPr>
            <w:r>
              <w:rPr>
                <w:rFonts w:ascii="Arial" w:cs="Arial" w:eastAsia="Arial" w:hAnsi="Arial"/>
                <w:sz w:val="20"/>
                <w:szCs w:val="20"/>
                <w:color w:val="auto"/>
                <w:w w:val="98"/>
              </w:rPr>
              <w:t>65</w:t>
            </w: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4.3</w:t>
            </w:r>
          </w:p>
        </w:tc>
        <w:tc>
          <w:tcPr>
            <w:tcW w:w="2320" w:type="dxa"/>
            <w:vAlign w:val="bottom"/>
            <w:gridSpan w:val="5"/>
          </w:tcPr>
          <w:p>
            <w:pPr>
              <w:ind w:left="40"/>
              <w:spacing w:after="0"/>
              <w:rPr>
                <w:sz w:val="20"/>
                <w:szCs w:val="20"/>
                <w:color w:val="auto"/>
              </w:rPr>
            </w:pPr>
            <w:r>
              <w:rPr>
                <w:rFonts w:ascii="Arial" w:cs="Arial" w:eastAsia="Arial" w:hAnsi="Arial"/>
                <w:sz w:val="20"/>
                <w:szCs w:val="20"/>
                <w:color w:val="auto"/>
                <w:w w:val="95"/>
              </w:rPr>
              <w:t>Repayment of Term Loans</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w w:val="98"/>
              </w:rPr>
              <w:t>65</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4.4</w:t>
            </w:r>
          </w:p>
        </w:tc>
        <w:tc>
          <w:tcPr>
            <w:tcW w:w="2320" w:type="dxa"/>
            <w:vAlign w:val="bottom"/>
            <w:gridSpan w:val="5"/>
          </w:tcPr>
          <w:p>
            <w:pPr>
              <w:ind w:left="40"/>
              <w:spacing w:after="0"/>
              <w:rPr>
                <w:sz w:val="20"/>
                <w:szCs w:val="20"/>
                <w:color w:val="auto"/>
              </w:rPr>
            </w:pPr>
            <w:r>
              <w:rPr>
                <w:rFonts w:ascii="Arial" w:cs="Arial" w:eastAsia="Arial" w:hAnsi="Arial"/>
                <w:sz w:val="20"/>
                <w:szCs w:val="20"/>
                <w:color w:val="auto"/>
                <w:w w:val="89"/>
              </w:rPr>
              <w:t>Prepayments of Term Loans</w:t>
            </w: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65</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4020" w:type="dxa"/>
            <w:vAlign w:val="bottom"/>
            <w:gridSpan w:val="6"/>
          </w:tcPr>
          <w:p>
            <w:pPr>
              <w:spacing w:after="0"/>
              <w:rPr>
                <w:sz w:val="20"/>
                <w:szCs w:val="20"/>
                <w:color w:val="auto"/>
              </w:rPr>
            </w:pPr>
            <w:r>
              <w:rPr>
                <w:rFonts w:ascii="Arial" w:cs="Arial" w:eastAsia="Arial" w:hAnsi="Arial"/>
                <w:sz w:val="20"/>
                <w:szCs w:val="20"/>
                <w:color w:val="auto"/>
                <w:w w:val="99"/>
              </w:rPr>
              <w:t>ARTICLE V  GENERAL LOAN PROVISIONS</w:t>
            </w:r>
          </w:p>
        </w:tc>
        <w:tc>
          <w:tcPr>
            <w:tcW w:w="700" w:type="dxa"/>
            <w:vAlign w:val="bottom"/>
            <w:gridSpan w:val="2"/>
          </w:tcPr>
          <w:p>
            <w:pPr>
              <w:jc w:val="right"/>
              <w:ind w:right="261"/>
              <w:spacing w:after="0"/>
              <w:rPr>
                <w:sz w:val="20"/>
                <w:szCs w:val="20"/>
                <w:color w:val="auto"/>
              </w:rPr>
            </w:pPr>
            <w:r>
              <w:rPr>
                <w:rFonts w:ascii="Arial" w:cs="Arial" w:eastAsia="Arial" w:hAnsi="Arial"/>
                <w:sz w:val="20"/>
                <w:szCs w:val="20"/>
                <w:color w:val="auto"/>
              </w:rPr>
              <w:t>68</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5.1</w:t>
            </w: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Interest  68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5.2</w:t>
            </w:r>
          </w:p>
        </w:tc>
        <w:tc>
          <w:tcPr>
            <w:tcW w:w="4880" w:type="dxa"/>
            <w:vAlign w:val="bottom"/>
            <w:gridSpan w:val="8"/>
          </w:tcPr>
          <w:p>
            <w:pPr>
              <w:ind w:left="40"/>
              <w:spacing w:after="0"/>
              <w:rPr>
                <w:sz w:val="20"/>
                <w:szCs w:val="20"/>
                <w:color w:val="auto"/>
              </w:rPr>
            </w:pPr>
            <w:r>
              <w:rPr>
                <w:rFonts w:ascii="Arial" w:cs="Arial" w:eastAsia="Arial" w:hAnsi="Arial"/>
                <w:sz w:val="20"/>
                <w:szCs w:val="20"/>
                <w:color w:val="auto"/>
                <w:w w:val="92"/>
              </w:rPr>
              <w:t>Notice and Manner of Conversion or Continuation of Loans</w:t>
            </w:r>
          </w:p>
        </w:tc>
        <w:tc>
          <w:tcPr>
            <w:tcW w:w="620" w:type="dxa"/>
            <w:vAlign w:val="bottom"/>
          </w:tcPr>
          <w:p>
            <w:pPr>
              <w:jc w:val="right"/>
              <w:ind w:right="221"/>
              <w:spacing w:after="0"/>
              <w:rPr>
                <w:sz w:val="20"/>
                <w:szCs w:val="20"/>
                <w:color w:val="auto"/>
              </w:rPr>
            </w:pPr>
            <w:r>
              <w:rPr>
                <w:rFonts w:ascii="Arial" w:cs="Arial" w:eastAsia="Arial" w:hAnsi="Arial"/>
                <w:sz w:val="20"/>
                <w:szCs w:val="20"/>
                <w:color w:val="auto"/>
              </w:rPr>
              <w:t>71</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5.3</w:t>
            </w:r>
          </w:p>
        </w:tc>
        <w:tc>
          <w:tcPr>
            <w:tcW w:w="600" w:type="dxa"/>
            <w:vAlign w:val="bottom"/>
          </w:tcPr>
          <w:p>
            <w:pPr>
              <w:ind w:left="40"/>
              <w:spacing w:after="0"/>
              <w:rPr>
                <w:sz w:val="20"/>
                <w:szCs w:val="20"/>
                <w:color w:val="auto"/>
              </w:rPr>
            </w:pPr>
            <w:r>
              <w:rPr>
                <w:rFonts w:ascii="Arial" w:cs="Arial" w:eastAsia="Arial" w:hAnsi="Arial"/>
                <w:sz w:val="20"/>
                <w:szCs w:val="20"/>
                <w:color w:val="auto"/>
              </w:rPr>
              <w:t>Fees</w:t>
            </w:r>
          </w:p>
        </w:tc>
        <w:tc>
          <w:tcPr>
            <w:tcW w:w="900" w:type="dxa"/>
            <w:vAlign w:val="bottom"/>
          </w:tcPr>
          <w:p>
            <w:pPr>
              <w:jc w:val="right"/>
              <w:ind w:right="601"/>
              <w:spacing w:after="0"/>
              <w:rPr>
                <w:sz w:val="20"/>
                <w:szCs w:val="20"/>
                <w:color w:val="auto"/>
              </w:rPr>
            </w:pPr>
            <w:r>
              <w:rPr>
                <w:rFonts w:ascii="Arial" w:cs="Arial" w:eastAsia="Arial" w:hAnsi="Arial"/>
                <w:sz w:val="20"/>
                <w:szCs w:val="20"/>
                <w:color w:val="auto"/>
                <w:w w:val="80"/>
              </w:rPr>
              <w:t>72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5.4</w:t>
            </w:r>
          </w:p>
        </w:tc>
        <w:tc>
          <w:tcPr>
            <w:tcW w:w="1820" w:type="dxa"/>
            <w:vAlign w:val="bottom"/>
            <w:gridSpan w:val="3"/>
          </w:tcPr>
          <w:p>
            <w:pPr>
              <w:ind w:left="40"/>
              <w:spacing w:after="0"/>
              <w:rPr>
                <w:sz w:val="20"/>
                <w:szCs w:val="20"/>
                <w:color w:val="auto"/>
              </w:rPr>
            </w:pPr>
            <w:r>
              <w:rPr>
                <w:rFonts w:ascii="Arial" w:cs="Arial" w:eastAsia="Arial" w:hAnsi="Arial"/>
                <w:sz w:val="20"/>
                <w:szCs w:val="20"/>
                <w:color w:val="auto"/>
              </w:rPr>
              <w:t>Manner of Payment</w:t>
            </w:r>
          </w:p>
        </w:tc>
        <w:tc>
          <w:tcPr>
            <w:tcW w:w="260" w:type="dxa"/>
            <w:vAlign w:val="bottom"/>
          </w:tcPr>
          <w:p>
            <w:pPr>
              <w:jc w:val="right"/>
              <w:spacing w:after="0"/>
              <w:rPr>
                <w:sz w:val="20"/>
                <w:szCs w:val="20"/>
                <w:color w:val="auto"/>
              </w:rPr>
            </w:pPr>
            <w:r>
              <w:rPr>
                <w:rFonts w:ascii="Arial" w:cs="Arial" w:eastAsia="Arial" w:hAnsi="Arial"/>
                <w:sz w:val="20"/>
                <w:szCs w:val="20"/>
                <w:color w:val="auto"/>
                <w:w w:val="80"/>
              </w:rPr>
              <w:t>72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5.5</w:t>
            </w:r>
          </w:p>
        </w:tc>
        <w:tc>
          <w:tcPr>
            <w:tcW w:w="2080" w:type="dxa"/>
            <w:vAlign w:val="bottom"/>
            <w:gridSpan w:val="4"/>
          </w:tcPr>
          <w:p>
            <w:pPr>
              <w:ind w:left="40"/>
              <w:spacing w:after="0"/>
              <w:rPr>
                <w:sz w:val="20"/>
                <w:szCs w:val="20"/>
                <w:color w:val="auto"/>
              </w:rPr>
            </w:pPr>
            <w:r>
              <w:rPr>
                <w:rFonts w:ascii="Arial" w:cs="Arial" w:eastAsia="Arial" w:hAnsi="Arial"/>
                <w:sz w:val="20"/>
                <w:szCs w:val="20"/>
                <w:color w:val="auto"/>
                <w:w w:val="87"/>
              </w:rPr>
              <w:t>Evidence of Indebtedness</w:t>
            </w:r>
          </w:p>
        </w:tc>
        <w:tc>
          <w:tcPr>
            <w:tcW w:w="700" w:type="dxa"/>
            <w:vAlign w:val="bottom"/>
            <w:gridSpan w:val="2"/>
          </w:tcPr>
          <w:p>
            <w:pPr>
              <w:jc w:val="right"/>
              <w:ind w:right="201"/>
              <w:spacing w:after="0"/>
              <w:rPr>
                <w:sz w:val="20"/>
                <w:szCs w:val="20"/>
                <w:color w:val="auto"/>
              </w:rPr>
            </w:pPr>
            <w:r>
              <w:rPr>
                <w:rFonts w:ascii="Arial" w:cs="Arial" w:eastAsia="Arial" w:hAnsi="Arial"/>
                <w:sz w:val="20"/>
                <w:szCs w:val="20"/>
                <w:color w:val="auto"/>
              </w:rPr>
              <w:t>73</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5.6</w:t>
            </w:r>
          </w:p>
        </w:tc>
        <w:tc>
          <w:tcPr>
            <w:tcW w:w="2780" w:type="dxa"/>
            <w:vAlign w:val="bottom"/>
            <w:gridSpan w:val="6"/>
          </w:tcPr>
          <w:p>
            <w:pPr>
              <w:ind w:left="40"/>
              <w:spacing w:after="0"/>
              <w:rPr>
                <w:sz w:val="20"/>
                <w:szCs w:val="20"/>
                <w:color w:val="auto"/>
              </w:rPr>
            </w:pPr>
            <w:r>
              <w:rPr>
                <w:rFonts w:ascii="Arial" w:cs="Arial" w:eastAsia="Arial" w:hAnsi="Arial"/>
                <w:sz w:val="20"/>
                <w:szCs w:val="20"/>
                <w:color w:val="auto"/>
                <w:w w:val="93"/>
              </w:rPr>
              <w:t>Sharing of Payments by Lenders</w:t>
            </w:r>
          </w:p>
        </w:tc>
        <w:tc>
          <w:tcPr>
            <w:tcW w:w="920" w:type="dxa"/>
            <w:vAlign w:val="bottom"/>
          </w:tcPr>
          <w:p>
            <w:pPr>
              <w:jc w:val="right"/>
              <w:ind w:right="581"/>
              <w:spacing w:after="0"/>
              <w:rPr>
                <w:sz w:val="20"/>
                <w:szCs w:val="20"/>
                <w:color w:val="auto"/>
              </w:rPr>
            </w:pPr>
            <w:r>
              <w:rPr>
                <w:rFonts w:ascii="Arial" w:cs="Arial" w:eastAsia="Arial" w:hAnsi="Arial"/>
                <w:sz w:val="20"/>
                <w:szCs w:val="20"/>
                <w:color w:val="auto"/>
                <w:w w:val="98"/>
              </w:rPr>
              <w:t>73</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5.7</w:t>
            </w:r>
          </w:p>
        </w:tc>
        <w:tc>
          <w:tcPr>
            <w:tcW w:w="2780" w:type="dxa"/>
            <w:vAlign w:val="bottom"/>
            <w:gridSpan w:val="6"/>
          </w:tcPr>
          <w:p>
            <w:pPr>
              <w:ind w:left="40"/>
              <w:spacing w:after="0"/>
              <w:rPr>
                <w:sz w:val="20"/>
                <w:szCs w:val="20"/>
                <w:color w:val="auto"/>
              </w:rPr>
            </w:pPr>
            <w:r>
              <w:rPr>
                <w:rFonts w:ascii="Arial" w:cs="Arial" w:eastAsia="Arial" w:hAnsi="Arial"/>
                <w:sz w:val="20"/>
                <w:szCs w:val="20"/>
                <w:color w:val="auto"/>
                <w:w w:val="93"/>
              </w:rPr>
              <w:t>Administrative Agent’s Clawback</w:t>
            </w:r>
          </w:p>
        </w:tc>
        <w:tc>
          <w:tcPr>
            <w:tcW w:w="920" w:type="dxa"/>
            <w:vAlign w:val="bottom"/>
          </w:tcPr>
          <w:p>
            <w:pPr>
              <w:jc w:val="right"/>
              <w:ind w:right="481"/>
              <w:spacing w:after="0"/>
              <w:rPr>
                <w:sz w:val="20"/>
                <w:szCs w:val="20"/>
                <w:color w:val="auto"/>
              </w:rPr>
            </w:pPr>
            <w:r>
              <w:rPr>
                <w:rFonts w:ascii="Arial" w:cs="Arial" w:eastAsia="Arial" w:hAnsi="Arial"/>
                <w:sz w:val="20"/>
                <w:szCs w:val="20"/>
                <w:color w:val="auto"/>
              </w:rPr>
              <w:t>74</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5.8</w:t>
            </w:r>
          </w:p>
        </w:tc>
        <w:tc>
          <w:tcPr>
            <w:tcW w:w="2080" w:type="dxa"/>
            <w:vAlign w:val="bottom"/>
            <w:gridSpan w:val="4"/>
          </w:tcPr>
          <w:p>
            <w:pPr>
              <w:ind w:left="40"/>
              <w:spacing w:after="0"/>
              <w:rPr>
                <w:sz w:val="20"/>
                <w:szCs w:val="20"/>
                <w:color w:val="auto"/>
              </w:rPr>
            </w:pPr>
            <w:r>
              <w:rPr>
                <w:rFonts w:ascii="Arial" w:cs="Arial" w:eastAsia="Arial" w:hAnsi="Arial"/>
                <w:sz w:val="20"/>
                <w:szCs w:val="20"/>
                <w:color w:val="auto"/>
                <w:w w:val="92"/>
              </w:rPr>
              <w:t>Changed Circumstances</w:t>
            </w:r>
          </w:p>
        </w:tc>
        <w:tc>
          <w:tcPr>
            <w:tcW w:w="700" w:type="dxa"/>
            <w:vAlign w:val="bottom"/>
            <w:gridSpan w:val="2"/>
          </w:tcPr>
          <w:p>
            <w:pPr>
              <w:jc w:val="right"/>
              <w:ind w:right="321"/>
              <w:spacing w:after="0"/>
              <w:rPr>
                <w:sz w:val="20"/>
                <w:szCs w:val="20"/>
                <w:color w:val="auto"/>
              </w:rPr>
            </w:pPr>
            <w:r>
              <w:rPr>
                <w:rFonts w:ascii="Arial" w:cs="Arial" w:eastAsia="Arial" w:hAnsi="Arial"/>
                <w:sz w:val="20"/>
                <w:szCs w:val="20"/>
                <w:color w:val="auto"/>
              </w:rPr>
              <w:t>75</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5.9</w:t>
            </w: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Indemnity  79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5.10</w:t>
            </w:r>
          </w:p>
        </w:tc>
        <w:tc>
          <w:tcPr>
            <w:tcW w:w="1500" w:type="dxa"/>
            <w:vAlign w:val="bottom"/>
            <w:gridSpan w:val="2"/>
          </w:tcPr>
          <w:p>
            <w:pPr>
              <w:ind w:left="140"/>
              <w:spacing w:after="0"/>
              <w:rPr>
                <w:sz w:val="20"/>
                <w:szCs w:val="20"/>
                <w:color w:val="auto"/>
              </w:rPr>
            </w:pPr>
            <w:r>
              <w:rPr>
                <w:rFonts w:ascii="Arial" w:cs="Arial" w:eastAsia="Arial" w:hAnsi="Arial"/>
                <w:sz w:val="20"/>
                <w:szCs w:val="20"/>
                <w:color w:val="auto"/>
                <w:w w:val="92"/>
              </w:rPr>
              <w:t>Increased Costs</w:t>
            </w:r>
          </w:p>
        </w:tc>
        <w:tc>
          <w:tcPr>
            <w:tcW w:w="320" w:type="dxa"/>
            <w:vAlign w:val="bottom"/>
          </w:tcPr>
          <w:p>
            <w:pPr>
              <w:jc w:val="right"/>
              <w:spacing w:after="0"/>
              <w:rPr>
                <w:sz w:val="20"/>
                <w:szCs w:val="20"/>
                <w:color w:val="auto"/>
              </w:rPr>
            </w:pPr>
            <w:r>
              <w:rPr>
                <w:rFonts w:ascii="Arial" w:cs="Arial" w:eastAsia="Arial" w:hAnsi="Arial"/>
                <w:sz w:val="20"/>
                <w:szCs w:val="20"/>
                <w:color w:val="auto"/>
              </w:rPr>
              <w:t>79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5.11</w:t>
            </w:r>
          </w:p>
        </w:tc>
        <w:tc>
          <w:tcPr>
            <w:tcW w:w="600" w:type="dxa"/>
            <w:vAlign w:val="bottom"/>
          </w:tcPr>
          <w:p>
            <w:pPr>
              <w:ind w:left="140"/>
              <w:spacing w:after="0"/>
              <w:rPr>
                <w:sz w:val="20"/>
                <w:szCs w:val="20"/>
                <w:color w:val="auto"/>
              </w:rPr>
            </w:pPr>
            <w:r>
              <w:rPr>
                <w:rFonts w:ascii="Arial" w:cs="Arial" w:eastAsia="Arial" w:hAnsi="Arial"/>
                <w:sz w:val="20"/>
                <w:szCs w:val="20"/>
                <w:color w:val="auto"/>
                <w:w w:val="80"/>
              </w:rPr>
              <w:t>Taxes</w:t>
            </w:r>
          </w:p>
        </w:tc>
        <w:tc>
          <w:tcPr>
            <w:tcW w:w="900" w:type="dxa"/>
            <w:vAlign w:val="bottom"/>
          </w:tcPr>
          <w:p>
            <w:pPr>
              <w:jc w:val="right"/>
              <w:ind w:right="421"/>
              <w:spacing w:after="0"/>
              <w:rPr>
                <w:sz w:val="20"/>
                <w:szCs w:val="20"/>
                <w:color w:val="auto"/>
              </w:rPr>
            </w:pPr>
            <w:r>
              <w:rPr>
                <w:rFonts w:ascii="Arial" w:cs="Arial" w:eastAsia="Arial" w:hAnsi="Arial"/>
                <w:sz w:val="20"/>
                <w:szCs w:val="20"/>
                <w:color w:val="auto"/>
              </w:rPr>
              <w:t>81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5.12</w:t>
            </w:r>
          </w:p>
        </w:tc>
        <w:tc>
          <w:tcPr>
            <w:tcW w:w="4880" w:type="dxa"/>
            <w:vAlign w:val="bottom"/>
            <w:gridSpan w:val="8"/>
          </w:tcPr>
          <w:p>
            <w:pPr>
              <w:ind w:left="140"/>
              <w:spacing w:after="0"/>
              <w:rPr>
                <w:sz w:val="20"/>
                <w:szCs w:val="20"/>
                <w:color w:val="auto"/>
              </w:rPr>
            </w:pPr>
            <w:r>
              <w:rPr>
                <w:rFonts w:ascii="Arial" w:cs="Arial" w:eastAsia="Arial" w:hAnsi="Arial"/>
                <w:sz w:val="20"/>
                <w:szCs w:val="20"/>
                <w:color w:val="auto"/>
              </w:rPr>
              <w:t>Mitigation Obligations; Replacement of Lenders  84</w:t>
            </w: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5.13</w:t>
            </w:r>
          </w:p>
        </w:tc>
        <w:tc>
          <w:tcPr>
            <w:tcW w:w="1820" w:type="dxa"/>
            <w:vAlign w:val="bottom"/>
            <w:gridSpan w:val="3"/>
          </w:tcPr>
          <w:p>
            <w:pPr>
              <w:ind w:left="140"/>
              <w:spacing w:after="0"/>
              <w:rPr>
                <w:sz w:val="20"/>
                <w:szCs w:val="20"/>
                <w:color w:val="auto"/>
              </w:rPr>
            </w:pPr>
            <w:r>
              <w:rPr>
                <w:rFonts w:ascii="Arial" w:cs="Arial" w:eastAsia="Arial" w:hAnsi="Arial"/>
                <w:sz w:val="20"/>
                <w:szCs w:val="20"/>
                <w:color w:val="auto"/>
              </w:rPr>
              <w:t>Incremental Loans</w:t>
            </w:r>
          </w:p>
        </w:tc>
        <w:tc>
          <w:tcPr>
            <w:tcW w:w="260" w:type="dxa"/>
            <w:vAlign w:val="bottom"/>
          </w:tcPr>
          <w:p>
            <w:pPr>
              <w:jc w:val="right"/>
              <w:spacing w:after="0"/>
              <w:rPr>
                <w:sz w:val="20"/>
                <w:szCs w:val="20"/>
                <w:color w:val="auto"/>
              </w:rPr>
            </w:pPr>
            <w:r>
              <w:rPr>
                <w:rFonts w:ascii="Arial" w:cs="Arial" w:eastAsia="Arial" w:hAnsi="Arial"/>
                <w:sz w:val="20"/>
                <w:szCs w:val="20"/>
                <w:color w:val="auto"/>
                <w:w w:val="80"/>
              </w:rPr>
              <w:t>85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5.14</w:t>
            </w:r>
          </w:p>
        </w:tc>
        <w:tc>
          <w:tcPr>
            <w:tcW w:w="1500" w:type="dxa"/>
            <w:vAlign w:val="bottom"/>
            <w:gridSpan w:val="2"/>
          </w:tcPr>
          <w:p>
            <w:pPr>
              <w:ind w:left="140"/>
              <w:spacing w:after="0"/>
              <w:rPr>
                <w:sz w:val="20"/>
                <w:szCs w:val="20"/>
                <w:color w:val="auto"/>
              </w:rPr>
            </w:pPr>
            <w:r>
              <w:rPr>
                <w:rFonts w:ascii="Arial" w:cs="Arial" w:eastAsia="Arial" w:hAnsi="Arial"/>
                <w:sz w:val="20"/>
                <w:szCs w:val="20"/>
                <w:color w:val="auto"/>
                <w:w w:val="97"/>
              </w:rPr>
              <w:t>Cash Collateral</w:t>
            </w:r>
          </w:p>
        </w:tc>
        <w:tc>
          <w:tcPr>
            <w:tcW w:w="320" w:type="dxa"/>
            <w:vAlign w:val="bottom"/>
          </w:tcPr>
          <w:p>
            <w:pPr>
              <w:jc w:val="right"/>
              <w:spacing w:after="0"/>
              <w:rPr>
                <w:sz w:val="20"/>
                <w:szCs w:val="20"/>
                <w:color w:val="auto"/>
              </w:rPr>
            </w:pPr>
            <w:r>
              <w:rPr>
                <w:rFonts w:ascii="Arial" w:cs="Arial" w:eastAsia="Arial" w:hAnsi="Arial"/>
                <w:sz w:val="20"/>
                <w:szCs w:val="20"/>
                <w:color w:val="auto"/>
              </w:rPr>
              <w:t>89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5.15</w:t>
            </w:r>
          </w:p>
        </w:tc>
        <w:tc>
          <w:tcPr>
            <w:tcW w:w="1820" w:type="dxa"/>
            <w:vAlign w:val="bottom"/>
            <w:gridSpan w:val="3"/>
          </w:tcPr>
          <w:p>
            <w:pPr>
              <w:ind w:left="140"/>
              <w:spacing w:after="0"/>
              <w:rPr>
                <w:sz w:val="20"/>
                <w:szCs w:val="20"/>
                <w:color w:val="auto"/>
              </w:rPr>
            </w:pPr>
            <w:r>
              <w:rPr>
                <w:rFonts w:ascii="Arial" w:cs="Arial" w:eastAsia="Arial" w:hAnsi="Arial"/>
                <w:sz w:val="20"/>
                <w:szCs w:val="20"/>
                <w:color w:val="auto"/>
                <w:w w:val="98"/>
              </w:rPr>
              <w:t>Defaulting Lenders</w:t>
            </w:r>
          </w:p>
        </w:tc>
        <w:tc>
          <w:tcPr>
            <w:tcW w:w="260" w:type="dxa"/>
            <w:vAlign w:val="bottom"/>
          </w:tcPr>
          <w:p>
            <w:pPr>
              <w:jc w:val="right"/>
              <w:spacing w:after="0"/>
              <w:rPr>
                <w:sz w:val="20"/>
                <w:szCs w:val="20"/>
                <w:color w:val="auto"/>
              </w:rPr>
            </w:pPr>
            <w:r>
              <w:rPr>
                <w:rFonts w:ascii="Arial" w:cs="Arial" w:eastAsia="Arial" w:hAnsi="Arial"/>
                <w:sz w:val="20"/>
                <w:szCs w:val="20"/>
                <w:color w:val="auto"/>
              </w:rPr>
              <w:t>90</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5.16</w:t>
            </w:r>
          </w:p>
        </w:tc>
        <w:tc>
          <w:tcPr>
            <w:tcW w:w="4880" w:type="dxa"/>
            <w:vAlign w:val="bottom"/>
            <w:gridSpan w:val="8"/>
          </w:tcPr>
          <w:p>
            <w:pPr>
              <w:ind w:left="140"/>
              <w:spacing w:after="0"/>
              <w:rPr>
                <w:sz w:val="20"/>
                <w:szCs w:val="20"/>
                <w:color w:val="auto"/>
              </w:rPr>
            </w:pPr>
            <w:r>
              <w:rPr>
                <w:rFonts w:ascii="Arial" w:cs="Arial" w:eastAsia="Arial" w:hAnsi="Arial"/>
                <w:sz w:val="20"/>
                <w:szCs w:val="20"/>
                <w:color w:val="auto"/>
                <w:w w:val="93"/>
              </w:rPr>
              <w:t>Centuri as Agent for the Borrowers; Nature of Obligations</w:t>
            </w:r>
          </w:p>
        </w:tc>
        <w:tc>
          <w:tcPr>
            <w:tcW w:w="620" w:type="dxa"/>
            <w:vAlign w:val="bottom"/>
          </w:tcPr>
          <w:p>
            <w:pPr>
              <w:jc w:val="right"/>
              <w:ind w:right="241"/>
              <w:spacing w:after="0"/>
              <w:rPr>
                <w:sz w:val="20"/>
                <w:szCs w:val="20"/>
                <w:color w:val="auto"/>
              </w:rPr>
            </w:pPr>
            <w:r>
              <w:rPr>
                <w:rFonts w:ascii="Arial" w:cs="Arial" w:eastAsia="Arial" w:hAnsi="Arial"/>
                <w:sz w:val="20"/>
                <w:szCs w:val="20"/>
                <w:color w:val="auto"/>
              </w:rPr>
              <w:t>92</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5.17</w:t>
            </w:r>
          </w:p>
        </w:tc>
        <w:tc>
          <w:tcPr>
            <w:tcW w:w="2320" w:type="dxa"/>
            <w:vAlign w:val="bottom"/>
            <w:gridSpan w:val="5"/>
          </w:tcPr>
          <w:p>
            <w:pPr>
              <w:ind w:left="140"/>
              <w:spacing w:after="0"/>
              <w:rPr>
                <w:sz w:val="20"/>
                <w:szCs w:val="20"/>
                <w:color w:val="auto"/>
              </w:rPr>
            </w:pPr>
            <w:r>
              <w:rPr>
                <w:rFonts w:ascii="Arial" w:cs="Arial" w:eastAsia="Arial" w:hAnsi="Arial"/>
                <w:sz w:val="20"/>
                <w:szCs w:val="20"/>
                <w:color w:val="auto"/>
                <w:w w:val="99"/>
              </w:rPr>
              <w:t>Additional Borrowers  92</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5.18</w:t>
            </w:r>
          </w:p>
        </w:tc>
        <w:tc>
          <w:tcPr>
            <w:tcW w:w="2080" w:type="dxa"/>
            <w:vAlign w:val="bottom"/>
            <w:gridSpan w:val="4"/>
          </w:tcPr>
          <w:p>
            <w:pPr>
              <w:ind w:left="140"/>
              <w:spacing w:after="0"/>
              <w:rPr>
                <w:sz w:val="20"/>
                <w:szCs w:val="20"/>
                <w:color w:val="auto"/>
              </w:rPr>
            </w:pPr>
            <w:r>
              <w:rPr>
                <w:rFonts w:ascii="Arial" w:cs="Arial" w:eastAsia="Arial" w:hAnsi="Arial"/>
                <w:sz w:val="20"/>
                <w:szCs w:val="20"/>
                <w:color w:val="auto"/>
              </w:rPr>
              <w:t>Refinancing Facilities</w:t>
            </w:r>
          </w:p>
        </w:tc>
        <w:tc>
          <w:tcPr>
            <w:tcW w:w="240" w:type="dxa"/>
            <w:vAlign w:val="bottom"/>
          </w:tcPr>
          <w:p>
            <w:pPr>
              <w:jc w:val="right"/>
              <w:spacing w:after="0"/>
              <w:rPr>
                <w:sz w:val="20"/>
                <w:szCs w:val="20"/>
                <w:color w:val="auto"/>
              </w:rPr>
            </w:pPr>
            <w:r>
              <w:rPr>
                <w:rFonts w:ascii="Arial" w:cs="Arial" w:eastAsia="Arial" w:hAnsi="Arial"/>
                <w:sz w:val="20"/>
                <w:szCs w:val="20"/>
                <w:color w:val="auto"/>
                <w:w w:val="80"/>
              </w:rPr>
              <w:t>93</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5.19</w:t>
            </w:r>
          </w:p>
        </w:tc>
        <w:tc>
          <w:tcPr>
            <w:tcW w:w="2780" w:type="dxa"/>
            <w:vAlign w:val="bottom"/>
            <w:gridSpan w:val="6"/>
          </w:tcPr>
          <w:p>
            <w:pPr>
              <w:ind w:left="140"/>
              <w:spacing w:after="0"/>
              <w:rPr>
                <w:sz w:val="20"/>
                <w:szCs w:val="20"/>
                <w:color w:val="auto"/>
              </w:rPr>
            </w:pPr>
            <w:r>
              <w:rPr>
                <w:rFonts w:ascii="Arial" w:cs="Arial" w:eastAsia="Arial" w:hAnsi="Arial"/>
                <w:sz w:val="20"/>
                <w:szCs w:val="20"/>
                <w:color w:val="auto"/>
                <w:w w:val="90"/>
              </w:rPr>
              <w:t>Amend and Extend Transactions</w:t>
            </w:r>
          </w:p>
        </w:tc>
        <w:tc>
          <w:tcPr>
            <w:tcW w:w="920" w:type="dxa"/>
            <w:vAlign w:val="bottom"/>
          </w:tcPr>
          <w:p>
            <w:pPr>
              <w:jc w:val="right"/>
              <w:ind w:right="481"/>
              <w:spacing w:after="0"/>
              <w:rPr>
                <w:sz w:val="20"/>
                <w:szCs w:val="20"/>
                <w:color w:val="auto"/>
              </w:rPr>
            </w:pPr>
            <w:r>
              <w:rPr>
                <w:rFonts w:ascii="Arial" w:cs="Arial" w:eastAsia="Arial" w:hAnsi="Arial"/>
                <w:sz w:val="20"/>
                <w:szCs w:val="20"/>
                <w:color w:val="auto"/>
              </w:rPr>
              <w:t>96</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7"/>
        </w:trPr>
        <w:tc>
          <w:tcPr>
            <w:tcW w:w="1180" w:type="dxa"/>
            <w:vAlign w:val="bottom"/>
          </w:tcPr>
          <w:p>
            <w:pPr>
              <w:spacing w:after="0"/>
              <w:rPr>
                <w:sz w:val="20"/>
                <w:szCs w:val="20"/>
                <w:color w:val="auto"/>
              </w:rPr>
            </w:pPr>
            <w:r>
              <w:rPr>
                <w:rFonts w:ascii="Arial" w:cs="Arial" w:eastAsia="Arial" w:hAnsi="Arial"/>
                <w:sz w:val="20"/>
                <w:szCs w:val="20"/>
                <w:color w:val="auto"/>
              </w:rPr>
              <w:t>ARTICLE VI</w:t>
            </w:r>
          </w:p>
        </w:tc>
        <w:tc>
          <w:tcPr>
            <w:tcW w:w="4460" w:type="dxa"/>
            <w:vAlign w:val="bottom"/>
            <w:gridSpan w:val="8"/>
          </w:tcPr>
          <w:p>
            <w:pPr>
              <w:jc w:val="right"/>
              <w:ind w:right="81"/>
              <w:spacing w:after="0"/>
              <w:rPr>
                <w:sz w:val="20"/>
                <w:szCs w:val="20"/>
                <w:color w:val="auto"/>
              </w:rPr>
            </w:pPr>
            <w:r>
              <w:rPr>
                <w:rFonts w:ascii="Arial" w:cs="Arial" w:eastAsia="Arial" w:hAnsi="Arial"/>
                <w:sz w:val="20"/>
                <w:szCs w:val="20"/>
                <w:color w:val="auto"/>
                <w:w w:val="97"/>
              </w:rPr>
              <w:t>CONDITIONS OF CLOSING AND BORROWING</w:t>
            </w:r>
          </w:p>
        </w:tc>
        <w:tc>
          <w:tcPr>
            <w:tcW w:w="1180" w:type="dxa"/>
            <w:vAlign w:val="bottom"/>
          </w:tcPr>
          <w:p>
            <w:pPr>
              <w:jc w:val="right"/>
              <w:ind w:right="881"/>
              <w:spacing w:after="0"/>
              <w:rPr>
                <w:sz w:val="20"/>
                <w:szCs w:val="20"/>
                <w:color w:val="auto"/>
              </w:rPr>
            </w:pPr>
            <w:r>
              <w:rPr>
                <w:rFonts w:ascii="Arial" w:cs="Arial" w:eastAsia="Arial" w:hAnsi="Arial"/>
                <w:sz w:val="20"/>
                <w:szCs w:val="20"/>
                <w:color w:val="auto"/>
                <w:w w:val="80"/>
              </w:rPr>
              <w:t>97</w:t>
            </w: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6.1</w:t>
            </w:r>
          </w:p>
        </w:tc>
        <w:tc>
          <w:tcPr>
            <w:tcW w:w="4880" w:type="dxa"/>
            <w:vAlign w:val="bottom"/>
            <w:gridSpan w:val="8"/>
          </w:tcPr>
          <w:p>
            <w:pPr>
              <w:ind w:left="40"/>
              <w:spacing w:after="0"/>
              <w:rPr>
                <w:sz w:val="20"/>
                <w:szCs w:val="20"/>
                <w:color w:val="auto"/>
              </w:rPr>
            </w:pPr>
            <w:r>
              <w:rPr>
                <w:rFonts w:ascii="Arial" w:cs="Arial" w:eastAsia="Arial" w:hAnsi="Arial"/>
                <w:sz w:val="20"/>
                <w:szCs w:val="20"/>
                <w:color w:val="auto"/>
                <w:w w:val="96"/>
              </w:rPr>
              <w:t>Conditions to Closing and Initial Extensions of Credit  97</w:t>
            </w:r>
          </w:p>
        </w:tc>
        <w:tc>
          <w:tcPr>
            <w:tcW w:w="62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6.2</w:t>
            </w:r>
          </w:p>
        </w:tc>
        <w:tc>
          <w:tcPr>
            <w:tcW w:w="3700" w:type="dxa"/>
            <w:vAlign w:val="bottom"/>
            <w:gridSpan w:val="7"/>
          </w:tcPr>
          <w:p>
            <w:pPr>
              <w:ind w:left="40"/>
              <w:spacing w:after="0"/>
              <w:rPr>
                <w:sz w:val="20"/>
                <w:szCs w:val="20"/>
                <w:color w:val="auto"/>
              </w:rPr>
            </w:pPr>
            <w:r>
              <w:rPr>
                <w:rFonts w:ascii="Arial" w:cs="Arial" w:eastAsia="Arial" w:hAnsi="Arial"/>
                <w:sz w:val="20"/>
                <w:szCs w:val="20"/>
                <w:color w:val="auto"/>
                <w:w w:val="97"/>
              </w:rPr>
              <w:t>Conditions to All Extensions of Credit  101</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140"/>
          </w:cols>
          <w:pgMar w:left="320" w:top="118" w:right="4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146960219_6</w:t>
      </w:r>
    </w:p>
    <w:p>
      <w:pPr>
        <w:sectPr>
          <w:pgSz w:w="11900" w:h="16838" w:orient="portrait"/>
          <w:cols w:equalWidth="0" w:num="1">
            <w:col w:w="11140"/>
          </w:cols>
          <w:pgMar w:left="320" w:top="118" w:right="439" w:bottom="1440" w:gutter="0" w:footer="0" w:header="0"/>
          <w:type w:val="continuous"/>
        </w:sectPr>
      </w:pPr>
    </w:p>
    <w:bookmarkStart w:id="60" w:name="page61"/>
    <w:bookmarkEnd w:id="60"/>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80" w:type="dxa"/>
            <w:vAlign w:val="bottom"/>
          </w:tcPr>
          <w:p>
            <w:pPr>
              <w:spacing w:after="0"/>
              <w:rPr>
                <w:sz w:val="20"/>
                <w:szCs w:val="20"/>
                <w:color w:val="auto"/>
              </w:rPr>
            </w:pPr>
            <w:r>
              <w:rPr>
                <w:rFonts w:ascii="Arial" w:cs="Arial" w:eastAsia="Arial" w:hAnsi="Arial"/>
                <w:sz w:val="20"/>
                <w:szCs w:val="20"/>
                <w:color w:val="auto"/>
              </w:rPr>
              <w:t>ARTICLE VII</w:t>
            </w:r>
          </w:p>
        </w:tc>
        <w:tc>
          <w:tcPr>
            <w:tcW w:w="7240" w:type="dxa"/>
            <w:vAlign w:val="bottom"/>
            <w:gridSpan w:val="8"/>
          </w:tcPr>
          <w:p>
            <w:pPr>
              <w:jc w:val="right"/>
              <w:ind w:right="641"/>
              <w:spacing w:after="0"/>
              <w:rPr>
                <w:sz w:val="20"/>
                <w:szCs w:val="20"/>
                <w:color w:val="auto"/>
              </w:rPr>
            </w:pPr>
            <w:r>
              <w:rPr>
                <w:rFonts w:ascii="Arial" w:cs="Arial" w:eastAsia="Arial" w:hAnsi="Arial"/>
                <w:sz w:val="20"/>
                <w:szCs w:val="20"/>
                <w:color w:val="auto"/>
                <w:w w:val="95"/>
              </w:rPr>
              <w:t>REPRESENTATIONS AND WARRANTIES OF THE CREDIT PARTIES  102</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7.1</w:t>
            </w:r>
          </w:p>
        </w:tc>
        <w:tc>
          <w:tcPr>
            <w:tcW w:w="2900" w:type="dxa"/>
            <w:vAlign w:val="bottom"/>
            <w:gridSpan w:val="5"/>
          </w:tcPr>
          <w:p>
            <w:pPr>
              <w:ind w:left="40"/>
              <w:spacing w:after="0"/>
              <w:rPr>
                <w:sz w:val="20"/>
                <w:szCs w:val="20"/>
                <w:color w:val="auto"/>
              </w:rPr>
            </w:pPr>
            <w:r>
              <w:rPr>
                <w:rFonts w:ascii="Arial" w:cs="Arial" w:eastAsia="Arial" w:hAnsi="Arial"/>
                <w:sz w:val="20"/>
                <w:szCs w:val="20"/>
                <w:color w:val="auto"/>
                <w:w w:val="93"/>
              </w:rPr>
              <w:t>Organization; Power; Qualification</w:t>
            </w:r>
          </w:p>
        </w:tc>
        <w:tc>
          <w:tcPr>
            <w:tcW w:w="3680" w:type="dxa"/>
            <w:vAlign w:val="bottom"/>
            <w:gridSpan w:val="2"/>
          </w:tcPr>
          <w:p>
            <w:pPr>
              <w:jc w:val="right"/>
              <w:ind w:right="3161"/>
              <w:spacing w:after="0"/>
              <w:rPr>
                <w:sz w:val="20"/>
                <w:szCs w:val="20"/>
                <w:color w:val="auto"/>
              </w:rPr>
            </w:pPr>
            <w:r>
              <w:rPr>
                <w:rFonts w:ascii="Arial" w:cs="Arial" w:eastAsia="Arial" w:hAnsi="Arial"/>
                <w:sz w:val="20"/>
                <w:szCs w:val="20"/>
                <w:color w:val="auto"/>
              </w:rPr>
              <w:t>102</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7.2</w:t>
            </w:r>
          </w:p>
        </w:tc>
        <w:tc>
          <w:tcPr>
            <w:tcW w:w="1040" w:type="dxa"/>
            <w:vAlign w:val="bottom"/>
          </w:tcPr>
          <w:p>
            <w:pPr>
              <w:ind w:left="40"/>
              <w:spacing w:after="0"/>
              <w:rPr>
                <w:sz w:val="20"/>
                <w:szCs w:val="20"/>
                <w:color w:val="auto"/>
              </w:rPr>
            </w:pPr>
            <w:r>
              <w:rPr>
                <w:rFonts w:ascii="Arial" w:cs="Arial" w:eastAsia="Arial" w:hAnsi="Arial"/>
                <w:sz w:val="20"/>
                <w:szCs w:val="20"/>
                <w:color w:val="auto"/>
              </w:rPr>
              <w:t>Ownership</w:t>
            </w:r>
          </w:p>
        </w:tc>
        <w:tc>
          <w:tcPr>
            <w:tcW w:w="860" w:type="dxa"/>
            <w:vAlign w:val="bottom"/>
          </w:tcPr>
          <w:p>
            <w:pPr>
              <w:jc w:val="right"/>
              <w:ind w:right="401"/>
              <w:spacing w:after="0"/>
              <w:rPr>
                <w:sz w:val="20"/>
                <w:szCs w:val="20"/>
                <w:color w:val="auto"/>
              </w:rPr>
            </w:pPr>
            <w:r>
              <w:rPr>
                <w:rFonts w:ascii="Arial" w:cs="Arial" w:eastAsia="Arial" w:hAnsi="Arial"/>
                <w:sz w:val="20"/>
                <w:szCs w:val="20"/>
                <w:color w:val="auto"/>
              </w:rPr>
              <w:t>102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7.3</w:t>
            </w:r>
          </w:p>
        </w:tc>
        <w:tc>
          <w:tcPr>
            <w:tcW w:w="2480" w:type="dxa"/>
            <w:vAlign w:val="bottom"/>
            <w:gridSpan w:val="4"/>
          </w:tcPr>
          <w:p>
            <w:pPr>
              <w:ind w:left="40"/>
              <w:spacing w:after="0"/>
              <w:rPr>
                <w:sz w:val="20"/>
                <w:szCs w:val="20"/>
                <w:color w:val="auto"/>
              </w:rPr>
            </w:pPr>
            <w:r>
              <w:rPr>
                <w:rFonts w:ascii="Arial" w:cs="Arial" w:eastAsia="Arial" w:hAnsi="Arial"/>
                <w:sz w:val="20"/>
                <w:szCs w:val="20"/>
                <w:color w:val="auto"/>
                <w:w w:val="97"/>
              </w:rPr>
              <w:t>Authorization; Enforceability</w:t>
            </w:r>
          </w:p>
        </w:tc>
        <w:tc>
          <w:tcPr>
            <w:tcW w:w="420" w:type="dxa"/>
            <w:vAlign w:val="bottom"/>
          </w:tcPr>
          <w:p>
            <w:pPr>
              <w:jc w:val="right"/>
              <w:spacing w:after="0"/>
              <w:rPr>
                <w:sz w:val="20"/>
                <w:szCs w:val="20"/>
                <w:color w:val="auto"/>
              </w:rPr>
            </w:pPr>
            <w:r>
              <w:rPr>
                <w:rFonts w:ascii="Arial" w:cs="Arial" w:eastAsia="Arial" w:hAnsi="Arial"/>
                <w:sz w:val="20"/>
                <w:szCs w:val="20"/>
                <w:color w:val="auto"/>
              </w:rPr>
              <w:t>102</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7.4</w:t>
            </w:r>
          </w:p>
        </w:tc>
        <w:tc>
          <w:tcPr>
            <w:tcW w:w="6580" w:type="dxa"/>
            <w:vAlign w:val="bottom"/>
            <w:gridSpan w:val="7"/>
          </w:tcPr>
          <w:p>
            <w:pPr>
              <w:ind w:left="40"/>
              <w:spacing w:after="0"/>
              <w:rPr>
                <w:sz w:val="20"/>
                <w:szCs w:val="20"/>
                <w:color w:val="auto"/>
              </w:rPr>
            </w:pPr>
            <w:r>
              <w:rPr>
                <w:rFonts w:ascii="Arial" w:cs="Arial" w:eastAsia="Arial" w:hAnsi="Arial"/>
                <w:sz w:val="20"/>
                <w:szCs w:val="20"/>
                <w:color w:val="auto"/>
                <w:w w:val="92"/>
              </w:rPr>
              <w:t>Compliance of Agreement, Loan Documents and Borrowing with Laws, Etc  103</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7.5</w:t>
            </w:r>
          </w:p>
        </w:tc>
        <w:tc>
          <w:tcPr>
            <w:tcW w:w="6580" w:type="dxa"/>
            <w:vAlign w:val="bottom"/>
            <w:gridSpan w:val="7"/>
          </w:tcPr>
          <w:p>
            <w:pPr>
              <w:ind w:left="40"/>
              <w:spacing w:after="0"/>
              <w:rPr>
                <w:sz w:val="20"/>
                <w:szCs w:val="20"/>
                <w:color w:val="auto"/>
              </w:rPr>
            </w:pPr>
            <w:r>
              <w:rPr>
                <w:rFonts w:ascii="Arial" w:cs="Arial" w:eastAsia="Arial" w:hAnsi="Arial"/>
                <w:sz w:val="20"/>
                <w:szCs w:val="20"/>
                <w:color w:val="auto"/>
              </w:rPr>
              <w:t>Compliance with Law; Governmental Approvals  103</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7.6</w:t>
            </w:r>
          </w:p>
        </w:tc>
        <w:tc>
          <w:tcPr>
            <w:tcW w:w="2180" w:type="dxa"/>
            <w:vAlign w:val="bottom"/>
            <w:gridSpan w:val="3"/>
          </w:tcPr>
          <w:p>
            <w:pPr>
              <w:ind w:left="40"/>
              <w:spacing w:after="0"/>
              <w:rPr>
                <w:sz w:val="20"/>
                <w:szCs w:val="20"/>
                <w:color w:val="auto"/>
              </w:rPr>
            </w:pPr>
            <w:r>
              <w:rPr>
                <w:rFonts w:ascii="Arial" w:cs="Arial" w:eastAsia="Arial" w:hAnsi="Arial"/>
                <w:sz w:val="20"/>
                <w:szCs w:val="20"/>
                <w:color w:val="auto"/>
                <w:w w:val="87"/>
              </w:rPr>
              <w:t>Tax Returns and Payments</w:t>
            </w:r>
          </w:p>
        </w:tc>
        <w:tc>
          <w:tcPr>
            <w:tcW w:w="720" w:type="dxa"/>
            <w:vAlign w:val="bottom"/>
            <w:gridSpan w:val="2"/>
          </w:tcPr>
          <w:p>
            <w:pPr>
              <w:jc w:val="right"/>
              <w:ind w:right="141"/>
              <w:spacing w:after="0"/>
              <w:rPr>
                <w:sz w:val="20"/>
                <w:szCs w:val="20"/>
                <w:color w:val="auto"/>
              </w:rPr>
            </w:pPr>
            <w:r>
              <w:rPr>
                <w:rFonts w:ascii="Arial" w:cs="Arial" w:eastAsia="Arial" w:hAnsi="Arial"/>
                <w:sz w:val="20"/>
                <w:szCs w:val="20"/>
                <w:color w:val="auto"/>
              </w:rPr>
              <w:t>103</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7.7</w:t>
            </w:r>
          </w:p>
        </w:tc>
        <w:tc>
          <w:tcPr>
            <w:tcW w:w="2480" w:type="dxa"/>
            <w:vAlign w:val="bottom"/>
            <w:gridSpan w:val="4"/>
          </w:tcPr>
          <w:p>
            <w:pPr>
              <w:ind w:left="40"/>
              <w:spacing w:after="0"/>
              <w:rPr>
                <w:sz w:val="20"/>
                <w:szCs w:val="20"/>
                <w:color w:val="auto"/>
              </w:rPr>
            </w:pPr>
            <w:r>
              <w:rPr>
                <w:rFonts w:ascii="Arial" w:cs="Arial" w:eastAsia="Arial" w:hAnsi="Arial"/>
                <w:sz w:val="20"/>
                <w:szCs w:val="20"/>
                <w:color w:val="auto"/>
                <w:w w:val="97"/>
              </w:rPr>
              <w:t>Intellectual Property Matters</w:t>
            </w:r>
          </w:p>
        </w:tc>
        <w:tc>
          <w:tcPr>
            <w:tcW w:w="420" w:type="dxa"/>
            <w:vAlign w:val="bottom"/>
          </w:tcPr>
          <w:p>
            <w:pPr>
              <w:jc w:val="right"/>
              <w:spacing w:after="0"/>
              <w:rPr>
                <w:sz w:val="20"/>
                <w:szCs w:val="20"/>
                <w:color w:val="auto"/>
              </w:rPr>
            </w:pPr>
            <w:r>
              <w:rPr>
                <w:rFonts w:ascii="Arial" w:cs="Arial" w:eastAsia="Arial" w:hAnsi="Arial"/>
                <w:sz w:val="20"/>
                <w:szCs w:val="20"/>
                <w:color w:val="auto"/>
                <w:w w:val="95"/>
              </w:rPr>
              <w:t>104</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7.8</w:t>
            </w:r>
          </w:p>
        </w:tc>
        <w:tc>
          <w:tcPr>
            <w:tcW w:w="1900" w:type="dxa"/>
            <w:vAlign w:val="bottom"/>
            <w:gridSpan w:val="2"/>
          </w:tcPr>
          <w:p>
            <w:pPr>
              <w:ind w:left="40"/>
              <w:spacing w:after="0"/>
              <w:rPr>
                <w:sz w:val="20"/>
                <w:szCs w:val="20"/>
                <w:color w:val="auto"/>
              </w:rPr>
            </w:pPr>
            <w:r>
              <w:rPr>
                <w:rFonts w:ascii="Arial" w:cs="Arial" w:eastAsia="Arial" w:hAnsi="Arial"/>
                <w:sz w:val="20"/>
                <w:szCs w:val="20"/>
                <w:color w:val="auto"/>
                <w:w w:val="91"/>
              </w:rPr>
              <w:t>Environmental Matters</w:t>
            </w:r>
          </w:p>
        </w:tc>
        <w:tc>
          <w:tcPr>
            <w:tcW w:w="580" w:type="dxa"/>
            <w:vAlign w:val="bottom"/>
            <w:gridSpan w:val="2"/>
          </w:tcPr>
          <w:p>
            <w:pPr>
              <w:jc w:val="right"/>
              <w:ind w:right="1"/>
              <w:spacing w:after="0"/>
              <w:rPr>
                <w:sz w:val="20"/>
                <w:szCs w:val="20"/>
                <w:color w:val="auto"/>
              </w:rPr>
            </w:pPr>
            <w:r>
              <w:rPr>
                <w:rFonts w:ascii="Arial" w:cs="Arial" w:eastAsia="Arial" w:hAnsi="Arial"/>
                <w:sz w:val="20"/>
                <w:szCs w:val="20"/>
                <w:color w:val="auto"/>
              </w:rPr>
              <w:t>104</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7.9</w:t>
            </w:r>
          </w:p>
        </w:tc>
        <w:tc>
          <w:tcPr>
            <w:tcW w:w="2180" w:type="dxa"/>
            <w:vAlign w:val="bottom"/>
            <w:gridSpan w:val="3"/>
          </w:tcPr>
          <w:p>
            <w:pPr>
              <w:ind w:left="40"/>
              <w:spacing w:after="0"/>
              <w:rPr>
                <w:sz w:val="20"/>
                <w:szCs w:val="20"/>
                <w:color w:val="auto"/>
              </w:rPr>
            </w:pPr>
            <w:r>
              <w:rPr>
                <w:rFonts w:ascii="Arial" w:cs="Arial" w:eastAsia="Arial" w:hAnsi="Arial"/>
                <w:sz w:val="20"/>
                <w:szCs w:val="20"/>
                <w:color w:val="auto"/>
                <w:w w:val="92"/>
              </w:rPr>
              <w:t>Employee Benefit Matters</w:t>
            </w:r>
          </w:p>
        </w:tc>
        <w:tc>
          <w:tcPr>
            <w:tcW w:w="720" w:type="dxa"/>
            <w:vAlign w:val="bottom"/>
            <w:gridSpan w:val="2"/>
          </w:tcPr>
          <w:p>
            <w:pPr>
              <w:jc w:val="right"/>
              <w:ind w:right="181"/>
              <w:spacing w:after="0"/>
              <w:rPr>
                <w:sz w:val="20"/>
                <w:szCs w:val="20"/>
                <w:color w:val="auto"/>
              </w:rPr>
            </w:pPr>
            <w:r>
              <w:rPr>
                <w:rFonts w:ascii="Arial" w:cs="Arial" w:eastAsia="Arial" w:hAnsi="Arial"/>
                <w:sz w:val="20"/>
                <w:szCs w:val="20"/>
                <w:color w:val="auto"/>
              </w:rPr>
              <w:t>105</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7.10</w:t>
            </w:r>
          </w:p>
        </w:tc>
        <w:tc>
          <w:tcPr>
            <w:tcW w:w="1900" w:type="dxa"/>
            <w:vAlign w:val="bottom"/>
            <w:gridSpan w:val="2"/>
          </w:tcPr>
          <w:p>
            <w:pPr>
              <w:ind w:left="140"/>
              <w:spacing w:after="0"/>
              <w:rPr>
                <w:sz w:val="20"/>
                <w:szCs w:val="20"/>
                <w:color w:val="auto"/>
              </w:rPr>
            </w:pPr>
            <w:r>
              <w:rPr>
                <w:rFonts w:ascii="Arial" w:cs="Arial" w:eastAsia="Arial" w:hAnsi="Arial"/>
                <w:sz w:val="20"/>
                <w:szCs w:val="20"/>
                <w:color w:val="auto"/>
              </w:rPr>
              <w:t>Margin Stock  106</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7.11</w:t>
            </w:r>
          </w:p>
        </w:tc>
        <w:tc>
          <w:tcPr>
            <w:tcW w:w="2180" w:type="dxa"/>
            <w:vAlign w:val="bottom"/>
            <w:gridSpan w:val="3"/>
          </w:tcPr>
          <w:p>
            <w:pPr>
              <w:ind w:left="140"/>
              <w:spacing w:after="0"/>
              <w:rPr>
                <w:sz w:val="20"/>
                <w:szCs w:val="20"/>
                <w:color w:val="auto"/>
              </w:rPr>
            </w:pPr>
            <w:r>
              <w:rPr>
                <w:rFonts w:ascii="Arial" w:cs="Arial" w:eastAsia="Arial" w:hAnsi="Arial"/>
                <w:sz w:val="20"/>
                <w:szCs w:val="20"/>
                <w:color w:val="auto"/>
                <w:w w:val="95"/>
              </w:rPr>
              <w:t>Government Regulation</w:t>
            </w:r>
          </w:p>
        </w:tc>
        <w:tc>
          <w:tcPr>
            <w:tcW w:w="720" w:type="dxa"/>
            <w:vAlign w:val="bottom"/>
            <w:gridSpan w:val="2"/>
          </w:tcPr>
          <w:p>
            <w:pPr>
              <w:jc w:val="right"/>
              <w:ind w:right="261"/>
              <w:spacing w:after="0"/>
              <w:rPr>
                <w:sz w:val="20"/>
                <w:szCs w:val="20"/>
                <w:color w:val="auto"/>
              </w:rPr>
            </w:pPr>
            <w:r>
              <w:rPr>
                <w:rFonts w:ascii="Arial" w:cs="Arial" w:eastAsia="Arial" w:hAnsi="Arial"/>
                <w:sz w:val="20"/>
                <w:szCs w:val="20"/>
                <w:color w:val="auto"/>
              </w:rPr>
              <w:t>106</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7.12</w:t>
            </w:r>
          </w:p>
        </w:tc>
        <w:tc>
          <w:tcPr>
            <w:tcW w:w="2180" w:type="dxa"/>
            <w:vAlign w:val="bottom"/>
            <w:gridSpan w:val="3"/>
          </w:tcPr>
          <w:p>
            <w:pPr>
              <w:ind w:left="140"/>
              <w:spacing w:after="0"/>
              <w:rPr>
                <w:sz w:val="20"/>
                <w:szCs w:val="20"/>
                <w:color w:val="auto"/>
              </w:rPr>
            </w:pPr>
            <w:r>
              <w:rPr>
                <w:rFonts w:ascii="Arial" w:cs="Arial" w:eastAsia="Arial" w:hAnsi="Arial"/>
                <w:sz w:val="20"/>
                <w:szCs w:val="20"/>
                <w:color w:val="auto"/>
              </w:rPr>
              <w:t>[Intentionally Omitted]</w:t>
            </w:r>
          </w:p>
        </w:tc>
        <w:tc>
          <w:tcPr>
            <w:tcW w:w="720" w:type="dxa"/>
            <w:vAlign w:val="bottom"/>
            <w:gridSpan w:val="2"/>
          </w:tcPr>
          <w:p>
            <w:pPr>
              <w:jc w:val="right"/>
              <w:ind w:right="321"/>
              <w:spacing w:after="0"/>
              <w:rPr>
                <w:sz w:val="20"/>
                <w:szCs w:val="20"/>
                <w:color w:val="auto"/>
              </w:rPr>
            </w:pPr>
            <w:r>
              <w:rPr>
                <w:rFonts w:ascii="Arial" w:cs="Arial" w:eastAsia="Arial" w:hAnsi="Arial"/>
                <w:sz w:val="20"/>
                <w:szCs w:val="20"/>
                <w:color w:val="auto"/>
                <w:w w:val="83"/>
              </w:rPr>
              <w:t>106</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7.13</w:t>
            </w:r>
          </w:p>
        </w:tc>
        <w:tc>
          <w:tcPr>
            <w:tcW w:w="1900" w:type="dxa"/>
            <w:vAlign w:val="bottom"/>
            <w:gridSpan w:val="2"/>
          </w:tcPr>
          <w:p>
            <w:pPr>
              <w:ind w:left="140"/>
              <w:spacing w:after="0"/>
              <w:rPr>
                <w:sz w:val="20"/>
                <w:szCs w:val="20"/>
                <w:color w:val="auto"/>
              </w:rPr>
            </w:pPr>
            <w:r>
              <w:rPr>
                <w:rFonts w:ascii="Arial" w:cs="Arial" w:eastAsia="Arial" w:hAnsi="Arial"/>
                <w:sz w:val="20"/>
                <w:szCs w:val="20"/>
                <w:color w:val="auto"/>
                <w:w w:val="97"/>
              </w:rPr>
              <w:t>Employee Relations</w:t>
            </w:r>
          </w:p>
        </w:tc>
        <w:tc>
          <w:tcPr>
            <w:tcW w:w="580" w:type="dxa"/>
            <w:vAlign w:val="bottom"/>
            <w:gridSpan w:val="2"/>
          </w:tcPr>
          <w:p>
            <w:pPr>
              <w:jc w:val="right"/>
              <w:ind w:right="141"/>
              <w:spacing w:after="0"/>
              <w:rPr>
                <w:sz w:val="20"/>
                <w:szCs w:val="20"/>
                <w:color w:val="auto"/>
              </w:rPr>
            </w:pPr>
            <w:r>
              <w:rPr>
                <w:rFonts w:ascii="Arial" w:cs="Arial" w:eastAsia="Arial" w:hAnsi="Arial"/>
                <w:sz w:val="20"/>
                <w:szCs w:val="20"/>
                <w:color w:val="auto"/>
                <w:w w:val="95"/>
              </w:rPr>
              <w:t>106</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7.14</w:t>
            </w:r>
          </w:p>
        </w:tc>
        <w:tc>
          <w:tcPr>
            <w:tcW w:w="2180" w:type="dxa"/>
            <w:vAlign w:val="bottom"/>
            <w:gridSpan w:val="3"/>
          </w:tcPr>
          <w:p>
            <w:pPr>
              <w:ind w:left="140"/>
              <w:spacing w:after="0"/>
              <w:rPr>
                <w:sz w:val="20"/>
                <w:szCs w:val="20"/>
                <w:color w:val="auto"/>
              </w:rPr>
            </w:pPr>
            <w:r>
              <w:rPr>
                <w:rFonts w:ascii="Arial" w:cs="Arial" w:eastAsia="Arial" w:hAnsi="Arial"/>
                <w:sz w:val="20"/>
                <w:szCs w:val="20"/>
                <w:color w:val="auto"/>
                <w:w w:val="95"/>
              </w:rPr>
              <w:t>Burdensome Provisions</w:t>
            </w:r>
          </w:p>
        </w:tc>
        <w:tc>
          <w:tcPr>
            <w:tcW w:w="720" w:type="dxa"/>
            <w:vAlign w:val="bottom"/>
            <w:gridSpan w:val="2"/>
          </w:tcPr>
          <w:p>
            <w:pPr>
              <w:jc w:val="right"/>
              <w:ind w:right="281"/>
              <w:spacing w:after="0"/>
              <w:rPr>
                <w:sz w:val="20"/>
                <w:szCs w:val="20"/>
                <w:color w:val="auto"/>
              </w:rPr>
            </w:pPr>
            <w:r>
              <w:rPr>
                <w:rFonts w:ascii="Arial" w:cs="Arial" w:eastAsia="Arial" w:hAnsi="Arial"/>
                <w:sz w:val="20"/>
                <w:szCs w:val="20"/>
                <w:color w:val="auto"/>
                <w:w w:val="95"/>
              </w:rPr>
              <w:t>107</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7.15</w:t>
            </w:r>
          </w:p>
        </w:tc>
        <w:tc>
          <w:tcPr>
            <w:tcW w:w="1900" w:type="dxa"/>
            <w:vAlign w:val="bottom"/>
            <w:gridSpan w:val="2"/>
          </w:tcPr>
          <w:p>
            <w:pPr>
              <w:ind w:left="140"/>
              <w:spacing w:after="0"/>
              <w:rPr>
                <w:sz w:val="20"/>
                <w:szCs w:val="20"/>
                <w:color w:val="auto"/>
              </w:rPr>
            </w:pPr>
            <w:r>
              <w:rPr>
                <w:rFonts w:ascii="Arial" w:cs="Arial" w:eastAsia="Arial" w:hAnsi="Arial"/>
                <w:sz w:val="20"/>
                <w:szCs w:val="20"/>
                <w:color w:val="auto"/>
                <w:w w:val="93"/>
              </w:rPr>
              <w:t>Financial Statements</w:t>
            </w:r>
          </w:p>
        </w:tc>
        <w:tc>
          <w:tcPr>
            <w:tcW w:w="580" w:type="dxa"/>
            <w:vAlign w:val="bottom"/>
            <w:gridSpan w:val="2"/>
          </w:tcPr>
          <w:p>
            <w:pPr>
              <w:jc w:val="right"/>
              <w:ind w:right="81"/>
              <w:spacing w:after="0"/>
              <w:rPr>
                <w:sz w:val="20"/>
                <w:szCs w:val="20"/>
                <w:color w:val="auto"/>
              </w:rPr>
            </w:pPr>
            <w:r>
              <w:rPr>
                <w:rFonts w:ascii="Arial" w:cs="Arial" w:eastAsia="Arial" w:hAnsi="Arial"/>
                <w:sz w:val="20"/>
                <w:szCs w:val="20"/>
                <w:color w:val="auto"/>
              </w:rPr>
              <w:t>107</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7.16</w:t>
            </w:r>
          </w:p>
        </w:tc>
        <w:tc>
          <w:tcPr>
            <w:tcW w:w="2480" w:type="dxa"/>
            <w:vAlign w:val="bottom"/>
            <w:gridSpan w:val="4"/>
          </w:tcPr>
          <w:p>
            <w:pPr>
              <w:ind w:left="140"/>
              <w:spacing w:after="0"/>
              <w:rPr>
                <w:sz w:val="20"/>
                <w:szCs w:val="20"/>
                <w:color w:val="auto"/>
              </w:rPr>
            </w:pPr>
            <w:r>
              <w:rPr>
                <w:rFonts w:ascii="Arial" w:cs="Arial" w:eastAsia="Arial" w:hAnsi="Arial"/>
                <w:sz w:val="20"/>
                <w:szCs w:val="20"/>
                <w:color w:val="auto"/>
                <w:w w:val="90"/>
              </w:rPr>
              <w:t>No Material Adverse Change</w:t>
            </w:r>
          </w:p>
        </w:tc>
        <w:tc>
          <w:tcPr>
            <w:tcW w:w="760" w:type="dxa"/>
            <w:vAlign w:val="bottom"/>
            <w:gridSpan w:val="2"/>
          </w:tcPr>
          <w:p>
            <w:pPr>
              <w:jc w:val="right"/>
              <w:ind w:right="181"/>
              <w:spacing w:after="0"/>
              <w:rPr>
                <w:sz w:val="20"/>
                <w:szCs w:val="20"/>
                <w:color w:val="auto"/>
              </w:rPr>
            </w:pPr>
            <w:r>
              <w:rPr>
                <w:rFonts w:ascii="Arial" w:cs="Arial" w:eastAsia="Arial" w:hAnsi="Arial"/>
                <w:sz w:val="20"/>
                <w:szCs w:val="20"/>
                <w:color w:val="auto"/>
              </w:rPr>
              <w:t>107</w:t>
            </w: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7.17</w:t>
            </w:r>
          </w:p>
        </w:tc>
        <w:tc>
          <w:tcPr>
            <w:tcW w:w="1040" w:type="dxa"/>
            <w:vAlign w:val="bottom"/>
          </w:tcPr>
          <w:p>
            <w:pPr>
              <w:ind w:left="140"/>
              <w:spacing w:after="0"/>
              <w:rPr>
                <w:sz w:val="20"/>
                <w:szCs w:val="20"/>
                <w:color w:val="auto"/>
              </w:rPr>
            </w:pPr>
            <w:r>
              <w:rPr>
                <w:rFonts w:ascii="Arial" w:cs="Arial" w:eastAsia="Arial" w:hAnsi="Arial"/>
                <w:sz w:val="20"/>
                <w:szCs w:val="20"/>
                <w:color w:val="auto"/>
              </w:rPr>
              <w:t>Solvency</w:t>
            </w:r>
          </w:p>
        </w:tc>
        <w:tc>
          <w:tcPr>
            <w:tcW w:w="860" w:type="dxa"/>
            <w:vAlign w:val="bottom"/>
          </w:tcPr>
          <w:p>
            <w:pPr>
              <w:jc w:val="right"/>
              <w:ind w:right="421"/>
              <w:spacing w:after="0"/>
              <w:rPr>
                <w:sz w:val="20"/>
                <w:szCs w:val="20"/>
                <w:color w:val="auto"/>
              </w:rPr>
            </w:pPr>
            <w:r>
              <w:rPr>
                <w:rFonts w:ascii="Arial" w:cs="Arial" w:eastAsia="Arial" w:hAnsi="Arial"/>
                <w:sz w:val="20"/>
                <w:szCs w:val="20"/>
                <w:color w:val="auto"/>
                <w:w w:val="95"/>
              </w:rPr>
              <w:t>107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7.18</w:t>
            </w:r>
          </w:p>
        </w:tc>
        <w:tc>
          <w:tcPr>
            <w:tcW w:w="2180" w:type="dxa"/>
            <w:vAlign w:val="bottom"/>
            <w:gridSpan w:val="3"/>
          </w:tcPr>
          <w:p>
            <w:pPr>
              <w:ind w:left="140"/>
              <w:spacing w:after="0"/>
              <w:rPr>
                <w:sz w:val="20"/>
                <w:szCs w:val="20"/>
                <w:color w:val="auto"/>
              </w:rPr>
            </w:pPr>
            <w:r>
              <w:rPr>
                <w:rFonts w:ascii="Arial" w:cs="Arial" w:eastAsia="Arial" w:hAnsi="Arial"/>
                <w:sz w:val="20"/>
                <w:szCs w:val="20"/>
                <w:color w:val="auto"/>
              </w:rPr>
              <w:t>Title to Properties  107</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7.19</w:t>
            </w:r>
          </w:p>
        </w:tc>
        <w:tc>
          <w:tcPr>
            <w:tcW w:w="1040" w:type="dxa"/>
            <w:vAlign w:val="bottom"/>
          </w:tcPr>
          <w:p>
            <w:pPr>
              <w:ind w:left="140"/>
              <w:spacing w:after="0"/>
              <w:rPr>
                <w:sz w:val="20"/>
                <w:szCs w:val="20"/>
                <w:color w:val="auto"/>
              </w:rPr>
            </w:pPr>
            <w:r>
              <w:rPr>
                <w:rFonts w:ascii="Arial" w:cs="Arial" w:eastAsia="Arial" w:hAnsi="Arial"/>
                <w:sz w:val="20"/>
                <w:szCs w:val="20"/>
                <w:color w:val="auto"/>
              </w:rPr>
              <w:t>Litigation</w:t>
            </w:r>
          </w:p>
        </w:tc>
        <w:tc>
          <w:tcPr>
            <w:tcW w:w="860" w:type="dxa"/>
            <w:vAlign w:val="bottom"/>
          </w:tcPr>
          <w:p>
            <w:pPr>
              <w:jc w:val="right"/>
              <w:ind w:right="381"/>
              <w:spacing w:after="0"/>
              <w:rPr>
                <w:sz w:val="20"/>
                <w:szCs w:val="20"/>
                <w:color w:val="auto"/>
              </w:rPr>
            </w:pPr>
            <w:r>
              <w:rPr>
                <w:rFonts w:ascii="Arial" w:cs="Arial" w:eastAsia="Arial" w:hAnsi="Arial"/>
                <w:sz w:val="20"/>
                <w:szCs w:val="20"/>
                <w:color w:val="auto"/>
              </w:rPr>
              <w:t>107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7.20</w:t>
            </w:r>
          </w:p>
        </w:tc>
        <w:tc>
          <w:tcPr>
            <w:tcW w:w="3240" w:type="dxa"/>
            <w:vAlign w:val="bottom"/>
            <w:gridSpan w:val="6"/>
          </w:tcPr>
          <w:p>
            <w:pPr>
              <w:ind w:left="140"/>
              <w:spacing w:after="0"/>
              <w:rPr>
                <w:sz w:val="20"/>
                <w:szCs w:val="20"/>
                <w:color w:val="auto"/>
              </w:rPr>
            </w:pPr>
            <w:r>
              <w:rPr>
                <w:rFonts w:ascii="Arial" w:cs="Arial" w:eastAsia="Arial" w:hAnsi="Arial"/>
                <w:sz w:val="20"/>
                <w:szCs w:val="20"/>
                <w:color w:val="auto"/>
                <w:w w:val="96"/>
              </w:rPr>
              <w:t>Anti-Corruption Laws and Sanctions</w:t>
            </w:r>
          </w:p>
        </w:tc>
        <w:tc>
          <w:tcPr>
            <w:tcW w:w="3340" w:type="dxa"/>
            <w:vAlign w:val="bottom"/>
          </w:tcPr>
          <w:p>
            <w:pPr>
              <w:jc w:val="right"/>
              <w:ind w:right="2941"/>
              <w:spacing w:after="0"/>
              <w:rPr>
                <w:sz w:val="20"/>
                <w:szCs w:val="20"/>
                <w:color w:val="auto"/>
              </w:rPr>
            </w:pPr>
            <w:r>
              <w:rPr>
                <w:rFonts w:ascii="Arial" w:cs="Arial" w:eastAsia="Arial" w:hAnsi="Arial"/>
                <w:sz w:val="20"/>
                <w:szCs w:val="20"/>
                <w:color w:val="auto"/>
                <w:w w:val="83"/>
              </w:rPr>
              <w:t>107</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7.21</w:t>
            </w:r>
          </w:p>
        </w:tc>
        <w:tc>
          <w:tcPr>
            <w:tcW w:w="1900" w:type="dxa"/>
            <w:vAlign w:val="bottom"/>
            <w:gridSpan w:val="2"/>
          </w:tcPr>
          <w:p>
            <w:pPr>
              <w:ind w:left="140"/>
              <w:spacing w:after="0"/>
              <w:rPr>
                <w:sz w:val="20"/>
                <w:szCs w:val="20"/>
                <w:color w:val="auto"/>
              </w:rPr>
            </w:pPr>
            <w:r>
              <w:rPr>
                <w:rFonts w:ascii="Arial" w:cs="Arial" w:eastAsia="Arial" w:hAnsi="Arial"/>
                <w:sz w:val="20"/>
                <w:szCs w:val="20"/>
                <w:color w:val="auto"/>
                <w:w w:val="97"/>
              </w:rPr>
              <w:t>Absence of Defaults</w:t>
            </w:r>
          </w:p>
        </w:tc>
        <w:tc>
          <w:tcPr>
            <w:tcW w:w="580" w:type="dxa"/>
            <w:vAlign w:val="bottom"/>
            <w:gridSpan w:val="2"/>
          </w:tcPr>
          <w:p>
            <w:pPr>
              <w:jc w:val="right"/>
              <w:ind w:right="141"/>
              <w:spacing w:after="0"/>
              <w:rPr>
                <w:sz w:val="20"/>
                <w:szCs w:val="20"/>
                <w:color w:val="auto"/>
              </w:rPr>
            </w:pPr>
            <w:r>
              <w:rPr>
                <w:rFonts w:ascii="Arial" w:cs="Arial" w:eastAsia="Arial" w:hAnsi="Arial"/>
                <w:sz w:val="20"/>
                <w:szCs w:val="20"/>
                <w:color w:val="auto"/>
                <w:w w:val="95"/>
              </w:rPr>
              <w:t>108</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7.22</w:t>
            </w:r>
          </w:p>
        </w:tc>
        <w:tc>
          <w:tcPr>
            <w:tcW w:w="2480" w:type="dxa"/>
            <w:vAlign w:val="bottom"/>
            <w:gridSpan w:val="4"/>
          </w:tcPr>
          <w:p>
            <w:pPr>
              <w:ind w:left="140"/>
              <w:spacing w:after="0"/>
              <w:rPr>
                <w:sz w:val="20"/>
                <w:szCs w:val="20"/>
                <w:color w:val="auto"/>
              </w:rPr>
            </w:pPr>
            <w:r>
              <w:rPr>
                <w:rFonts w:ascii="Arial" w:cs="Arial" w:eastAsia="Arial" w:hAnsi="Arial"/>
                <w:sz w:val="20"/>
                <w:szCs w:val="20"/>
                <w:color w:val="auto"/>
                <w:w w:val="94"/>
              </w:rPr>
              <w:t>Senior Indebtedness Status</w:t>
            </w:r>
          </w:p>
        </w:tc>
        <w:tc>
          <w:tcPr>
            <w:tcW w:w="420" w:type="dxa"/>
            <w:vAlign w:val="bottom"/>
          </w:tcPr>
          <w:p>
            <w:pPr>
              <w:jc w:val="right"/>
              <w:ind w:right="21"/>
              <w:spacing w:after="0"/>
              <w:rPr>
                <w:sz w:val="20"/>
                <w:szCs w:val="20"/>
                <w:color w:val="auto"/>
              </w:rPr>
            </w:pPr>
            <w:r>
              <w:rPr>
                <w:rFonts w:ascii="Arial" w:cs="Arial" w:eastAsia="Arial" w:hAnsi="Arial"/>
                <w:sz w:val="20"/>
                <w:szCs w:val="20"/>
                <w:color w:val="auto"/>
                <w:w w:val="83"/>
              </w:rPr>
              <w:t>108</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7.23</w:t>
            </w:r>
          </w:p>
        </w:tc>
        <w:tc>
          <w:tcPr>
            <w:tcW w:w="1040" w:type="dxa"/>
            <w:vAlign w:val="bottom"/>
          </w:tcPr>
          <w:p>
            <w:pPr>
              <w:ind w:left="140"/>
              <w:spacing w:after="0"/>
              <w:rPr>
                <w:sz w:val="20"/>
                <w:szCs w:val="20"/>
                <w:color w:val="auto"/>
              </w:rPr>
            </w:pPr>
            <w:r>
              <w:rPr>
                <w:rFonts w:ascii="Arial" w:cs="Arial" w:eastAsia="Arial" w:hAnsi="Arial"/>
                <w:sz w:val="20"/>
                <w:szCs w:val="20"/>
                <w:color w:val="auto"/>
                <w:w w:val="94"/>
              </w:rPr>
              <w:t>Disclosure</w:t>
            </w:r>
          </w:p>
        </w:tc>
        <w:tc>
          <w:tcPr>
            <w:tcW w:w="860" w:type="dxa"/>
            <w:vAlign w:val="bottom"/>
          </w:tcPr>
          <w:p>
            <w:pPr>
              <w:jc w:val="right"/>
              <w:ind w:right="321"/>
              <w:spacing w:after="0"/>
              <w:rPr>
                <w:sz w:val="20"/>
                <w:szCs w:val="20"/>
                <w:color w:val="auto"/>
              </w:rPr>
            </w:pPr>
            <w:r>
              <w:rPr>
                <w:rFonts w:ascii="Arial" w:cs="Arial" w:eastAsia="Arial" w:hAnsi="Arial"/>
                <w:sz w:val="20"/>
                <w:szCs w:val="20"/>
                <w:color w:val="auto"/>
              </w:rPr>
              <w:t>108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7.24</w:t>
            </w:r>
          </w:p>
        </w:tc>
        <w:tc>
          <w:tcPr>
            <w:tcW w:w="1040" w:type="dxa"/>
            <w:vAlign w:val="bottom"/>
          </w:tcPr>
          <w:p>
            <w:pPr>
              <w:ind w:left="140"/>
              <w:spacing w:after="0"/>
              <w:rPr>
                <w:sz w:val="20"/>
                <w:szCs w:val="20"/>
                <w:color w:val="auto"/>
              </w:rPr>
            </w:pPr>
            <w:r>
              <w:rPr>
                <w:rFonts w:ascii="Arial" w:cs="Arial" w:eastAsia="Arial" w:hAnsi="Arial"/>
                <w:sz w:val="20"/>
                <w:szCs w:val="20"/>
                <w:color w:val="auto"/>
              </w:rPr>
              <w:t>Insurance</w:t>
            </w:r>
          </w:p>
        </w:tc>
        <w:tc>
          <w:tcPr>
            <w:tcW w:w="860" w:type="dxa"/>
            <w:vAlign w:val="bottom"/>
          </w:tcPr>
          <w:p>
            <w:pPr>
              <w:jc w:val="right"/>
              <w:ind w:right="401"/>
              <w:spacing w:after="0"/>
              <w:rPr>
                <w:sz w:val="20"/>
                <w:szCs w:val="20"/>
                <w:color w:val="auto"/>
              </w:rPr>
            </w:pPr>
            <w:r>
              <w:rPr>
                <w:rFonts w:ascii="Arial" w:cs="Arial" w:eastAsia="Arial" w:hAnsi="Arial"/>
                <w:sz w:val="20"/>
                <w:szCs w:val="20"/>
                <w:color w:val="auto"/>
              </w:rPr>
              <w:t>109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20"/>
                <w:szCs w:val="20"/>
                <w:color w:val="auto"/>
              </w:rPr>
              <w:t>ARTICLE VIII</w:t>
            </w:r>
          </w:p>
        </w:tc>
        <w:tc>
          <w:tcPr>
            <w:tcW w:w="2840" w:type="dxa"/>
            <w:vAlign w:val="bottom"/>
            <w:gridSpan w:val="4"/>
          </w:tcPr>
          <w:p>
            <w:pPr>
              <w:ind w:left="120"/>
              <w:spacing w:after="0"/>
              <w:rPr>
                <w:sz w:val="20"/>
                <w:szCs w:val="20"/>
                <w:color w:val="auto"/>
              </w:rPr>
            </w:pPr>
            <w:r>
              <w:rPr>
                <w:rFonts w:ascii="Arial" w:cs="Arial" w:eastAsia="Arial" w:hAnsi="Arial"/>
                <w:sz w:val="20"/>
                <w:szCs w:val="20"/>
                <w:color w:val="auto"/>
              </w:rPr>
              <w:t>AFFIRMATIVE COVENANTS</w:t>
            </w:r>
          </w:p>
        </w:tc>
        <w:tc>
          <w:tcPr>
            <w:tcW w:w="720" w:type="dxa"/>
            <w:vAlign w:val="bottom"/>
            <w:gridSpan w:val="2"/>
          </w:tcPr>
          <w:p>
            <w:pPr>
              <w:jc w:val="right"/>
              <w:ind w:right="281"/>
              <w:spacing w:after="0"/>
              <w:rPr>
                <w:sz w:val="20"/>
                <w:szCs w:val="20"/>
                <w:color w:val="auto"/>
              </w:rPr>
            </w:pPr>
            <w:r>
              <w:rPr>
                <w:rFonts w:ascii="Arial" w:cs="Arial" w:eastAsia="Arial" w:hAnsi="Arial"/>
                <w:sz w:val="20"/>
                <w:szCs w:val="20"/>
                <w:color w:val="auto"/>
                <w:w w:val="95"/>
              </w:rPr>
              <w:t>109</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8.1</w:t>
            </w:r>
          </w:p>
        </w:tc>
        <w:tc>
          <w:tcPr>
            <w:tcW w:w="2900" w:type="dxa"/>
            <w:vAlign w:val="bottom"/>
            <w:gridSpan w:val="5"/>
          </w:tcPr>
          <w:p>
            <w:pPr>
              <w:ind w:left="40"/>
              <w:spacing w:after="0"/>
              <w:rPr>
                <w:sz w:val="20"/>
                <w:szCs w:val="20"/>
                <w:color w:val="auto"/>
              </w:rPr>
            </w:pPr>
            <w:r>
              <w:rPr>
                <w:rFonts w:ascii="Arial" w:cs="Arial" w:eastAsia="Arial" w:hAnsi="Arial"/>
                <w:sz w:val="20"/>
                <w:szCs w:val="20"/>
                <w:color w:val="auto"/>
                <w:w w:val="93"/>
              </w:rPr>
              <w:t>Financial Statements and Budgets</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109</w:t>
            </w:r>
          </w:p>
        </w:tc>
        <w:tc>
          <w:tcPr>
            <w:tcW w:w="3340" w:type="dxa"/>
            <w:vAlign w:val="bottom"/>
          </w:tcPr>
          <w:p>
            <w:pPr>
              <w:spacing w:after="0"/>
              <w:rPr>
                <w:sz w:val="24"/>
                <w:szCs w:val="24"/>
                <w:color w:val="auto"/>
              </w:rPr>
            </w:pPr>
          </w:p>
        </w:tc>
      </w:tr>
      <w:tr>
        <w:trPr>
          <w:trHeight w:val="33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8.2</w:t>
            </w:r>
          </w:p>
        </w:tc>
        <w:tc>
          <w:tcPr>
            <w:tcW w:w="2180" w:type="dxa"/>
            <w:vAlign w:val="bottom"/>
            <w:gridSpan w:val="3"/>
          </w:tcPr>
          <w:p>
            <w:pPr>
              <w:ind w:left="40"/>
              <w:spacing w:after="0"/>
              <w:rPr>
                <w:sz w:val="20"/>
                <w:szCs w:val="20"/>
                <w:color w:val="auto"/>
              </w:rPr>
            </w:pPr>
            <w:r>
              <w:rPr>
                <w:rFonts w:ascii="Arial" w:cs="Arial" w:eastAsia="Arial" w:hAnsi="Arial"/>
                <w:sz w:val="20"/>
                <w:szCs w:val="20"/>
                <w:color w:val="auto"/>
                <w:w w:val="89"/>
              </w:rPr>
              <w:t>Certificates; Other Reports</w:t>
            </w:r>
          </w:p>
        </w:tc>
        <w:tc>
          <w:tcPr>
            <w:tcW w:w="720" w:type="dxa"/>
            <w:vAlign w:val="bottom"/>
            <w:gridSpan w:val="2"/>
          </w:tcPr>
          <w:p>
            <w:pPr>
              <w:jc w:val="right"/>
              <w:ind w:right="141"/>
              <w:spacing w:after="0"/>
              <w:rPr>
                <w:sz w:val="20"/>
                <w:szCs w:val="20"/>
                <w:color w:val="auto"/>
              </w:rPr>
            </w:pPr>
            <w:r>
              <w:rPr>
                <w:rFonts w:ascii="Arial" w:cs="Arial" w:eastAsia="Arial" w:hAnsi="Arial"/>
                <w:sz w:val="20"/>
                <w:szCs w:val="20"/>
                <w:color w:val="auto"/>
              </w:rPr>
              <w:t>110</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8.3</w:t>
            </w:r>
          </w:p>
        </w:tc>
        <w:tc>
          <w:tcPr>
            <w:tcW w:w="3240" w:type="dxa"/>
            <w:vAlign w:val="bottom"/>
            <w:gridSpan w:val="6"/>
          </w:tcPr>
          <w:p>
            <w:pPr>
              <w:ind w:left="40"/>
              <w:spacing w:after="0"/>
              <w:rPr>
                <w:sz w:val="20"/>
                <w:szCs w:val="20"/>
                <w:color w:val="auto"/>
              </w:rPr>
            </w:pPr>
            <w:r>
              <w:rPr>
                <w:rFonts w:ascii="Arial" w:cs="Arial" w:eastAsia="Arial" w:hAnsi="Arial"/>
                <w:sz w:val="20"/>
                <w:szCs w:val="20"/>
                <w:color w:val="auto"/>
                <w:w w:val="95"/>
              </w:rPr>
              <w:t>Notice of Litigation and Other Matters</w:t>
            </w:r>
          </w:p>
        </w:tc>
        <w:tc>
          <w:tcPr>
            <w:tcW w:w="3340" w:type="dxa"/>
            <w:vAlign w:val="bottom"/>
          </w:tcPr>
          <w:p>
            <w:pPr>
              <w:jc w:val="right"/>
              <w:ind w:right="2901"/>
              <w:spacing w:after="0"/>
              <w:rPr>
                <w:sz w:val="20"/>
                <w:szCs w:val="20"/>
                <w:color w:val="auto"/>
              </w:rPr>
            </w:pPr>
            <w:r>
              <w:rPr>
                <w:rFonts w:ascii="Arial" w:cs="Arial" w:eastAsia="Arial" w:hAnsi="Arial"/>
                <w:sz w:val="20"/>
                <w:szCs w:val="20"/>
                <w:color w:val="auto"/>
                <w:w w:val="95"/>
              </w:rPr>
              <w:t>111</w:t>
            </w:r>
          </w:p>
        </w:tc>
      </w:tr>
      <w:tr>
        <w:trPr>
          <w:trHeight w:val="338"/>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8.4</w:t>
            </w:r>
          </w:p>
        </w:tc>
        <w:tc>
          <w:tcPr>
            <w:tcW w:w="6580" w:type="dxa"/>
            <w:vAlign w:val="bottom"/>
            <w:gridSpan w:val="7"/>
          </w:tcPr>
          <w:p>
            <w:pPr>
              <w:ind w:left="40"/>
              <w:spacing w:after="0"/>
              <w:rPr>
                <w:sz w:val="20"/>
                <w:szCs w:val="20"/>
                <w:color w:val="auto"/>
              </w:rPr>
            </w:pPr>
            <w:r>
              <w:rPr>
                <w:rFonts w:ascii="Arial" w:cs="Arial" w:eastAsia="Arial" w:hAnsi="Arial"/>
                <w:sz w:val="20"/>
                <w:szCs w:val="20"/>
                <w:color w:val="auto"/>
              </w:rPr>
              <w:t>Preservation of Corporate Existence and Related Matters  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140"/>
          </w:cols>
          <w:pgMar w:left="320" w:top="118" w:right="4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146960219_6</w:t>
      </w:r>
    </w:p>
    <w:p>
      <w:pPr>
        <w:sectPr>
          <w:pgSz w:w="11900" w:h="16838" w:orient="portrait"/>
          <w:cols w:equalWidth="0" w:num="1">
            <w:col w:w="11140"/>
          </w:cols>
          <w:pgMar w:left="320" w:top="118" w:right="439" w:bottom="1440" w:gutter="0" w:footer="0" w:header="0"/>
          <w:type w:val="continuous"/>
        </w:sectPr>
      </w:pPr>
    </w:p>
    <w:bookmarkStart w:id="61" w:name="page62"/>
    <w:bookmarkEnd w:id="61"/>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1220" w:type="dxa"/>
            <w:vAlign w:val="bottom"/>
          </w:tcPr>
          <w:p>
            <w:pPr>
              <w:spacing w:after="0"/>
              <w:rPr>
                <w:sz w:val="20"/>
                <w:szCs w:val="20"/>
                <w:color w:val="auto"/>
              </w:rPr>
            </w:pPr>
            <w:r>
              <w:rPr>
                <w:rFonts w:ascii="Arial" w:cs="Arial" w:eastAsia="Arial" w:hAnsi="Arial"/>
                <w:sz w:val="20"/>
                <w:szCs w:val="20"/>
                <w:color w:val="auto"/>
                <w:w w:val="98"/>
              </w:rPr>
              <w:t>SECTION 8.5</w:t>
            </w:r>
          </w:p>
        </w:tc>
        <w:tc>
          <w:tcPr>
            <w:tcW w:w="3340" w:type="dxa"/>
            <w:vAlign w:val="bottom"/>
          </w:tcPr>
          <w:p>
            <w:pPr>
              <w:ind w:left="100"/>
              <w:spacing w:after="0"/>
              <w:rPr>
                <w:sz w:val="20"/>
                <w:szCs w:val="20"/>
                <w:color w:val="auto"/>
              </w:rPr>
            </w:pPr>
            <w:r>
              <w:rPr>
                <w:rFonts w:ascii="Arial" w:cs="Arial" w:eastAsia="Arial" w:hAnsi="Arial"/>
                <w:sz w:val="20"/>
                <w:szCs w:val="20"/>
                <w:color w:val="auto"/>
                <w:w w:val="94"/>
              </w:rPr>
              <w:t>Maintenance of Property and Licenses</w:t>
            </w:r>
          </w:p>
        </w:tc>
        <w:tc>
          <w:tcPr>
            <w:tcW w:w="720" w:type="dxa"/>
            <w:vAlign w:val="bottom"/>
          </w:tcPr>
          <w:p>
            <w:pPr>
              <w:jc w:val="right"/>
              <w:ind w:right="321"/>
              <w:spacing w:after="0"/>
              <w:rPr>
                <w:sz w:val="20"/>
                <w:szCs w:val="20"/>
                <w:color w:val="auto"/>
              </w:rPr>
            </w:pPr>
            <w:r>
              <w:rPr>
                <w:rFonts w:ascii="Arial" w:cs="Arial" w:eastAsia="Arial" w:hAnsi="Arial"/>
                <w:sz w:val="20"/>
                <w:szCs w:val="20"/>
                <w:color w:val="auto"/>
                <w:w w:val="83"/>
              </w:rPr>
              <w:t>113</w:t>
            </w:r>
          </w:p>
        </w:tc>
      </w:tr>
      <w:tr>
        <w:trPr>
          <w:trHeight w:val="338"/>
        </w:trPr>
        <w:tc>
          <w:tcPr>
            <w:tcW w:w="1220" w:type="dxa"/>
            <w:vAlign w:val="bottom"/>
          </w:tcPr>
          <w:p>
            <w:pPr>
              <w:spacing w:after="0"/>
              <w:rPr>
                <w:sz w:val="20"/>
                <w:szCs w:val="20"/>
                <w:color w:val="auto"/>
              </w:rPr>
            </w:pPr>
            <w:r>
              <w:rPr>
                <w:rFonts w:ascii="Arial" w:cs="Arial" w:eastAsia="Arial" w:hAnsi="Arial"/>
                <w:sz w:val="20"/>
                <w:szCs w:val="20"/>
                <w:color w:val="auto"/>
                <w:w w:val="98"/>
              </w:rPr>
              <w:t>SECTION 8.6</w:t>
            </w:r>
          </w:p>
        </w:tc>
        <w:tc>
          <w:tcPr>
            <w:tcW w:w="3340" w:type="dxa"/>
            <w:vAlign w:val="bottom"/>
          </w:tcPr>
          <w:p>
            <w:pPr>
              <w:ind w:left="100"/>
              <w:spacing w:after="0"/>
              <w:rPr>
                <w:sz w:val="20"/>
                <w:szCs w:val="20"/>
                <w:color w:val="auto"/>
              </w:rPr>
            </w:pPr>
            <w:r>
              <w:rPr>
                <w:rFonts w:ascii="Arial" w:cs="Arial" w:eastAsia="Arial" w:hAnsi="Arial"/>
                <w:sz w:val="20"/>
                <w:szCs w:val="20"/>
                <w:color w:val="auto"/>
              </w:rPr>
              <w:t>Insurance  113</w:t>
            </w:r>
          </w:p>
        </w:tc>
        <w:tc>
          <w:tcPr>
            <w:tcW w:w="720" w:type="dxa"/>
            <w:vAlign w:val="bottom"/>
          </w:tcPr>
          <w:p>
            <w:pPr>
              <w:spacing w:after="0"/>
              <w:rPr>
                <w:sz w:val="24"/>
                <w:szCs w:val="24"/>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20"/>
                <w:szCs w:val="20"/>
                <w:color w:val="auto"/>
                <w:w w:val="98"/>
              </w:rPr>
              <w:t>SECTION 8.7</w:t>
            </w:r>
          </w:p>
        </w:tc>
        <w:tc>
          <w:tcPr>
            <w:tcW w:w="4060" w:type="dxa"/>
            <w:vAlign w:val="bottom"/>
            <w:gridSpan w:val="2"/>
          </w:tcPr>
          <w:p>
            <w:pPr>
              <w:ind w:left="100"/>
              <w:spacing w:after="0"/>
              <w:rPr>
                <w:sz w:val="20"/>
                <w:szCs w:val="20"/>
                <w:color w:val="auto"/>
              </w:rPr>
            </w:pPr>
            <w:r>
              <w:rPr>
                <w:rFonts w:ascii="Arial" w:cs="Arial" w:eastAsia="Arial" w:hAnsi="Arial"/>
                <w:sz w:val="20"/>
                <w:szCs w:val="20"/>
                <w:color w:val="auto"/>
                <w:w w:val="91"/>
              </w:rPr>
              <w:t>Accounting Methods and Financial Records  113</w:t>
            </w:r>
          </w:p>
        </w:tc>
      </w:tr>
      <w:tr>
        <w:trPr>
          <w:trHeight w:val="338"/>
        </w:trPr>
        <w:tc>
          <w:tcPr>
            <w:tcW w:w="1220" w:type="dxa"/>
            <w:vAlign w:val="bottom"/>
          </w:tcPr>
          <w:p>
            <w:pPr>
              <w:spacing w:after="0"/>
              <w:rPr>
                <w:sz w:val="20"/>
                <w:szCs w:val="20"/>
                <w:color w:val="auto"/>
              </w:rPr>
            </w:pPr>
            <w:r>
              <w:rPr>
                <w:rFonts w:ascii="Arial" w:cs="Arial" w:eastAsia="Arial" w:hAnsi="Arial"/>
                <w:sz w:val="20"/>
                <w:szCs w:val="20"/>
                <w:color w:val="auto"/>
                <w:w w:val="98"/>
              </w:rPr>
              <w:t>SECTION 8.8</w:t>
            </w:r>
          </w:p>
        </w:tc>
        <w:tc>
          <w:tcPr>
            <w:tcW w:w="3340" w:type="dxa"/>
            <w:vAlign w:val="bottom"/>
          </w:tcPr>
          <w:p>
            <w:pPr>
              <w:ind w:left="100"/>
              <w:spacing w:after="0"/>
              <w:rPr>
                <w:sz w:val="20"/>
                <w:szCs w:val="20"/>
                <w:color w:val="auto"/>
              </w:rPr>
            </w:pPr>
            <w:r>
              <w:rPr>
                <w:rFonts w:ascii="Arial" w:cs="Arial" w:eastAsia="Arial" w:hAnsi="Arial"/>
                <w:sz w:val="20"/>
                <w:szCs w:val="20"/>
                <w:color w:val="auto"/>
                <w:w w:val="89"/>
              </w:rPr>
              <w:t>Payment of Taxes and Other Obligations</w:t>
            </w:r>
          </w:p>
        </w:tc>
        <w:tc>
          <w:tcPr>
            <w:tcW w:w="720" w:type="dxa"/>
            <w:vAlign w:val="bottom"/>
          </w:tcPr>
          <w:p>
            <w:pPr>
              <w:jc w:val="right"/>
              <w:ind w:right="141"/>
              <w:spacing w:after="0"/>
              <w:rPr>
                <w:sz w:val="20"/>
                <w:szCs w:val="20"/>
                <w:color w:val="auto"/>
              </w:rPr>
            </w:pPr>
            <w:r>
              <w:rPr>
                <w:rFonts w:ascii="Arial" w:cs="Arial" w:eastAsia="Arial" w:hAnsi="Arial"/>
                <w:sz w:val="20"/>
                <w:szCs w:val="20"/>
                <w:color w:val="auto"/>
              </w:rPr>
              <w:t>113</w:t>
            </w:r>
          </w:p>
        </w:tc>
      </w:tr>
      <w:tr>
        <w:trPr>
          <w:trHeight w:val="338"/>
        </w:trPr>
        <w:tc>
          <w:tcPr>
            <w:tcW w:w="1220" w:type="dxa"/>
            <w:vAlign w:val="bottom"/>
          </w:tcPr>
          <w:p>
            <w:pPr>
              <w:spacing w:after="0"/>
              <w:rPr>
                <w:sz w:val="20"/>
                <w:szCs w:val="20"/>
                <w:color w:val="auto"/>
              </w:rPr>
            </w:pPr>
            <w:r>
              <w:rPr>
                <w:rFonts w:ascii="Arial" w:cs="Arial" w:eastAsia="Arial" w:hAnsi="Arial"/>
                <w:sz w:val="20"/>
                <w:szCs w:val="20"/>
                <w:color w:val="auto"/>
                <w:w w:val="98"/>
              </w:rPr>
              <w:t>SECTION 8.9</w:t>
            </w:r>
          </w:p>
        </w:tc>
        <w:tc>
          <w:tcPr>
            <w:tcW w:w="3340" w:type="dxa"/>
            <w:vAlign w:val="bottom"/>
          </w:tcPr>
          <w:p>
            <w:pPr>
              <w:ind w:left="100"/>
              <w:spacing w:after="0"/>
              <w:rPr>
                <w:sz w:val="20"/>
                <w:szCs w:val="20"/>
                <w:color w:val="auto"/>
              </w:rPr>
            </w:pPr>
            <w:r>
              <w:rPr>
                <w:rFonts w:ascii="Arial" w:cs="Arial" w:eastAsia="Arial" w:hAnsi="Arial"/>
                <w:sz w:val="20"/>
                <w:szCs w:val="20"/>
                <w:color w:val="auto"/>
                <w:w w:val="96"/>
              </w:rPr>
              <w:t>Compliance with Laws and Approvals</w:t>
            </w:r>
          </w:p>
        </w:tc>
        <w:tc>
          <w:tcPr>
            <w:tcW w:w="720" w:type="dxa"/>
            <w:vAlign w:val="bottom"/>
          </w:tcPr>
          <w:p>
            <w:pPr>
              <w:jc w:val="right"/>
              <w:ind w:right="321"/>
              <w:spacing w:after="0"/>
              <w:rPr>
                <w:sz w:val="20"/>
                <w:szCs w:val="20"/>
                <w:color w:val="auto"/>
              </w:rPr>
            </w:pPr>
            <w:r>
              <w:rPr>
                <w:rFonts w:ascii="Arial" w:cs="Arial" w:eastAsia="Arial" w:hAnsi="Arial"/>
                <w:sz w:val="20"/>
                <w:szCs w:val="20"/>
                <w:color w:val="auto"/>
                <w:w w:val="83"/>
              </w:rPr>
              <w:t>113</w:t>
            </w:r>
          </w:p>
        </w:tc>
      </w:tr>
    </w:tbl>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8.10</w:t>
            </w:r>
          </w:p>
        </w:tc>
        <w:tc>
          <w:tcPr>
            <w:tcW w:w="1840" w:type="dxa"/>
            <w:vAlign w:val="bottom"/>
            <w:gridSpan w:val="3"/>
          </w:tcPr>
          <w:p>
            <w:pPr>
              <w:ind w:left="140"/>
              <w:spacing w:after="0"/>
              <w:rPr>
                <w:sz w:val="20"/>
                <w:szCs w:val="20"/>
                <w:color w:val="auto"/>
              </w:rPr>
            </w:pPr>
            <w:r>
              <w:rPr>
                <w:rFonts w:ascii="Arial" w:cs="Arial" w:eastAsia="Arial" w:hAnsi="Arial"/>
                <w:sz w:val="20"/>
                <w:szCs w:val="20"/>
                <w:color w:val="auto"/>
                <w:w w:val="93"/>
              </w:rPr>
              <w:t>Environmental Laws</w:t>
            </w:r>
          </w:p>
        </w:tc>
        <w:tc>
          <w:tcPr>
            <w:tcW w:w="120" w:type="dxa"/>
            <w:vAlign w:val="bottom"/>
          </w:tcPr>
          <w:p>
            <w:pPr>
              <w:spacing w:after="0"/>
              <w:rPr>
                <w:sz w:val="21"/>
                <w:szCs w:val="21"/>
                <w:color w:val="auto"/>
              </w:rPr>
            </w:pPr>
          </w:p>
        </w:tc>
        <w:tc>
          <w:tcPr>
            <w:tcW w:w="700" w:type="dxa"/>
            <w:vAlign w:val="bottom"/>
          </w:tcPr>
          <w:p>
            <w:pPr>
              <w:jc w:val="right"/>
              <w:ind w:right="281"/>
              <w:spacing w:after="0"/>
              <w:rPr>
                <w:sz w:val="20"/>
                <w:szCs w:val="20"/>
                <w:color w:val="auto"/>
              </w:rPr>
            </w:pPr>
            <w:r>
              <w:rPr>
                <w:rFonts w:ascii="Arial" w:cs="Arial" w:eastAsia="Arial" w:hAnsi="Arial"/>
                <w:sz w:val="20"/>
                <w:szCs w:val="20"/>
                <w:color w:val="auto"/>
                <w:w w:val="89"/>
              </w:rPr>
              <w:t>113</w:t>
            </w:r>
          </w:p>
        </w:tc>
        <w:tc>
          <w:tcPr>
            <w:tcW w:w="1840" w:type="dxa"/>
            <w:vAlign w:val="bottom"/>
          </w:tcPr>
          <w:p>
            <w:pPr>
              <w:spacing w:after="0"/>
              <w:rPr>
                <w:sz w:val="21"/>
                <w:szCs w:val="21"/>
                <w:color w:val="auto"/>
              </w:rPr>
            </w:pPr>
          </w:p>
        </w:tc>
        <w:tc>
          <w:tcPr>
            <w:tcW w:w="4080" w:type="dxa"/>
            <w:vAlign w:val="bottom"/>
          </w:tcPr>
          <w:p>
            <w:pPr>
              <w:spacing w:after="0"/>
              <w:rPr>
                <w:sz w:val="21"/>
                <w:szCs w:val="21"/>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8.11</w:t>
            </w:r>
          </w:p>
        </w:tc>
        <w:tc>
          <w:tcPr>
            <w:tcW w:w="4500" w:type="dxa"/>
            <w:vAlign w:val="bottom"/>
            <w:gridSpan w:val="6"/>
          </w:tcPr>
          <w:p>
            <w:pPr>
              <w:ind w:left="140"/>
              <w:spacing w:after="0"/>
              <w:rPr>
                <w:sz w:val="20"/>
                <w:szCs w:val="20"/>
                <w:color w:val="auto"/>
              </w:rPr>
            </w:pPr>
            <w:r>
              <w:rPr>
                <w:rFonts w:ascii="Arial" w:cs="Arial" w:eastAsia="Arial" w:hAnsi="Arial"/>
                <w:sz w:val="20"/>
                <w:szCs w:val="20"/>
                <w:color w:val="auto"/>
                <w:w w:val="91"/>
              </w:rPr>
              <w:t>Compliance with ERISA and Canadian Pension Laws</w:t>
            </w:r>
          </w:p>
        </w:tc>
        <w:tc>
          <w:tcPr>
            <w:tcW w:w="4080" w:type="dxa"/>
            <w:vAlign w:val="bottom"/>
          </w:tcPr>
          <w:p>
            <w:pPr>
              <w:jc w:val="right"/>
              <w:ind w:right="3601"/>
              <w:spacing w:after="0"/>
              <w:rPr>
                <w:sz w:val="20"/>
                <w:szCs w:val="20"/>
                <w:color w:val="auto"/>
              </w:rPr>
            </w:pPr>
            <w:r>
              <w:rPr>
                <w:rFonts w:ascii="Arial" w:cs="Arial" w:eastAsia="Arial" w:hAnsi="Arial"/>
                <w:sz w:val="20"/>
                <w:szCs w:val="20"/>
                <w:color w:val="auto"/>
              </w:rPr>
              <w:t>114</w:t>
            </w: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8.12</w:t>
            </w:r>
          </w:p>
        </w:tc>
        <w:tc>
          <w:tcPr>
            <w:tcW w:w="2660" w:type="dxa"/>
            <w:vAlign w:val="bottom"/>
            <w:gridSpan w:val="5"/>
          </w:tcPr>
          <w:p>
            <w:pPr>
              <w:ind w:left="140"/>
              <w:spacing w:after="0"/>
              <w:rPr>
                <w:sz w:val="20"/>
                <w:szCs w:val="20"/>
                <w:color w:val="auto"/>
              </w:rPr>
            </w:pPr>
            <w:r>
              <w:rPr>
                <w:rFonts w:ascii="Arial" w:cs="Arial" w:eastAsia="Arial" w:hAnsi="Arial"/>
                <w:sz w:val="20"/>
                <w:szCs w:val="20"/>
                <w:color w:val="auto"/>
                <w:w w:val="96"/>
              </w:rPr>
              <w:t>Maintenance of Debt Ratings</w:t>
            </w:r>
          </w:p>
        </w:tc>
        <w:tc>
          <w:tcPr>
            <w:tcW w:w="1840" w:type="dxa"/>
            <w:vAlign w:val="bottom"/>
          </w:tcPr>
          <w:p>
            <w:pPr>
              <w:jc w:val="right"/>
              <w:ind w:right="1441"/>
              <w:spacing w:after="0"/>
              <w:rPr>
                <w:sz w:val="20"/>
                <w:szCs w:val="20"/>
                <w:color w:val="auto"/>
              </w:rPr>
            </w:pPr>
            <w:r>
              <w:rPr>
                <w:rFonts w:ascii="Arial" w:cs="Arial" w:eastAsia="Arial" w:hAnsi="Arial"/>
                <w:sz w:val="20"/>
                <w:szCs w:val="20"/>
                <w:color w:val="auto"/>
                <w:w w:val="83"/>
              </w:rPr>
              <w:t>114</w:t>
            </w: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8.13</w:t>
            </w:r>
          </w:p>
        </w:tc>
        <w:tc>
          <w:tcPr>
            <w:tcW w:w="1960" w:type="dxa"/>
            <w:vAlign w:val="bottom"/>
            <w:gridSpan w:val="4"/>
          </w:tcPr>
          <w:p>
            <w:pPr>
              <w:ind w:left="140"/>
              <w:spacing w:after="0"/>
              <w:rPr>
                <w:sz w:val="20"/>
                <w:szCs w:val="20"/>
                <w:color w:val="auto"/>
              </w:rPr>
            </w:pPr>
            <w:r>
              <w:rPr>
                <w:rFonts w:ascii="Arial" w:cs="Arial" w:eastAsia="Arial" w:hAnsi="Arial"/>
                <w:sz w:val="20"/>
                <w:szCs w:val="20"/>
                <w:color w:val="auto"/>
                <w:w w:val="93"/>
              </w:rPr>
              <w:t>Visits and Inspections</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114</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8.14</w:t>
            </w:r>
          </w:p>
        </w:tc>
        <w:tc>
          <w:tcPr>
            <w:tcW w:w="4500" w:type="dxa"/>
            <w:vAlign w:val="bottom"/>
            <w:gridSpan w:val="6"/>
          </w:tcPr>
          <w:p>
            <w:pPr>
              <w:ind w:left="140"/>
              <w:spacing w:after="0"/>
              <w:rPr>
                <w:sz w:val="20"/>
                <w:szCs w:val="20"/>
                <w:color w:val="auto"/>
              </w:rPr>
            </w:pPr>
            <w:r>
              <w:rPr>
                <w:rFonts w:ascii="Arial" w:cs="Arial" w:eastAsia="Arial" w:hAnsi="Arial"/>
                <w:sz w:val="20"/>
                <w:szCs w:val="20"/>
                <w:color w:val="auto"/>
              </w:rPr>
              <w:t>Additional Subsidiaries and Collateral  115</w:t>
            </w: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8.15</w:t>
            </w:r>
          </w:p>
        </w:tc>
        <w:tc>
          <w:tcPr>
            <w:tcW w:w="1600" w:type="dxa"/>
            <w:vAlign w:val="bottom"/>
            <w:gridSpan w:val="2"/>
          </w:tcPr>
          <w:p>
            <w:pPr>
              <w:ind w:left="140"/>
              <w:spacing w:after="0"/>
              <w:rPr>
                <w:sz w:val="20"/>
                <w:szCs w:val="20"/>
                <w:color w:val="auto"/>
              </w:rPr>
            </w:pPr>
            <w:r>
              <w:rPr>
                <w:rFonts w:ascii="Arial" w:cs="Arial" w:eastAsia="Arial" w:hAnsi="Arial"/>
                <w:sz w:val="20"/>
                <w:szCs w:val="20"/>
                <w:color w:val="auto"/>
                <w:w w:val="97"/>
              </w:rPr>
              <w:t>Use of Proceeds</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w w:val="89"/>
              </w:rPr>
              <w:t>116</w:t>
            </w: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8.16</w:t>
            </w:r>
          </w:p>
        </w:tc>
        <w:tc>
          <w:tcPr>
            <w:tcW w:w="1960" w:type="dxa"/>
            <w:vAlign w:val="bottom"/>
            <w:gridSpan w:val="4"/>
          </w:tcPr>
          <w:p>
            <w:pPr>
              <w:ind w:left="140"/>
              <w:spacing w:after="0"/>
              <w:rPr>
                <w:sz w:val="20"/>
                <w:szCs w:val="20"/>
                <w:color w:val="auto"/>
              </w:rPr>
            </w:pPr>
            <w:r>
              <w:rPr>
                <w:rFonts w:ascii="Arial" w:cs="Arial" w:eastAsia="Arial" w:hAnsi="Arial"/>
                <w:sz w:val="20"/>
                <w:szCs w:val="20"/>
                <w:color w:val="auto"/>
                <w:w w:val="88"/>
              </w:rPr>
              <w:t>Corporate Governance</w:t>
            </w:r>
          </w:p>
        </w:tc>
        <w:tc>
          <w:tcPr>
            <w:tcW w:w="700" w:type="dxa"/>
            <w:vAlign w:val="bottom"/>
          </w:tcPr>
          <w:p>
            <w:pPr>
              <w:jc w:val="right"/>
              <w:ind w:right="141"/>
              <w:spacing w:after="0"/>
              <w:rPr>
                <w:sz w:val="20"/>
                <w:szCs w:val="20"/>
                <w:color w:val="auto"/>
              </w:rPr>
            </w:pPr>
            <w:r>
              <w:rPr>
                <w:rFonts w:ascii="Arial" w:cs="Arial" w:eastAsia="Arial" w:hAnsi="Arial"/>
                <w:sz w:val="20"/>
                <w:szCs w:val="20"/>
                <w:color w:val="auto"/>
              </w:rPr>
              <w:t>117</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8.17</w:t>
            </w:r>
          </w:p>
        </w:tc>
        <w:tc>
          <w:tcPr>
            <w:tcW w:w="1840" w:type="dxa"/>
            <w:vAlign w:val="bottom"/>
            <w:gridSpan w:val="3"/>
          </w:tcPr>
          <w:p>
            <w:pPr>
              <w:ind w:left="140"/>
              <w:spacing w:after="0"/>
              <w:rPr>
                <w:sz w:val="20"/>
                <w:szCs w:val="20"/>
                <w:color w:val="auto"/>
              </w:rPr>
            </w:pPr>
            <w:r>
              <w:rPr>
                <w:rFonts w:ascii="Arial" w:cs="Arial" w:eastAsia="Arial" w:hAnsi="Arial"/>
                <w:sz w:val="20"/>
                <w:szCs w:val="20"/>
                <w:color w:val="auto"/>
                <w:w w:val="96"/>
              </w:rPr>
              <w:t>Further Assurances</w:t>
            </w:r>
          </w:p>
        </w:tc>
        <w:tc>
          <w:tcPr>
            <w:tcW w:w="820" w:type="dxa"/>
            <w:vAlign w:val="bottom"/>
            <w:gridSpan w:val="2"/>
          </w:tcPr>
          <w:p>
            <w:pPr>
              <w:jc w:val="right"/>
              <w:ind w:right="401"/>
              <w:spacing w:after="0"/>
              <w:rPr>
                <w:sz w:val="20"/>
                <w:szCs w:val="20"/>
                <w:color w:val="auto"/>
              </w:rPr>
            </w:pPr>
            <w:r>
              <w:rPr>
                <w:rFonts w:ascii="Arial" w:cs="Arial" w:eastAsia="Arial" w:hAnsi="Arial"/>
                <w:sz w:val="20"/>
                <w:szCs w:val="20"/>
                <w:color w:val="auto"/>
                <w:w w:val="89"/>
              </w:rPr>
              <w:t>117</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17"/>
        </w:trPr>
        <w:tc>
          <w:tcPr>
            <w:tcW w:w="10520" w:type="dxa"/>
            <w:vAlign w:val="bottom"/>
            <w:gridSpan w:val="8"/>
          </w:tcPr>
          <w:p>
            <w:pPr>
              <w:ind w:left="660"/>
              <w:spacing w:after="0"/>
              <w:rPr>
                <w:sz w:val="20"/>
                <w:szCs w:val="20"/>
                <w:color w:val="auto"/>
              </w:rPr>
            </w:pPr>
            <w:r>
              <w:rPr>
                <w:rFonts w:ascii="Arial" w:cs="Arial" w:eastAsia="Arial" w:hAnsi="Arial"/>
                <w:sz w:val="20"/>
                <w:szCs w:val="20"/>
                <w:color w:val="auto"/>
                <w:w w:val="93"/>
              </w:rPr>
              <w:t>SECTION 8.18  Compliance with Anti-Corruption Laws; Beneficial Ownership Regulation, Anti-Money Laundering Laws</w:t>
            </w:r>
          </w:p>
        </w:tc>
      </w:tr>
      <w:tr>
        <w:trPr>
          <w:trHeight w:val="250"/>
        </w:trPr>
        <w:tc>
          <w:tcPr>
            <w:tcW w:w="1940" w:type="dxa"/>
            <w:vAlign w:val="bottom"/>
          </w:tcPr>
          <w:p>
            <w:pPr>
              <w:spacing w:after="0"/>
              <w:rPr>
                <w:sz w:val="21"/>
                <w:szCs w:val="21"/>
                <w:color w:val="auto"/>
              </w:rPr>
            </w:pPr>
          </w:p>
        </w:tc>
        <w:tc>
          <w:tcPr>
            <w:tcW w:w="1600" w:type="dxa"/>
            <w:vAlign w:val="bottom"/>
            <w:gridSpan w:val="2"/>
          </w:tcPr>
          <w:p>
            <w:pPr>
              <w:ind w:left="340"/>
              <w:spacing w:after="0"/>
              <w:rPr>
                <w:sz w:val="20"/>
                <w:szCs w:val="20"/>
                <w:color w:val="auto"/>
              </w:rPr>
            </w:pPr>
            <w:r>
              <w:rPr>
                <w:rFonts w:ascii="Arial" w:cs="Arial" w:eastAsia="Arial" w:hAnsi="Arial"/>
                <w:sz w:val="20"/>
                <w:szCs w:val="20"/>
                <w:color w:val="auto"/>
                <w:w w:val="97"/>
              </w:rPr>
              <w:t>and Sanctions</w:t>
            </w:r>
          </w:p>
        </w:tc>
        <w:tc>
          <w:tcPr>
            <w:tcW w:w="360" w:type="dxa"/>
            <w:vAlign w:val="bottom"/>
            <w:gridSpan w:val="2"/>
          </w:tcPr>
          <w:p>
            <w:pPr>
              <w:ind w:left="40"/>
              <w:spacing w:after="0"/>
              <w:rPr>
                <w:sz w:val="20"/>
                <w:szCs w:val="20"/>
                <w:color w:val="auto"/>
              </w:rPr>
            </w:pPr>
            <w:r>
              <w:rPr>
                <w:rFonts w:ascii="Arial" w:cs="Arial" w:eastAsia="Arial" w:hAnsi="Arial"/>
                <w:sz w:val="20"/>
                <w:szCs w:val="20"/>
                <w:color w:val="auto"/>
                <w:w w:val="89"/>
              </w:rPr>
              <w:t>117</w:t>
            </w:r>
          </w:p>
        </w:tc>
        <w:tc>
          <w:tcPr>
            <w:tcW w:w="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080" w:type="dxa"/>
            <w:vAlign w:val="bottom"/>
          </w:tcPr>
          <w:p>
            <w:pPr>
              <w:spacing w:after="0"/>
              <w:rPr>
                <w:sz w:val="21"/>
                <w:szCs w:val="21"/>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8.19</w:t>
            </w:r>
          </w:p>
        </w:tc>
        <w:tc>
          <w:tcPr>
            <w:tcW w:w="1840" w:type="dxa"/>
            <w:vAlign w:val="bottom"/>
            <w:gridSpan w:val="3"/>
          </w:tcPr>
          <w:p>
            <w:pPr>
              <w:ind w:left="140"/>
              <w:spacing w:after="0"/>
              <w:rPr>
                <w:sz w:val="20"/>
                <w:szCs w:val="20"/>
                <w:color w:val="auto"/>
              </w:rPr>
            </w:pPr>
            <w:r>
              <w:rPr>
                <w:rFonts w:ascii="Arial" w:cs="Arial" w:eastAsia="Arial" w:hAnsi="Arial"/>
                <w:sz w:val="20"/>
                <w:szCs w:val="20"/>
                <w:color w:val="auto"/>
                <w:w w:val="90"/>
              </w:rPr>
              <w:t>Post-Closing Matters</w:t>
            </w:r>
          </w:p>
        </w:tc>
        <w:tc>
          <w:tcPr>
            <w:tcW w:w="120" w:type="dxa"/>
            <w:vAlign w:val="bottom"/>
          </w:tcPr>
          <w:p>
            <w:pPr>
              <w:spacing w:after="0"/>
              <w:rPr>
                <w:sz w:val="24"/>
                <w:szCs w:val="24"/>
                <w:color w:val="auto"/>
              </w:rPr>
            </w:pPr>
          </w:p>
        </w:tc>
        <w:tc>
          <w:tcPr>
            <w:tcW w:w="700" w:type="dxa"/>
            <w:vAlign w:val="bottom"/>
          </w:tcPr>
          <w:p>
            <w:pPr>
              <w:jc w:val="right"/>
              <w:ind w:right="261"/>
              <w:spacing w:after="0"/>
              <w:rPr>
                <w:sz w:val="20"/>
                <w:szCs w:val="20"/>
                <w:color w:val="auto"/>
              </w:rPr>
            </w:pPr>
            <w:r>
              <w:rPr>
                <w:rFonts w:ascii="Arial" w:cs="Arial" w:eastAsia="Arial" w:hAnsi="Arial"/>
                <w:sz w:val="20"/>
                <w:szCs w:val="20"/>
                <w:color w:val="auto"/>
                <w:w w:val="95"/>
              </w:rPr>
              <w:t>117</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3540" w:type="dxa"/>
            <w:vAlign w:val="bottom"/>
            <w:gridSpan w:val="3"/>
          </w:tcPr>
          <w:p>
            <w:pPr>
              <w:jc w:val="right"/>
              <w:spacing w:after="0"/>
              <w:rPr>
                <w:sz w:val="20"/>
                <w:szCs w:val="20"/>
                <w:color w:val="auto"/>
              </w:rPr>
            </w:pPr>
            <w:r>
              <w:rPr>
                <w:rFonts w:ascii="Arial" w:cs="Arial" w:eastAsia="Arial" w:hAnsi="Arial"/>
                <w:sz w:val="20"/>
                <w:szCs w:val="20"/>
                <w:color w:val="auto"/>
                <w:w w:val="99"/>
              </w:rPr>
              <w:t>ARTICLE IX  NEGATIVE COVENANTS</w:t>
            </w:r>
          </w:p>
        </w:tc>
        <w:tc>
          <w:tcPr>
            <w:tcW w:w="1060" w:type="dxa"/>
            <w:vAlign w:val="bottom"/>
            <w:gridSpan w:val="3"/>
          </w:tcPr>
          <w:p>
            <w:pPr>
              <w:jc w:val="right"/>
              <w:ind w:right="501"/>
              <w:spacing w:after="0"/>
              <w:rPr>
                <w:sz w:val="20"/>
                <w:szCs w:val="20"/>
                <w:color w:val="auto"/>
              </w:rPr>
            </w:pPr>
            <w:r>
              <w:rPr>
                <w:rFonts w:ascii="Arial" w:cs="Arial" w:eastAsia="Arial" w:hAnsi="Arial"/>
                <w:sz w:val="20"/>
                <w:szCs w:val="20"/>
                <w:color w:val="auto"/>
              </w:rPr>
              <w:t>117</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9.1</w:t>
            </w:r>
          </w:p>
        </w:tc>
        <w:tc>
          <w:tcPr>
            <w:tcW w:w="1140" w:type="dxa"/>
            <w:vAlign w:val="bottom"/>
          </w:tcPr>
          <w:p>
            <w:pPr>
              <w:ind w:left="40"/>
              <w:spacing w:after="0"/>
              <w:rPr>
                <w:sz w:val="20"/>
                <w:szCs w:val="20"/>
                <w:color w:val="auto"/>
              </w:rPr>
            </w:pPr>
            <w:r>
              <w:rPr>
                <w:rFonts w:ascii="Arial" w:cs="Arial" w:eastAsia="Arial" w:hAnsi="Arial"/>
                <w:sz w:val="20"/>
                <w:szCs w:val="20"/>
                <w:color w:val="auto"/>
                <w:w w:val="89"/>
              </w:rPr>
              <w:t>Indebtedness</w:t>
            </w:r>
          </w:p>
        </w:tc>
        <w:tc>
          <w:tcPr>
            <w:tcW w:w="460" w:type="dxa"/>
            <w:vAlign w:val="bottom"/>
          </w:tcPr>
          <w:p>
            <w:pPr>
              <w:jc w:val="right"/>
              <w:spacing w:after="0"/>
              <w:rPr>
                <w:sz w:val="20"/>
                <w:szCs w:val="20"/>
                <w:color w:val="auto"/>
              </w:rPr>
            </w:pPr>
            <w:r>
              <w:rPr>
                <w:rFonts w:ascii="Arial" w:cs="Arial" w:eastAsia="Arial" w:hAnsi="Arial"/>
                <w:sz w:val="20"/>
                <w:szCs w:val="20"/>
                <w:color w:val="auto"/>
              </w:rPr>
              <w:t>117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9.2</w:t>
            </w:r>
          </w:p>
        </w:tc>
        <w:tc>
          <w:tcPr>
            <w:tcW w:w="1140" w:type="dxa"/>
            <w:vAlign w:val="bottom"/>
          </w:tcPr>
          <w:p>
            <w:pPr>
              <w:ind w:left="40"/>
              <w:spacing w:after="0"/>
              <w:rPr>
                <w:sz w:val="20"/>
                <w:szCs w:val="20"/>
                <w:color w:val="auto"/>
              </w:rPr>
            </w:pPr>
            <w:r>
              <w:rPr>
                <w:rFonts w:ascii="Arial" w:cs="Arial" w:eastAsia="Arial" w:hAnsi="Arial"/>
                <w:sz w:val="20"/>
                <w:szCs w:val="20"/>
                <w:color w:val="auto"/>
              </w:rPr>
              <w:t>Liens  121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9.3</w:t>
            </w:r>
          </w:p>
        </w:tc>
        <w:tc>
          <w:tcPr>
            <w:tcW w:w="114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460" w:type="dxa"/>
            <w:vAlign w:val="bottom"/>
          </w:tcPr>
          <w:p>
            <w:pPr>
              <w:jc w:val="right"/>
              <w:ind w:right="1"/>
              <w:spacing w:after="0"/>
              <w:rPr>
                <w:sz w:val="20"/>
                <w:szCs w:val="20"/>
                <w:color w:val="auto"/>
              </w:rPr>
            </w:pPr>
            <w:r>
              <w:rPr>
                <w:rFonts w:ascii="Arial" w:cs="Arial" w:eastAsia="Arial" w:hAnsi="Arial"/>
                <w:sz w:val="20"/>
                <w:szCs w:val="20"/>
                <w:color w:val="auto"/>
              </w:rPr>
              <w:t>123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9.4</w:t>
            </w:r>
          </w:p>
        </w:tc>
        <w:tc>
          <w:tcPr>
            <w:tcW w:w="1840" w:type="dxa"/>
            <w:vAlign w:val="bottom"/>
            <w:gridSpan w:val="3"/>
          </w:tcPr>
          <w:p>
            <w:pPr>
              <w:ind w:left="40"/>
              <w:spacing w:after="0"/>
              <w:rPr>
                <w:sz w:val="20"/>
                <w:szCs w:val="20"/>
                <w:color w:val="auto"/>
              </w:rPr>
            </w:pPr>
            <w:r>
              <w:rPr>
                <w:rFonts w:ascii="Arial" w:cs="Arial" w:eastAsia="Arial" w:hAnsi="Arial"/>
                <w:sz w:val="20"/>
                <w:szCs w:val="20"/>
                <w:color w:val="auto"/>
                <w:w w:val="87"/>
              </w:rPr>
              <w:t>Fundamental Changes</w:t>
            </w:r>
          </w:p>
        </w:tc>
        <w:tc>
          <w:tcPr>
            <w:tcW w:w="120" w:type="dxa"/>
            <w:vAlign w:val="bottom"/>
          </w:tcPr>
          <w:p>
            <w:pPr>
              <w:spacing w:after="0"/>
              <w:rPr>
                <w:sz w:val="24"/>
                <w:szCs w:val="24"/>
                <w:color w:val="auto"/>
              </w:rPr>
            </w:pPr>
          </w:p>
        </w:tc>
        <w:tc>
          <w:tcPr>
            <w:tcW w:w="700" w:type="dxa"/>
            <w:vAlign w:val="bottom"/>
          </w:tcPr>
          <w:p>
            <w:pPr>
              <w:jc w:val="right"/>
              <w:ind w:right="261"/>
              <w:spacing w:after="0"/>
              <w:rPr>
                <w:sz w:val="20"/>
                <w:szCs w:val="20"/>
                <w:color w:val="auto"/>
              </w:rPr>
            </w:pPr>
            <w:r>
              <w:rPr>
                <w:rFonts w:ascii="Arial" w:cs="Arial" w:eastAsia="Arial" w:hAnsi="Arial"/>
                <w:sz w:val="20"/>
                <w:szCs w:val="20"/>
                <w:color w:val="auto"/>
                <w:w w:val="95"/>
              </w:rPr>
              <w:t>124</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9.5</w:t>
            </w:r>
          </w:p>
        </w:tc>
        <w:tc>
          <w:tcPr>
            <w:tcW w:w="1600" w:type="dxa"/>
            <w:vAlign w:val="bottom"/>
            <w:gridSpan w:val="2"/>
          </w:tcPr>
          <w:p>
            <w:pPr>
              <w:ind w:left="40"/>
              <w:spacing w:after="0"/>
              <w:rPr>
                <w:sz w:val="20"/>
                <w:szCs w:val="20"/>
                <w:color w:val="auto"/>
              </w:rPr>
            </w:pPr>
            <w:r>
              <w:rPr>
                <w:rFonts w:ascii="Arial" w:cs="Arial" w:eastAsia="Arial" w:hAnsi="Arial"/>
                <w:sz w:val="20"/>
                <w:szCs w:val="20"/>
                <w:color w:val="auto"/>
                <w:w w:val="94"/>
              </w:rPr>
              <w:t>Asset Dispositions</w:t>
            </w:r>
          </w:p>
        </w:tc>
        <w:tc>
          <w:tcPr>
            <w:tcW w:w="1060" w:type="dxa"/>
            <w:vAlign w:val="bottom"/>
            <w:gridSpan w:val="3"/>
          </w:tcPr>
          <w:p>
            <w:pPr>
              <w:jc w:val="right"/>
              <w:ind w:right="561"/>
              <w:spacing w:after="0"/>
              <w:rPr>
                <w:sz w:val="20"/>
                <w:szCs w:val="20"/>
                <w:color w:val="auto"/>
              </w:rPr>
            </w:pPr>
            <w:r>
              <w:rPr>
                <w:rFonts w:ascii="Arial" w:cs="Arial" w:eastAsia="Arial" w:hAnsi="Arial"/>
                <w:sz w:val="20"/>
                <w:szCs w:val="20"/>
                <w:color w:val="auto"/>
              </w:rPr>
              <w:t>125</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9.6</w:t>
            </w:r>
          </w:p>
        </w:tc>
        <w:tc>
          <w:tcPr>
            <w:tcW w:w="1840" w:type="dxa"/>
            <w:vAlign w:val="bottom"/>
            <w:gridSpan w:val="3"/>
          </w:tcPr>
          <w:p>
            <w:pPr>
              <w:ind w:left="40"/>
              <w:spacing w:after="0"/>
              <w:rPr>
                <w:sz w:val="20"/>
                <w:szCs w:val="20"/>
                <w:color w:val="auto"/>
              </w:rPr>
            </w:pPr>
            <w:r>
              <w:rPr>
                <w:rFonts w:ascii="Arial" w:cs="Arial" w:eastAsia="Arial" w:hAnsi="Arial"/>
                <w:sz w:val="20"/>
                <w:szCs w:val="20"/>
                <w:color w:val="auto"/>
                <w:w w:val="96"/>
              </w:rPr>
              <w:t>Restricted Payments</w:t>
            </w:r>
          </w:p>
        </w:tc>
        <w:tc>
          <w:tcPr>
            <w:tcW w:w="820" w:type="dxa"/>
            <w:vAlign w:val="bottom"/>
            <w:gridSpan w:val="2"/>
          </w:tcPr>
          <w:p>
            <w:pPr>
              <w:jc w:val="right"/>
              <w:ind w:right="401"/>
              <w:spacing w:after="0"/>
              <w:rPr>
                <w:sz w:val="20"/>
                <w:szCs w:val="20"/>
                <w:color w:val="auto"/>
              </w:rPr>
            </w:pPr>
            <w:r>
              <w:rPr>
                <w:rFonts w:ascii="Arial" w:cs="Arial" w:eastAsia="Arial" w:hAnsi="Arial"/>
                <w:sz w:val="20"/>
                <w:szCs w:val="20"/>
                <w:color w:val="auto"/>
                <w:w w:val="89"/>
              </w:rPr>
              <w:t>126</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9.7</w:t>
            </w:r>
          </w:p>
        </w:tc>
        <w:tc>
          <w:tcPr>
            <w:tcW w:w="4500" w:type="dxa"/>
            <w:vAlign w:val="bottom"/>
            <w:gridSpan w:val="6"/>
          </w:tcPr>
          <w:p>
            <w:pPr>
              <w:ind w:left="40"/>
              <w:spacing w:after="0"/>
              <w:rPr>
                <w:sz w:val="20"/>
                <w:szCs w:val="20"/>
                <w:color w:val="auto"/>
              </w:rPr>
            </w:pPr>
            <w:r>
              <w:rPr>
                <w:rFonts w:ascii="Arial" w:cs="Arial" w:eastAsia="Arial" w:hAnsi="Arial"/>
                <w:sz w:val="20"/>
                <w:szCs w:val="20"/>
                <w:color w:val="auto"/>
              </w:rPr>
              <w:t>Transactions with Affiliates  127</w:t>
            </w: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9.8</w:t>
            </w:r>
          </w:p>
        </w:tc>
        <w:tc>
          <w:tcPr>
            <w:tcW w:w="4500" w:type="dxa"/>
            <w:vAlign w:val="bottom"/>
            <w:gridSpan w:val="6"/>
          </w:tcPr>
          <w:p>
            <w:pPr>
              <w:ind w:left="40"/>
              <w:spacing w:after="0"/>
              <w:rPr>
                <w:sz w:val="20"/>
                <w:szCs w:val="20"/>
                <w:color w:val="auto"/>
              </w:rPr>
            </w:pPr>
            <w:r>
              <w:rPr>
                <w:rFonts w:ascii="Arial" w:cs="Arial" w:eastAsia="Arial" w:hAnsi="Arial"/>
                <w:sz w:val="20"/>
                <w:szCs w:val="20"/>
                <w:color w:val="auto"/>
                <w:w w:val="93"/>
              </w:rPr>
              <w:t>Accounting Changes; Organizational Documents  128</w:t>
            </w: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rPr>
              <w:t>SECTION 9.9</w:t>
            </w:r>
          </w:p>
        </w:tc>
        <w:tc>
          <w:tcPr>
            <w:tcW w:w="8580" w:type="dxa"/>
            <w:vAlign w:val="bottom"/>
            <w:gridSpan w:val="7"/>
          </w:tcPr>
          <w:p>
            <w:pPr>
              <w:ind w:left="40"/>
              <w:spacing w:after="0"/>
              <w:rPr>
                <w:sz w:val="20"/>
                <w:szCs w:val="20"/>
                <w:color w:val="auto"/>
              </w:rPr>
            </w:pPr>
            <w:r>
              <w:rPr>
                <w:rFonts w:ascii="Arial" w:cs="Arial" w:eastAsia="Arial" w:hAnsi="Arial"/>
                <w:sz w:val="20"/>
                <w:szCs w:val="20"/>
                <w:color w:val="auto"/>
              </w:rPr>
              <w:t>Payments and Modifications of Junior Indebtedness  128</w:t>
            </w:r>
          </w:p>
        </w:tc>
      </w:tr>
      <w:tr>
        <w:trPr>
          <w:trHeight w:val="33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9.10</w:t>
            </w:r>
          </w:p>
        </w:tc>
        <w:tc>
          <w:tcPr>
            <w:tcW w:w="4500" w:type="dxa"/>
            <w:vAlign w:val="bottom"/>
            <w:gridSpan w:val="6"/>
          </w:tcPr>
          <w:p>
            <w:pPr>
              <w:ind w:left="140"/>
              <w:spacing w:after="0"/>
              <w:rPr>
                <w:sz w:val="20"/>
                <w:szCs w:val="20"/>
                <w:color w:val="auto"/>
              </w:rPr>
            </w:pPr>
            <w:r>
              <w:rPr>
                <w:rFonts w:ascii="Arial" w:cs="Arial" w:eastAsia="Arial" w:hAnsi="Arial"/>
                <w:sz w:val="20"/>
                <w:szCs w:val="20"/>
                <w:color w:val="auto"/>
                <w:w w:val="91"/>
              </w:rPr>
              <w:t>No Further Negative Pledges; Restrictive Agreements</w:t>
            </w:r>
          </w:p>
        </w:tc>
        <w:tc>
          <w:tcPr>
            <w:tcW w:w="4080" w:type="dxa"/>
            <w:vAlign w:val="bottom"/>
          </w:tcPr>
          <w:p>
            <w:pPr>
              <w:jc w:val="right"/>
              <w:ind w:right="3581"/>
              <w:spacing w:after="0"/>
              <w:rPr>
                <w:sz w:val="20"/>
                <w:szCs w:val="20"/>
                <w:color w:val="auto"/>
              </w:rPr>
            </w:pPr>
            <w:r>
              <w:rPr>
                <w:rFonts w:ascii="Arial" w:cs="Arial" w:eastAsia="Arial" w:hAnsi="Arial"/>
                <w:sz w:val="20"/>
                <w:szCs w:val="20"/>
                <w:color w:val="auto"/>
              </w:rPr>
              <w:t>129</w:t>
            </w: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9.11</w:t>
            </w:r>
          </w:p>
        </w:tc>
        <w:tc>
          <w:tcPr>
            <w:tcW w:w="1840" w:type="dxa"/>
            <w:vAlign w:val="bottom"/>
            <w:gridSpan w:val="3"/>
          </w:tcPr>
          <w:p>
            <w:pPr>
              <w:ind w:left="140"/>
              <w:spacing w:after="0"/>
              <w:rPr>
                <w:sz w:val="20"/>
                <w:szCs w:val="20"/>
                <w:color w:val="auto"/>
              </w:rPr>
            </w:pPr>
            <w:r>
              <w:rPr>
                <w:rFonts w:ascii="Arial" w:cs="Arial" w:eastAsia="Arial" w:hAnsi="Arial"/>
                <w:sz w:val="20"/>
                <w:szCs w:val="20"/>
                <w:color w:val="auto"/>
                <w:w w:val="99"/>
              </w:rPr>
              <w:t>Nature of Business</w:t>
            </w:r>
          </w:p>
        </w:tc>
        <w:tc>
          <w:tcPr>
            <w:tcW w:w="820" w:type="dxa"/>
            <w:vAlign w:val="bottom"/>
            <w:gridSpan w:val="2"/>
          </w:tcPr>
          <w:p>
            <w:pPr>
              <w:jc w:val="right"/>
              <w:ind w:right="421"/>
              <w:spacing w:after="0"/>
              <w:rPr>
                <w:sz w:val="20"/>
                <w:szCs w:val="20"/>
                <w:color w:val="auto"/>
              </w:rPr>
            </w:pPr>
            <w:r>
              <w:rPr>
                <w:rFonts w:ascii="Arial" w:cs="Arial" w:eastAsia="Arial" w:hAnsi="Arial"/>
                <w:sz w:val="20"/>
                <w:szCs w:val="20"/>
                <w:color w:val="auto"/>
                <w:w w:val="83"/>
              </w:rPr>
              <w:t>130</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9.12</w:t>
            </w:r>
          </w:p>
        </w:tc>
        <w:tc>
          <w:tcPr>
            <w:tcW w:w="1600" w:type="dxa"/>
            <w:vAlign w:val="bottom"/>
            <w:gridSpan w:val="2"/>
          </w:tcPr>
          <w:p>
            <w:pPr>
              <w:ind w:left="140"/>
              <w:spacing w:after="0"/>
              <w:rPr>
                <w:sz w:val="20"/>
                <w:szCs w:val="20"/>
                <w:color w:val="auto"/>
              </w:rPr>
            </w:pPr>
            <w:r>
              <w:rPr>
                <w:rFonts w:ascii="Arial" w:cs="Arial" w:eastAsia="Arial" w:hAnsi="Arial"/>
                <w:sz w:val="20"/>
                <w:szCs w:val="20"/>
                <w:color w:val="auto"/>
                <w:w w:val="94"/>
              </w:rPr>
              <w:t>Sale Leasebacks</w:t>
            </w:r>
          </w:p>
        </w:tc>
        <w:tc>
          <w:tcPr>
            <w:tcW w:w="360" w:type="dxa"/>
            <w:vAlign w:val="bottom"/>
            <w:gridSpan w:val="2"/>
          </w:tcPr>
          <w:p>
            <w:pPr>
              <w:ind w:left="40"/>
              <w:spacing w:after="0"/>
              <w:rPr>
                <w:sz w:val="20"/>
                <w:szCs w:val="20"/>
                <w:color w:val="auto"/>
              </w:rPr>
            </w:pPr>
            <w:r>
              <w:rPr>
                <w:rFonts w:ascii="Arial" w:cs="Arial" w:eastAsia="Arial" w:hAnsi="Arial"/>
                <w:sz w:val="20"/>
                <w:szCs w:val="20"/>
                <w:color w:val="auto"/>
                <w:w w:val="89"/>
              </w:rPr>
              <w:t>130</w:t>
            </w: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8"/>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9.13</w:t>
            </w:r>
          </w:p>
        </w:tc>
        <w:tc>
          <w:tcPr>
            <w:tcW w:w="1840" w:type="dxa"/>
            <w:vAlign w:val="bottom"/>
            <w:gridSpan w:val="3"/>
          </w:tcPr>
          <w:p>
            <w:pPr>
              <w:ind w:left="140"/>
              <w:spacing w:after="0"/>
              <w:rPr>
                <w:sz w:val="20"/>
                <w:szCs w:val="20"/>
                <w:color w:val="auto"/>
              </w:rPr>
            </w:pPr>
            <w:r>
              <w:rPr>
                <w:rFonts w:ascii="Arial" w:cs="Arial" w:eastAsia="Arial" w:hAnsi="Arial"/>
                <w:sz w:val="20"/>
                <w:szCs w:val="20"/>
                <w:color w:val="auto"/>
                <w:w w:val="92"/>
              </w:rPr>
              <w:t>Financial Covenants</w:t>
            </w:r>
          </w:p>
        </w:tc>
        <w:tc>
          <w:tcPr>
            <w:tcW w:w="120" w:type="dxa"/>
            <w:vAlign w:val="bottom"/>
          </w:tcPr>
          <w:p>
            <w:pPr>
              <w:spacing w:after="0"/>
              <w:rPr>
                <w:sz w:val="24"/>
                <w:szCs w:val="24"/>
                <w:color w:val="auto"/>
              </w:rPr>
            </w:pPr>
          </w:p>
        </w:tc>
        <w:tc>
          <w:tcPr>
            <w:tcW w:w="700" w:type="dxa"/>
            <w:vAlign w:val="bottom"/>
          </w:tcPr>
          <w:p>
            <w:pPr>
              <w:jc w:val="right"/>
              <w:ind w:right="301"/>
              <w:spacing w:after="0"/>
              <w:rPr>
                <w:sz w:val="20"/>
                <w:szCs w:val="20"/>
                <w:color w:val="auto"/>
              </w:rPr>
            </w:pPr>
            <w:r>
              <w:rPr>
                <w:rFonts w:ascii="Arial" w:cs="Arial" w:eastAsia="Arial" w:hAnsi="Arial"/>
                <w:sz w:val="20"/>
                <w:szCs w:val="20"/>
                <w:color w:val="auto"/>
                <w:w w:val="83"/>
              </w:rPr>
              <w:t>130</w:t>
            </w:r>
          </w:p>
        </w:tc>
        <w:tc>
          <w:tcPr>
            <w:tcW w:w="1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3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9.14</w:t>
            </w:r>
          </w:p>
        </w:tc>
        <w:tc>
          <w:tcPr>
            <w:tcW w:w="2660" w:type="dxa"/>
            <w:vAlign w:val="bottom"/>
            <w:gridSpan w:val="5"/>
          </w:tcPr>
          <w:p>
            <w:pPr>
              <w:ind w:left="140"/>
              <w:spacing w:after="0"/>
              <w:rPr>
                <w:sz w:val="20"/>
                <w:szCs w:val="20"/>
                <w:color w:val="auto"/>
              </w:rPr>
            </w:pPr>
            <w:r>
              <w:rPr>
                <w:rFonts w:ascii="Arial" w:cs="Arial" w:eastAsia="Arial" w:hAnsi="Arial"/>
                <w:sz w:val="20"/>
                <w:szCs w:val="20"/>
                <w:color w:val="auto"/>
                <w:w w:val="89"/>
              </w:rPr>
              <w:t>Disposal of Subsidiary Interests</w:t>
            </w:r>
          </w:p>
        </w:tc>
        <w:tc>
          <w:tcPr>
            <w:tcW w:w="1840" w:type="dxa"/>
            <w:vAlign w:val="bottom"/>
          </w:tcPr>
          <w:p>
            <w:pPr>
              <w:jc w:val="right"/>
              <w:ind w:right="1241"/>
              <w:spacing w:after="0"/>
              <w:rPr>
                <w:sz w:val="20"/>
                <w:szCs w:val="20"/>
                <w:color w:val="auto"/>
              </w:rPr>
            </w:pPr>
            <w:r>
              <w:rPr>
                <w:rFonts w:ascii="Arial" w:cs="Arial" w:eastAsia="Arial" w:hAnsi="Arial"/>
                <w:sz w:val="20"/>
                <w:szCs w:val="20"/>
                <w:color w:val="auto"/>
              </w:rPr>
              <w:t>131</w:t>
            </w:r>
          </w:p>
        </w:tc>
        <w:tc>
          <w:tcPr>
            <w:tcW w:w="4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140"/>
          </w:cols>
          <w:pgMar w:left="320" w:top="118" w:right="4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146960219_6</w:t>
      </w:r>
    </w:p>
    <w:p>
      <w:pPr>
        <w:sectPr>
          <w:pgSz w:w="11900" w:h="16838" w:orient="portrait"/>
          <w:cols w:equalWidth="0" w:num="1">
            <w:col w:w="11140"/>
          </w:cols>
          <w:pgMar w:left="320" w:top="118" w:right="439" w:bottom="1440" w:gutter="0" w:footer="0" w:header="0"/>
          <w:type w:val="continuous"/>
        </w:sectPr>
      </w:pPr>
    </w:p>
    <w:bookmarkStart w:id="62" w:name="page63"/>
    <w:bookmarkEnd w:id="62"/>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20" w:type="dxa"/>
            <w:vAlign w:val="bottom"/>
            <w:gridSpan w:val="5"/>
          </w:tcPr>
          <w:p>
            <w:pPr>
              <w:spacing w:after="0"/>
              <w:rPr>
                <w:sz w:val="20"/>
                <w:szCs w:val="20"/>
                <w:color w:val="auto"/>
              </w:rPr>
            </w:pPr>
            <w:r>
              <w:rPr>
                <w:rFonts w:ascii="Arial" w:cs="Arial" w:eastAsia="Arial" w:hAnsi="Arial"/>
                <w:sz w:val="20"/>
                <w:szCs w:val="20"/>
                <w:color w:val="auto"/>
                <w:w w:val="99"/>
              </w:rPr>
              <w:t>ARTICLE X  DEFAULT AND REMEDIES</w:t>
            </w:r>
          </w:p>
        </w:tc>
        <w:tc>
          <w:tcPr>
            <w:tcW w:w="680" w:type="dxa"/>
            <w:vAlign w:val="bottom"/>
            <w:gridSpan w:val="2"/>
          </w:tcPr>
          <w:p>
            <w:pPr>
              <w:jc w:val="right"/>
              <w:ind w:right="101"/>
              <w:spacing w:after="0"/>
              <w:rPr>
                <w:sz w:val="20"/>
                <w:szCs w:val="20"/>
                <w:color w:val="auto"/>
              </w:rPr>
            </w:pPr>
            <w:r>
              <w:rPr>
                <w:rFonts w:ascii="Arial" w:cs="Arial" w:eastAsia="Arial" w:hAnsi="Arial"/>
                <w:sz w:val="20"/>
                <w:szCs w:val="20"/>
                <w:color w:val="auto"/>
              </w:rPr>
              <w:t>131</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10.1</w:t>
            </w:r>
          </w:p>
        </w:tc>
        <w:tc>
          <w:tcPr>
            <w:tcW w:w="1600" w:type="dxa"/>
            <w:vAlign w:val="bottom"/>
            <w:gridSpan w:val="3"/>
          </w:tcPr>
          <w:p>
            <w:pPr>
              <w:ind w:left="60"/>
              <w:spacing w:after="0"/>
              <w:rPr>
                <w:sz w:val="20"/>
                <w:szCs w:val="20"/>
                <w:color w:val="auto"/>
              </w:rPr>
            </w:pPr>
            <w:r>
              <w:rPr>
                <w:rFonts w:ascii="Arial" w:cs="Arial" w:eastAsia="Arial" w:hAnsi="Arial"/>
                <w:sz w:val="20"/>
                <w:szCs w:val="20"/>
                <w:color w:val="auto"/>
                <w:w w:val="99"/>
              </w:rPr>
              <w:t>Events of Default</w:t>
            </w:r>
          </w:p>
        </w:tc>
        <w:tc>
          <w:tcPr>
            <w:tcW w:w="680" w:type="dxa"/>
            <w:vAlign w:val="bottom"/>
            <w:gridSpan w:val="2"/>
          </w:tcPr>
          <w:p>
            <w:pPr>
              <w:jc w:val="right"/>
              <w:ind w:right="221"/>
              <w:spacing w:after="0"/>
              <w:rPr>
                <w:sz w:val="20"/>
                <w:szCs w:val="20"/>
                <w:color w:val="auto"/>
              </w:rPr>
            </w:pPr>
            <w:r>
              <w:rPr>
                <w:rFonts w:ascii="Arial" w:cs="Arial" w:eastAsia="Arial" w:hAnsi="Arial"/>
                <w:sz w:val="20"/>
                <w:szCs w:val="20"/>
                <w:color w:val="auto"/>
              </w:rPr>
              <w:t>131</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10.2</w:t>
            </w:r>
          </w:p>
        </w:tc>
        <w:tc>
          <w:tcPr>
            <w:tcW w:w="1020" w:type="dxa"/>
            <w:vAlign w:val="bottom"/>
          </w:tcPr>
          <w:p>
            <w:pPr>
              <w:ind w:left="60"/>
              <w:spacing w:after="0"/>
              <w:rPr>
                <w:sz w:val="20"/>
                <w:szCs w:val="20"/>
                <w:color w:val="auto"/>
              </w:rPr>
            </w:pPr>
            <w:r>
              <w:rPr>
                <w:rFonts w:ascii="Arial" w:cs="Arial" w:eastAsia="Arial" w:hAnsi="Arial"/>
                <w:sz w:val="20"/>
                <w:szCs w:val="20"/>
                <w:color w:val="auto"/>
              </w:rPr>
              <w:t>Remedies</w:t>
            </w:r>
          </w:p>
        </w:tc>
        <w:tc>
          <w:tcPr>
            <w:tcW w:w="400" w:type="dxa"/>
            <w:vAlign w:val="bottom"/>
          </w:tcPr>
          <w:p>
            <w:pPr>
              <w:jc w:val="right"/>
              <w:spacing w:after="0"/>
              <w:rPr>
                <w:sz w:val="20"/>
                <w:szCs w:val="20"/>
                <w:color w:val="auto"/>
              </w:rPr>
            </w:pPr>
            <w:r>
              <w:rPr>
                <w:rFonts w:ascii="Arial" w:cs="Arial" w:eastAsia="Arial" w:hAnsi="Arial"/>
                <w:sz w:val="20"/>
                <w:szCs w:val="20"/>
                <w:color w:val="auto"/>
                <w:w w:val="89"/>
              </w:rPr>
              <w:t>133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10.3</w:t>
            </w:r>
          </w:p>
        </w:tc>
        <w:tc>
          <w:tcPr>
            <w:tcW w:w="4220" w:type="dxa"/>
            <w:vAlign w:val="bottom"/>
            <w:gridSpan w:val="8"/>
          </w:tcPr>
          <w:p>
            <w:pPr>
              <w:ind w:left="60"/>
              <w:spacing w:after="0"/>
              <w:rPr>
                <w:sz w:val="20"/>
                <w:szCs w:val="20"/>
                <w:color w:val="auto"/>
              </w:rPr>
            </w:pPr>
            <w:r>
              <w:rPr>
                <w:rFonts w:ascii="Arial" w:cs="Arial" w:eastAsia="Arial" w:hAnsi="Arial"/>
                <w:sz w:val="20"/>
                <w:szCs w:val="20"/>
                <w:color w:val="auto"/>
                <w:w w:val="91"/>
              </w:rPr>
              <w:t>Rights and Remedies Cumulative; Non-Waiver; etc</w:t>
            </w:r>
          </w:p>
        </w:tc>
        <w:tc>
          <w:tcPr>
            <w:tcW w:w="2200" w:type="dxa"/>
            <w:vAlign w:val="bottom"/>
          </w:tcPr>
          <w:p>
            <w:pPr>
              <w:jc w:val="right"/>
              <w:ind w:right="1701"/>
              <w:spacing w:after="0"/>
              <w:rPr>
                <w:sz w:val="20"/>
                <w:szCs w:val="20"/>
                <w:color w:val="auto"/>
              </w:rPr>
            </w:pPr>
            <w:r>
              <w:rPr>
                <w:rFonts w:ascii="Arial" w:cs="Arial" w:eastAsia="Arial" w:hAnsi="Arial"/>
                <w:sz w:val="20"/>
                <w:szCs w:val="20"/>
                <w:color w:val="auto"/>
              </w:rPr>
              <w:t>134</w:t>
            </w: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10.4</w:t>
            </w:r>
          </w:p>
        </w:tc>
        <w:tc>
          <w:tcPr>
            <w:tcW w:w="3140" w:type="dxa"/>
            <w:vAlign w:val="bottom"/>
            <w:gridSpan w:val="7"/>
          </w:tcPr>
          <w:p>
            <w:pPr>
              <w:ind w:left="60"/>
              <w:spacing w:after="0"/>
              <w:rPr>
                <w:sz w:val="20"/>
                <w:szCs w:val="20"/>
                <w:color w:val="auto"/>
              </w:rPr>
            </w:pPr>
            <w:r>
              <w:rPr>
                <w:rFonts w:ascii="Arial" w:cs="Arial" w:eastAsia="Arial" w:hAnsi="Arial"/>
                <w:sz w:val="20"/>
                <w:szCs w:val="20"/>
                <w:color w:val="auto"/>
                <w:w w:val="93"/>
              </w:rPr>
              <w:t>Crediting of Payments and Proceeds</w:t>
            </w:r>
          </w:p>
        </w:tc>
        <w:tc>
          <w:tcPr>
            <w:tcW w:w="1080" w:type="dxa"/>
            <w:vAlign w:val="bottom"/>
          </w:tcPr>
          <w:p>
            <w:pPr>
              <w:jc w:val="right"/>
              <w:ind w:right="681"/>
              <w:spacing w:after="0"/>
              <w:rPr>
                <w:sz w:val="20"/>
                <w:szCs w:val="20"/>
                <w:color w:val="auto"/>
              </w:rPr>
            </w:pPr>
            <w:r>
              <w:rPr>
                <w:rFonts w:ascii="Arial" w:cs="Arial" w:eastAsia="Arial" w:hAnsi="Arial"/>
                <w:sz w:val="20"/>
                <w:szCs w:val="20"/>
                <w:color w:val="auto"/>
                <w:w w:val="83"/>
              </w:rPr>
              <w:t>134</w:t>
            </w: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10.5</w:t>
            </w:r>
          </w:p>
        </w:tc>
        <w:tc>
          <w:tcPr>
            <w:tcW w:w="6420" w:type="dxa"/>
            <w:vAlign w:val="bottom"/>
            <w:gridSpan w:val="9"/>
          </w:tcPr>
          <w:p>
            <w:pPr>
              <w:ind w:left="60"/>
              <w:spacing w:after="0"/>
              <w:rPr>
                <w:sz w:val="20"/>
                <w:szCs w:val="20"/>
                <w:color w:val="auto"/>
              </w:rPr>
            </w:pPr>
            <w:r>
              <w:rPr>
                <w:rFonts w:ascii="Arial" w:cs="Arial" w:eastAsia="Arial" w:hAnsi="Arial"/>
                <w:sz w:val="20"/>
                <w:szCs w:val="20"/>
                <w:color w:val="auto"/>
              </w:rPr>
              <w:t>Administrative Agent May File Proofs of Claim  136</w:t>
            </w:r>
          </w:p>
        </w:tc>
      </w:tr>
      <w:tr>
        <w:trPr>
          <w:trHeight w:val="337"/>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10.6</w:t>
            </w:r>
          </w:p>
        </w:tc>
        <w:tc>
          <w:tcPr>
            <w:tcW w:w="1420" w:type="dxa"/>
            <w:vAlign w:val="bottom"/>
            <w:gridSpan w:val="2"/>
          </w:tcPr>
          <w:p>
            <w:pPr>
              <w:ind w:left="60"/>
              <w:spacing w:after="0"/>
              <w:rPr>
                <w:sz w:val="20"/>
                <w:szCs w:val="20"/>
                <w:color w:val="auto"/>
              </w:rPr>
            </w:pPr>
            <w:r>
              <w:rPr>
                <w:rFonts w:ascii="Arial" w:cs="Arial" w:eastAsia="Arial" w:hAnsi="Arial"/>
                <w:sz w:val="20"/>
                <w:szCs w:val="20"/>
                <w:color w:val="auto"/>
              </w:rPr>
              <w:t>Credit Bidding</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w w:val="89"/>
              </w:rPr>
              <w:t>137</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10.7</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w w:val="98"/>
              </w:rPr>
              <w:t>Judgment Currency</w:t>
            </w:r>
          </w:p>
        </w:tc>
        <w:tc>
          <w:tcPr>
            <w:tcW w:w="480" w:type="dxa"/>
            <w:vAlign w:val="bottom"/>
          </w:tcPr>
          <w:p>
            <w:pPr>
              <w:jc w:val="right"/>
              <w:ind w:right="61"/>
              <w:spacing w:after="0"/>
              <w:rPr>
                <w:sz w:val="20"/>
                <w:szCs w:val="20"/>
                <w:color w:val="auto"/>
              </w:rPr>
            </w:pPr>
            <w:r>
              <w:rPr>
                <w:rFonts w:ascii="Arial" w:cs="Arial" w:eastAsia="Arial" w:hAnsi="Arial"/>
                <w:sz w:val="20"/>
                <w:szCs w:val="20"/>
                <w:color w:val="auto"/>
                <w:w w:val="89"/>
              </w:rPr>
              <w:t>137</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20"/>
                <w:szCs w:val="20"/>
                <w:color w:val="auto"/>
              </w:rPr>
              <w:t>ARTICLE XI</w:t>
            </w:r>
          </w:p>
        </w:tc>
        <w:tc>
          <w:tcPr>
            <w:tcW w:w="3080" w:type="dxa"/>
            <w:vAlign w:val="bottom"/>
            <w:gridSpan w:val="6"/>
          </w:tcPr>
          <w:p>
            <w:pPr>
              <w:jc w:val="right"/>
              <w:ind w:right="101"/>
              <w:spacing w:after="0"/>
              <w:rPr>
                <w:sz w:val="20"/>
                <w:szCs w:val="20"/>
                <w:color w:val="auto"/>
              </w:rPr>
            </w:pPr>
            <w:r>
              <w:rPr>
                <w:rFonts w:ascii="Arial" w:cs="Arial" w:eastAsia="Arial" w:hAnsi="Arial"/>
                <w:sz w:val="20"/>
                <w:szCs w:val="20"/>
                <w:color w:val="auto"/>
                <w:w w:val="99"/>
              </w:rPr>
              <w:t>THE ADMINISTRATIVE AGENT</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w w:val="83"/>
              </w:rPr>
              <w:t>138</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11.1</w:t>
            </w:r>
          </w:p>
        </w:tc>
        <w:tc>
          <w:tcPr>
            <w:tcW w:w="2280" w:type="dxa"/>
            <w:vAlign w:val="bottom"/>
            <w:gridSpan w:val="5"/>
          </w:tcPr>
          <w:p>
            <w:pPr>
              <w:ind w:left="40"/>
              <w:spacing w:after="0"/>
              <w:rPr>
                <w:sz w:val="20"/>
                <w:szCs w:val="20"/>
                <w:color w:val="auto"/>
              </w:rPr>
            </w:pPr>
            <w:r>
              <w:rPr>
                <w:rFonts w:ascii="Arial" w:cs="Arial" w:eastAsia="Arial" w:hAnsi="Arial"/>
                <w:sz w:val="20"/>
                <w:szCs w:val="20"/>
                <w:color w:val="auto"/>
                <w:w w:val="94"/>
              </w:rPr>
              <w:t>Appointment and Authority</w:t>
            </w:r>
          </w:p>
        </w:tc>
        <w:tc>
          <w:tcPr>
            <w:tcW w:w="500" w:type="dxa"/>
            <w:vAlign w:val="bottom"/>
          </w:tcPr>
          <w:p>
            <w:pPr>
              <w:jc w:val="right"/>
              <w:spacing w:after="0"/>
              <w:rPr>
                <w:sz w:val="20"/>
                <w:szCs w:val="20"/>
                <w:color w:val="auto"/>
              </w:rPr>
            </w:pPr>
            <w:r>
              <w:rPr>
                <w:rFonts w:ascii="Arial" w:cs="Arial" w:eastAsia="Arial" w:hAnsi="Arial"/>
                <w:sz w:val="20"/>
                <w:szCs w:val="20"/>
                <w:color w:val="auto"/>
              </w:rPr>
              <w:t>138</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11.2</w:t>
            </w:r>
          </w:p>
        </w:tc>
        <w:tc>
          <w:tcPr>
            <w:tcW w:w="1600" w:type="dxa"/>
            <w:vAlign w:val="bottom"/>
            <w:gridSpan w:val="3"/>
          </w:tcPr>
          <w:p>
            <w:pPr>
              <w:ind w:left="60"/>
              <w:spacing w:after="0"/>
              <w:rPr>
                <w:sz w:val="20"/>
                <w:szCs w:val="20"/>
                <w:color w:val="auto"/>
              </w:rPr>
            </w:pPr>
            <w:r>
              <w:rPr>
                <w:rFonts w:ascii="Arial" w:cs="Arial" w:eastAsia="Arial" w:hAnsi="Arial"/>
                <w:sz w:val="20"/>
                <w:szCs w:val="20"/>
                <w:color w:val="auto"/>
                <w:w w:val="90"/>
              </w:rPr>
              <w:t>Rights as a Lender</w:t>
            </w:r>
          </w:p>
        </w:tc>
        <w:tc>
          <w:tcPr>
            <w:tcW w:w="680" w:type="dxa"/>
            <w:vAlign w:val="bottom"/>
            <w:gridSpan w:val="2"/>
          </w:tcPr>
          <w:p>
            <w:pPr>
              <w:jc w:val="right"/>
              <w:ind w:right="141"/>
              <w:spacing w:after="0"/>
              <w:rPr>
                <w:sz w:val="20"/>
                <w:szCs w:val="20"/>
                <w:color w:val="auto"/>
              </w:rPr>
            </w:pPr>
            <w:r>
              <w:rPr>
                <w:rFonts w:ascii="Arial" w:cs="Arial" w:eastAsia="Arial" w:hAnsi="Arial"/>
                <w:sz w:val="20"/>
                <w:szCs w:val="20"/>
                <w:color w:val="auto"/>
              </w:rPr>
              <w:t>138</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11.3</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rPr>
              <w:t>Exculpatory Provisions  138</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11.4</w:t>
            </w:r>
          </w:p>
        </w:tc>
        <w:tc>
          <w:tcPr>
            <w:tcW w:w="3140" w:type="dxa"/>
            <w:vAlign w:val="bottom"/>
            <w:gridSpan w:val="7"/>
          </w:tcPr>
          <w:p>
            <w:pPr>
              <w:ind w:left="60"/>
              <w:spacing w:after="0"/>
              <w:rPr>
                <w:sz w:val="20"/>
                <w:szCs w:val="20"/>
                <w:color w:val="auto"/>
              </w:rPr>
            </w:pPr>
            <w:r>
              <w:rPr>
                <w:rFonts w:ascii="Arial" w:cs="Arial" w:eastAsia="Arial" w:hAnsi="Arial"/>
                <w:sz w:val="20"/>
                <w:szCs w:val="20"/>
                <w:color w:val="auto"/>
                <w:w w:val="93"/>
              </w:rPr>
              <w:t>Reliance by the Administrative Agent</w:t>
            </w:r>
          </w:p>
        </w:tc>
        <w:tc>
          <w:tcPr>
            <w:tcW w:w="1080" w:type="dxa"/>
            <w:vAlign w:val="bottom"/>
          </w:tcPr>
          <w:p>
            <w:pPr>
              <w:jc w:val="right"/>
              <w:ind w:right="561"/>
              <w:spacing w:after="0"/>
              <w:rPr>
                <w:sz w:val="20"/>
                <w:szCs w:val="20"/>
                <w:color w:val="auto"/>
              </w:rPr>
            </w:pPr>
            <w:r>
              <w:rPr>
                <w:rFonts w:ascii="Arial" w:cs="Arial" w:eastAsia="Arial" w:hAnsi="Arial"/>
                <w:sz w:val="20"/>
                <w:szCs w:val="20"/>
                <w:color w:val="auto"/>
              </w:rPr>
              <w:t>140</w:t>
            </w: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11.5</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w w:val="95"/>
              </w:rPr>
              <w:t>Delegation of Duties</w:t>
            </w:r>
          </w:p>
        </w:tc>
        <w:tc>
          <w:tcPr>
            <w:tcW w:w="480" w:type="dxa"/>
            <w:vAlign w:val="bottom"/>
          </w:tcPr>
          <w:p>
            <w:pPr>
              <w:jc w:val="right"/>
              <w:spacing w:after="0"/>
              <w:rPr>
                <w:sz w:val="20"/>
                <w:szCs w:val="20"/>
                <w:color w:val="auto"/>
              </w:rPr>
            </w:pPr>
            <w:r>
              <w:rPr>
                <w:rFonts w:ascii="Arial" w:cs="Arial" w:eastAsia="Arial" w:hAnsi="Arial"/>
                <w:sz w:val="20"/>
                <w:szCs w:val="20"/>
                <w:color w:val="auto"/>
              </w:rPr>
              <w:t>140</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7"/>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11.6</w:t>
            </w:r>
          </w:p>
        </w:tc>
        <w:tc>
          <w:tcPr>
            <w:tcW w:w="3140" w:type="dxa"/>
            <w:vAlign w:val="bottom"/>
            <w:gridSpan w:val="7"/>
          </w:tcPr>
          <w:p>
            <w:pPr>
              <w:ind w:left="60"/>
              <w:spacing w:after="0"/>
              <w:rPr>
                <w:sz w:val="20"/>
                <w:szCs w:val="20"/>
                <w:color w:val="auto"/>
              </w:rPr>
            </w:pPr>
            <w:r>
              <w:rPr>
                <w:rFonts w:ascii="Arial" w:cs="Arial" w:eastAsia="Arial" w:hAnsi="Arial"/>
                <w:sz w:val="20"/>
                <w:szCs w:val="20"/>
                <w:color w:val="auto"/>
                <w:w w:val="96"/>
              </w:rPr>
              <w:t>Resignation of Administrative Agent</w:t>
            </w:r>
          </w:p>
        </w:tc>
        <w:tc>
          <w:tcPr>
            <w:tcW w:w="1080" w:type="dxa"/>
            <w:vAlign w:val="bottom"/>
          </w:tcPr>
          <w:p>
            <w:pPr>
              <w:jc w:val="right"/>
              <w:ind w:right="641"/>
              <w:spacing w:after="0"/>
              <w:rPr>
                <w:sz w:val="20"/>
                <w:szCs w:val="20"/>
                <w:color w:val="auto"/>
              </w:rPr>
            </w:pPr>
            <w:r>
              <w:rPr>
                <w:rFonts w:ascii="Arial" w:cs="Arial" w:eastAsia="Arial" w:hAnsi="Arial"/>
                <w:sz w:val="20"/>
                <w:szCs w:val="20"/>
                <w:color w:val="auto"/>
                <w:w w:val="95"/>
              </w:rPr>
              <w:t>140</w:t>
            </w: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11.7</w:t>
            </w:r>
          </w:p>
        </w:tc>
        <w:tc>
          <w:tcPr>
            <w:tcW w:w="6420" w:type="dxa"/>
            <w:vAlign w:val="bottom"/>
            <w:gridSpan w:val="9"/>
          </w:tcPr>
          <w:p>
            <w:pPr>
              <w:ind w:left="60"/>
              <w:spacing w:after="0"/>
              <w:rPr>
                <w:sz w:val="20"/>
                <w:szCs w:val="20"/>
                <w:color w:val="auto"/>
              </w:rPr>
            </w:pPr>
            <w:r>
              <w:rPr>
                <w:rFonts w:ascii="Arial" w:cs="Arial" w:eastAsia="Arial" w:hAnsi="Arial"/>
                <w:sz w:val="20"/>
                <w:szCs w:val="20"/>
                <w:color w:val="auto"/>
              </w:rPr>
              <w:t>Non-Reliance on Administrative Agent and Other Lenders  141</w:t>
            </w: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11.8</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w w:val="93"/>
              </w:rPr>
              <w:t>No Other Duties, Etc</w:t>
            </w:r>
          </w:p>
        </w:tc>
        <w:tc>
          <w:tcPr>
            <w:tcW w:w="480" w:type="dxa"/>
            <w:vAlign w:val="bottom"/>
          </w:tcPr>
          <w:p>
            <w:pPr>
              <w:jc w:val="right"/>
              <w:spacing w:after="0"/>
              <w:rPr>
                <w:sz w:val="20"/>
                <w:szCs w:val="20"/>
                <w:color w:val="auto"/>
              </w:rPr>
            </w:pPr>
            <w:r>
              <w:rPr>
                <w:rFonts w:ascii="Arial" w:cs="Arial" w:eastAsia="Arial" w:hAnsi="Arial"/>
                <w:sz w:val="20"/>
                <w:szCs w:val="20"/>
                <w:color w:val="auto"/>
              </w:rPr>
              <w:t>142</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11.9</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w w:val="95"/>
              </w:rPr>
              <w:t>Collateral and Guaranty Matters</w:t>
            </w:r>
          </w:p>
        </w:tc>
        <w:tc>
          <w:tcPr>
            <w:tcW w:w="360" w:type="dxa"/>
            <w:vAlign w:val="bottom"/>
          </w:tcPr>
          <w:p>
            <w:pPr>
              <w:jc w:val="right"/>
              <w:spacing w:after="0"/>
              <w:rPr>
                <w:sz w:val="20"/>
                <w:szCs w:val="20"/>
                <w:color w:val="auto"/>
              </w:rPr>
            </w:pPr>
            <w:r>
              <w:rPr>
                <w:rFonts w:ascii="Arial" w:cs="Arial" w:eastAsia="Arial" w:hAnsi="Arial"/>
                <w:sz w:val="20"/>
                <w:szCs w:val="20"/>
                <w:color w:val="auto"/>
                <w:w w:val="89"/>
              </w:rPr>
              <w:t>142</w:t>
            </w: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w w:val="92"/>
              </w:rPr>
              <w:t>SECTION 11.10</w:t>
            </w:r>
          </w:p>
        </w:tc>
        <w:tc>
          <w:tcPr>
            <w:tcW w:w="6420" w:type="dxa"/>
            <w:vAlign w:val="bottom"/>
            <w:gridSpan w:val="9"/>
          </w:tcPr>
          <w:p>
            <w:pPr>
              <w:ind w:left="160"/>
              <w:spacing w:after="0"/>
              <w:rPr>
                <w:sz w:val="20"/>
                <w:szCs w:val="20"/>
                <w:color w:val="auto"/>
              </w:rPr>
            </w:pPr>
            <w:r>
              <w:rPr>
                <w:rFonts w:ascii="Arial" w:cs="Arial" w:eastAsia="Arial" w:hAnsi="Arial"/>
                <w:sz w:val="20"/>
                <w:szCs w:val="20"/>
                <w:color w:val="auto"/>
                <w:w w:val="88"/>
              </w:rPr>
              <w:t>Secured Hedge Agreements and Secured Cash Management Agreements  143</w:t>
            </w: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w w:val="92"/>
              </w:rPr>
              <w:t>SECTION 11.11</w:t>
            </w:r>
          </w:p>
        </w:tc>
        <w:tc>
          <w:tcPr>
            <w:tcW w:w="1800" w:type="dxa"/>
            <w:vAlign w:val="bottom"/>
            <w:gridSpan w:val="4"/>
          </w:tcPr>
          <w:p>
            <w:pPr>
              <w:ind w:left="140"/>
              <w:spacing w:after="0"/>
              <w:rPr>
                <w:sz w:val="20"/>
                <w:szCs w:val="20"/>
                <w:color w:val="auto"/>
              </w:rPr>
            </w:pPr>
            <w:r>
              <w:rPr>
                <w:rFonts w:ascii="Arial" w:cs="Arial" w:eastAsia="Arial" w:hAnsi="Arial"/>
                <w:sz w:val="20"/>
                <w:szCs w:val="20"/>
                <w:color w:val="auto"/>
                <w:w w:val="87"/>
              </w:rPr>
              <w:t>Erroneous Payments</w:t>
            </w:r>
          </w:p>
        </w:tc>
        <w:tc>
          <w:tcPr>
            <w:tcW w:w="480" w:type="dxa"/>
            <w:vAlign w:val="bottom"/>
          </w:tcPr>
          <w:p>
            <w:pPr>
              <w:jc w:val="right"/>
              <w:spacing w:after="0"/>
              <w:rPr>
                <w:sz w:val="20"/>
                <w:szCs w:val="20"/>
                <w:color w:val="auto"/>
              </w:rPr>
            </w:pPr>
            <w:r>
              <w:rPr>
                <w:rFonts w:ascii="Arial" w:cs="Arial" w:eastAsia="Arial" w:hAnsi="Arial"/>
                <w:sz w:val="20"/>
                <w:szCs w:val="20"/>
                <w:color w:val="auto"/>
              </w:rPr>
              <w:t>144</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20"/>
                <w:szCs w:val="20"/>
                <w:color w:val="auto"/>
              </w:rPr>
              <w:t>ARTICLE XII</w:t>
            </w:r>
          </w:p>
        </w:tc>
        <w:tc>
          <w:tcPr>
            <w:tcW w:w="1820" w:type="dxa"/>
            <w:vAlign w:val="bottom"/>
            <w:gridSpan w:val="2"/>
          </w:tcPr>
          <w:p>
            <w:pPr>
              <w:ind w:left="140"/>
              <w:spacing w:after="0"/>
              <w:rPr>
                <w:sz w:val="20"/>
                <w:szCs w:val="20"/>
                <w:color w:val="auto"/>
              </w:rPr>
            </w:pPr>
            <w:r>
              <w:rPr>
                <w:rFonts w:ascii="Arial" w:cs="Arial" w:eastAsia="Arial" w:hAnsi="Arial"/>
                <w:sz w:val="20"/>
                <w:szCs w:val="20"/>
                <w:color w:val="auto"/>
                <w:w w:val="97"/>
              </w:rPr>
              <w:t>MISCELLANEOUS</w:t>
            </w:r>
          </w:p>
        </w:tc>
        <w:tc>
          <w:tcPr>
            <w:tcW w:w="580" w:type="dxa"/>
            <w:vAlign w:val="bottom"/>
            <w:gridSpan w:val="2"/>
          </w:tcPr>
          <w:p>
            <w:pPr>
              <w:jc w:val="right"/>
              <w:ind w:right="21"/>
              <w:spacing w:after="0"/>
              <w:rPr>
                <w:sz w:val="20"/>
                <w:szCs w:val="20"/>
                <w:color w:val="auto"/>
              </w:rPr>
            </w:pPr>
            <w:r>
              <w:rPr>
                <w:rFonts w:ascii="Arial" w:cs="Arial" w:eastAsia="Arial" w:hAnsi="Arial"/>
                <w:sz w:val="20"/>
                <w:szCs w:val="20"/>
                <w:color w:val="auto"/>
              </w:rPr>
              <w:t>146</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12.1</w:t>
            </w:r>
          </w:p>
        </w:tc>
        <w:tc>
          <w:tcPr>
            <w:tcW w:w="1420" w:type="dxa"/>
            <w:vAlign w:val="bottom"/>
            <w:gridSpan w:val="2"/>
          </w:tcPr>
          <w:p>
            <w:pPr>
              <w:ind w:left="60"/>
              <w:spacing w:after="0"/>
              <w:rPr>
                <w:sz w:val="20"/>
                <w:szCs w:val="20"/>
                <w:color w:val="auto"/>
              </w:rPr>
            </w:pPr>
            <w:r>
              <w:rPr>
                <w:rFonts w:ascii="Arial" w:cs="Arial" w:eastAsia="Arial" w:hAnsi="Arial"/>
                <w:sz w:val="20"/>
                <w:szCs w:val="20"/>
                <w:color w:val="auto"/>
              </w:rPr>
              <w:t>Notices  146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12.2</w:t>
            </w:r>
          </w:p>
        </w:tc>
        <w:tc>
          <w:tcPr>
            <w:tcW w:w="3140" w:type="dxa"/>
            <w:vAlign w:val="bottom"/>
            <w:gridSpan w:val="7"/>
          </w:tcPr>
          <w:p>
            <w:pPr>
              <w:ind w:left="60"/>
              <w:spacing w:after="0"/>
              <w:rPr>
                <w:sz w:val="20"/>
                <w:szCs w:val="20"/>
                <w:color w:val="auto"/>
              </w:rPr>
            </w:pPr>
            <w:r>
              <w:rPr>
                <w:rFonts w:ascii="Arial" w:cs="Arial" w:eastAsia="Arial" w:hAnsi="Arial"/>
                <w:sz w:val="20"/>
                <w:szCs w:val="20"/>
                <w:color w:val="auto"/>
                <w:w w:val="92"/>
              </w:rPr>
              <w:t>Amendments, Waivers and Consents</w:t>
            </w:r>
          </w:p>
        </w:tc>
        <w:tc>
          <w:tcPr>
            <w:tcW w:w="1080" w:type="dxa"/>
            <w:vAlign w:val="bottom"/>
          </w:tcPr>
          <w:p>
            <w:pPr>
              <w:jc w:val="right"/>
              <w:ind w:right="661"/>
              <w:spacing w:after="0"/>
              <w:rPr>
                <w:sz w:val="20"/>
                <w:szCs w:val="20"/>
                <w:color w:val="auto"/>
              </w:rPr>
            </w:pPr>
            <w:r>
              <w:rPr>
                <w:rFonts w:ascii="Arial" w:cs="Arial" w:eastAsia="Arial" w:hAnsi="Arial"/>
                <w:sz w:val="20"/>
                <w:szCs w:val="20"/>
                <w:color w:val="auto"/>
                <w:w w:val="89"/>
              </w:rPr>
              <w:t>148</w:t>
            </w: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12.3</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w w:val="92"/>
              </w:rPr>
              <w:t>Expenses; Indemnity</w:t>
            </w:r>
          </w:p>
        </w:tc>
        <w:tc>
          <w:tcPr>
            <w:tcW w:w="480" w:type="dxa"/>
            <w:vAlign w:val="bottom"/>
          </w:tcPr>
          <w:p>
            <w:pPr>
              <w:jc w:val="right"/>
              <w:spacing w:after="0"/>
              <w:rPr>
                <w:sz w:val="20"/>
                <w:szCs w:val="20"/>
                <w:color w:val="auto"/>
              </w:rPr>
            </w:pPr>
            <w:r>
              <w:rPr>
                <w:rFonts w:ascii="Arial" w:cs="Arial" w:eastAsia="Arial" w:hAnsi="Arial"/>
                <w:sz w:val="20"/>
                <w:szCs w:val="20"/>
                <w:color w:val="auto"/>
              </w:rPr>
              <w:t>151</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12.4</w:t>
            </w:r>
          </w:p>
        </w:tc>
        <w:tc>
          <w:tcPr>
            <w:tcW w:w="1420" w:type="dxa"/>
            <w:vAlign w:val="bottom"/>
            <w:gridSpan w:val="2"/>
          </w:tcPr>
          <w:p>
            <w:pPr>
              <w:ind w:left="60"/>
              <w:spacing w:after="0"/>
              <w:rPr>
                <w:sz w:val="20"/>
                <w:szCs w:val="20"/>
                <w:color w:val="auto"/>
              </w:rPr>
            </w:pPr>
            <w:r>
              <w:rPr>
                <w:rFonts w:ascii="Arial" w:cs="Arial" w:eastAsia="Arial" w:hAnsi="Arial"/>
                <w:sz w:val="20"/>
                <w:szCs w:val="20"/>
                <w:color w:val="auto"/>
              </w:rPr>
              <w:t>Right of Setoff</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w w:val="89"/>
              </w:rPr>
              <w:t>153</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12.5</w:t>
            </w:r>
          </w:p>
        </w:tc>
        <w:tc>
          <w:tcPr>
            <w:tcW w:w="2780" w:type="dxa"/>
            <w:vAlign w:val="bottom"/>
            <w:gridSpan w:val="6"/>
          </w:tcPr>
          <w:p>
            <w:pPr>
              <w:ind w:left="60"/>
              <w:spacing w:after="0"/>
              <w:rPr>
                <w:sz w:val="20"/>
                <w:szCs w:val="20"/>
                <w:color w:val="auto"/>
              </w:rPr>
            </w:pPr>
            <w:r>
              <w:rPr>
                <w:rFonts w:ascii="Arial" w:cs="Arial" w:eastAsia="Arial" w:hAnsi="Arial"/>
                <w:sz w:val="20"/>
                <w:szCs w:val="20"/>
                <w:color w:val="auto"/>
                <w:w w:val="94"/>
              </w:rPr>
              <w:t>Governing Law; Jurisdiction, Etc</w:t>
            </w:r>
          </w:p>
        </w:tc>
        <w:tc>
          <w:tcPr>
            <w:tcW w:w="1440" w:type="dxa"/>
            <w:vAlign w:val="bottom"/>
            <w:gridSpan w:val="2"/>
          </w:tcPr>
          <w:p>
            <w:pPr>
              <w:jc w:val="right"/>
              <w:ind w:right="921"/>
              <w:spacing w:after="0"/>
              <w:rPr>
                <w:sz w:val="20"/>
                <w:szCs w:val="20"/>
                <w:color w:val="auto"/>
              </w:rPr>
            </w:pPr>
            <w:r>
              <w:rPr>
                <w:rFonts w:ascii="Arial" w:cs="Arial" w:eastAsia="Arial" w:hAnsi="Arial"/>
                <w:sz w:val="20"/>
                <w:szCs w:val="20"/>
                <w:color w:val="auto"/>
              </w:rPr>
              <w:t>153</w:t>
            </w: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12.6</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w w:val="99"/>
              </w:rPr>
              <w:t>Waiver of Jury Trial</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154</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7"/>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12.7</w:t>
            </w:r>
          </w:p>
        </w:tc>
        <w:tc>
          <w:tcPr>
            <w:tcW w:w="1800" w:type="dxa"/>
            <w:vAlign w:val="bottom"/>
            <w:gridSpan w:val="4"/>
          </w:tcPr>
          <w:p>
            <w:pPr>
              <w:ind w:left="60"/>
              <w:spacing w:after="0"/>
              <w:rPr>
                <w:sz w:val="20"/>
                <w:szCs w:val="20"/>
                <w:color w:val="auto"/>
              </w:rPr>
            </w:pPr>
            <w:r>
              <w:rPr>
                <w:rFonts w:ascii="Arial" w:cs="Arial" w:eastAsia="Arial" w:hAnsi="Arial"/>
                <w:sz w:val="20"/>
                <w:szCs w:val="20"/>
                <w:color w:val="auto"/>
                <w:w w:val="87"/>
              </w:rPr>
              <w:t>Reversal of Payments</w:t>
            </w:r>
          </w:p>
        </w:tc>
        <w:tc>
          <w:tcPr>
            <w:tcW w:w="980" w:type="dxa"/>
            <w:vAlign w:val="bottom"/>
            <w:gridSpan w:val="2"/>
          </w:tcPr>
          <w:p>
            <w:pPr>
              <w:jc w:val="right"/>
              <w:ind w:right="401"/>
              <w:spacing w:after="0"/>
              <w:rPr>
                <w:sz w:val="20"/>
                <w:szCs w:val="20"/>
                <w:color w:val="auto"/>
              </w:rPr>
            </w:pPr>
            <w:r>
              <w:rPr>
                <w:rFonts w:ascii="Arial" w:cs="Arial" w:eastAsia="Arial" w:hAnsi="Arial"/>
                <w:sz w:val="20"/>
                <w:szCs w:val="20"/>
                <w:color w:val="auto"/>
              </w:rPr>
              <w:t>154</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12.8</w:t>
            </w:r>
          </w:p>
        </w:tc>
        <w:tc>
          <w:tcPr>
            <w:tcW w:w="1420" w:type="dxa"/>
            <w:vAlign w:val="bottom"/>
            <w:gridSpan w:val="2"/>
          </w:tcPr>
          <w:p>
            <w:pPr>
              <w:ind w:left="60"/>
              <w:spacing w:after="0"/>
              <w:rPr>
                <w:sz w:val="20"/>
                <w:szCs w:val="20"/>
                <w:color w:val="auto"/>
              </w:rPr>
            </w:pPr>
            <w:r>
              <w:rPr>
                <w:rFonts w:ascii="Arial" w:cs="Arial" w:eastAsia="Arial" w:hAnsi="Arial"/>
                <w:sz w:val="20"/>
                <w:szCs w:val="20"/>
                <w:color w:val="auto"/>
                <w:w w:val="94"/>
              </w:rPr>
              <w:t>Injunctive Relief</w:t>
            </w:r>
          </w:p>
        </w:tc>
        <w:tc>
          <w:tcPr>
            <w:tcW w:w="180" w:type="dxa"/>
            <w:vAlign w:val="bottom"/>
          </w:tcPr>
          <w:p>
            <w:pPr>
              <w:spacing w:after="0"/>
              <w:rPr>
                <w:sz w:val="24"/>
                <w:szCs w:val="24"/>
                <w:color w:val="auto"/>
              </w:rPr>
            </w:pPr>
          </w:p>
        </w:tc>
        <w:tc>
          <w:tcPr>
            <w:tcW w:w="680" w:type="dxa"/>
            <w:vAlign w:val="bottom"/>
            <w:gridSpan w:val="2"/>
          </w:tcPr>
          <w:p>
            <w:pPr>
              <w:jc w:val="right"/>
              <w:ind w:right="281"/>
              <w:spacing w:after="0"/>
              <w:rPr>
                <w:sz w:val="20"/>
                <w:szCs w:val="20"/>
                <w:color w:val="auto"/>
              </w:rPr>
            </w:pPr>
            <w:r>
              <w:rPr>
                <w:rFonts w:ascii="Arial" w:cs="Arial" w:eastAsia="Arial" w:hAnsi="Arial"/>
                <w:sz w:val="20"/>
                <w:szCs w:val="20"/>
                <w:color w:val="auto"/>
                <w:w w:val="83"/>
              </w:rPr>
              <w:t>155</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rPr>
              <w:t>SECTION 12.9</w:t>
            </w:r>
          </w:p>
        </w:tc>
        <w:tc>
          <w:tcPr>
            <w:tcW w:w="3140" w:type="dxa"/>
            <w:vAlign w:val="bottom"/>
            <w:gridSpan w:val="7"/>
          </w:tcPr>
          <w:p>
            <w:pPr>
              <w:ind w:left="60"/>
              <w:spacing w:after="0"/>
              <w:rPr>
                <w:sz w:val="20"/>
                <w:szCs w:val="20"/>
                <w:color w:val="auto"/>
              </w:rPr>
            </w:pPr>
            <w:r>
              <w:rPr>
                <w:rFonts w:ascii="Arial" w:cs="Arial" w:eastAsia="Arial" w:hAnsi="Arial"/>
                <w:sz w:val="20"/>
                <w:szCs w:val="20"/>
                <w:color w:val="auto"/>
                <w:w w:val="87"/>
              </w:rPr>
              <w:t>Successors and Assigns; Participations</w:t>
            </w:r>
          </w:p>
        </w:tc>
        <w:tc>
          <w:tcPr>
            <w:tcW w:w="1080" w:type="dxa"/>
            <w:vAlign w:val="bottom"/>
          </w:tcPr>
          <w:p>
            <w:pPr>
              <w:jc w:val="right"/>
              <w:ind w:right="481"/>
              <w:spacing w:after="0"/>
              <w:rPr>
                <w:sz w:val="20"/>
                <w:szCs w:val="20"/>
                <w:color w:val="auto"/>
              </w:rPr>
            </w:pPr>
            <w:r>
              <w:rPr>
                <w:rFonts w:ascii="Arial" w:cs="Arial" w:eastAsia="Arial" w:hAnsi="Arial"/>
                <w:sz w:val="20"/>
                <w:szCs w:val="20"/>
                <w:color w:val="auto"/>
              </w:rPr>
              <w:t>155</w:t>
            </w:r>
          </w:p>
        </w:tc>
        <w:tc>
          <w:tcPr>
            <w:tcW w:w="2200" w:type="dxa"/>
            <w:vAlign w:val="bottom"/>
          </w:tcPr>
          <w:p>
            <w:pPr>
              <w:spacing w:after="0"/>
              <w:rPr>
                <w:sz w:val="24"/>
                <w:szCs w:val="24"/>
                <w:color w:val="auto"/>
              </w:rPr>
            </w:pPr>
          </w:p>
        </w:tc>
      </w:tr>
      <w:tr>
        <w:trPr>
          <w:trHeight w:val="338"/>
        </w:trPr>
        <w:tc>
          <w:tcPr>
            <w:tcW w:w="2020" w:type="dxa"/>
            <w:vAlign w:val="bottom"/>
            <w:gridSpan w:val="2"/>
          </w:tcPr>
          <w:p>
            <w:pPr>
              <w:ind w:left="660"/>
              <w:spacing w:after="0"/>
              <w:rPr>
                <w:sz w:val="20"/>
                <w:szCs w:val="20"/>
                <w:color w:val="auto"/>
              </w:rPr>
            </w:pPr>
            <w:r>
              <w:rPr>
                <w:rFonts w:ascii="Arial" w:cs="Arial" w:eastAsia="Arial" w:hAnsi="Arial"/>
                <w:sz w:val="20"/>
                <w:szCs w:val="20"/>
                <w:color w:val="auto"/>
                <w:w w:val="92"/>
              </w:rPr>
              <w:t>SECTION 12.10</w:t>
            </w:r>
          </w:p>
        </w:tc>
        <w:tc>
          <w:tcPr>
            <w:tcW w:w="4220" w:type="dxa"/>
            <w:vAlign w:val="bottom"/>
            <w:gridSpan w:val="8"/>
          </w:tcPr>
          <w:p>
            <w:pPr>
              <w:ind w:left="160"/>
              <w:spacing w:after="0"/>
              <w:rPr>
                <w:sz w:val="20"/>
                <w:szCs w:val="20"/>
                <w:color w:val="auto"/>
              </w:rPr>
            </w:pPr>
            <w:r>
              <w:rPr>
                <w:rFonts w:ascii="Arial" w:cs="Arial" w:eastAsia="Arial" w:hAnsi="Arial"/>
                <w:sz w:val="20"/>
                <w:szCs w:val="20"/>
                <w:color w:val="auto"/>
                <w:w w:val="94"/>
              </w:rPr>
              <w:t>Treatment of Certain Information; Confidentiality</w:t>
            </w:r>
          </w:p>
        </w:tc>
        <w:tc>
          <w:tcPr>
            <w:tcW w:w="2200" w:type="dxa"/>
            <w:vAlign w:val="bottom"/>
          </w:tcPr>
          <w:p>
            <w:pPr>
              <w:jc w:val="right"/>
              <w:ind w:right="1721"/>
              <w:spacing w:after="0"/>
              <w:rPr>
                <w:sz w:val="20"/>
                <w:szCs w:val="20"/>
                <w:color w:val="auto"/>
              </w:rPr>
            </w:pPr>
            <w:r>
              <w:rPr>
                <w:rFonts w:ascii="Arial" w:cs="Arial" w:eastAsia="Arial" w:hAnsi="Arial"/>
                <w:sz w:val="20"/>
                <w:szCs w:val="20"/>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1140"/>
          </w:cols>
          <w:pgMar w:left="320" w:top="118" w:right="4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146960219_6</w:t>
      </w:r>
    </w:p>
    <w:p>
      <w:pPr>
        <w:sectPr>
          <w:pgSz w:w="11900" w:h="16838" w:orient="portrait"/>
          <w:cols w:equalWidth="0" w:num="1">
            <w:col w:w="11140"/>
          </w:cols>
          <w:pgMar w:left="320" w:top="118" w:right="439" w:bottom="1440" w:gutter="0" w:footer="0" w:header="0"/>
          <w:type w:val="continuous"/>
        </w:sectPr>
      </w:pPr>
    </w:p>
    <w:bookmarkStart w:id="63" w:name="page64"/>
    <w:bookmarkEnd w:id="63"/>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1420" w:type="dxa"/>
            <w:vAlign w:val="bottom"/>
          </w:tcPr>
          <w:p>
            <w:pPr>
              <w:spacing w:after="0"/>
              <w:rPr>
                <w:sz w:val="20"/>
                <w:szCs w:val="20"/>
                <w:color w:val="auto"/>
              </w:rPr>
            </w:pPr>
            <w:r>
              <w:rPr>
                <w:rFonts w:ascii="Arial" w:cs="Arial" w:eastAsia="Arial" w:hAnsi="Arial"/>
                <w:sz w:val="20"/>
                <w:szCs w:val="20"/>
                <w:color w:val="auto"/>
                <w:w w:val="96"/>
              </w:rPr>
              <w:t>SECTION 12.11</w:t>
            </w:r>
          </w:p>
        </w:tc>
        <w:tc>
          <w:tcPr>
            <w:tcW w:w="2820" w:type="dxa"/>
            <w:vAlign w:val="bottom"/>
            <w:gridSpan w:val="3"/>
          </w:tcPr>
          <w:p>
            <w:pPr>
              <w:ind w:left="100"/>
              <w:spacing w:after="0"/>
              <w:rPr>
                <w:sz w:val="20"/>
                <w:szCs w:val="20"/>
                <w:color w:val="auto"/>
              </w:rPr>
            </w:pPr>
            <w:r>
              <w:rPr>
                <w:rFonts w:ascii="Arial" w:cs="Arial" w:eastAsia="Arial" w:hAnsi="Arial"/>
                <w:sz w:val="20"/>
                <w:szCs w:val="20"/>
                <w:color w:val="auto"/>
              </w:rPr>
              <w:t>Performance of Duties  160</w:t>
            </w: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12.12</w:t>
            </w:r>
          </w:p>
        </w:tc>
        <w:tc>
          <w:tcPr>
            <w:tcW w:w="2820" w:type="dxa"/>
            <w:vAlign w:val="bottom"/>
            <w:gridSpan w:val="3"/>
          </w:tcPr>
          <w:p>
            <w:pPr>
              <w:ind w:left="100"/>
              <w:spacing w:after="0"/>
              <w:rPr>
                <w:sz w:val="20"/>
                <w:szCs w:val="20"/>
                <w:color w:val="auto"/>
              </w:rPr>
            </w:pPr>
            <w:r>
              <w:rPr>
                <w:rFonts w:ascii="Arial" w:cs="Arial" w:eastAsia="Arial" w:hAnsi="Arial"/>
                <w:sz w:val="20"/>
                <w:szCs w:val="20"/>
                <w:color w:val="auto"/>
                <w:w w:val="93"/>
              </w:rPr>
              <w:t>All Powers Coupled with Interest</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160</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12.13</w:t>
            </w:r>
          </w:p>
        </w:tc>
        <w:tc>
          <w:tcPr>
            <w:tcW w:w="1740" w:type="dxa"/>
            <w:vAlign w:val="bottom"/>
          </w:tcPr>
          <w:p>
            <w:pPr>
              <w:ind w:left="100"/>
              <w:spacing w:after="0"/>
              <w:rPr>
                <w:sz w:val="20"/>
                <w:szCs w:val="20"/>
                <w:color w:val="auto"/>
              </w:rPr>
            </w:pPr>
            <w:r>
              <w:rPr>
                <w:rFonts w:ascii="Arial" w:cs="Arial" w:eastAsia="Arial" w:hAnsi="Arial"/>
                <w:sz w:val="20"/>
                <w:szCs w:val="20"/>
                <w:color w:val="auto"/>
              </w:rPr>
              <w:t>Survival  160</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12.14</w:t>
            </w:r>
          </w:p>
        </w:tc>
        <w:tc>
          <w:tcPr>
            <w:tcW w:w="1740" w:type="dxa"/>
            <w:vAlign w:val="bottom"/>
          </w:tcPr>
          <w:p>
            <w:pPr>
              <w:ind w:left="100"/>
              <w:spacing w:after="0"/>
              <w:rPr>
                <w:sz w:val="20"/>
                <w:szCs w:val="20"/>
                <w:color w:val="auto"/>
              </w:rPr>
            </w:pPr>
            <w:r>
              <w:rPr>
                <w:rFonts w:ascii="Arial" w:cs="Arial" w:eastAsia="Arial" w:hAnsi="Arial"/>
                <w:sz w:val="20"/>
                <w:szCs w:val="20"/>
                <w:color w:val="auto"/>
                <w:w w:val="94"/>
              </w:rPr>
              <w:t>Titles and Captions</w:t>
            </w:r>
          </w:p>
        </w:tc>
        <w:tc>
          <w:tcPr>
            <w:tcW w:w="420" w:type="dxa"/>
            <w:vAlign w:val="bottom"/>
          </w:tcPr>
          <w:p>
            <w:pPr>
              <w:jc w:val="right"/>
              <w:spacing w:after="0"/>
              <w:rPr>
                <w:sz w:val="20"/>
                <w:szCs w:val="20"/>
                <w:color w:val="auto"/>
              </w:rPr>
            </w:pPr>
            <w:r>
              <w:rPr>
                <w:rFonts w:ascii="Arial" w:cs="Arial" w:eastAsia="Arial" w:hAnsi="Arial"/>
                <w:sz w:val="20"/>
                <w:szCs w:val="20"/>
                <w:color w:val="auto"/>
              </w:rPr>
              <w:t>160</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12.15</w:t>
            </w:r>
          </w:p>
        </w:tc>
        <w:tc>
          <w:tcPr>
            <w:tcW w:w="2160" w:type="dxa"/>
            <w:vAlign w:val="bottom"/>
            <w:gridSpan w:val="2"/>
          </w:tcPr>
          <w:p>
            <w:pPr>
              <w:ind w:left="100"/>
              <w:spacing w:after="0"/>
              <w:rPr>
                <w:sz w:val="20"/>
                <w:szCs w:val="20"/>
                <w:color w:val="auto"/>
              </w:rPr>
            </w:pPr>
            <w:r>
              <w:rPr>
                <w:rFonts w:ascii="Arial" w:cs="Arial" w:eastAsia="Arial" w:hAnsi="Arial"/>
                <w:sz w:val="20"/>
                <w:szCs w:val="20"/>
                <w:color w:val="auto"/>
                <w:w w:val="91"/>
              </w:rPr>
              <w:t>Severability of Provisions</w:t>
            </w:r>
          </w:p>
        </w:tc>
        <w:tc>
          <w:tcPr>
            <w:tcW w:w="660" w:type="dxa"/>
            <w:vAlign w:val="bottom"/>
          </w:tcPr>
          <w:p>
            <w:pPr>
              <w:jc w:val="right"/>
              <w:ind w:right="61"/>
              <w:spacing w:after="0"/>
              <w:rPr>
                <w:sz w:val="20"/>
                <w:szCs w:val="20"/>
                <w:color w:val="auto"/>
              </w:rPr>
            </w:pPr>
            <w:r>
              <w:rPr>
                <w:rFonts w:ascii="Arial" w:cs="Arial" w:eastAsia="Arial" w:hAnsi="Arial"/>
                <w:sz w:val="20"/>
                <w:szCs w:val="20"/>
                <w:color w:val="auto"/>
              </w:rPr>
              <w:t>160</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12.16</w:t>
            </w:r>
          </w:p>
        </w:tc>
        <w:tc>
          <w:tcPr>
            <w:tcW w:w="6600" w:type="dxa"/>
            <w:vAlign w:val="bottom"/>
            <w:gridSpan w:val="6"/>
          </w:tcPr>
          <w:p>
            <w:pPr>
              <w:ind w:left="100"/>
              <w:spacing w:after="0"/>
              <w:rPr>
                <w:sz w:val="20"/>
                <w:szCs w:val="20"/>
                <w:color w:val="auto"/>
              </w:rPr>
            </w:pPr>
            <w:r>
              <w:rPr>
                <w:rFonts w:ascii="Arial" w:cs="Arial" w:eastAsia="Arial" w:hAnsi="Arial"/>
                <w:sz w:val="20"/>
                <w:szCs w:val="20"/>
                <w:color w:val="auto"/>
              </w:rPr>
              <w:t>Counterparts; Integration; Effectiveness; Electronic Execution  160</w:t>
            </w: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12.17</w:t>
            </w:r>
          </w:p>
        </w:tc>
        <w:tc>
          <w:tcPr>
            <w:tcW w:w="1740" w:type="dxa"/>
            <w:vAlign w:val="bottom"/>
          </w:tcPr>
          <w:p>
            <w:pPr>
              <w:ind w:left="100"/>
              <w:spacing w:after="0"/>
              <w:rPr>
                <w:sz w:val="20"/>
                <w:szCs w:val="20"/>
                <w:color w:val="auto"/>
              </w:rPr>
            </w:pPr>
            <w:r>
              <w:rPr>
                <w:rFonts w:ascii="Arial" w:cs="Arial" w:eastAsia="Arial" w:hAnsi="Arial"/>
                <w:sz w:val="20"/>
                <w:szCs w:val="20"/>
                <w:color w:val="auto"/>
                <w:w w:val="94"/>
              </w:rPr>
              <w:t>Term of Agreement</w:t>
            </w:r>
          </w:p>
        </w:tc>
        <w:tc>
          <w:tcPr>
            <w:tcW w:w="420" w:type="dxa"/>
            <w:vAlign w:val="bottom"/>
          </w:tcPr>
          <w:p>
            <w:pPr>
              <w:jc w:val="right"/>
              <w:spacing w:after="0"/>
              <w:rPr>
                <w:sz w:val="20"/>
                <w:szCs w:val="20"/>
                <w:color w:val="auto"/>
              </w:rPr>
            </w:pPr>
            <w:r>
              <w:rPr>
                <w:rFonts w:ascii="Arial" w:cs="Arial" w:eastAsia="Arial" w:hAnsi="Arial"/>
                <w:sz w:val="20"/>
                <w:szCs w:val="20"/>
                <w:color w:val="auto"/>
              </w:rPr>
              <w:t>161</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7"/>
        </w:trPr>
        <w:tc>
          <w:tcPr>
            <w:tcW w:w="1420" w:type="dxa"/>
            <w:vAlign w:val="bottom"/>
          </w:tcPr>
          <w:p>
            <w:pPr>
              <w:spacing w:after="0"/>
              <w:rPr>
                <w:sz w:val="20"/>
                <w:szCs w:val="20"/>
                <w:color w:val="auto"/>
              </w:rPr>
            </w:pPr>
            <w:r>
              <w:rPr>
                <w:rFonts w:ascii="Arial" w:cs="Arial" w:eastAsia="Arial" w:hAnsi="Arial"/>
                <w:sz w:val="20"/>
                <w:szCs w:val="20"/>
                <w:color w:val="auto"/>
                <w:w w:val="96"/>
              </w:rPr>
              <w:t>SECTION 12.18</w:t>
            </w:r>
          </w:p>
        </w:tc>
        <w:tc>
          <w:tcPr>
            <w:tcW w:w="4320" w:type="dxa"/>
            <w:vAlign w:val="bottom"/>
            <w:gridSpan w:val="5"/>
          </w:tcPr>
          <w:p>
            <w:pPr>
              <w:ind w:left="100"/>
              <w:spacing w:after="0"/>
              <w:rPr>
                <w:sz w:val="20"/>
                <w:szCs w:val="20"/>
                <w:color w:val="auto"/>
              </w:rPr>
            </w:pPr>
            <w:r>
              <w:rPr>
                <w:rFonts w:ascii="Arial" w:cs="Arial" w:eastAsia="Arial" w:hAnsi="Arial"/>
                <w:sz w:val="20"/>
                <w:szCs w:val="20"/>
                <w:color w:val="auto"/>
                <w:w w:val="95"/>
              </w:rPr>
              <w:t>USA PATRIOT Act; Anti-Money Laundering Laws</w:t>
            </w:r>
          </w:p>
        </w:tc>
        <w:tc>
          <w:tcPr>
            <w:tcW w:w="2280" w:type="dxa"/>
            <w:vAlign w:val="bottom"/>
          </w:tcPr>
          <w:p>
            <w:pPr>
              <w:jc w:val="right"/>
              <w:ind w:right="1801"/>
              <w:spacing w:after="0"/>
              <w:rPr>
                <w:sz w:val="20"/>
                <w:szCs w:val="20"/>
                <w:color w:val="auto"/>
              </w:rPr>
            </w:pPr>
            <w:r>
              <w:rPr>
                <w:rFonts w:ascii="Arial" w:cs="Arial" w:eastAsia="Arial" w:hAnsi="Arial"/>
                <w:sz w:val="20"/>
                <w:szCs w:val="20"/>
                <w:color w:val="auto"/>
              </w:rPr>
              <w:t>161</w:t>
            </w: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12.19</w:t>
            </w:r>
          </w:p>
        </w:tc>
        <w:tc>
          <w:tcPr>
            <w:tcW w:w="2820" w:type="dxa"/>
            <w:vAlign w:val="bottom"/>
            <w:gridSpan w:val="3"/>
          </w:tcPr>
          <w:p>
            <w:pPr>
              <w:ind w:left="100"/>
              <w:spacing w:after="0"/>
              <w:rPr>
                <w:sz w:val="20"/>
                <w:szCs w:val="20"/>
                <w:color w:val="auto"/>
              </w:rPr>
            </w:pPr>
            <w:r>
              <w:rPr>
                <w:rFonts w:ascii="Arial" w:cs="Arial" w:eastAsia="Arial" w:hAnsi="Arial"/>
                <w:sz w:val="20"/>
                <w:szCs w:val="20"/>
                <w:color w:val="auto"/>
                <w:w w:val="92"/>
              </w:rPr>
              <w:t>Independent Effect of Covenants</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162</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12.20</w:t>
            </w:r>
          </w:p>
        </w:tc>
        <w:tc>
          <w:tcPr>
            <w:tcW w:w="3360" w:type="dxa"/>
            <w:vAlign w:val="bottom"/>
            <w:gridSpan w:val="4"/>
          </w:tcPr>
          <w:p>
            <w:pPr>
              <w:ind w:left="100"/>
              <w:spacing w:after="0"/>
              <w:rPr>
                <w:sz w:val="20"/>
                <w:szCs w:val="20"/>
                <w:color w:val="auto"/>
              </w:rPr>
            </w:pPr>
            <w:r>
              <w:rPr>
                <w:rFonts w:ascii="Arial" w:cs="Arial" w:eastAsia="Arial" w:hAnsi="Arial"/>
                <w:sz w:val="20"/>
                <w:szCs w:val="20"/>
                <w:color w:val="auto"/>
                <w:w w:val="93"/>
              </w:rPr>
              <w:t>No Advisory or Fiduciary Responsibility</w:t>
            </w:r>
          </w:p>
        </w:tc>
        <w:tc>
          <w:tcPr>
            <w:tcW w:w="960" w:type="dxa"/>
            <w:vAlign w:val="bottom"/>
          </w:tcPr>
          <w:p>
            <w:pPr>
              <w:jc w:val="right"/>
              <w:ind w:right="381"/>
              <w:spacing w:after="0"/>
              <w:rPr>
                <w:sz w:val="20"/>
                <w:szCs w:val="20"/>
                <w:color w:val="auto"/>
              </w:rPr>
            </w:pPr>
            <w:r>
              <w:rPr>
                <w:rFonts w:ascii="Arial" w:cs="Arial" w:eastAsia="Arial" w:hAnsi="Arial"/>
                <w:sz w:val="20"/>
                <w:szCs w:val="20"/>
                <w:color w:val="auto"/>
              </w:rPr>
              <w:t>162</w:t>
            </w:r>
          </w:p>
        </w:tc>
        <w:tc>
          <w:tcPr>
            <w:tcW w:w="228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12.21</w:t>
            </w:r>
          </w:p>
        </w:tc>
        <w:tc>
          <w:tcPr>
            <w:tcW w:w="3360" w:type="dxa"/>
            <w:vAlign w:val="bottom"/>
            <w:gridSpan w:val="4"/>
          </w:tcPr>
          <w:p>
            <w:pPr>
              <w:ind w:left="100"/>
              <w:spacing w:after="0"/>
              <w:rPr>
                <w:sz w:val="20"/>
                <w:szCs w:val="20"/>
                <w:color w:val="auto"/>
              </w:rPr>
            </w:pPr>
            <w:r>
              <w:rPr>
                <w:rFonts w:ascii="Arial" w:cs="Arial" w:eastAsia="Arial" w:hAnsi="Arial"/>
                <w:sz w:val="20"/>
                <w:szCs w:val="20"/>
                <w:color w:val="auto"/>
                <w:w w:val="95"/>
              </w:rPr>
              <w:t>Inconsistencies with Other Documents</w:t>
            </w:r>
          </w:p>
        </w:tc>
        <w:tc>
          <w:tcPr>
            <w:tcW w:w="960" w:type="dxa"/>
            <w:vAlign w:val="bottom"/>
          </w:tcPr>
          <w:p>
            <w:pPr>
              <w:jc w:val="right"/>
              <w:ind w:right="561"/>
              <w:spacing w:after="0"/>
              <w:rPr>
                <w:sz w:val="20"/>
                <w:szCs w:val="20"/>
                <w:color w:val="auto"/>
              </w:rPr>
            </w:pPr>
            <w:r>
              <w:rPr>
                <w:rFonts w:ascii="Arial" w:cs="Arial" w:eastAsia="Arial" w:hAnsi="Arial"/>
                <w:sz w:val="20"/>
                <w:szCs w:val="20"/>
                <w:color w:val="auto"/>
                <w:w w:val="83"/>
              </w:rPr>
              <w:t>162</w:t>
            </w:r>
          </w:p>
        </w:tc>
        <w:tc>
          <w:tcPr>
            <w:tcW w:w="228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12.22</w:t>
            </w:r>
          </w:p>
        </w:tc>
        <w:tc>
          <w:tcPr>
            <w:tcW w:w="6600" w:type="dxa"/>
            <w:vAlign w:val="bottom"/>
            <w:gridSpan w:val="6"/>
          </w:tcPr>
          <w:p>
            <w:pPr>
              <w:ind w:left="100"/>
              <w:spacing w:after="0"/>
              <w:rPr>
                <w:sz w:val="20"/>
                <w:szCs w:val="20"/>
                <w:color w:val="auto"/>
              </w:rPr>
            </w:pPr>
            <w:r>
              <w:rPr>
                <w:rFonts w:ascii="Arial" w:cs="Arial" w:eastAsia="Arial" w:hAnsi="Arial"/>
                <w:sz w:val="20"/>
                <w:szCs w:val="20"/>
                <w:color w:val="auto"/>
                <w:w w:val="92"/>
              </w:rPr>
              <w:t>Acknowledgement and Consent to Bail-In of Affected Financial Institutions  163</w:t>
            </w: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12.23</w:t>
            </w:r>
          </w:p>
        </w:tc>
        <w:tc>
          <w:tcPr>
            <w:tcW w:w="2160" w:type="dxa"/>
            <w:vAlign w:val="bottom"/>
            <w:gridSpan w:val="2"/>
          </w:tcPr>
          <w:p>
            <w:pPr>
              <w:ind w:left="100"/>
              <w:spacing w:after="0"/>
              <w:rPr>
                <w:sz w:val="20"/>
                <w:szCs w:val="20"/>
                <w:color w:val="auto"/>
              </w:rPr>
            </w:pPr>
            <w:r>
              <w:rPr>
                <w:rFonts w:ascii="Arial" w:cs="Arial" w:eastAsia="Arial" w:hAnsi="Arial"/>
                <w:sz w:val="20"/>
                <w:szCs w:val="20"/>
                <w:color w:val="auto"/>
              </w:rPr>
              <w:t>Certain ERISA Matters</w:t>
            </w:r>
          </w:p>
        </w:tc>
        <w:tc>
          <w:tcPr>
            <w:tcW w:w="660" w:type="dxa"/>
            <w:vAlign w:val="bottom"/>
          </w:tcPr>
          <w:p>
            <w:pPr>
              <w:jc w:val="right"/>
              <w:ind w:right="261"/>
              <w:spacing w:after="0"/>
              <w:rPr>
                <w:sz w:val="20"/>
                <w:szCs w:val="20"/>
                <w:color w:val="auto"/>
              </w:rPr>
            </w:pPr>
            <w:r>
              <w:rPr>
                <w:rFonts w:ascii="Arial" w:cs="Arial" w:eastAsia="Arial" w:hAnsi="Arial"/>
                <w:sz w:val="20"/>
                <w:szCs w:val="20"/>
                <w:color w:val="auto"/>
                <w:w w:val="83"/>
              </w:rPr>
              <w:t>163</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12.24</w:t>
            </w:r>
          </w:p>
        </w:tc>
        <w:tc>
          <w:tcPr>
            <w:tcW w:w="4320" w:type="dxa"/>
            <w:vAlign w:val="bottom"/>
            <w:gridSpan w:val="5"/>
          </w:tcPr>
          <w:p>
            <w:pPr>
              <w:ind w:left="100"/>
              <w:spacing w:after="0"/>
              <w:rPr>
                <w:sz w:val="20"/>
                <w:szCs w:val="20"/>
                <w:color w:val="auto"/>
              </w:rPr>
            </w:pPr>
            <w:r>
              <w:rPr>
                <w:rFonts w:ascii="Arial" w:cs="Arial" w:eastAsia="Arial" w:hAnsi="Arial"/>
                <w:sz w:val="20"/>
                <w:szCs w:val="20"/>
                <w:color w:val="auto"/>
                <w:w w:val="91"/>
              </w:rPr>
              <w:t>Acknowledgement Regarding Any Supported QFCs</w:t>
            </w:r>
          </w:p>
        </w:tc>
        <w:tc>
          <w:tcPr>
            <w:tcW w:w="2280" w:type="dxa"/>
            <w:vAlign w:val="bottom"/>
          </w:tcPr>
          <w:p>
            <w:pPr>
              <w:jc w:val="right"/>
              <w:ind w:right="1781"/>
              <w:spacing w:after="0"/>
              <w:rPr>
                <w:sz w:val="20"/>
                <w:szCs w:val="20"/>
                <w:color w:val="auto"/>
              </w:rPr>
            </w:pPr>
            <w:r>
              <w:rPr>
                <w:rFonts w:ascii="Arial" w:cs="Arial" w:eastAsia="Arial" w:hAnsi="Arial"/>
                <w:sz w:val="20"/>
                <w:szCs w:val="20"/>
                <w:color w:val="auto"/>
              </w:rPr>
              <w:t>164</w:t>
            </w:r>
          </w:p>
        </w:tc>
      </w:tr>
      <w:tr>
        <w:trPr>
          <w:trHeight w:val="338"/>
        </w:trPr>
        <w:tc>
          <w:tcPr>
            <w:tcW w:w="1420" w:type="dxa"/>
            <w:vAlign w:val="bottom"/>
          </w:tcPr>
          <w:p>
            <w:pPr>
              <w:spacing w:after="0"/>
              <w:rPr>
                <w:sz w:val="20"/>
                <w:szCs w:val="20"/>
                <w:color w:val="auto"/>
              </w:rPr>
            </w:pPr>
            <w:r>
              <w:rPr>
                <w:rFonts w:ascii="Arial" w:cs="Arial" w:eastAsia="Arial" w:hAnsi="Arial"/>
                <w:sz w:val="20"/>
                <w:szCs w:val="20"/>
                <w:color w:val="auto"/>
                <w:w w:val="96"/>
              </w:rPr>
              <w:t>SECTION 12.25</w:t>
            </w:r>
          </w:p>
        </w:tc>
        <w:tc>
          <w:tcPr>
            <w:tcW w:w="4320" w:type="dxa"/>
            <w:vAlign w:val="bottom"/>
            <w:gridSpan w:val="5"/>
          </w:tcPr>
          <w:p>
            <w:pPr>
              <w:ind w:left="100"/>
              <w:spacing w:after="0"/>
              <w:rPr>
                <w:sz w:val="20"/>
                <w:szCs w:val="20"/>
                <w:color w:val="auto"/>
              </w:rPr>
            </w:pPr>
            <w:r>
              <w:rPr>
                <w:rFonts w:ascii="Arial" w:cs="Arial" w:eastAsia="Arial" w:hAnsi="Arial"/>
                <w:sz w:val="20"/>
                <w:szCs w:val="20"/>
                <w:color w:val="auto"/>
                <w:w w:val="97"/>
              </w:rPr>
              <w:t>Amendment and Restatement; No Novation  165</w:t>
            </w: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vi</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140"/>
          </w:cols>
          <w:pgMar w:left="320" w:top="118" w:right="439" w:bottom="1440" w:gutter="0" w:footer="0" w:header="0"/>
        </w:sectPr>
      </w:pPr>
    </w:p>
    <w:bookmarkStart w:id="64" w:name="page65"/>
    <w:bookmarkEnd w:id="64"/>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6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80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308"/>
        </w:trPr>
        <w:tc>
          <w:tcPr>
            <w:tcW w:w="1860" w:type="dxa"/>
            <w:vAlign w:val="bottom"/>
            <w:gridSpan w:val="3"/>
          </w:tcPr>
          <w:p>
            <w:pPr>
              <w:spacing w:after="0"/>
              <w:rPr>
                <w:sz w:val="20"/>
                <w:szCs w:val="20"/>
                <w:color w:val="auto"/>
              </w:rPr>
            </w:pPr>
            <w:r>
              <w:rPr>
                <w:rFonts w:ascii="Arial" w:cs="Arial" w:eastAsia="Arial" w:hAnsi="Arial"/>
                <w:sz w:val="20"/>
                <w:szCs w:val="20"/>
                <w:color w:val="auto"/>
              </w:rPr>
              <w:t>Exhibit A-1</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US Revolving Credit Note</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A-2</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Canadian Revolving Credit Note</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A-3</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US Swingline Note</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A-4</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Canadian Swingline Note</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A-5</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US Term Loan Note</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A-6</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Canadian Term Loan Note</w:t>
            </w:r>
          </w:p>
        </w:tc>
      </w:tr>
      <w:tr>
        <w:trPr>
          <w:trHeight w:val="284"/>
        </w:trPr>
        <w:tc>
          <w:tcPr>
            <w:tcW w:w="186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Notice of Borrowing</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Notice of Account Designation</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Notice of Prepayment</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Notice of Conversion/Continuation</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F</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Officer’s Compliance Certificate</w:t>
            </w:r>
          </w:p>
        </w:tc>
      </w:tr>
      <w:tr>
        <w:trPr>
          <w:trHeight w:val="284"/>
        </w:trPr>
        <w:tc>
          <w:tcPr>
            <w:tcW w:w="1860" w:type="dxa"/>
            <w:vAlign w:val="bottom"/>
            <w:gridSpan w:val="3"/>
          </w:tcPr>
          <w:p>
            <w:pPr>
              <w:spacing w:after="0"/>
              <w:rPr>
                <w:sz w:val="20"/>
                <w:szCs w:val="20"/>
                <w:color w:val="auto"/>
              </w:rPr>
            </w:pPr>
            <w:r>
              <w:rPr>
                <w:rFonts w:ascii="Arial" w:cs="Arial" w:eastAsia="Arial" w:hAnsi="Arial"/>
                <w:sz w:val="20"/>
                <w:szCs w:val="20"/>
                <w:color w:val="auto"/>
              </w:rPr>
              <w:t>Exhibit G</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Form of Assignment and Assumption</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H-1</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w w:val="94"/>
              </w:rPr>
              <w:t>Form of U.S. Tax Compliance Certificate (Non-Partnership Foreign Lenders)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H-2</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w w:val="90"/>
              </w:rPr>
              <w:t>Form of U.S. Tax Compliance Certificate (Non-Partnership Foreign Participants)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H-3</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w w:val="96"/>
              </w:rPr>
              <w:t>Form of U.S. Tax Compliance Certificate (Foreign Participant Partnerships)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H-4</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rPr>
              <w:t>Form of U.S. Tax Compliance Certificate (Foreign Lender Partnerships)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I</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rPr>
              <w:t>Additional Borrower Request and Assumption Agreement</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Exhibit J</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rPr>
              <w:t>Additional Borrower Notice</w:t>
            </w:r>
          </w:p>
        </w:tc>
      </w:tr>
      <w:tr>
        <w:trPr>
          <w:trHeight w:val="455"/>
        </w:trPr>
        <w:tc>
          <w:tcPr>
            <w:tcW w:w="1860" w:type="dxa"/>
            <w:vAlign w:val="bottom"/>
            <w:gridSpan w:val="3"/>
          </w:tcPr>
          <w:p>
            <w:pPr>
              <w:spacing w:after="0"/>
              <w:rPr>
                <w:sz w:val="20"/>
                <w:szCs w:val="20"/>
                <w:color w:val="auto"/>
              </w:rPr>
            </w:pPr>
            <w:r>
              <w:rPr>
                <w:rFonts w:ascii="Arial" w:cs="Arial" w:eastAsia="Arial" w:hAnsi="Arial"/>
                <w:sz w:val="20"/>
                <w:szCs w:val="20"/>
                <w:color w:val="auto"/>
              </w:rPr>
              <w:t>SCHEDULES</w:t>
            </w:r>
          </w:p>
        </w:tc>
        <w:tc>
          <w:tcPr>
            <w:tcW w:w="8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r>
      <w:tr>
        <w:trPr>
          <w:trHeight w:val="308"/>
        </w:trPr>
        <w:tc>
          <w:tcPr>
            <w:tcW w:w="1860" w:type="dxa"/>
            <w:vAlign w:val="bottom"/>
            <w:gridSpan w:val="3"/>
          </w:tcPr>
          <w:p>
            <w:pPr>
              <w:spacing w:after="0"/>
              <w:rPr>
                <w:sz w:val="20"/>
                <w:szCs w:val="20"/>
                <w:color w:val="auto"/>
              </w:rPr>
            </w:pPr>
            <w:r>
              <w:rPr>
                <w:rFonts w:ascii="Arial" w:cs="Arial" w:eastAsia="Arial" w:hAnsi="Arial"/>
                <w:sz w:val="20"/>
                <w:szCs w:val="20"/>
                <w:color w:val="auto"/>
              </w:rPr>
              <w:t>Schedule 1.1(a)</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Commitments and Commitment Percentages</w:t>
            </w:r>
          </w:p>
        </w:tc>
      </w:tr>
      <w:tr>
        <w:trPr>
          <w:trHeight w:val="284"/>
        </w:trPr>
        <w:tc>
          <w:tcPr>
            <w:tcW w:w="1860" w:type="dxa"/>
            <w:vAlign w:val="bottom"/>
            <w:gridSpan w:val="3"/>
          </w:tcPr>
          <w:p>
            <w:pPr>
              <w:spacing w:after="0"/>
              <w:rPr>
                <w:sz w:val="20"/>
                <w:szCs w:val="20"/>
                <w:color w:val="auto"/>
              </w:rPr>
            </w:pPr>
            <w:r>
              <w:rPr>
                <w:rFonts w:ascii="Arial" w:cs="Arial" w:eastAsia="Arial" w:hAnsi="Arial"/>
                <w:sz w:val="20"/>
                <w:szCs w:val="20"/>
                <w:color w:val="auto"/>
              </w:rPr>
              <w:t>Schedule 1.1(b)</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Existing Letters of Credit</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1.1(c)</w:t>
            </w:r>
          </w:p>
        </w:tc>
        <w:tc>
          <w:tcPr>
            <w:tcW w:w="7420" w:type="dxa"/>
            <w:vAlign w:val="bottom"/>
            <w:gridSpan w:val="2"/>
          </w:tcPr>
          <w:p>
            <w:pPr>
              <w:ind w:left="58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color w:val="auto"/>
              </w:rPr>
              <w:t>Historical Financial Covenant Amounts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1.1(d)</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Initial Issuing Lender Commitments</w:t>
            </w:r>
          </w:p>
        </w:tc>
      </w:tr>
      <w:tr>
        <w:trPr>
          <w:trHeight w:val="284"/>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7.1</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Jurisdictions of Organization and Qualification</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7.2</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Subsidiaries and Capitalization</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7.6</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Tax Matters</w:t>
            </w:r>
          </w:p>
        </w:tc>
      </w:tr>
      <w:tr>
        <w:trPr>
          <w:trHeight w:val="284"/>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7.9</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ERISA Plans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7.13</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Labor and Collective Bargaining Agreements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7.18</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Real Property</w:t>
            </w:r>
          </w:p>
        </w:tc>
      </w:tr>
      <w:tr>
        <w:trPr>
          <w:trHeight w:val="284"/>
        </w:trPr>
        <w:tc>
          <w:tcPr>
            <w:tcW w:w="1860" w:type="dxa"/>
            <w:vAlign w:val="bottom"/>
            <w:gridSpan w:val="3"/>
          </w:tcPr>
          <w:p>
            <w:pPr>
              <w:spacing w:after="0"/>
              <w:rPr>
                <w:sz w:val="20"/>
                <w:szCs w:val="20"/>
                <w:color w:val="auto"/>
              </w:rPr>
            </w:pPr>
            <w:r>
              <w:rPr>
                <w:rFonts w:ascii="Arial" w:cs="Arial" w:eastAsia="Arial" w:hAnsi="Arial"/>
                <w:sz w:val="20"/>
                <w:szCs w:val="20"/>
                <w:color w:val="auto"/>
              </w:rPr>
              <w:t>Schedule 8.19</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Post-Closing Matters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9.1</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Existing Indebtedness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9.2</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Existing Liens</w:t>
            </w:r>
          </w:p>
        </w:tc>
      </w:tr>
      <w:tr>
        <w:trPr>
          <w:trHeight w:val="284"/>
        </w:trPr>
        <w:tc>
          <w:tcPr>
            <w:tcW w:w="1860" w:type="dxa"/>
            <w:vAlign w:val="bottom"/>
            <w:gridSpan w:val="3"/>
          </w:tcPr>
          <w:p>
            <w:pPr>
              <w:spacing w:after="0"/>
              <w:rPr>
                <w:sz w:val="20"/>
                <w:szCs w:val="20"/>
                <w:color w:val="auto"/>
              </w:rPr>
            </w:pPr>
            <w:r>
              <w:rPr>
                <w:rFonts w:ascii="Arial" w:cs="Arial" w:eastAsia="Arial" w:hAnsi="Arial"/>
                <w:sz w:val="20"/>
                <w:szCs w:val="20"/>
                <w:color w:val="auto"/>
              </w:rPr>
              <w:t>Schedule 9.3</w:t>
            </w:r>
          </w:p>
        </w:tc>
        <w:tc>
          <w:tcPr>
            <w:tcW w:w="7420" w:type="dxa"/>
            <w:vAlign w:val="bottom"/>
            <w:gridSpan w:val="2"/>
          </w:tcPr>
          <w:p>
            <w:pPr>
              <w:ind w:left="580"/>
              <w:spacing w:after="0"/>
              <w:rPr>
                <w:sz w:val="20"/>
                <w:szCs w:val="20"/>
                <w:color w:val="auto"/>
              </w:rPr>
            </w:pPr>
            <w:r>
              <w:rPr>
                <w:rFonts w:ascii="Arial" w:cs="Arial" w:eastAsia="Arial" w:hAnsi="Arial"/>
                <w:sz w:val="20"/>
                <w:szCs w:val="20"/>
                <w:color w:val="auto"/>
              </w:rPr>
              <w:t>-   Existing Loans, Advances and Investments</w:t>
            </w:r>
          </w:p>
        </w:tc>
      </w:tr>
      <w:tr>
        <w:trPr>
          <w:trHeight w:val="283"/>
        </w:trPr>
        <w:tc>
          <w:tcPr>
            <w:tcW w:w="1860" w:type="dxa"/>
            <w:vAlign w:val="bottom"/>
            <w:gridSpan w:val="3"/>
          </w:tcPr>
          <w:p>
            <w:pPr>
              <w:spacing w:after="0"/>
              <w:rPr>
                <w:sz w:val="20"/>
                <w:szCs w:val="20"/>
                <w:color w:val="auto"/>
              </w:rPr>
            </w:pPr>
            <w:r>
              <w:rPr>
                <w:rFonts w:ascii="Arial" w:cs="Arial" w:eastAsia="Arial" w:hAnsi="Arial"/>
                <w:sz w:val="20"/>
                <w:szCs w:val="20"/>
                <w:color w:val="auto"/>
              </w:rPr>
              <w:t>Schedule 9.7</w:t>
            </w:r>
          </w:p>
        </w:tc>
        <w:tc>
          <w:tcPr>
            <w:tcW w:w="800" w:type="dxa"/>
            <w:vAlign w:val="bottom"/>
          </w:tcPr>
          <w:p>
            <w:pPr>
              <w:ind w:left="580"/>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Transactions with Affiliates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vii</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0139"/>
          </w:cols>
          <w:pgMar w:left="320" w:top="1440" w:right="1440" w:bottom="1440" w:gutter="0" w:footer="0" w:header="0"/>
        </w:sectPr>
      </w:pPr>
    </w:p>
    <w:bookmarkStart w:id="65" w:name="page66"/>
    <w:bookmarkEnd w:id="65"/>
    <w:p>
      <w:pPr>
        <w:jc w:val="both"/>
        <w:ind w:firstLine="648"/>
        <w:spacing w:after="0" w:line="259" w:lineRule="auto"/>
        <w:rPr>
          <w:sz w:val="20"/>
          <w:szCs w:val="20"/>
          <w:color w:val="auto"/>
        </w:rPr>
      </w:pPr>
      <w:r>
        <w:rPr>
          <w:rFonts w:ascii="Arial" w:cs="Arial" w:eastAsia="Arial" w:hAnsi="Arial"/>
          <w:sz w:val="19"/>
          <w:szCs w:val="19"/>
          <w:color w:val="auto"/>
        </w:rPr>
        <w:t xml:space="preserve">SECOND AMENDED AND RESTATED CREDIT AGREEMENT, dated as of August 27, 2021, by and among CENTURI GROUP, INC., a Nevada corporation, and each Additional Borrower that becomes a party hereto in accordance with </w:t>
      </w:r>
      <w:r>
        <w:rPr>
          <w:rFonts w:ascii="Arial" w:cs="Arial" w:eastAsia="Arial" w:hAnsi="Arial"/>
          <w:sz w:val="19"/>
          <w:szCs w:val="19"/>
          <w:u w:val="single" w:color="auto"/>
          <w:color w:val="auto"/>
        </w:rPr>
        <w:t>Section 5.17</w:t>
      </w:r>
      <w:r>
        <w:rPr>
          <w:rFonts w:ascii="Arial" w:cs="Arial" w:eastAsia="Arial" w:hAnsi="Arial"/>
          <w:sz w:val="19"/>
          <w:szCs w:val="19"/>
          <w:color w:val="auto"/>
        </w:rPr>
        <w:t xml:space="preserve">, as US Borrowers, CENTURI CANADA DIVISION INC., a corporation organized under the laws of the Province of Ontario, Canada, and each Additional Borrower that becomes a party hereto in accordance with </w:t>
      </w:r>
      <w:r>
        <w:rPr>
          <w:rFonts w:ascii="Arial" w:cs="Arial" w:eastAsia="Arial" w:hAnsi="Arial"/>
          <w:sz w:val="19"/>
          <w:szCs w:val="19"/>
          <w:u w:val="single" w:color="auto"/>
          <w:color w:val="auto"/>
        </w:rPr>
        <w:t>Section 5.17</w:t>
      </w:r>
      <w:r>
        <w:rPr>
          <w:rFonts w:ascii="Arial" w:cs="Arial" w:eastAsia="Arial" w:hAnsi="Arial"/>
          <w:sz w:val="19"/>
          <w:szCs w:val="19"/>
          <w:color w:val="auto"/>
        </w:rPr>
        <w:t>, as Canadian Borrowers,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STATEMENT OF PURPOSE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Certain of the Borrowers, certain financial institutions party thereto (the “</w:t>
      </w:r>
      <w:r>
        <w:rPr>
          <w:rFonts w:ascii="Arial" w:cs="Arial" w:eastAsia="Arial" w:hAnsi="Arial"/>
          <w:sz w:val="20"/>
          <w:szCs w:val="20"/>
          <w:u w:val="single" w:color="auto"/>
          <w:color w:val="auto"/>
        </w:rPr>
        <w:t>Existing Lenders</w:t>
      </w:r>
      <w:r>
        <w:rPr>
          <w:rFonts w:ascii="Arial" w:cs="Arial" w:eastAsia="Arial" w:hAnsi="Arial"/>
          <w:sz w:val="20"/>
          <w:szCs w:val="20"/>
          <w:color w:val="auto"/>
        </w:rPr>
        <w:t>”) and the Administrative Agent are parties to that certain Amended and Restated Credit Agreement dated as of November 7, 2017 (as amended, restated, supplemented or otherwise modified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pursuant to which the Existing Lenders extended senior credit facilities to certain of the Borrowers.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Borrowers have requested, and subject to the terms and conditions set forth in this Agreement, the Administrative Agent and the Lenders have agreed, upon the terms and subject to the conditions set forth herein, to amend and restate the Existing Credit Agreement as set forth herein and extend senior credit facilities to the Borrowers as set forth herein.</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such parties hereby agree as follows:</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1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I.1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when used in this Agreement shall have the meanings assigned to them below:</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Acceptable Intercreditor Agreement</w:t>
      </w:r>
      <w:r>
        <w:rPr>
          <w:rFonts w:ascii="Arial" w:cs="Arial" w:eastAsia="Arial" w:hAnsi="Arial"/>
          <w:sz w:val="19"/>
          <w:szCs w:val="19"/>
          <w:color w:val="auto"/>
        </w:rPr>
        <w:t>” means an intercreditor agreement, the terms of which are consistent with market terms governing security arrangements for the sharing of liens and/or arrangements relating to the distribution of payments, as applicable, (a) to the extent executed in connection with the incurrence of Indebtedness secured by Collateral intended to rank equal in priority to the Liens on the Collateral securing the Obligations, on a pari passu basis, (b) to the extent executed in connection with the incurrence of Indebtedness secured by Collateral intended to rank junior in priority to the Liens on the Collateral securing the Obligations, on a junior basis, and/or (c) to the extent executed in connection with the incurrence of Indebtedness intended to rank junior in rights to payment to the Obligations, on a junior basis, in each case at the time such intercreditor agreement is proposed to be established, as determined by the Administrative Agent and the Borrower in the exercise of reasonable judgment, among the Administrative Agent and one or more representatives for the holders of any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66" w:name="page67"/>
    <w:bookmarkEnd w:id="66"/>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any transaction, or any series of related transactions, consummated on or after the date of this Agreement, by which any Consolidated Company (a) acquires any going business or all or substantially all of the assets of any firm, corporation or limited liability company,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Borrower</w:t>
      </w:r>
      <w:r>
        <w:rPr>
          <w:rFonts w:ascii="Arial" w:cs="Arial" w:eastAsia="Arial" w:hAnsi="Arial"/>
          <w:sz w:val="20"/>
          <w:szCs w:val="20"/>
          <w:color w:val="auto"/>
        </w:rPr>
        <w:t xml:space="preserve">” means certain Wholly-Owned US Subsidiaries and Wholly-Owned Canadian Subsidiaries of Centuri from time to time accepted as a Borrower to be party hereto pursuant to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Borrower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Borrower Request and Assumption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Consolidated Net Income</w:t>
      </w:r>
      <w:r>
        <w:rPr>
          <w:rFonts w:ascii="Arial" w:cs="Arial" w:eastAsia="Arial" w:hAnsi="Arial"/>
          <w:sz w:val="20"/>
          <w:szCs w:val="20"/>
          <w:color w:val="auto"/>
        </w:rPr>
        <w:t>” means Consolidated Net Income for the applicable period, but excluding in calculating Consolidated Net Income (solely to the extent Consolidated Net Income for such period is greater than $0) the following items accrued for the applicable period of the calculation, (a) amortization of goodwill, (b) impairment charges with respect to goodwill and other intangible assets, (c) non-cash charges related to deferred taxes and valuation allowances on deferred tax assets and (d) non-amortized fees related to Indebtedness that are written off.</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means Wells Fargo, in its capacity as Administrative Agent hereunder, and any successor thereto appointed pursuant to </w:t>
      </w:r>
      <w:r>
        <w:rPr>
          <w:rFonts w:ascii="Arial" w:cs="Arial" w:eastAsia="Arial" w:hAnsi="Arial"/>
          <w:sz w:val="20"/>
          <w:szCs w:val="20"/>
          <w:u w:val="single" w:color="auto"/>
          <w:color w:val="auto"/>
        </w:rPr>
        <w:t>Section 11.6</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office of the Administrative Agent specified in or determined in accordance with the provisions of </w:t>
      </w:r>
      <w:r>
        <w:rPr>
          <w:rFonts w:ascii="Arial" w:cs="Arial" w:eastAsia="Arial" w:hAnsi="Arial"/>
          <w:sz w:val="20"/>
          <w:szCs w:val="20"/>
          <w:u w:val="single" w:color="auto"/>
          <w:color w:val="auto"/>
        </w:rPr>
        <w:t>Section 12.1(c)</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collectively, the Administrative Agent, the Arrangers and the syndication agent and the documentation agents listed on the cover page 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12.1(e)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Credit Agreement,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67" w:name="page68"/>
    <w:bookmarkEnd w:id="67"/>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All-In Yield</w:t>
      </w:r>
      <w:r>
        <w:rPr>
          <w:rFonts w:ascii="Arial" w:cs="Arial" w:eastAsia="Arial" w:hAnsi="Arial"/>
          <w:sz w:val="18"/>
          <w:szCs w:val="18"/>
          <w:color w:val="auto"/>
        </w:rPr>
        <w:t>” means, as to any Indebtedness, the effective all-in yield applicable thereto as reasonably determined by the Administrative Agent in consultation with the Borrowers in a manner consistent with generally accepted financial practices, taking into account: (a) interest rate margins, (b)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xml:space="preserve">”) and upfront or similar fees (which shall be deemed to constitute like amounts of OID) payable by the Borrowers or any of their respective Subsidiaries or Affiliates to the lenders under, or holders of, such Indebtedness in the initial primary syndication thereof (with OID and upfront fees being equated to interest based on assumed four-year life to maturity (or, if less, the stated Weighted Average Life to Maturity at the time of its incurrence of the applicable Indebtedness)), and (c) any interest rate floor, but excluding (i) any arrangement, commitment, structuring, agency or underwriting fees that are not paid to or shared with all relevant lenders generally in connection with the commitment or syndication of such Indebtedness, (ii) any ticking, unused line or similar fees or (iii) any other fee that is not paid directly by the Borrowers generally to all relevant lenders ratably in the primary syndication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to the extent that any interest rate specified for such Indebtedness that is subject to a floor (in each case, without giving effect to any such floor on the date on which the All-In Yield is being calculated) is less than such floor, the amount of such difference will be deemed added to the interest rate margin applicable to such Indebtedness for purposes of calculating the All-In Yield and</w:t>
      </w:r>
    </w:p>
    <w:p>
      <w:pPr>
        <w:spacing w:after="0" w:line="7" w:lineRule="exact"/>
        <w:rPr>
          <w:sz w:val="20"/>
          <w:szCs w:val="20"/>
          <w:color w:val="auto"/>
        </w:rPr>
      </w:pPr>
    </w:p>
    <w:p>
      <w:pPr>
        <w:jc w:val="both"/>
        <w:ind w:firstLine="8"/>
        <w:spacing w:after="0" w:line="241" w:lineRule="auto"/>
        <w:tabs>
          <w:tab w:leader="none" w:pos="315" w:val="left"/>
        </w:tabs>
        <w:numPr>
          <w:ilvl w:val="0"/>
          <w:numId w:val="13"/>
        </w:numPr>
        <w:rPr>
          <w:rFonts w:ascii="Arial" w:cs="Arial" w:eastAsia="Arial" w:hAnsi="Arial"/>
          <w:sz w:val="20"/>
          <w:szCs w:val="20"/>
          <w:color w:val="auto"/>
        </w:rPr>
      </w:pPr>
      <w:r>
        <w:rPr>
          <w:rFonts w:ascii="Arial" w:cs="Arial" w:eastAsia="Arial" w:hAnsi="Arial"/>
          <w:sz w:val="20"/>
          <w:szCs w:val="20"/>
          <w:color w:val="auto"/>
        </w:rPr>
        <w:t>to the extent that any interest rate specified for such Indebtedness that is subject to a floor (in each case, without giving effect to any such floor on the date on which the All-In Yield is being calculated) is equal to or greater than such floor, the floor will be disregarded in calculating the All-In Yield.</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Borrowers or their respective Subsidiaries from time to time concerning or relating to bribery or corruption, including, without limitation, the United States Foreign Corrupt Practices Act of 1977, as amended, and the rules and regulations thereunder.</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means any and all laws, statutes, regulations or obligatory government decrees, orders, ordinances or rules applicable to the Borrowers or their respective Subsidiaries or Affiliates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Designee</w:t>
      </w:r>
      <w:r>
        <w:rPr>
          <w:rFonts w:ascii="Arial" w:cs="Arial" w:eastAsia="Arial" w:hAnsi="Arial"/>
          <w:sz w:val="20"/>
          <w:szCs w:val="20"/>
          <w:color w:val="auto"/>
        </w:rPr>
        <w:t>” means any office, branch or Affiliate of a Lender designated thereby from time to time by written notice to the Administrative Agent and Centuri to fund all or any portion of such Lender’s Canadian Revolving Credit Loans and, to the extent applicable, any Incremental Term Loan made to any Canadian Borrower under this Agreement. Notwithstanding the designation by any Lender of an Applicable Designee, the Borrowers and the Administrative Agent shall be permitted to deal solely and directly with such Lender in connection with such Lender’s rights and obligations under this Agreement, and no such designation shall relieve any such Lender of its obligations hereunder.</w:t>
      </w:r>
    </w:p>
    <w:p>
      <w:pPr>
        <w:spacing w:after="0" w:line="19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means:</w:t>
      </w:r>
    </w:p>
    <w:p>
      <w:pPr>
        <w:spacing w:after="0" w:line="21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the Initial Term Loans, (i) for LIBOR Rate Loans, 2.50% per annum and (ii) for Base Rate Loans, 1.50% per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annum;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68" w:name="page69"/>
    <w:bookmarkEnd w:id="68"/>
    <w:p>
      <w:pPr>
        <w:ind w:right="20" w:firstLine="656"/>
        <w:spacing w:after="0" w:line="260" w:lineRule="auto"/>
        <w:tabs>
          <w:tab w:leader="none" w:pos="1284" w:val="left"/>
        </w:tabs>
        <w:numPr>
          <w:ilvl w:val="0"/>
          <w:numId w:val="15"/>
        </w:numPr>
        <w:rPr>
          <w:rFonts w:ascii="Arial" w:cs="Arial" w:eastAsia="Arial" w:hAnsi="Arial"/>
          <w:sz w:val="20"/>
          <w:szCs w:val="20"/>
          <w:color w:val="auto"/>
        </w:rPr>
      </w:pPr>
      <w:r>
        <w:rPr>
          <w:rFonts w:ascii="Arial" w:cs="Arial" w:eastAsia="Arial" w:hAnsi="Arial"/>
          <w:sz w:val="20"/>
          <w:szCs w:val="20"/>
          <w:color w:val="auto"/>
        </w:rPr>
        <w:t>with respect to the Revolving Credit Facility, the corresponding percentages per annum as set forth below based on the Consolidated Net Leverage Ratio:</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414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Consolidated Net Leverage Ratio</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LIBOR Rate and</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Base Rate and Canadian</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41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CDOR Rate +</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Rate +</w:t>
            </w:r>
          </w:p>
        </w:tc>
        <w:tc>
          <w:tcPr>
            <w:tcW w:w="196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37"/>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Less than or equal to 2.00 to 1.00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0.150%</w:t>
            </w: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Greater than 2.00 to 1.00, but less than or equal to 2.50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0.175%</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1.00</w:t>
            </w:r>
          </w:p>
        </w:tc>
        <w:tc>
          <w:tcPr>
            <w:tcW w:w="17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Greater than 2.50 to 1.00, but less than or equal to 3.00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0.200%</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1.00</w:t>
            </w:r>
          </w:p>
        </w:tc>
        <w:tc>
          <w:tcPr>
            <w:tcW w:w="17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Greater than 3.00 to 1.00, but less than or equal to 3.50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0.250%</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1.00</w:t>
            </w:r>
          </w:p>
        </w:tc>
        <w:tc>
          <w:tcPr>
            <w:tcW w:w="17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V</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Greater than 3.50 to 1.00, but less than or equal to 4.00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0.300%</w:t>
            </w: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1.00</w:t>
            </w:r>
          </w:p>
        </w:tc>
        <w:tc>
          <w:tcPr>
            <w:tcW w:w="17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37"/>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VI</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Greater than 4.00 to 1.00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0.350%</w:t>
            </w: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 xml:space="preserve">The Applicable Margin shall be determined and adjusted quarterly on the date five (5) Business Days after the day on which Centuri provides an Officer’s Compliance Certificate pursuant to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for the most recently ended fiscal quarter of Centuri (each such date, a “</w:t>
      </w:r>
      <w:r>
        <w:rPr>
          <w:rFonts w:ascii="Arial" w:cs="Arial" w:eastAsia="Arial" w:hAnsi="Arial"/>
          <w:sz w:val="19"/>
          <w:szCs w:val="19"/>
          <w:u w:val="single" w:color="auto"/>
          <w:color w:val="auto"/>
        </w:rPr>
        <w:t>Calculation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Applicable Margin shall be based on the Pricing Level VI until the first Calculation Date occurring in connection with the first full fiscal quarter to end after the Closing Date and, thereafter the Pricing Level shall be determined by reference to the Consolidated Net Leverage Ratio as of the last day of the most recently ended fiscal quarter of Centuri preceding the applicable Calculation Date, and (b) if Centuri fails to provide an Officer’s Compliance Certificate when due as required by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for the most recently ended fiscal quarter of Centuri preceding the applicable Calculation Date, the Applicable Margin from the date on which such Officer’s Compliance Certificate was required to have been delivered shall be based on Pricing Level VI until such time as such Officer’s Compliance Certificate is delivered, at which time the Pricing Level shall be determined by reference to the Consolidated Net Leverage Ratio as of the last day of the most recently ended fiscal quarter of Centuri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84"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auto"/>
        </w:rPr>
        <w:t xml:space="preserve">Notwithstanding the foregoing, in the event that any financial statement or Officer’s Compliance Certificate delivered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8.2</w:t>
      </w:r>
      <w:r>
        <w:rPr>
          <w:rFonts w:ascii="Arial" w:cs="Arial" w:eastAsia="Arial" w:hAnsi="Arial"/>
          <w:sz w:val="19"/>
          <w:szCs w:val="19"/>
          <w:color w:val="auto"/>
        </w:rPr>
        <w:t xml:space="preserve"> is shown to be inaccurate (regardless of whether (i) this Agreement is in effect, (ii) any Commitments are in effect, or (iii) any Extension of Credit is outstanding when such inaccuracy is discovered or such financial statement or Officer’s Compliance Certificate was delivered), and such inaccuracy, if corrected, would have led to the application of a higher Applicable Margin for any period (an “</w:t>
      </w:r>
      <w:r>
        <w:rPr>
          <w:rFonts w:ascii="Arial" w:cs="Arial" w:eastAsia="Arial" w:hAnsi="Arial"/>
          <w:sz w:val="19"/>
          <w:szCs w:val="19"/>
          <w:u w:val="single" w:color="auto"/>
          <w:color w:val="auto"/>
        </w:rPr>
        <w:t>Applicable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than the Applicable Margin applied for such Applicable Period, then (A) Centuri shall immediately deliver to the Administrative Agent a corrected Officer’s Compliance Certificate for such Applicable Period, (B) the Applicable Margin for such Applicable Period shall be determined as if the Consolidated Net Leverage Ratio in the corrected Officer’s Compliance Certificate were applicable for such Applicable Period, and (C) the Borrowers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9"/>
          <w:szCs w:val="19"/>
          <w:u w:val="single" w:color="auto"/>
          <w:color w:val="auto"/>
        </w:rPr>
        <w:t>Section 5.4</w:t>
      </w:r>
      <w:r>
        <w:rPr>
          <w:rFonts w:ascii="Arial" w:cs="Arial" w:eastAsia="Arial" w:hAnsi="Arial"/>
          <w:sz w:val="19"/>
          <w:szCs w:val="19"/>
          <w:color w:val="auto"/>
        </w:rPr>
        <w:t>. Nothing in this paragraph shall limit the rights of the Administrative Agent and Lenders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60"/>
          </w:cols>
          <w:pgMar w:left="320" w:top="1419" w:right="319" w:bottom="1440" w:gutter="0" w:footer="0" w:header="0"/>
        </w:sectPr>
      </w:pPr>
    </w:p>
    <w:bookmarkStart w:id="69" w:name="page70"/>
    <w:bookmarkEnd w:id="69"/>
    <w:p>
      <w:pPr>
        <w:jc w:val="both"/>
        <w:ind w:right="20"/>
        <w:spacing w:after="0" w:line="287" w:lineRule="auto"/>
        <w:rPr>
          <w:sz w:val="20"/>
          <w:szCs w:val="20"/>
          <w:color w:val="auto"/>
        </w:rPr>
      </w:pPr>
      <w:r>
        <w:rPr>
          <w:rFonts w:ascii="Arial" w:cs="Arial" w:eastAsia="Arial" w:hAnsi="Arial"/>
          <w:sz w:val="19"/>
          <w:szCs w:val="19"/>
          <w:u w:val="single" w:color="auto"/>
          <w:color w:val="auto"/>
        </w:rPr>
        <w:t>Sections 5.1(b)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10.2</w:t>
      </w:r>
      <w:r>
        <w:rPr>
          <w:rFonts w:ascii="Arial" w:cs="Arial" w:eastAsia="Arial" w:hAnsi="Arial"/>
          <w:sz w:val="19"/>
          <w:szCs w:val="19"/>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Wells Fargo Securities, LLC and BofA Securities, Inc., in their respective capacities as joint lead arrangers and joint bookrunners.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Disposition</w:t>
      </w:r>
      <w:r>
        <w:rPr>
          <w:rFonts w:ascii="Arial" w:cs="Arial" w:eastAsia="Arial" w:hAnsi="Arial"/>
          <w:sz w:val="19"/>
          <w:szCs w:val="19"/>
          <w:color w:val="auto"/>
        </w:rPr>
        <w:t>” means the disposition of any Property (including, without limitation, any Equity Interests owned thereby) by any Credit Party or any Subsidiary thereof, whether by sale, lease, transfer, statutory division or otherwise, and any issuance of Equity Interests by any Subsidiary of any Credit Party to any Person that is not a Credit Party or any Subsidiary thereof.</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12.9</w:t>
      </w:r>
      <w:r>
        <w:rPr>
          <w:rFonts w:ascii="Arial" w:cs="Arial" w:eastAsia="Arial" w:hAnsi="Arial"/>
          <w:sz w:val="20"/>
          <w:szCs w:val="20"/>
          <w:color w:val="auto"/>
        </w:rPr>
        <w:t xml:space="preserve">), and accepted by the Administrative Agent, in substantially the form attached as </w:t>
      </w:r>
      <w:r>
        <w:rPr>
          <w:rFonts w:ascii="Arial" w:cs="Arial" w:eastAsia="Arial" w:hAnsi="Arial"/>
          <w:sz w:val="20"/>
          <w:szCs w:val="20"/>
          <w:b w:val="1"/>
          <w:bCs w:val="1"/>
          <w:i w:val="1"/>
          <w:iCs w:val="1"/>
          <w:color w:val="auto"/>
        </w:rPr>
        <w:t>Exhibit G</w:t>
      </w:r>
      <w:r>
        <w:rPr>
          <w:rFonts w:ascii="Arial" w:cs="Arial" w:eastAsia="Arial" w:hAnsi="Arial"/>
          <w:sz w:val="20"/>
          <w:szCs w:val="20"/>
          <w:color w:val="auto"/>
        </w:rPr>
        <w:t xml:space="preserve"> or any other form approved by the Administrative Agent.</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of determination, (a) in respect of any Capital Lease Obligation of any Person, the capitalized amount thereof that would appear on a balance sheet of such Person prepared as of such date in accordance with GAAP,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 and (c) in respect of any Permitted Receivables Transaction, the aggregate cash amount paid by the lenders and/or purchasers under such Permitted Receivables Transaction in connection with their purchase of, or the making of loans secured by, Receivables Assets or interests therein, as the same may be reduced from time to time by collections with respect to such Receivables Assets or otherwise in accordance with the terms of the Permitted Receivables Transaction Documents since the Closing Date.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on any date of determination, an amount equal to:</w:t>
      </w:r>
    </w:p>
    <w:p>
      <w:pPr>
        <w:spacing w:after="0" w:line="216" w:lineRule="exact"/>
        <w:rPr>
          <w:sz w:val="20"/>
          <w:szCs w:val="20"/>
          <w:color w:val="auto"/>
        </w:rPr>
      </w:pPr>
    </w:p>
    <w:p>
      <w:pPr>
        <w:jc w:val="both"/>
        <w:ind w:firstLine="656"/>
        <w:spacing w:after="0" w:line="246" w:lineRule="auto"/>
        <w:tabs>
          <w:tab w:leader="none" w:pos="1286"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an amount, not less than zero, equal to 50% of Adjusted Consolidated Net Income for the period (taken as one accounting period) from the fiscal quarter following September 30, 2020 to the end of the fiscal quarter most recently ended in respect of which an Officer’s Compliance Certificate has been delivered as required hereunder (or, in the case such Adjusted Consolidated Net Income shall be a negative number, 100% of such negative number); </w:t>
      </w:r>
      <w:r>
        <w:rPr>
          <w:rFonts w:ascii="Arial" w:cs="Arial" w:eastAsia="Arial" w:hAnsi="Arial"/>
          <w:sz w:val="20"/>
          <w:szCs w:val="20"/>
          <w:u w:val="single" w:color="auto"/>
          <w:color w:val="auto"/>
        </w:rPr>
        <w:t>plus</w:t>
      </w:r>
    </w:p>
    <w:p>
      <w:pPr>
        <w:spacing w:after="0" w:line="191" w:lineRule="exact"/>
        <w:rPr>
          <w:rFonts w:ascii="Arial" w:cs="Arial" w:eastAsia="Arial" w:hAnsi="Arial"/>
          <w:sz w:val="20"/>
          <w:szCs w:val="20"/>
          <w:color w:val="auto"/>
        </w:rPr>
      </w:pPr>
    </w:p>
    <w:p>
      <w:pPr>
        <w:jc w:val="both"/>
        <w:ind w:firstLine="656"/>
        <w:spacing w:after="0" w:line="259" w:lineRule="auto"/>
        <w:tabs>
          <w:tab w:leader="none" w:pos="1284"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the net cash proceeds received by Centuri after the Closing Date as a result of any issuance of Qualified Equity Interests of Centuri to Southwest Gas and cash contributions received by Centuri from Southwest Gas as a capital contribution as common Equity Interests, in each case, during the period from the Closing Date through and including such date, other than the proceeds of issuances of Qualified Equity Interests or capital contributions to the extent specifically and contemporaneously utilized in connection with other transactions permitted pursuant to this Agreement (including the Drum Acquisition, but excluding any Investments made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9.3(i)</w:t>
      </w:r>
      <w:r>
        <w:rPr>
          <w:rFonts w:ascii="Arial" w:cs="Arial" w:eastAsia="Arial" w:hAnsi="Arial"/>
          <w:sz w:val="19"/>
          <w:szCs w:val="19"/>
          <w:color w:val="auto"/>
        </w:rPr>
        <w:t xml:space="preserve"> that are deducted pursuant to clause (d) below); </w:t>
      </w: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0" w:name="page71"/>
    <w:bookmarkEnd w:id="70"/>
    <w:p>
      <w:pPr>
        <w:jc w:val="both"/>
        <w:ind w:firstLine="656"/>
        <w:spacing w:after="0" w:line="244" w:lineRule="auto"/>
        <w:tabs>
          <w:tab w:leader="none" w:pos="1286"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the net cash proceeds received by Centuri or any Subsidiary during the period from the Closing Date through and including such date in connection with (i) cash returns, cash profits, cash distributions and similar cash amounts, including cash principal repayments of loans, in each case received in respect of any Investment originally made using the Available Amount after the Closing Date and (ii) sales of Investments that were originally made using the Available Amount (in each case, in an amount not to exceed the original amount of such Investment); </w:t>
      </w:r>
      <w:r>
        <w:rPr>
          <w:rFonts w:ascii="Arial" w:cs="Arial" w:eastAsia="Arial" w:hAnsi="Arial"/>
          <w:sz w:val="20"/>
          <w:szCs w:val="20"/>
          <w:u w:val="single" w:color="auto"/>
          <w:color w:val="auto"/>
        </w:rPr>
        <w:t>minus</w:t>
      </w:r>
    </w:p>
    <w:p>
      <w:pPr>
        <w:spacing w:after="0" w:line="194" w:lineRule="exact"/>
        <w:rPr>
          <w:rFonts w:ascii="Arial" w:cs="Arial" w:eastAsia="Arial" w:hAnsi="Arial"/>
          <w:sz w:val="20"/>
          <w:szCs w:val="20"/>
          <w:color w:val="auto"/>
        </w:rPr>
      </w:pPr>
    </w:p>
    <w:p>
      <w:pPr>
        <w:ind w:firstLine="656"/>
        <w:spacing w:after="0" w:line="260" w:lineRule="auto"/>
        <w:tabs>
          <w:tab w:leader="none" w:pos="1284"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the amount of payments made by Centuri or any of its Subsidiaries after the Closing Date to acquire the remaining Equity Interests of Linetec pursuant to </w:t>
      </w:r>
      <w:r>
        <w:rPr>
          <w:rFonts w:ascii="Arial" w:cs="Arial" w:eastAsia="Arial" w:hAnsi="Arial"/>
          <w:sz w:val="20"/>
          <w:szCs w:val="20"/>
          <w:u w:val="single" w:color="auto"/>
          <w:color w:val="auto"/>
        </w:rPr>
        <w:t>Section 9.3(i)</w:t>
      </w:r>
      <w:r>
        <w:rPr>
          <w:rFonts w:ascii="Arial" w:cs="Arial" w:eastAsia="Arial" w:hAnsi="Arial"/>
          <w:sz w:val="20"/>
          <w:szCs w:val="20"/>
          <w:color w:val="auto"/>
        </w:rPr>
        <w:t xml:space="preserve">; </w:t>
      </w:r>
      <w:r>
        <w:rPr>
          <w:rFonts w:ascii="Arial" w:cs="Arial" w:eastAsia="Arial" w:hAnsi="Arial"/>
          <w:sz w:val="20"/>
          <w:szCs w:val="20"/>
          <w:u w:val="single" w:color="auto"/>
          <w:color w:val="auto"/>
        </w:rPr>
        <w:t>minus</w:t>
      </w:r>
    </w:p>
    <w:p>
      <w:pPr>
        <w:spacing w:after="0" w:line="176" w:lineRule="exact"/>
        <w:rPr>
          <w:rFonts w:ascii="Arial" w:cs="Arial" w:eastAsia="Arial" w:hAnsi="Arial"/>
          <w:sz w:val="20"/>
          <w:szCs w:val="20"/>
          <w:color w:val="auto"/>
        </w:rPr>
      </w:pPr>
    </w:p>
    <w:p>
      <w:pPr>
        <w:ind w:firstLine="656"/>
        <w:spacing w:after="0" w:line="260" w:lineRule="auto"/>
        <w:tabs>
          <w:tab w:leader="none" w:pos="1286"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the aggregate amount of all usage of the Available Amount pursuant to </w:t>
      </w:r>
      <w:r>
        <w:rPr>
          <w:rFonts w:ascii="Arial" w:cs="Arial" w:eastAsia="Arial" w:hAnsi="Arial"/>
          <w:sz w:val="20"/>
          <w:szCs w:val="20"/>
          <w:u w:val="single" w:color="auto"/>
          <w:color w:val="auto"/>
        </w:rPr>
        <w:t>Sections 9.3(j)</w:t>
      </w:r>
      <w:r>
        <w:rPr>
          <w:rFonts w:ascii="Arial" w:cs="Arial" w:eastAsia="Arial" w:hAnsi="Arial"/>
          <w:sz w:val="20"/>
          <w:szCs w:val="20"/>
          <w:color w:val="auto"/>
        </w:rPr>
        <w:t xml:space="preserve">, </w:t>
      </w:r>
      <w:r>
        <w:rPr>
          <w:rFonts w:ascii="Arial" w:cs="Arial" w:eastAsia="Arial" w:hAnsi="Arial"/>
          <w:sz w:val="20"/>
          <w:szCs w:val="20"/>
          <w:u w:val="single" w:color="auto"/>
          <w:color w:val="auto"/>
        </w:rPr>
        <w:t>9.6(d)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9.9(c)</w:t>
      </w:r>
      <w:r>
        <w:rPr>
          <w:rFonts w:ascii="Arial" w:cs="Arial" w:eastAsia="Arial" w:hAnsi="Arial"/>
          <w:sz w:val="20"/>
          <w:szCs w:val="20"/>
          <w:color w:val="auto"/>
        </w:rPr>
        <w:t xml:space="preserve"> on and after the Closing Date through and including the date of determination.</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Tenor</w:t>
      </w:r>
      <w:r>
        <w:rPr>
          <w:rFonts w:ascii="Arial" w:cs="Arial" w:eastAsia="Arial" w:hAnsi="Arial"/>
          <w:sz w:val="20"/>
          <w:szCs w:val="20"/>
          <w:color w:val="auto"/>
        </w:rPr>
        <w:t xml:space="preserve">” means, as of any date of determination and with respect to the then-current Benchmark, as applicable, (a) if the then-current Benchmark is a term rate, any tenor for such Benchmark or (b) otherwise, any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20"/>
          <w:szCs w:val="20"/>
          <w:u w:val="single" w:color="auto"/>
          <w:color w:val="auto"/>
        </w:rPr>
        <w:t>Section 5.8(c)(iv)</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means, at any time, the highest of (a) the Prime Rate, (b) the Federal Funds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0.50% and (c) the LIBOR Rate for an Interest Period of one month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 each change in the Base Rate shall take effect simultaneously with the corresponding change or changes in the Prime Rate, the Federal Funds Rate or the LIBOR Rate.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xml:space="preserve">” means any Loan bearing interest at a rate based upon the Base Rate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USD LIBOR;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a Term SOFR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5.8(c)(i)</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w:t>
      </w:r>
    </w:p>
    <w:p>
      <w:pPr>
        <w:spacing w:after="0" w:line="216" w:lineRule="exact"/>
        <w:rPr>
          <w:sz w:val="20"/>
          <w:szCs w:val="20"/>
          <w:color w:val="auto"/>
        </w:rPr>
      </w:pPr>
    </w:p>
    <w:p>
      <w:pPr>
        <w:ind w:firstLine="656"/>
        <w:spacing w:after="0" w:line="260" w:lineRule="auto"/>
        <w:tabs>
          <w:tab w:leader="none" w:pos="1286" w:val="left"/>
        </w:tabs>
        <w:numPr>
          <w:ilvl w:val="0"/>
          <w:numId w:val="18"/>
        </w:numPr>
        <w:rPr>
          <w:rFonts w:ascii="Arial" w:cs="Arial" w:eastAsia="Arial" w:hAnsi="Arial"/>
          <w:sz w:val="20"/>
          <w:szCs w:val="20"/>
          <w:color w:val="auto"/>
        </w:rPr>
      </w:pPr>
      <w:r>
        <w:rPr>
          <w:rFonts w:ascii="Arial" w:cs="Arial" w:eastAsia="Arial" w:hAnsi="Arial"/>
          <w:sz w:val="20"/>
          <w:szCs w:val="20"/>
          <w:color w:val="auto"/>
        </w:rPr>
        <w:t>with respect to any Benchmark Transition Event or Early Opt-in Election, the first alternative set forth in the order below that can be determined by the Administrative Agent for the applicable Benchmark Replacement Date:</w:t>
      </w:r>
    </w:p>
    <w:p>
      <w:pPr>
        <w:spacing w:after="0" w:line="176" w:lineRule="exact"/>
        <w:rPr>
          <w:rFonts w:ascii="Arial" w:cs="Arial" w:eastAsia="Arial" w:hAnsi="Arial"/>
          <w:sz w:val="20"/>
          <w:szCs w:val="20"/>
          <w:color w:val="auto"/>
        </w:rPr>
      </w:pPr>
    </w:p>
    <w:p>
      <w:pPr>
        <w:jc w:val="both"/>
        <w:ind w:left="660" w:firstLine="644"/>
        <w:spacing w:after="0" w:line="276" w:lineRule="auto"/>
        <w:tabs>
          <w:tab w:leader="none" w:pos="19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sum of: (A) Term SOFR and (B) the related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that, if Centuri has provided a notification to the Administrative Agent in writing on or prior to such Benchmark Replacement Date that a Borrower has a Hedge Agreement in place with respect to any of the Loans as of the date of such notice (which such notification the Administrative Agent shall be entitled to rely upon and shall have no duty or obligation to ascertain the correctness or completeness of), then the Administrative Agent, in its sole discretion, may decide not to determine the Benchmark Replacement pursuant to this clause (a)(1) for such Benchmark Transition Event or Early Opt-in Election, as applicable;</w:t>
      </w:r>
    </w:p>
    <w:p>
      <w:pPr>
        <w:spacing w:after="0" w:line="164" w:lineRule="exact"/>
        <w:rPr>
          <w:rFonts w:ascii="Arial" w:cs="Arial" w:eastAsia="Arial" w:hAnsi="Arial"/>
          <w:sz w:val="18"/>
          <w:szCs w:val="18"/>
          <w:color w:val="auto"/>
        </w:rPr>
      </w:pPr>
    </w:p>
    <w:p>
      <w:pPr>
        <w:ind w:left="1940" w:hanging="636"/>
        <w:spacing w:after="0"/>
        <w:tabs>
          <w:tab w:leader="none" w:pos="19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215" w:lineRule="exact"/>
        <w:rPr>
          <w:rFonts w:ascii="Arial" w:cs="Arial" w:eastAsia="Arial" w:hAnsi="Arial"/>
          <w:sz w:val="20"/>
          <w:szCs w:val="20"/>
          <w:color w:val="auto"/>
        </w:rPr>
      </w:pPr>
    </w:p>
    <w:p>
      <w:pPr>
        <w:jc w:val="both"/>
        <w:ind w:left="660" w:firstLine="644"/>
        <w:spacing w:after="0" w:line="243" w:lineRule="auto"/>
        <w:tabs>
          <w:tab w:leader="none" w:pos="1944" w:val="left"/>
        </w:tabs>
        <w:numPr>
          <w:ilvl w:val="1"/>
          <w:numId w:val="18"/>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Administrative Agent and Centuri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or</w:t>
      </w:r>
    </w:p>
    <w:p>
      <w:pPr>
        <w:spacing w:after="0" w:line="195"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any Term SOFR Transition Event, the sum of (i) Term SOFR and (ii) the related Benchmark Replacement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Adjustment;</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 the case of clause (a)(1), if the Administrative Agent decides that Term SOFR is not administratively feasible for the Administrative Agent, then Term SOFR will be deemed unable to be determined for purposes of this definition and (ii) in the case of clause (a)(1) or clause (b) of this definition, the applicable Unadjusted Benchmark Replacement is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similar provisions. If the Benchmark Replacement as determined pursuant to clause (a)(1), (a)(2) or (a)(3) or clause (b) of this definition would be less than the Floor, the Benchmark Replacement will be deemed to be the Floor for the purposes of this Agreement and the other Loan Documents.</w:t>
      </w:r>
    </w:p>
    <w:p>
      <w:pPr>
        <w:spacing w:after="0" w:line="197"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85" w:lineRule="exact"/>
        <w:rPr>
          <w:sz w:val="20"/>
          <w:szCs w:val="20"/>
          <w:color w:val="auto"/>
        </w:rPr>
      </w:pPr>
    </w:p>
    <w:p>
      <w:pPr>
        <w:jc w:val="both"/>
        <w:ind w:firstLine="656"/>
        <w:spacing w:after="0" w:line="269" w:lineRule="auto"/>
        <w:tabs>
          <w:tab w:leader="none" w:pos="1284" w:val="left"/>
        </w:tabs>
        <w:numPr>
          <w:ilvl w:val="0"/>
          <w:numId w:val="19"/>
        </w:numPr>
        <w:rPr>
          <w:rFonts w:ascii="Arial" w:cs="Arial" w:eastAsia="Arial" w:hAnsi="Arial"/>
          <w:sz w:val="19"/>
          <w:szCs w:val="19"/>
          <w:color w:val="auto"/>
        </w:rPr>
      </w:pPr>
      <w:r>
        <w:rPr>
          <w:rFonts w:ascii="Arial" w:cs="Arial" w:eastAsia="Arial" w:hAnsi="Arial"/>
          <w:sz w:val="19"/>
          <w:szCs w:val="19"/>
          <w:color w:val="auto"/>
        </w:rPr>
        <w:t>for purposes of clauses (a)(1) and (b) of the definition of “Benchmark Replacement,” an amount equal to (A) 0.11448% (11.448 basis points) for an Available Tenor of one-month’s duration, (B) 0.26161% (26.161 basis points) for an Available Tenor of three-months’ duration and (C) 0.42826% (42.826 basis points) for an Available Tenor of six-months’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2" w:name="page73"/>
    <w:bookmarkEnd w:id="72"/>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clause (a)(2) of the definition of “Benchmark Replacement,” an amount equal to 0.11448% (11.448 basis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points); and</w:t>
      </w:r>
    </w:p>
    <w:p>
      <w:pPr>
        <w:spacing w:after="0" w:line="199" w:lineRule="exact"/>
        <w:rPr>
          <w:rFonts w:ascii="Arial" w:cs="Arial" w:eastAsia="Arial" w:hAnsi="Arial"/>
          <w:sz w:val="18"/>
          <w:szCs w:val="18"/>
          <w:color w:val="auto"/>
        </w:rPr>
      </w:pPr>
    </w:p>
    <w:p>
      <w:pPr>
        <w:jc w:val="both"/>
        <w:ind w:firstLine="656"/>
        <w:spacing w:after="0" w:line="242" w:lineRule="auto"/>
        <w:tabs>
          <w:tab w:leader="none" w:pos="1284" w:val="left"/>
        </w:tabs>
        <w:numPr>
          <w:ilvl w:val="0"/>
          <w:numId w:val="20"/>
        </w:numPr>
        <w:rPr>
          <w:rFonts w:ascii="Arial" w:cs="Arial" w:eastAsia="Arial" w:hAnsi="Arial"/>
          <w:sz w:val="20"/>
          <w:szCs w:val="20"/>
          <w:color w:val="auto"/>
        </w:rPr>
      </w:pPr>
      <w:r>
        <w:rPr>
          <w:rFonts w:ascii="Arial" w:cs="Arial" w:eastAsia="Arial" w:hAnsi="Arial"/>
          <w:sz w:val="20"/>
          <w:szCs w:val="20"/>
          <w:color w:val="auto"/>
        </w:rPr>
        <w:t>for purposes of clause (a)(3) of the definition of “Benchmark Replacement,” the spread adjustment, or method for calculating or determining such spread adjustment, (which may be a positive or negative value or zero) that has been selected by the Administrative Agent and Centuri giving due consideration to (i) any selection or recommendation of a spread adjustment, or method for calculating or determining such spread adjustment, for the replacement of such Available Tenor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credit facilities.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Centuri)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Centuri) is reasonably necessary in connection with the administration of this Agreement and the other Loan Documents).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239" w:lineRule="exact"/>
        <w:rPr>
          <w:sz w:val="20"/>
          <w:szCs w:val="20"/>
          <w:color w:val="auto"/>
        </w:rPr>
      </w:pPr>
    </w:p>
    <w:p>
      <w:pPr>
        <w:jc w:val="both"/>
        <w:ind w:firstLine="656"/>
        <w:spacing w:after="0" w:line="246" w:lineRule="auto"/>
        <w:tabs>
          <w:tab w:leader="none" w:pos="1286"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191" w:lineRule="exact"/>
        <w:rPr>
          <w:rFonts w:ascii="Arial" w:cs="Arial" w:eastAsia="Arial" w:hAnsi="Arial"/>
          <w:sz w:val="20"/>
          <w:szCs w:val="20"/>
          <w:color w:val="auto"/>
        </w:rPr>
      </w:pPr>
    </w:p>
    <w:p>
      <w:pPr>
        <w:ind w:firstLine="656"/>
        <w:spacing w:after="0" w:line="260"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the case of clause (c) of the definition of “Benchmark Transition Event,” the date of the public statement or publication of information referenced therein;</w:t>
      </w:r>
    </w:p>
    <w:p>
      <w:pPr>
        <w:spacing w:after="0" w:line="176" w:lineRule="exact"/>
        <w:rPr>
          <w:rFonts w:ascii="Arial" w:cs="Arial" w:eastAsia="Arial" w:hAnsi="Arial"/>
          <w:sz w:val="20"/>
          <w:szCs w:val="20"/>
          <w:color w:val="auto"/>
        </w:rPr>
      </w:pPr>
    </w:p>
    <w:p>
      <w:pPr>
        <w:ind w:right="20" w:firstLine="656"/>
        <w:spacing w:after="0" w:line="260" w:lineRule="auto"/>
        <w:tabs>
          <w:tab w:leader="none" w:pos="1286"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in the case of a Term SOFR Transition Event, the date that is thirty (30) days after the Administrative Agent has provided the Term SOFR Notice to the Lenders and Centuri pursuant to </w:t>
      </w:r>
      <w:r>
        <w:rPr>
          <w:rFonts w:ascii="Arial" w:cs="Arial" w:eastAsia="Arial" w:hAnsi="Arial"/>
          <w:sz w:val="20"/>
          <w:szCs w:val="20"/>
          <w:u w:val="single" w:color="auto"/>
          <w:color w:val="auto"/>
        </w:rPr>
        <w:t>Section 5.8(c)(i)(B)</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jc w:val="both"/>
        <w:ind w:firstLine="656"/>
        <w:spacing w:after="0" w:line="217"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w:t>
      </w:r>
      <w:r>
        <w:rPr>
          <w:rFonts w:ascii="Arial" w:cs="Arial" w:eastAsia="Arial" w:hAnsi="Arial"/>
          <w:sz w:val="25"/>
          <w:szCs w:val="25"/>
          <w:color w:val="auto"/>
          <w:vertAlign w:val="superscript"/>
        </w:rPr>
        <w:t>th</w:t>
      </w:r>
      <w:r>
        <w:rPr>
          <w:rFonts w:ascii="Arial" w:cs="Arial" w:eastAsia="Arial" w:hAnsi="Arial"/>
          <w:sz w:val="20"/>
          <w:szCs w:val="20"/>
          <w:color w:val="auto"/>
        </w:rPr>
        <w:t>) Business Day after the date notice of such Early Opt-in Election is provided to the Lenders and Centuri, so long as the Administrative Agent has not received, by 5:00 p.m. (New York City time) on the fifth (5</w:t>
      </w:r>
      <w:r>
        <w:rPr>
          <w:rFonts w:ascii="Arial" w:cs="Arial" w:eastAsia="Arial" w:hAnsi="Arial"/>
          <w:sz w:val="25"/>
          <w:szCs w:val="25"/>
          <w:color w:val="auto"/>
          <w:vertAlign w:val="superscript"/>
        </w:rPr>
        <w:t>th</w:t>
      </w:r>
      <w:r>
        <w:rPr>
          <w:rFonts w:ascii="Arial" w:cs="Arial" w:eastAsia="Arial" w:hAnsi="Arial"/>
          <w:sz w:val="20"/>
          <w:szCs w:val="20"/>
          <w:color w:val="auto"/>
        </w:rPr>
        <w:t>) Business Day after the date notice of such Early Opt-in Election is provided to the Lenders, written notice of objection to such Early Opt-in Election from Lenders comprising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 then-current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00" w:lineRule="exact"/>
        <w:rPr>
          <w:sz w:val="20"/>
          <w:szCs w:val="20"/>
          <w:color w:val="auto"/>
        </w:rPr>
      </w:pPr>
    </w:p>
    <w:p>
      <w:pPr>
        <w:jc w:val="both"/>
        <w:ind w:firstLine="656"/>
        <w:spacing w:after="0" w:line="244" w:lineRule="auto"/>
        <w:tabs>
          <w:tab w:leader="none" w:pos="1286"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94" w:lineRule="exact"/>
        <w:rPr>
          <w:rFonts w:ascii="Arial" w:cs="Arial" w:eastAsia="Arial" w:hAnsi="Arial"/>
          <w:sz w:val="20"/>
          <w:szCs w:val="20"/>
          <w:color w:val="auto"/>
        </w:rPr>
      </w:pPr>
    </w:p>
    <w:p>
      <w:pPr>
        <w:jc w:val="both"/>
        <w:ind w:firstLine="656"/>
        <w:spacing w:after="0" w:line="257" w:lineRule="auto"/>
        <w:tabs>
          <w:tab w:leader="none" w:pos="1284"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as of a specific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286"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means the period (if any) (x) beginning at the time that a Benchmark Replacement Date pursuant to clauses (a) or (b) of that definition has occurred if, at such time, no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5.8(c)</w:t>
      </w:r>
      <w:r>
        <w:rPr>
          <w:rFonts w:ascii="Arial" w:cs="Arial" w:eastAsia="Arial" w:hAnsi="Arial"/>
          <w:sz w:val="20"/>
          <w:szCs w:val="20"/>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5.8(c)</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any certification regarding beneficial ownership as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4" w:name="page75"/>
    <w:bookmarkEnd w:id="74"/>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means, collectively, the US Borrowers and the Canadian Borrowers.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w:t>
      </w:r>
    </w:p>
    <w:p>
      <w:pPr>
        <w:spacing w:after="0" w:line="216" w:lineRule="exact"/>
        <w:rPr>
          <w:sz w:val="20"/>
          <w:szCs w:val="20"/>
          <w:color w:val="auto"/>
        </w:rPr>
      </w:pPr>
    </w:p>
    <w:p>
      <w:pPr>
        <w:ind w:firstLine="656"/>
        <w:spacing w:after="0" w:line="287" w:lineRule="auto"/>
        <w:tabs>
          <w:tab w:leader="none" w:pos="1156"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all purposes other than as set forth in clause (b) below, any day (other than a Saturday, Sunday or legal holiday) on which banks in Charlotte, North Carolina and New York, New York, are open for the conduct of their commercial banking business;</w:t>
      </w:r>
    </w:p>
    <w:p>
      <w:pPr>
        <w:spacing w:after="0" w:line="152" w:lineRule="exact"/>
        <w:rPr>
          <w:rFonts w:ascii="Arial" w:cs="Arial" w:eastAsia="Arial" w:hAnsi="Arial"/>
          <w:sz w:val="19"/>
          <w:szCs w:val="19"/>
          <w:color w:val="auto"/>
        </w:rPr>
      </w:pPr>
    </w:p>
    <w:p>
      <w:pPr>
        <w:jc w:val="both"/>
        <w:ind w:firstLine="656"/>
        <w:spacing w:after="0" w:line="250" w:lineRule="auto"/>
        <w:tabs>
          <w:tab w:leader="none" w:pos="1163" w:val="left"/>
        </w:tabs>
        <w:numPr>
          <w:ilvl w:val="0"/>
          <w:numId w:val="23"/>
        </w:numPr>
        <w:rPr>
          <w:rFonts w:ascii="Arial" w:cs="Arial" w:eastAsia="Arial" w:hAnsi="Arial"/>
          <w:sz w:val="20"/>
          <w:szCs w:val="20"/>
          <w:color w:val="auto"/>
        </w:rPr>
      </w:pPr>
      <w:r>
        <w:rPr>
          <w:rFonts w:ascii="Arial" w:cs="Arial" w:eastAsia="Arial" w:hAnsi="Arial"/>
          <w:sz w:val="20"/>
          <w:szCs w:val="20"/>
          <w:color w:val="auto"/>
        </w:rPr>
        <w:t>with respect to all notices and determinations in connection with, and payments of principal and interest on, any LIBOR Rate Loan, or any Base Rate Loan as to which the interest rate is determined by reference to LIBOR, any day that is a Business Day described in clause (a) and that is also a London Banking Day; and</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156" w:val="left"/>
        </w:tabs>
        <w:numPr>
          <w:ilvl w:val="0"/>
          <w:numId w:val="23"/>
        </w:numPr>
        <w:rPr>
          <w:rFonts w:ascii="Arial" w:cs="Arial" w:eastAsia="Arial" w:hAnsi="Arial"/>
          <w:sz w:val="20"/>
          <w:szCs w:val="20"/>
          <w:color w:val="auto"/>
        </w:rPr>
      </w:pPr>
      <w:r>
        <w:rPr>
          <w:rFonts w:ascii="Arial" w:cs="Arial" w:eastAsia="Arial" w:hAnsi="Arial"/>
          <w:sz w:val="20"/>
          <w:szCs w:val="20"/>
          <w:color w:val="auto"/>
        </w:rPr>
        <w:t>with respect to all notices and determinations in connection with, and payments of principal and interest on, any Canadian Revolving Credit Loan, any day that is a Business Day described in clause (a) and on which banks are open for business in London, England and Toronto, Canada.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Calculation Date</w:t>
      </w:r>
      <w:r>
        <w:rPr>
          <w:rFonts w:ascii="Arial" w:cs="Arial" w:eastAsia="Arial" w:hAnsi="Arial"/>
          <w:sz w:val="20"/>
          <w:szCs w:val="20"/>
          <w:color w:val="auto"/>
        </w:rPr>
        <w:t>” has the meaning assigned thereto in the definition of Applicable Margin.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AML Laws</w:t>
      </w:r>
      <w:r>
        <w:rPr>
          <w:rFonts w:ascii="Arial" w:cs="Arial" w:eastAsia="Arial" w:hAnsi="Arial"/>
          <w:sz w:val="20"/>
          <w:szCs w:val="20"/>
          <w:color w:val="auto"/>
        </w:rPr>
        <w:t>” means the Proceeds of Crime (Money Laundering) and Terrorist Financing Act (Canada), as amended, and any other applicable anti-money laundering, anti-terrorist financing, government sanction and “know your client” laws in effect in Canada from time to time.</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Rate</w:t>
      </w:r>
      <w:r>
        <w:rPr>
          <w:rFonts w:ascii="Arial" w:cs="Arial" w:eastAsia="Arial" w:hAnsi="Arial"/>
          <w:sz w:val="18"/>
          <w:szCs w:val="18"/>
          <w:color w:val="auto"/>
        </w:rPr>
        <w:t xml:space="preserve">” means at any time, the greater of (a) the Canadian Prime Rate and (b) except during any period of time during which a notice delivered to Centuri under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remain in effect, the annual rate of interest equal to the sum of (i) the CDOR Rate for an Interest Period of one month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one percent (1%) per annum; each change in the Canadian Base Rate shall take effect simultaneously with the corresponding change or changes in the Canadian Prime Rate or the CDOR Rate, as applicable.</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Base Rate Loan</w:t>
      </w:r>
      <w:r>
        <w:rPr>
          <w:rFonts w:ascii="Arial" w:cs="Arial" w:eastAsia="Arial" w:hAnsi="Arial"/>
          <w:sz w:val="20"/>
          <w:szCs w:val="20"/>
          <w:color w:val="auto"/>
        </w:rPr>
        <w:t xml:space="preserve">” means any Canadian Loan bearing interest at a rate based upon the Canadian Base Rate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Borrowers</w:t>
      </w:r>
      <w:r>
        <w:rPr>
          <w:rFonts w:ascii="Arial" w:cs="Arial" w:eastAsia="Arial" w:hAnsi="Arial"/>
          <w:sz w:val="20"/>
          <w:szCs w:val="20"/>
          <w:color w:val="auto"/>
        </w:rPr>
        <w:t>” means, collectively, Centuri Canada and each Additional Borrower approved by the Lenders that becomes a party hereto as a Canadian Borrower.</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Cash Management Bank</w:t>
      </w:r>
      <w:r>
        <w:rPr>
          <w:rFonts w:ascii="Arial" w:cs="Arial" w:eastAsia="Arial" w:hAnsi="Arial"/>
          <w:sz w:val="20"/>
          <w:szCs w:val="20"/>
          <w:color w:val="auto"/>
        </w:rPr>
        <w:t>” means any Person that, (a) at the time it enters into a Cash Management Agreement with a Canadian Credit Party or a Foreign Subsidiary, is a Lender, an Affiliate of a Lender, the Administrative Agent or an Affiliate of the Administrative Agent, or (b) at the time it (or its Affiliate) becomes a Lender (including on the Closing Date), is a party to a Cash Management Agreement with a Canadian Credit Party or a Foreign Subsidiary, in each case in its capacity as a party to such Cash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5" w:name="page76"/>
    <w:bookmarkEnd w:id="75"/>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Collateral Agreement</w:t>
      </w:r>
      <w:r>
        <w:rPr>
          <w:rFonts w:ascii="Arial" w:cs="Arial" w:eastAsia="Arial" w:hAnsi="Arial"/>
          <w:sz w:val="20"/>
          <w:szCs w:val="20"/>
          <w:color w:val="auto"/>
        </w:rPr>
        <w:t>” means that certain Second Amended and Restated Canadian Collateral Agreement of even date herewith executed by the Canadian Credit Parties in favor of the Administrative Agent, for the ratable benefit of the Canadian Secured Parties.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Credit Parties</w:t>
      </w:r>
      <w:r>
        <w:rPr>
          <w:rFonts w:ascii="Arial" w:cs="Arial" w:eastAsia="Arial" w:hAnsi="Arial"/>
          <w:sz w:val="20"/>
          <w:szCs w:val="20"/>
          <w:color w:val="auto"/>
        </w:rPr>
        <w:t>” means, collectively, the Canadian Borrowers and the Canadian Subsidiary Guarantors.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Credit Party Guarantee Agreement</w:t>
      </w:r>
      <w:r>
        <w:rPr>
          <w:rFonts w:ascii="Arial" w:cs="Arial" w:eastAsia="Arial" w:hAnsi="Arial"/>
          <w:sz w:val="20"/>
          <w:szCs w:val="20"/>
          <w:color w:val="auto"/>
        </w:rPr>
        <w:t>” means that certain Amended and Restated Canadian Credit Party Guarantee Agreement dated as of the date hereof executed by the Canadian Credit Parties in favor of the Administrative Agent, for the ratable benefit of the Canadian Secured Parties.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or “</w:t>
      </w:r>
      <w:r>
        <w:rPr>
          <w:rFonts w:ascii="Arial" w:cs="Arial" w:eastAsia="Arial" w:hAnsi="Arial"/>
          <w:sz w:val="20"/>
          <w:szCs w:val="20"/>
          <w:u w:val="single" w:color="auto"/>
          <w:color w:val="auto"/>
        </w:rPr>
        <w:t>C$</w:t>
      </w:r>
      <w:r>
        <w:rPr>
          <w:rFonts w:ascii="Arial" w:cs="Arial" w:eastAsia="Arial" w:hAnsi="Arial"/>
          <w:sz w:val="20"/>
          <w:szCs w:val="20"/>
          <w:color w:val="auto"/>
        </w:rPr>
        <w:t>” means, at the time of determination, the lawful currency of Canada.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Employee Benefit Plan</w:t>
      </w:r>
      <w:r>
        <w:rPr>
          <w:rFonts w:ascii="Arial" w:cs="Arial" w:eastAsia="Arial" w:hAnsi="Arial"/>
          <w:sz w:val="20"/>
          <w:szCs w:val="20"/>
          <w:color w:val="auto"/>
        </w:rPr>
        <w:t>” means any Canadian Pension Plan or Canadian Multiemployer Plan.</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Hedge Bank</w:t>
      </w:r>
      <w:r>
        <w:rPr>
          <w:rFonts w:ascii="Arial" w:cs="Arial" w:eastAsia="Arial" w:hAnsi="Arial"/>
          <w:sz w:val="18"/>
          <w:szCs w:val="18"/>
          <w:color w:val="auto"/>
        </w:rPr>
        <w:t xml:space="preserve">” means any Person that, (a) at the time it enters into a Hedge Agreement with a Canadian Credit Party or a Foreign Subsidiary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is a Lender, an Affiliate of a Lender, the Administrative Agent or an Affiliate of the Administrative Agent or (b) at the time it (or its Affiliate) becomes a Lender (including on the Closing Date), is a party to a Hedge Agreement with a Canadian Credit Party or a Foreign Subsidiary, in each case in its capacity as a party to such Hedge Agreement.</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L/C Obligations</w:t>
      </w:r>
      <w:r>
        <w:rPr>
          <w:rFonts w:ascii="Arial" w:cs="Arial" w:eastAsia="Arial" w:hAnsi="Arial"/>
          <w:sz w:val="20"/>
          <w:szCs w:val="20"/>
          <w:color w:val="auto"/>
        </w:rPr>
        <w:t xml:space="preserve">” means at any time, an amount equal to the sum of (a) the aggregate undrawn and unexpired amount of the then outstanding Canadian Letters of Credit and (b) the aggregate amount of drawings under Canadian Letters of Credit which have not then been reimbursed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Letters of Credit</w:t>
      </w:r>
      <w:r>
        <w:rPr>
          <w:rFonts w:ascii="Arial" w:cs="Arial" w:eastAsia="Arial" w:hAnsi="Arial"/>
          <w:sz w:val="20"/>
          <w:szCs w:val="20"/>
          <w:color w:val="auto"/>
        </w:rPr>
        <w:t xml:space="preserve">” means the collective reference to letters of credit denominated in Canadian Dollars pursuant to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“Canadian Letter of Credit” for purposes of the Loan Documents until such time as the Administrative Agent has been notified in writing of the issuance thereof by the applicable Issuing Lender.</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Multiemployer Plan</w:t>
      </w:r>
      <w:r>
        <w:rPr>
          <w:rFonts w:ascii="Arial" w:cs="Arial" w:eastAsia="Arial" w:hAnsi="Arial"/>
          <w:sz w:val="18"/>
          <w:szCs w:val="18"/>
          <w:color w:val="auto"/>
        </w:rPr>
        <w:t>” means a “multi-employer pension plan” as defined by Canadian Pension Laws and registered in accordance with Canadian Pension Laws and as to which any Credit Party or any Subsidiary thereof is making, or is accruing an obligation to make, or has accrued an obligation to make contributions within the preceding six (6) years, and shall not include any Multiemployer Plan.</w:t>
      </w:r>
    </w:p>
    <w:p>
      <w:pPr>
        <w:spacing w:after="0" w:line="1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Obligations</w:t>
      </w:r>
      <w:r>
        <w:rPr>
          <w:rFonts w:ascii="Arial" w:cs="Arial" w:eastAsia="Arial" w:hAnsi="Arial"/>
          <w:sz w:val="18"/>
          <w:szCs w:val="18"/>
          <w:color w:val="auto"/>
        </w:rPr>
        <w:t>” means, in each case, whether now in existence or hereafter arising: (a) the principal of and interest on (including interest accruing after the filing of any bankruptcy or similar petition) the Canadian Revolving Credit Loans, Canadian Swingline Loans and, to the extent applicable, any Incremental Term Loan made to the Canadian Borrowers, (b) the Canadian L/C Obligations and</w:t>
      </w:r>
    </w:p>
    <w:p>
      <w:pPr>
        <w:spacing w:after="0" w:line="1" w:lineRule="exact"/>
        <w:rPr>
          <w:sz w:val="20"/>
          <w:szCs w:val="20"/>
          <w:color w:val="auto"/>
        </w:rPr>
      </w:pPr>
    </w:p>
    <w:p>
      <w:pPr>
        <w:jc w:val="both"/>
        <w:ind w:firstLine="8"/>
        <w:spacing w:after="0" w:line="256" w:lineRule="auto"/>
        <w:tabs>
          <w:tab w:leader="none" w:pos="269" w:val="left"/>
        </w:tabs>
        <w:numPr>
          <w:ilvl w:val="0"/>
          <w:numId w:val="24"/>
        </w:numPr>
        <w:rPr>
          <w:rFonts w:ascii="Arial" w:cs="Arial" w:eastAsia="Arial" w:hAnsi="Arial"/>
          <w:sz w:val="19"/>
          <w:szCs w:val="19"/>
          <w:color w:val="auto"/>
        </w:rPr>
      </w:pPr>
      <w:r>
        <w:rPr>
          <w:rFonts w:ascii="Arial" w:cs="Arial" w:eastAsia="Arial" w:hAnsi="Arial"/>
          <w:sz w:val="19"/>
          <w:szCs w:val="19"/>
          <w:color w:val="auto"/>
        </w:rPr>
        <w:t>all other fees and commissions (including attorneys’ fees), charges, indebtedness, loans, liabilities, financial accommodations, obligations, covenants and duties owing by the Canadian Credit Parties to the Term Loan Lenders, Revolving Credit Lenders, the applicable Swingline Lender or the Administrative Agent, in each case under any Loan Document, with respect to any Canadian Revolving Credit Loan, any Canadian Swingline Loan, any Canadian Letter of Credit and, to the extent applicable, any Incremental Term Loan made to the Canadian Borrowers of every kind, nature and description,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6" w:name="page77"/>
    <w:bookmarkEnd w:id="76"/>
    <w:p>
      <w:pPr>
        <w:jc w:val="both"/>
        <w:spacing w:after="0" w:line="246" w:lineRule="auto"/>
        <w:rPr>
          <w:sz w:val="20"/>
          <w:szCs w:val="20"/>
          <w:color w:val="auto"/>
        </w:rPr>
      </w:pPr>
      <w:r>
        <w:rPr>
          <w:rFonts w:ascii="Arial" w:cs="Arial" w:eastAsia="Arial" w:hAnsi="Arial"/>
          <w:sz w:val="20"/>
          <w:szCs w:val="20"/>
          <w:color w:val="auto"/>
        </w:rPr>
        <w:t>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9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Laws</w:t>
      </w:r>
      <w:r>
        <w:rPr>
          <w:rFonts w:ascii="Arial" w:cs="Arial" w:eastAsia="Arial" w:hAnsi="Arial"/>
          <w:sz w:val="18"/>
          <w:szCs w:val="18"/>
          <w:color w:val="auto"/>
        </w:rPr>
        <w:t>” means the Pensions Benefit Act (Ontario), the ITA and any other Canadian federal or provincial pension benefits standards legislation and the regulations thereunder applicable to a Canadian Pension Plan or a Canadian Multiemployer Plan.</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Pension Plan</w:t>
      </w:r>
      <w:r>
        <w:rPr>
          <w:rFonts w:ascii="Arial" w:cs="Arial" w:eastAsia="Arial" w:hAnsi="Arial"/>
          <w:sz w:val="20"/>
          <w:szCs w:val="20"/>
          <w:color w:val="auto"/>
        </w:rPr>
        <w:t>” means any “registered pension plan” as defined under Section 248(l) of the ITA or any other registered or unregistered pension, or retirement or retirement savings plan and which (a) is sponsored, maintained, funded, contributed to or required to be contributed to, or administered for the employees or former employees of any Credit Party or any Subsidiary thereof or (b) has at any time within the preceding six (6) years been sponsored, maintained, funded, contributed to or required to be contributed to, or administered for the employees or former employees of any Credit Party or any Subsidiary thereof, and shall not include any Pension Plan, other than a Canadian Multiemployer Plan.</w:t>
      </w:r>
    </w:p>
    <w:p>
      <w:pPr>
        <w:spacing w:after="0" w:line="19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Pension Plan Unfunded Liability</w:t>
      </w:r>
      <w:r>
        <w:rPr>
          <w:rFonts w:ascii="Arial" w:cs="Arial" w:eastAsia="Arial" w:hAnsi="Arial"/>
          <w:sz w:val="20"/>
          <w:szCs w:val="20"/>
          <w:color w:val="auto"/>
        </w:rPr>
        <w:t xml:space="preserve">” means an unfunded liability in respect of any Canadian Pension Plan, including a going concern unfunded liability, solvency deficiency, reduced solvency deficiency or wind-up deficiency, in each case, as reported in the most recent valuation report delivered under </w:t>
      </w:r>
      <w:r>
        <w:rPr>
          <w:rFonts w:ascii="Arial" w:cs="Arial" w:eastAsia="Arial" w:hAnsi="Arial"/>
          <w:sz w:val="20"/>
          <w:szCs w:val="20"/>
          <w:u w:val="single" w:color="auto"/>
          <w:color w:val="auto"/>
        </w:rPr>
        <w:t>Section 8.2(j)</w:t>
      </w:r>
      <w:r>
        <w:rPr>
          <w:rFonts w:ascii="Arial" w:cs="Arial" w:eastAsia="Arial" w:hAnsi="Arial"/>
          <w:sz w:val="20"/>
          <w:szCs w:val="20"/>
          <w:color w:val="auto"/>
        </w:rPr>
        <w:t xml:space="preserve"> in respect of such Canadian Pension Plan.</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Prime Rate</w:t>
      </w:r>
      <w:r>
        <w:rPr>
          <w:rFonts w:ascii="Arial" w:cs="Arial" w:eastAsia="Arial" w:hAnsi="Arial"/>
          <w:sz w:val="20"/>
          <w:szCs w:val="20"/>
          <w:color w:val="auto"/>
        </w:rPr>
        <w:t>” means the rate of interest publicly announced from time to time by the Canadian Reference Bank as its prime rate in effect for determining interest rates on Canadian Dollar denominated commercial loans in Canada (which such rate is not necessarily the most favored rate of the Canadian Reference Bank and the Canadian Reference Bank may lend to its customers at rates that are at, above or below such rate) or, if the Canadian Reference Bank ceases to announce a rate so designated, any similar successor rate designated by the Administrative Agent.</w:t>
      </w:r>
    </w:p>
    <w:p>
      <w:pPr>
        <w:spacing w:after="0" w:line="19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Reference Bank</w:t>
      </w:r>
      <w:r>
        <w:rPr>
          <w:rFonts w:ascii="Arial" w:cs="Arial" w:eastAsia="Arial" w:hAnsi="Arial"/>
          <w:sz w:val="18"/>
          <w:szCs w:val="18"/>
          <w:color w:val="auto"/>
        </w:rPr>
        <w:t>” means any one or more of The Bank of Nova Scotia, Bank of Montreal, Royal Bank of Canada, The Toronto-Dominion Bank, Canadian Imperial Bank of Commerce or National Bank of Canada, as the Administrative Agent may determine.</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Revolving Credit Loan</w:t>
      </w:r>
      <w:r>
        <w:rPr>
          <w:rFonts w:ascii="Arial" w:cs="Arial" w:eastAsia="Arial" w:hAnsi="Arial"/>
          <w:sz w:val="20"/>
          <w:szCs w:val="20"/>
          <w:color w:val="auto"/>
        </w:rPr>
        <w:t xml:space="preserve">” means any revolving loan denominated in Canadian Dollars made to the Canadian Borrowers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and all such revolving loans collectively as the context requires, and shall include any Extended Revolving Credit Loans, any Refinancing Revolving Loans and any loans made pursuant to an Incremental Revolving Credit Facility Increase, in each case, related to such loans.</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Revolving Credit Note</w:t>
      </w:r>
      <w:r>
        <w:rPr>
          <w:rFonts w:ascii="Arial" w:cs="Arial" w:eastAsia="Arial" w:hAnsi="Arial"/>
          <w:sz w:val="19"/>
          <w:szCs w:val="19"/>
          <w:color w:val="auto"/>
        </w:rPr>
        <w:t xml:space="preserve">” means a promissory note made by the Canadian Borrowers in favor of a Revolving Credit Lender evidencing the Canadian Revolving Credit Loans made by such Revolving Credit Lender, substantially in the form attached as </w:t>
      </w:r>
      <w:r>
        <w:rPr>
          <w:rFonts w:ascii="Arial" w:cs="Arial" w:eastAsia="Arial" w:hAnsi="Arial"/>
          <w:sz w:val="19"/>
          <w:szCs w:val="19"/>
          <w:b w:val="1"/>
          <w:bCs w:val="1"/>
          <w:i w:val="1"/>
          <w:iCs w:val="1"/>
          <w:color w:val="auto"/>
        </w:rPr>
        <w:t>Exhibit A-2</w:t>
      </w:r>
      <w:r>
        <w:rPr>
          <w:rFonts w:ascii="Arial" w:cs="Arial" w:eastAsia="Arial" w:hAnsi="Arial"/>
          <w:sz w:val="19"/>
          <w:szCs w:val="19"/>
          <w:color w:val="auto"/>
        </w:rPr>
        <w:t>, and any substitutes therefor, and any replacements, restatements, renewals or extension thereof, in whole or in part.</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Secured Obligations</w:t>
      </w:r>
      <w:r>
        <w:rPr>
          <w:rFonts w:ascii="Arial" w:cs="Arial" w:eastAsia="Arial" w:hAnsi="Arial"/>
          <w:sz w:val="20"/>
          <w:szCs w:val="20"/>
          <w:color w:val="auto"/>
        </w:rPr>
        <w:t>” means, collectively, (a) the Canadian Obligations and (b) all existing or future payment and other obligations owing by any Canadian Credit Party or any Foreign Subsidiary under (i) any Secured Hedge Agreement with a Canadian Hedge Bank and (ii) any Secured Cash Management Agreement with a Canadian Cash Management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7" w:name="page78"/>
    <w:bookmarkEnd w:id="77"/>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Parties</w:t>
      </w:r>
      <w:r>
        <w:rPr>
          <w:rFonts w:ascii="Arial" w:cs="Arial" w:eastAsia="Arial" w:hAnsi="Arial"/>
          <w:sz w:val="18"/>
          <w:szCs w:val="18"/>
          <w:color w:val="auto"/>
        </w:rPr>
        <w:t xml:space="preserve">” means, collectively, the Administrative Agent, the Lenders, the Canadian Hedge Banks, the Canadian Cash Management Banks, each co-agent or sub-agent appointed by the Administrative Agent from time to time pursuant to </w:t>
      </w:r>
      <w:r>
        <w:rPr>
          <w:rFonts w:ascii="Arial" w:cs="Arial" w:eastAsia="Arial" w:hAnsi="Arial"/>
          <w:sz w:val="18"/>
          <w:szCs w:val="18"/>
          <w:u w:val="single" w:color="auto"/>
          <w:color w:val="auto"/>
        </w:rPr>
        <w:t>Section 11.5</w:t>
      </w:r>
      <w:r>
        <w:rPr>
          <w:rFonts w:ascii="Arial" w:cs="Arial" w:eastAsia="Arial" w:hAnsi="Arial"/>
          <w:sz w:val="18"/>
          <w:szCs w:val="18"/>
          <w:color w:val="auto"/>
        </w:rPr>
        <w:t>, any other holder from time to time of any Canadian Secured Obligations and, in each case, their respective successors and permitted assigns.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Subsidiary</w:t>
      </w:r>
      <w:r>
        <w:rPr>
          <w:rFonts w:ascii="Arial" w:cs="Arial" w:eastAsia="Arial" w:hAnsi="Arial"/>
          <w:sz w:val="20"/>
          <w:szCs w:val="20"/>
          <w:color w:val="auto"/>
        </w:rPr>
        <w:t>” means any Subsidiary of Centuri that is organized under the laws of Canada or any province or territory thereof, including, without limitation, the Canadian Borrowers.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Subsidiary Guarantors</w:t>
      </w:r>
      <w:r>
        <w:rPr>
          <w:rFonts w:ascii="Arial" w:cs="Arial" w:eastAsia="Arial" w:hAnsi="Arial"/>
          <w:sz w:val="18"/>
          <w:szCs w:val="18"/>
          <w:color w:val="auto"/>
        </w:rPr>
        <w:t xml:space="preserve">” means, collectively, all direct and indirect Canadian Subsidiaries in existence on the Closing Date (other than the Canadian Borrowers) or which become a party to the Canadian Credit Party Guarantee Agreement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Swingline Loan</w:t>
      </w:r>
      <w:r>
        <w:rPr>
          <w:rFonts w:ascii="Arial" w:cs="Arial" w:eastAsia="Arial" w:hAnsi="Arial"/>
          <w:sz w:val="19"/>
          <w:szCs w:val="19"/>
          <w:color w:val="auto"/>
        </w:rPr>
        <w:t xml:space="preserve">” means any swingline loan denominated in Canadian Dollars made by the applicable Swingline Lender to a Canadian Borrower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and all such swingline loans collectively as the context requires.</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Swingline Note</w:t>
      </w:r>
      <w:r>
        <w:rPr>
          <w:rFonts w:ascii="Arial" w:cs="Arial" w:eastAsia="Arial" w:hAnsi="Arial"/>
          <w:sz w:val="19"/>
          <w:szCs w:val="19"/>
          <w:color w:val="auto"/>
        </w:rPr>
        <w:t xml:space="preserve">” means a promissory note made by the Canadian Borrowers in favor of the applicable Swingline Lender evidencing the Canadian Swingline Loans made by the Swingline Lender, substantially in the form attached as </w:t>
      </w:r>
      <w:r>
        <w:rPr>
          <w:rFonts w:ascii="Arial" w:cs="Arial" w:eastAsia="Arial" w:hAnsi="Arial"/>
          <w:sz w:val="19"/>
          <w:szCs w:val="19"/>
          <w:b w:val="1"/>
          <w:bCs w:val="1"/>
          <w:i w:val="1"/>
          <w:iCs w:val="1"/>
          <w:color w:val="auto"/>
        </w:rPr>
        <w:t>Exhibit A-4</w:t>
      </w:r>
      <w:r>
        <w:rPr>
          <w:rFonts w:ascii="Arial" w:cs="Arial" w:eastAsia="Arial" w:hAnsi="Arial"/>
          <w:sz w:val="19"/>
          <w:szCs w:val="19"/>
          <w:color w:val="auto"/>
        </w:rPr>
        <w:t>, and any substitutes therefor, and any replacements, restatements, renewals or extension thereof, in whole or in part.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Term Loan Note</w:t>
      </w:r>
      <w:r>
        <w:rPr>
          <w:rFonts w:ascii="Arial" w:cs="Arial" w:eastAsia="Arial" w:hAnsi="Arial"/>
          <w:sz w:val="18"/>
          <w:szCs w:val="18"/>
          <w:color w:val="auto"/>
        </w:rPr>
        <w:t xml:space="preserve">” means a promissory note made by any Canadian Borrower in favor of a Term Loan Lender evidencing the portion of any Incremental Term Loans made to such Canadian Borrower by such Term Loan Lender, substantially in the form attached as </w:t>
      </w:r>
      <w:r>
        <w:rPr>
          <w:rFonts w:ascii="Arial" w:cs="Arial" w:eastAsia="Arial" w:hAnsi="Arial"/>
          <w:sz w:val="18"/>
          <w:szCs w:val="18"/>
          <w:b w:val="1"/>
          <w:bCs w:val="1"/>
          <w:i w:val="1"/>
          <w:iCs w:val="1"/>
          <w:color w:val="auto"/>
        </w:rPr>
        <w:t>Exhibit A-6</w:t>
      </w:r>
      <w:r>
        <w:rPr>
          <w:rFonts w:ascii="Arial" w:cs="Arial" w:eastAsia="Arial" w:hAnsi="Arial"/>
          <w:sz w:val="18"/>
          <w:szCs w:val="18"/>
          <w:color w:val="auto"/>
        </w:rPr>
        <w:t>, and any substitutes therefor, and any replacements, restatements or extensions thereof, in whole or in part.</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Termination Event</w:t>
      </w:r>
      <w:r>
        <w:rPr>
          <w:rFonts w:ascii="Arial" w:cs="Arial" w:eastAsia="Arial" w:hAnsi="Arial"/>
          <w:sz w:val="18"/>
          <w:szCs w:val="18"/>
          <w:color w:val="auto"/>
        </w:rPr>
        <w:t>” means a Canadian Pension Plan Unfunded Liability in excess of the Threshold Amount or the occurrence of any of the following which, individually or in the aggregate, has resulted or could reasonably be expected to result in liability of any Credit Party or any Subsidiary thereof in an aggregate amount in excess of the Threshold Amount: (a) the institution of any steps by any Governmental Authority to order the termination or wind-up, in full or in part, of any Canadian Employee Benefit Plan, (b) the institution of any steps by a Credit Party to terminate, in full or in part, any Canadian Pension Plan if such plan has a Canadian Pension Plan Unfunded Liability, (c) an event respecting any Canadian Employee Benefit Plan which could reasonably be expected to result in the revocation of the registration of such Canadian Employee Benefit Plan which could otherwise reasonably be expected to adversely affect the Tax status of any such Canadian Employee Benefit Plan, (d) any event or condition which would reasonably constitute grounds under Canadian Pension Laws for the full or partial termination of, or the appointment of a trustee or replacement administrator to administer, any Canadian Employee Benefit Plan, (e) the partial or complete withdrawal of any Credit Party from a Canadian Multiemployer Plan if a withdrawal liability is asserted by such plan or by any Governmental Authority, or (f) any event or condition which results in the increase in the liability of any Credit Party or any Subsidiary thereof under a Canadian Multiemployer Plan.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means, with respect to the Consolidated Companies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but excluding expenditures for the restoration, repair or replacement of any fixed or capital asset which was destroyed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8" w:name="page79"/>
    <w:bookmarkEnd w:id="78"/>
    <w:p>
      <w:pPr>
        <w:spacing w:after="0"/>
        <w:rPr>
          <w:sz w:val="20"/>
          <w:szCs w:val="20"/>
          <w:color w:val="auto"/>
        </w:rPr>
      </w:pPr>
      <w:r>
        <w:rPr>
          <w:rFonts w:ascii="Arial" w:cs="Arial" w:eastAsia="Arial" w:hAnsi="Arial"/>
          <w:sz w:val="20"/>
          <w:szCs w:val="20"/>
          <w:color w:val="auto"/>
        </w:rPr>
        <w:t>or damaged, in whole or in part, to the extent financed by the proceeds of an insurance policy maintained by such Person.</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xml:space="preserve">” of any Person means, subject to </w:t>
      </w:r>
      <w:r>
        <w:rPr>
          <w:rFonts w:ascii="Arial" w:cs="Arial" w:eastAsia="Arial" w:hAnsi="Arial"/>
          <w:sz w:val="19"/>
          <w:szCs w:val="19"/>
          <w:u w:val="single" w:color="auto"/>
          <w:color w:val="auto"/>
        </w:rPr>
        <w:t>Section 1.3(b)</w:t>
      </w:r>
      <w:r>
        <w:rPr>
          <w:rFonts w:ascii="Arial" w:cs="Arial" w:eastAsia="Arial" w:hAnsi="Arial"/>
          <w:sz w:val="19"/>
          <w:szCs w:val="19"/>
          <w:color w:val="auto"/>
        </w:rPr>
        <w:t>,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the amount of such obligations shall be the capitalized amount thereof determined in accordance with GAAP.</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deposit in a Controlled Account or to pledge and deposit with, or deliver to the Administrative Agent, or directly to the applicable Issuing Lender (with notice thereof to the Administrative Agent), for the benefit of one or more of the Issuing Lenders, one or both of the Swingline Lenders or the Lenders, as collateral for L/C Obligations or obligations of the Lenders to fund participations in respect of L/C Obligations or Swingline Loans, cash or deposit account balances or, if the Administrative Agent and the applicable Issuing Lender and/or the applicable Swingline Lender, as the case may be, shall agree, in their sole discretion, other credit support, in each case pursuant to documentation in form and substance satisfactory to the Administrative Agent, such Issuing Lender and/or such Swingline Lender, as applicable. “</w:t>
      </w:r>
      <w:r>
        <w:rPr>
          <w:rFonts w:ascii="Arial" w:cs="Arial" w:eastAsia="Arial" w:hAnsi="Arial"/>
          <w:sz w:val="19"/>
          <w:szCs w:val="19"/>
          <w:u w:val="single" w:color="auto"/>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collectively, (a) marketable direct obligations issued or unconditionally guaranteed by Canada or the United States (or any agency thereof) maturing within one (1) year from the date of acquisition thereof, (b) commercial paper maturing no more than two hundred seventy (270) days from the date of creation thereof and currently having the highest rating obtainable from either S&amp;P or Moody’s (or, if at any time either S&amp;P or Moody’s are not rating such fund, an equivalent rating from another nationally recognized statistical rating agency), (c) investments in certificates of deposit, banker’s acceptances, money market deposits and time deposits maturing within one hundred eighty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and having a long-term debt rating of “A” or better by S&amp;P or “A2” or better from Moody’s (or, if at any time either S&amp;P or Moody’s are not rating the debt of such bank, an equivalent rating from another nationally recognized statistical rating agency), (d) time deposits maturing no more than thirty (30) days from the date of creation thereof with commercial banks or savings banks or savings and loan associations each having membership either in the FDIC or the CDIC or the deposits of which are insured by the FDIC or the CDIC and in amounts not exceeding the maximum amounts of insurance thereunder, and (e) investments in any money market fund or money market mutual fund that has (i) substantially all of its assets invested in the types of investments referred to in clauses (a) through (d) above, (ii) net assets of not less than $250,000,000 and (iii) a rating of at least A-2 from S&amp;P or at least P-2 from Moody’s (or, if at any time either S&amp;P or Moody’s are not rating such fund, an equivalent rating from another nationally recognized statistical rating agency).</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Bank</w:t>
      </w:r>
      <w:r>
        <w:rPr>
          <w:rFonts w:ascii="Arial" w:cs="Arial" w:eastAsia="Arial" w:hAnsi="Arial"/>
          <w:sz w:val="20"/>
          <w:szCs w:val="20"/>
          <w:color w:val="auto"/>
        </w:rPr>
        <w:t>” means any US Cash Management Bank or Canadian Cash Management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CDIC</w:t>
      </w:r>
      <w:r>
        <w:rPr>
          <w:rFonts w:ascii="Arial" w:cs="Arial" w:eastAsia="Arial" w:hAnsi="Arial"/>
          <w:sz w:val="20"/>
          <w:szCs w:val="20"/>
          <w:color w:val="auto"/>
        </w:rPr>
        <w:t>” means the Canada Deposit Insurance Corporation.</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CDOR Rate</w:t>
      </w:r>
      <w:r>
        <w:rPr>
          <w:rFonts w:ascii="Arial" w:cs="Arial" w:eastAsia="Arial" w:hAnsi="Arial"/>
          <w:sz w:val="20"/>
          <w:szCs w:val="20"/>
          <w:color w:val="auto"/>
        </w:rPr>
        <w:t>” means the rate of interest per annum determined by the Administrative Agent on the basis of the rate applicable to Canadian Dollar bankers’ acceptances for the applicable Interest Period (or if such Interest Period is not equal to a number of months, for a term equivalent to the number of months closest to such Interest Period) appearing on the “CDOR Page”, or any successor page of Refinitiv Benchmark Services (UK) Limited (or such other page or commercially available source displaying Canadian interbank bid rates for Canadian Dollar bankers’ acceptances as may be designated by the Administrative Agent from time to time), as of 10:00 a.m. (Toronto, Ontario time) on the first day of the applicable Interest Period (or if such day is not a Business Day, then on the immediately preceding Business Day). Each calculation by the Administrative Agent of the CDOR Rate shall be conclusive and binding for all purposes, absent manifest error.</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the foregoing, if the CDOR Rate shall be less than zero, such rate shall be deemed to be zero for purposes of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CDOR Rate Loan</w:t>
      </w:r>
      <w:r>
        <w:rPr>
          <w:rFonts w:ascii="Arial" w:cs="Arial" w:eastAsia="Arial" w:hAnsi="Arial"/>
          <w:sz w:val="20"/>
          <w:szCs w:val="20"/>
          <w:color w:val="auto"/>
        </w:rPr>
        <w:t>” means any Loan bearing interest at a rate determined by reference to the CDOR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Centuri</w:t>
      </w:r>
      <w:r>
        <w:rPr>
          <w:rFonts w:ascii="Arial" w:cs="Arial" w:eastAsia="Arial" w:hAnsi="Arial"/>
          <w:sz w:val="20"/>
          <w:szCs w:val="20"/>
          <w:color w:val="auto"/>
        </w:rPr>
        <w:t>” means Centuri Group, Inc. (formerly known as Centuri Construction Group, Inc.), a Nevada corporation.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Centuri Canada</w:t>
      </w:r>
      <w:r>
        <w:rPr>
          <w:rFonts w:ascii="Arial" w:cs="Arial" w:eastAsia="Arial" w:hAnsi="Arial"/>
          <w:sz w:val="18"/>
          <w:szCs w:val="18"/>
          <w:color w:val="auto"/>
        </w:rPr>
        <w:t>” means Centuri Canada Division Inc., a corporation organized under the laws of the Province of Ontario, Canada.</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Centuri U.S. Division</w:t>
      </w:r>
      <w:r>
        <w:rPr>
          <w:rFonts w:ascii="Arial" w:cs="Arial" w:eastAsia="Arial" w:hAnsi="Arial"/>
          <w:sz w:val="20"/>
          <w:szCs w:val="20"/>
          <w:color w:val="auto"/>
        </w:rPr>
        <w:t>” means Centuri U.S. Division, Inc., formerly known as Meritus Group, Inc., a Nevada corporation.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Foreign Subsidiary that is a “controlled foreign corporation” under Section 957 of the Code and any Subsidiary owned directly or indirectly by such Foreign Subsidiary.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 Holdco</w:t>
      </w:r>
      <w:r>
        <w:rPr>
          <w:rFonts w:ascii="Arial" w:cs="Arial" w:eastAsia="Arial" w:hAnsi="Arial"/>
          <w:sz w:val="20"/>
          <w:szCs w:val="20"/>
          <w:color w:val="auto"/>
        </w:rPr>
        <w:t>” means a Subsidiary substantially all the assets of which consist of Equity Interests in Foreign Subsidiaries that each constitute a CFC and/or Indebtedness or accounts receivable owed by Foreign Subsidiaries that each constitute a CFC or are treated as owed by any such Foreign Subsidiaries for U.S. federal income tax purposes.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an event or series of events by which (a) Centuri shall fail to own, directly or indirectly, and control (i) one hundred percent (100%) on a fully diluted basis of the economic and voting Equity Interests of each US Borrower, and (ii) one hundred percent (100%) on a fully diluted basis of the economic and voting Equity Interests of Centuri Canada or (b) Southwest Gas shall fail to own, directly or indirectly, and control at least fifty-one percent (51%) on a fully diluted basis of the economic and voting Equity Interests of each of the Borrowers.</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(i) the Dodd-Frank Wall Street Reform and Consumer Protection Act and all requests, rules, guidelines or directives thereunder or issued in connection therewith and (ii)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0" w:name="page81"/>
    <w:bookmarkEnd w:id="80"/>
    <w:p>
      <w:pPr>
        <w:jc w:val="both"/>
        <w:spacing w:after="0" w:line="269" w:lineRule="auto"/>
        <w:rPr>
          <w:sz w:val="20"/>
          <w:szCs w:val="20"/>
          <w:color w:val="auto"/>
        </w:rPr>
      </w:pPr>
      <w:r>
        <w:rPr>
          <w:rFonts w:ascii="Arial" w:cs="Arial" w:eastAsia="Arial" w:hAnsi="Arial"/>
          <w:sz w:val="19"/>
          <w:szCs w:val="19"/>
          <w:color w:val="auto"/>
        </w:rPr>
        <w:t>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CIBC</w:t>
      </w:r>
      <w:r>
        <w:rPr>
          <w:rFonts w:ascii="Arial" w:cs="Arial" w:eastAsia="Arial" w:hAnsi="Arial"/>
          <w:sz w:val="20"/>
          <w:szCs w:val="20"/>
          <w:color w:val="auto"/>
        </w:rPr>
        <w:t>” means Canadian Imperial Bank of Commerce.</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means (a) when used in reference to any Loan, whether such Loan is a Revolving Credit Loan, Swingline Loan, Term Loan, Extended Term Loan, Extended Revolving Credit Loan, Refinancing Revolving Loan of a given Refinancing Series or Refinancing Term Loan of a given Refinancing Series, and (b) when used in reference to any Commitment, whether such Commitment is a Revolving Credit Commitment, a Term Loan Commitment, an Extended Revolving Credit Commitment or Refinancing Revolving Credit Commitment of a given Refinancing Series.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United States Internal Revenue Code of 1986, and the rules and regulations promulgated thereunder.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the collateral security for the Secured Obligations pledged or granted pursuant to the Security Documents.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5.3(a)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Percentage</w:t>
      </w:r>
      <w:r>
        <w:rPr>
          <w:rFonts w:ascii="Arial" w:cs="Arial" w:eastAsia="Arial" w:hAnsi="Arial"/>
          <w:sz w:val="20"/>
          <w:szCs w:val="20"/>
          <w:color w:val="auto"/>
        </w:rPr>
        <w:t>” means, as to any Lender, such Lender’s Revolving Credit Commitment Percentage or Term Loan Percentage, as applicable.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Commitments</w:t>
      </w:r>
      <w:r>
        <w:rPr>
          <w:rFonts w:ascii="Arial" w:cs="Arial" w:eastAsia="Arial" w:hAnsi="Arial"/>
          <w:sz w:val="20"/>
          <w:szCs w:val="20"/>
          <w:color w:val="auto"/>
        </w:rPr>
        <w:t>” means, collectively, as to all Lenders, the Revolving Credit Commitments and the Term Loan Commitments of such Lenders.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Companies</w:t>
      </w:r>
      <w:r>
        <w:rPr>
          <w:rFonts w:ascii="Arial" w:cs="Arial" w:eastAsia="Arial" w:hAnsi="Arial"/>
          <w:sz w:val="20"/>
          <w:szCs w:val="20"/>
          <w:color w:val="auto"/>
        </w:rPr>
        <w:t>” means Centuri and its Subsidiaries.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means, for any period, the sum of the following determined on a Consolidated basis, without duplication, for the Consolidated Companies in accordance with GAAP:</w:t>
      </w:r>
    </w:p>
    <w:p>
      <w:pPr>
        <w:spacing w:after="0" w:line="17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period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ind w:firstLine="656"/>
        <w:spacing w:after="0" w:line="260" w:lineRule="auto"/>
        <w:tabs>
          <w:tab w:leader="none" w:pos="1284"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sum of the following, without duplication, to the extent deducted in determining Consolidated Net Income (other than as set forth in clause (b)(x)(B)) for such period:</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income and franchise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1" w:name="page82"/>
    <w:bookmarkEnd w:id="81"/>
    <w:p>
      <w:pPr>
        <w:ind w:left="1960" w:hanging="656"/>
        <w:spacing w:after="0"/>
        <w:tabs>
          <w:tab w:leader="none" w:pos="19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Consolidated Interest Expense,</w:t>
      </w:r>
    </w:p>
    <w:p>
      <w:pPr>
        <w:spacing w:after="0" w:line="215" w:lineRule="exact"/>
        <w:rPr>
          <w:rFonts w:ascii="Arial" w:cs="Arial" w:eastAsia="Arial" w:hAnsi="Arial"/>
          <w:sz w:val="20"/>
          <w:szCs w:val="20"/>
          <w:color w:val="auto"/>
        </w:rPr>
      </w:pPr>
    </w:p>
    <w:p>
      <w:pPr>
        <w:jc w:val="both"/>
        <w:ind w:left="660" w:firstLine="644"/>
        <w:spacing w:after="0" w:line="263" w:lineRule="auto"/>
        <w:tabs>
          <w:tab w:leader="none" w:pos="1956" w:val="left"/>
        </w:tabs>
        <w:numPr>
          <w:ilvl w:val="0"/>
          <w:numId w:val="26"/>
        </w:numPr>
        <w:rPr>
          <w:rFonts w:ascii="Arial" w:cs="Arial" w:eastAsia="Arial" w:hAnsi="Arial"/>
          <w:sz w:val="19"/>
          <w:szCs w:val="19"/>
          <w:color w:val="auto"/>
        </w:rPr>
      </w:pPr>
      <w:r>
        <w:rPr>
          <w:rFonts w:ascii="Arial" w:cs="Arial" w:eastAsia="Arial" w:hAnsi="Arial"/>
          <w:sz w:val="19"/>
          <w:szCs w:val="19"/>
          <w:color w:val="auto"/>
        </w:rPr>
        <w:t>amortization (including, for the avoidance of doubt, impairment charges, and amortization of goodwill and intangible assets acquired or arising from a business acquisition, regardless of whether presented as a separate line item or included in other book entries), depreciation and other noncash charges (except to the extent that such non-cash charges are reserved for cash charges to be taken in the future), including any non-cash equity based compensation expense,</w:t>
      </w:r>
    </w:p>
    <w:p>
      <w:pPr>
        <w:spacing w:after="0" w:line="176" w:lineRule="exact"/>
        <w:rPr>
          <w:rFonts w:ascii="Arial" w:cs="Arial" w:eastAsia="Arial" w:hAnsi="Arial"/>
          <w:sz w:val="19"/>
          <w:szCs w:val="19"/>
          <w:color w:val="auto"/>
        </w:rPr>
      </w:pPr>
    </w:p>
    <w:p>
      <w:pPr>
        <w:ind w:left="660" w:firstLine="644"/>
        <w:spacing w:after="0" w:line="260" w:lineRule="auto"/>
        <w:tabs>
          <w:tab w:leader="none" w:pos="19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non-recurring expenses and restructuring charges reducing Consolidated Net Income which do not represent a cash item in such period,</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one-time fees and expenses in connection with the Drum Acquisition,</w:t>
      </w:r>
    </w:p>
    <w:p>
      <w:pPr>
        <w:spacing w:after="0" w:line="215" w:lineRule="exact"/>
        <w:rPr>
          <w:rFonts w:ascii="Arial" w:cs="Arial" w:eastAsia="Arial" w:hAnsi="Arial"/>
          <w:sz w:val="20"/>
          <w:szCs w:val="20"/>
          <w:color w:val="auto"/>
        </w:rPr>
      </w:pPr>
    </w:p>
    <w:p>
      <w:pPr>
        <w:ind w:left="660" w:firstLine="644"/>
        <w:spacing w:after="0" w:line="260" w:lineRule="auto"/>
        <w:tabs>
          <w:tab w:leader="none" w:pos="19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net unrealized losses resulting from mark to market accounting for hedging activities, including, without limitation those resulting from the application of FASB Accounting Standards Codification 815,</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net unrealized non-cash losses resulting from foreign currency balance sheet adjustments required by GAAP,</w:t>
      </w:r>
    </w:p>
    <w:p>
      <w:pPr>
        <w:spacing w:after="0" w:line="227" w:lineRule="exact"/>
        <w:rPr>
          <w:rFonts w:ascii="Arial" w:cs="Arial" w:eastAsia="Arial" w:hAnsi="Arial"/>
          <w:sz w:val="19"/>
          <w:szCs w:val="19"/>
          <w:color w:val="auto"/>
        </w:rPr>
      </w:pPr>
    </w:p>
    <w:p>
      <w:pPr>
        <w:jc w:val="both"/>
        <w:ind w:left="660" w:firstLine="644"/>
        <w:spacing w:after="0" w:line="250" w:lineRule="auto"/>
        <w:tabs>
          <w:tab w:leader="none" w:pos="194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all transaction fees, charges and other amounts related to this Agreement and any amendment or other modification to the Loan Documents, in each case to the extent paid within six (6) months of the Closing Date or the effectiveness of such amendment or other modification,</w:t>
      </w:r>
    </w:p>
    <w:p>
      <w:pPr>
        <w:spacing w:after="0" w:line="185" w:lineRule="exact"/>
        <w:rPr>
          <w:rFonts w:ascii="Arial" w:cs="Arial" w:eastAsia="Arial" w:hAnsi="Arial"/>
          <w:sz w:val="20"/>
          <w:szCs w:val="20"/>
          <w:color w:val="auto"/>
        </w:rPr>
      </w:pPr>
    </w:p>
    <w:p>
      <w:pPr>
        <w:jc w:val="both"/>
        <w:ind w:left="660" w:firstLine="644"/>
        <w:spacing w:after="0" w:line="256" w:lineRule="auto"/>
        <w:tabs>
          <w:tab w:leader="none" w:pos="1945"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all transaction fees, charges and other amounts (including any financing fees, merger and acquisition fees, legal fees and expenses, due diligence fees or any other fees and expenses in connection therewith) in connection with any Permitted Acquisition, Investment, disposition, issuance or repurchase of Equity Interests, or the incurrence, amendment or waiver of Indebtedness permitted hereunder (other than those related to the Transactions or with respect to any amendment or modification of the Loan Documents), in each case, whether or not consummated, in each case to the extent paid within six (6) months of the closing or effectiveness of such event or the termination or abandonment of such transaction,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added pursuant to this clause (b)(ix) taken together with the aggregate amount added pursuant to clause (b)(x) for any four quarter period shall in no event exceed twenty percent (20%) of Consolidated EBITDA for such period (calculated prior to any such add-backs pursuant to clauses (b)(ix) and (b)(x)),</w:t>
      </w:r>
    </w:p>
    <w:p>
      <w:pPr>
        <w:spacing w:after="0" w:line="184" w:lineRule="exact"/>
        <w:rPr>
          <w:rFonts w:ascii="Arial" w:cs="Arial" w:eastAsia="Arial" w:hAnsi="Arial"/>
          <w:sz w:val="19"/>
          <w:szCs w:val="19"/>
          <w:color w:val="auto"/>
        </w:rPr>
      </w:pPr>
    </w:p>
    <w:p>
      <w:pPr>
        <w:jc w:val="both"/>
        <w:ind w:left="660" w:firstLine="644"/>
        <w:spacing w:after="0" w:line="272" w:lineRule="auto"/>
        <w:tabs>
          <w:tab w:leader="none" w:pos="1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other unusual and non-recurring cash expenses or charges, (B) the amount of any “run rate” synergies, operating expense reductions and other net cost savings and integration costs, in each case projected by the Borrowers in connection with Permitted Acquisitions, Asset Dispositions (including the termination or discontinuance of activities constituting such business) and/or other operating improvement, restructuring, cost savings initiative or other similar initiative taken after the Closing Date that have been consummated during the applicable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and (C) solely during the period from June 30, 2021 through December 31, 2022, the amount of projected EBITDA relating to the fourteen Exelon and Avangrid Master Services Agreements awarded in 2020 in an amount equal to $14,300,000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cumulative amount of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2" w:name="page83"/>
    <w:bookmarkEnd w:id="82"/>
    <w:p>
      <w:pPr>
        <w:jc w:val="both"/>
        <w:ind w:left="660"/>
        <w:spacing w:after="0" w:line="272" w:lineRule="auto"/>
        <w:rPr>
          <w:sz w:val="20"/>
          <w:szCs w:val="20"/>
          <w:color w:val="auto"/>
        </w:rPr>
      </w:pPr>
      <w:r>
        <w:rPr>
          <w:rFonts w:ascii="Arial" w:cs="Arial" w:eastAsia="Arial" w:hAnsi="Arial"/>
          <w:sz w:val="18"/>
          <w:szCs w:val="18"/>
          <w:color w:val="auto"/>
        </w:rPr>
        <w:t xml:space="preserve">EBITDA relating to such agreements after June 30,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synergies, expense reductions and cost savings are reasonably identifiable, factually supportable, expected to have a continuing impact on the operations of the Combined Companies and have been determined by the Borrowers in good faith to be reasonably anticipated to be realizable within eighteen (18) months following any such action as set forth in reasonable detail on a certificate of a Responsible Officer of Centuri delivered to the Administrative Agent, (ii) no such amounts shall be added pursuant to this clause to the extent duplicative of any expenses or charges otherwise added to Consolidated EBITDA, whether through a pro forma adjustment, the definition of Pro Forma Basis or otherwise and (iii) the aggregate amount added pursuant to this clause (b)(x) taken together with the aggregate amount added pursuant to clause (b)(ix) for any four quarter period shall in no event exceed twenty percent (20%) of Consolidated EBITDA for such period (calculated prior to any such add-backs pursuant to clauses (b)(ix) and (b)(x)), </w:t>
      </w:r>
      <w:r>
        <w:rPr>
          <w:rFonts w:ascii="Arial" w:cs="Arial" w:eastAsia="Arial" w:hAnsi="Arial"/>
          <w:sz w:val="18"/>
          <w:szCs w:val="18"/>
          <w:u w:val="single" w:color="auto"/>
          <w:color w:val="auto"/>
        </w:rPr>
        <w:t>less</w:t>
      </w:r>
    </w:p>
    <w:p>
      <w:pPr>
        <w:spacing w:after="0" w:line="170"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sum of the following, without duplication, to the extent included in determining Consolidated Net Income for such</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period:</w:t>
      </w:r>
    </w:p>
    <w:p>
      <w:pPr>
        <w:spacing w:after="0" w:line="200" w:lineRule="exact"/>
        <w:rPr>
          <w:sz w:val="20"/>
          <w:szCs w:val="20"/>
          <w:color w:val="auto"/>
        </w:rPr>
      </w:pPr>
    </w:p>
    <w:p>
      <w:pPr>
        <w:ind w:left="1940" w:hanging="636"/>
        <w:spacing w:after="0"/>
        <w:tabs>
          <w:tab w:leader="none" w:pos="19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interest income,</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unusual or non-recurring gains,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net unrealized gains for items set forth in the foregoing clauses (b)(vi) and (vii),</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non-cash gains or non-cash items increasing Consolidated Net Income, and</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944"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cash expense made during such period which represents the reversal of any non-cash expense that was added in a prior period pursuant to clause (b)(iii) above subsequent to the fiscal quarter in which the relevant non-cash expenses, charges or losses were incurred.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Agreement, Consolidated EBITDA shall be adjusted on a Pro Forma Basis.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Notwithstanding the foregoing, Consolidated EBITDA for the fiscal quarters ending September 30, 2020, January 3, 2021, April 4, 2021 and July 4, 2021 shall be the amounts corresponding to such fiscal quarters set forth on </w:t>
      </w:r>
      <w:r>
        <w:rPr>
          <w:rFonts w:ascii="Arial" w:cs="Arial" w:eastAsia="Arial" w:hAnsi="Arial"/>
          <w:sz w:val="20"/>
          <w:szCs w:val="20"/>
          <w:u w:val="single" w:color="auto"/>
          <w:color w:val="auto"/>
        </w:rPr>
        <w:t>Schedule 1.1(c)</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means, as of any date of determination with respect to the Consolidated Companies on a Consolidated basis, without duplication, the sum of all Indebtedness (other than Indebtedness in respect of obligations under any undrawn letter of credit) of the Consolidated Companies.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as of any date of determination, determined on a Consolidated basis, without duplication, for the Consolidated Companies in accordance with GAAP: the ratio of (a) Consolidated EBITDA for the period of four (4) consecutive fiscal quarters ending on such date to (b) Consolidated Interest Expense for such period.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means, for any period, the sum of the following determined on a Consolidated basis, without duplication, for the Consolidated Companies in accordance with GAAP, interest expense (including, without limitation, interest expense attributable to Capital Lease Obligations and all net payment obligations pursuant to Hedge Agreements) for such period. For purposes of this Agreement, Consolidated Interest Expense shall be adjusted on a Pro Forma Basis. Notwithstanding the foregoing, Consolidated Interest Expense for the period of four (4) consecutive fiscal quarters 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September 30, 2021, December 31, 2021 and March 31, 2022 shall be calculated (i) for the fiscal quarter ending September 30,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Interest Expense for the fiscal quarter ending on such date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four (4), (ii) for the fiscal quarter ending December 31,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Interest Expense for the two consecutive fiscal quarters ending on such date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two (2) and (iii) for the fiscal quarter ending</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March 31, 2022, Consolidated Interest Expense for the three consecutive fiscal quarters ending on such date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four-third (4/3).</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Leverage Ratio</w:t>
      </w:r>
      <w:r>
        <w:rPr>
          <w:rFonts w:ascii="Arial" w:cs="Arial" w:eastAsia="Arial" w:hAnsi="Arial"/>
          <w:sz w:val="19"/>
          <w:szCs w:val="19"/>
          <w:color w:val="auto"/>
        </w:rPr>
        <w:t xml:space="preserve">” means, as of any date of determination, the ratio of (a) Consolidated Funded Indebtedness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amount of Unrestricted cash and Cash Equivalents of Centuri and its Subsidiaries (excluding the proceeds of any Incremental Term Loans or any other Indebtedness incurred or made substantially concurrent with the determination of the amount of such Unrestricted cash and Cash Equivalents) on such date, not to exceed $150,000,000, to (b) Consolidated EBITDA for the period of four (4) consecutive fiscal quarters ending on or immediately prior to such date.</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the net income (or loss) of the Consolidated Companies for such period, determined on a Consolidated basis, without duplication,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in calculating Consolidated Net Income of the Consolidated Companies for any period, there shall be excluded (a) the net income (or loss) of any Person (other than a Subsidiary which shall be subject to clause (c) below), in which any of the Consolidated Companies has a joint interest with a third party, except to the extent such net income is actually paid in cash to any of the Consolidated Companies by dividend or other distribution during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net income (or loss) of W.S. Nicholls Western Construction, Ltd. and VRO Construction Partners 1, LLC attributable to the ownership percentage held by the Consolidated Companies shall be included regardless of whether such amounts are paid in cash to the Consolidated Companies), (b) the net income (or loss) of any Person accrued prior to the date it becomes a Subsidiary of any of the Consolidated Companies or is merged into or consolidated with any of the Consolidated Companies or that Person’s assets are acquired by any of the Consolidated Companies except to the extent included pursuant to the foregoing clause (a), (c) the net income (if positive), of any Subsidiary to the extent that the declaration or payment of dividends or similar distributions by such Subsidiary to any of the Consolidated Companies of such net income (i) 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and (d) any gain or loss from Asset Dispositions during such period.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xml:space="preserve">” means, on any date of determination, the Consolidated total assets of Centuri and its Subsidiaries as set forth on the Consolidated balance sheet of Centuri as of the last day of the fiscal quarter of Centuri ending on or immediately prior to such date and for which financial statements have been provided to the Administrative Agent in accordance with </w:t>
      </w:r>
      <w:r>
        <w:rPr>
          <w:rFonts w:ascii="Arial" w:cs="Arial" w:eastAsia="Arial" w:hAnsi="Arial"/>
          <w:sz w:val="20"/>
          <w:szCs w:val="20"/>
          <w:u w:val="single" w:color="auto"/>
          <w:color w:val="auto"/>
        </w:rPr>
        <w:t>Section 8.1</w:t>
      </w:r>
      <w:r>
        <w:rPr>
          <w:rFonts w:ascii="Arial" w:cs="Arial" w:eastAsia="Arial" w:hAnsi="Arial"/>
          <w:sz w:val="20"/>
          <w:szCs w:val="20"/>
          <w:color w:val="auto"/>
        </w:rPr>
        <w:t>, determined on a Consolidated basis.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Facility</w:t>
      </w:r>
      <w:r>
        <w:rPr>
          <w:rFonts w:ascii="Arial" w:cs="Arial" w:eastAsia="Arial" w:hAnsi="Arial"/>
          <w:sz w:val="19"/>
          <w:szCs w:val="19"/>
          <w:color w:val="auto"/>
        </w:rPr>
        <w:t>” means, collectively, the Revolving Credit Facility, the Term Loan Facility, the Swingline Facility and the L/C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Facility.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collectively, the US Credit Parties and the Canadian Credit Parties.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Issuance</w:t>
      </w:r>
      <w:r>
        <w:rPr>
          <w:rFonts w:ascii="Arial" w:cs="Arial" w:eastAsia="Arial" w:hAnsi="Arial"/>
          <w:sz w:val="19"/>
          <w:szCs w:val="19"/>
          <w:color w:val="auto"/>
        </w:rPr>
        <w:t>” means the issuance of any Indebtedness for borrowed money by any Credit Party or any of its Subsidiaries.</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Ratings</w:t>
      </w:r>
      <w:r>
        <w:rPr>
          <w:rFonts w:ascii="Arial" w:cs="Arial" w:eastAsia="Arial" w:hAnsi="Arial"/>
          <w:sz w:val="20"/>
          <w:szCs w:val="20"/>
          <w:color w:val="auto"/>
        </w:rPr>
        <w:t>” means the collective reference to (a) the public corporate family rating of Centuri as determined by Moody’s from time to time, (b) the public corporate credit rating of Centuri as determined by S&amp;P from time to time and (c) the public ratings with respect to the Term Loan Facility as determined by both Moody’s and S&amp;P from time to time, and “</w:t>
      </w:r>
      <w:r>
        <w:rPr>
          <w:rFonts w:ascii="Arial" w:cs="Arial" w:eastAsia="Arial" w:hAnsi="Arial"/>
          <w:sz w:val="20"/>
          <w:szCs w:val="20"/>
          <w:u w:val="single" w:color="auto"/>
          <w:color w:val="auto"/>
        </w:rPr>
        <w:t>Debt Rating</w:t>
      </w:r>
      <w:r>
        <w:rPr>
          <w:rFonts w:ascii="Arial" w:cs="Arial" w:eastAsia="Arial" w:hAnsi="Arial"/>
          <w:sz w:val="20"/>
          <w:szCs w:val="20"/>
          <w:color w:val="auto"/>
        </w:rPr>
        <w:t>” means, as applicable, any of the foregoing.</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of America, the Bankruptcy and Insolvency Act (Canada), the Winding-Up and Restructuring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which with the passage of time, the giving of notice or any other condition, would constitute an Event of Default.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5.15(b)</w:t>
      </w:r>
      <w:r>
        <w:rPr>
          <w:rFonts w:ascii="Arial" w:cs="Arial" w:eastAsia="Arial" w:hAnsi="Arial"/>
          <w:sz w:val="18"/>
          <w:szCs w:val="18"/>
          <w:color w:val="auto"/>
        </w:rPr>
        <w:t>, any Lender that (a) has failed to (i) fund all or any portion of the Revolving Credit Loans or any Term Loan required to be funded by it hereunder within two Business Days of the date such Loans were required to be funded hereunder unless such Lender notifies the Administrative Agent and Centuri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any Swingline Lender or any other Lender any other amount required to be paid by it hereunder (including in respect of its participation in Letters of Credit or Swingline Loans) within two Business Days of the date when due, (b) has notified Centuri, the Administrative Agent, any Issuing Lender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Centuri, to confirm in writing to the Administrative Agent and Centuri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5" w:name="page86"/>
    <w:bookmarkEnd w:id="85"/>
    <w:p>
      <w:pPr>
        <w:jc w:val="both"/>
        <w:spacing w:after="0" w:line="268" w:lineRule="auto"/>
        <w:rPr>
          <w:sz w:val="20"/>
          <w:szCs w:val="20"/>
          <w:color w:val="auto"/>
        </w:rPr>
      </w:pPr>
      <w:r>
        <w:rPr>
          <w:rFonts w:ascii="Arial" w:cs="Arial" w:eastAsia="Arial" w:hAnsi="Arial"/>
          <w:sz w:val="18"/>
          <w:szCs w:val="18"/>
          <w:color w:val="auto"/>
        </w:rPr>
        <w:t xml:space="preserve">by the Administrative Agent and Centuri),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CDIC, the FDIC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w:t>
      </w:r>
    </w:p>
    <w:p>
      <w:pPr>
        <w:spacing w:after="0" w:line="1" w:lineRule="exact"/>
        <w:rPr>
          <w:sz w:val="20"/>
          <w:szCs w:val="20"/>
          <w:color w:val="auto"/>
        </w:rPr>
      </w:pPr>
    </w:p>
    <w:p>
      <w:pPr>
        <w:jc w:val="both"/>
        <w:ind w:firstLine="8"/>
        <w:spacing w:after="0" w:line="241" w:lineRule="auto"/>
        <w:tabs>
          <w:tab w:leader="none" w:pos="304"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above shall be conclusive and binding absent manifest error, and such Lender shall be deemed to be a Defaulting Lender (subject to </w:t>
      </w:r>
      <w:r>
        <w:rPr>
          <w:rFonts w:ascii="Arial" w:cs="Arial" w:eastAsia="Arial" w:hAnsi="Arial"/>
          <w:sz w:val="20"/>
          <w:szCs w:val="20"/>
          <w:u w:val="single" w:color="auto"/>
          <w:color w:val="auto"/>
        </w:rPr>
        <w:t>Section 5.15(b)</w:t>
      </w:r>
      <w:r>
        <w:rPr>
          <w:rFonts w:ascii="Arial" w:cs="Arial" w:eastAsia="Arial" w:hAnsi="Arial"/>
          <w:sz w:val="20"/>
          <w:szCs w:val="20"/>
          <w:color w:val="auto"/>
        </w:rPr>
        <w:t>) upon delivery of written notice of such determination to Centuri, each Issuing Lender, each Swingline Lender and each Lender.</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xml:space="preserve">”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scheduled payment of dividends in cash or (d) are or become convertible into or exchangeable for Indebtedness or any other Equity Interests that would constitute Disqualified Equity Interests, in each case, prior to the date that is 91 days after the Term Loan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Equity Interests are issued pursuant to a plan for the benefit of the Consolidated Companies or by any such plan to such employees, such Equity Interests shall not constitute Disqualified Equity Interests solely because they may be required to be repurchased by the Consolidated Companies in order to satisfy applicable statutory or regulatory obligations.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Amount</w:t>
      </w:r>
      <w:r>
        <w:rPr>
          <w:rFonts w:ascii="Arial" w:cs="Arial" w:eastAsia="Arial" w:hAnsi="Arial"/>
          <w:sz w:val="20"/>
          <w:szCs w:val="20"/>
          <w:color w:val="auto"/>
        </w:rPr>
        <w:t>” means, with respect to any sum expressed in Canadian Dollars, the amount of Dollars which is equivalent to the amount so expressed in Canadian Dollars at the Spot Rate determined by the Administrative Agent to be available to it at the relevant time (including on each Revaluation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unless otherwise qualified, dollars in lawful currency of the United States.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Drum</w:t>
      </w:r>
      <w:r>
        <w:rPr>
          <w:rFonts w:ascii="Arial" w:cs="Arial" w:eastAsia="Arial" w:hAnsi="Arial"/>
          <w:sz w:val="20"/>
          <w:szCs w:val="20"/>
          <w:color w:val="auto"/>
        </w:rPr>
        <w:t>” means Drum Parent, Inc., a Delaware corporation.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Drum Acquisition</w:t>
      </w:r>
      <w:r>
        <w:rPr>
          <w:rFonts w:ascii="Arial" w:cs="Arial" w:eastAsia="Arial" w:hAnsi="Arial"/>
          <w:sz w:val="20"/>
          <w:szCs w:val="20"/>
          <w:color w:val="auto"/>
        </w:rPr>
        <w:t>” means the acquisition of Drum and its Subsidiaries pursuant to the Drum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Drum Material Adverse Effect</w:t>
      </w:r>
      <w:r>
        <w:rPr>
          <w:rFonts w:ascii="Arial" w:cs="Arial" w:eastAsia="Arial" w:hAnsi="Arial"/>
          <w:sz w:val="20"/>
          <w:szCs w:val="20"/>
          <w:color w:val="auto"/>
        </w:rPr>
        <w:t>” means a “Material Adverse Effect”, as defined in the Drum Merger Agreement.</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Drum Merger Agreement</w:t>
      </w:r>
      <w:r>
        <w:rPr>
          <w:rFonts w:ascii="Arial" w:cs="Arial" w:eastAsia="Arial" w:hAnsi="Arial"/>
          <w:sz w:val="19"/>
          <w:szCs w:val="19"/>
          <w:color w:val="auto"/>
        </w:rPr>
        <w:t>” means that certain Agreement and Plan of Merger effective as of June 28, 2021, by and among Drum, Electric T&amp;D Holdings LLC, as buyer, Centuri, ETDH Merger Sub, Inc. and OCM Drum Investors, L.P., as representative of the stockholders and optionholders of Drum immediately prior to the Drum Acquisition, as sellers, together with all schedules and exhibits thereto and as the same may be amended, restated, supplemented or otherwise modified from time to time prior to the Closing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if the then-current Benchmark is USD LIBOR, the occurrence of:</w:t>
      </w:r>
    </w:p>
    <w:p>
      <w:pPr>
        <w:spacing w:after="0" w:line="216" w:lineRule="exact"/>
        <w:rPr>
          <w:sz w:val="20"/>
          <w:szCs w:val="20"/>
          <w:color w:val="auto"/>
        </w:rPr>
      </w:pPr>
    </w:p>
    <w:p>
      <w:pPr>
        <w:jc w:val="both"/>
        <w:ind w:firstLine="656"/>
        <w:spacing w:after="0" w:line="282" w:lineRule="auto"/>
        <w:tabs>
          <w:tab w:leader="none" w:pos="12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Centuri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61" w:lineRule="exact"/>
        <w:rPr>
          <w:rFonts w:ascii="Arial" w:cs="Arial" w:eastAsia="Arial" w:hAnsi="Arial"/>
          <w:sz w:val="18"/>
          <w:szCs w:val="18"/>
          <w:color w:val="auto"/>
        </w:rPr>
      </w:pPr>
    </w:p>
    <w:p>
      <w:pPr>
        <w:ind w:firstLine="656"/>
        <w:spacing w:after="0" w:line="260" w:lineRule="auto"/>
        <w:tabs>
          <w:tab w:leader="none" w:pos="1284"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Centuri to trigger a fallback from USD LIBOR and the provision by the Administrative Agent of written notice of such election to the Lenders.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Percentage</w:t>
      </w:r>
      <w:r>
        <w:rPr>
          <w:rFonts w:ascii="Arial" w:cs="Arial" w:eastAsia="Arial" w:hAnsi="Arial"/>
          <w:sz w:val="20"/>
          <w:szCs w:val="20"/>
          <w:color w:val="auto"/>
        </w:rPr>
        <w:t>” means, with respect to any Fiscal Year, (a) 50%, if the Consolidated Net Leverage Ratio at the end of such Fiscal Year is greater than 4.00 to 1.00, (b) 25%, if the Consolidated Net Leverage Ratio at the end of such Fiscal Year is greater than to 3.50 to 1.00 but less than or equal to 4.00 to 1.00 and (c) 0%, if the Consolidated Net Leverage Ratio at the end of such Fiscal Year is less than or equal to 3.50 to 1.00.</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Record</w:t>
      </w:r>
      <w:r>
        <w:rPr>
          <w:rFonts w:ascii="Arial" w:cs="Arial" w:eastAsia="Arial" w:hAnsi="Arial"/>
          <w:sz w:val="19"/>
          <w:szCs w:val="19"/>
          <w:color w:val="auto"/>
        </w:rPr>
        <w:t>” has the meaning assigned to that term in, and shall be interpreted in accordance with, 15 U.S.C. 7006.</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has the meaning assigned to that term in, and shall be interpreted in accordance with, 15 U.S.C. 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7" w:name="page88"/>
    <w:bookmarkEnd w:id="87"/>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12.9(b)(iii)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12.9(b)(iii)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Benefit Plan</w:t>
      </w:r>
      <w:r>
        <w:rPr>
          <w:rFonts w:ascii="Arial" w:cs="Arial" w:eastAsia="Arial" w:hAnsi="Arial"/>
          <w:sz w:val="20"/>
          <w:szCs w:val="20"/>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foreign, state, provincial and local laws, statutes, ordinances, codes, rules, standards and regulations, permits, licenses, approvals, interpretations and orders of courts or Governmental Authorities, relating to the protection of human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and the rules and regulations thereunder.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Person who together with any Credit Party or any of its Subsidiaries is treated as a single employer within the meaning of Section 414(b), (c), (m) or (o) of the Code or Section 4001(b)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11.11(a)</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Deficiency Assignment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Impacted Class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Return Deficiency</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8" w:name="page89"/>
    <w:bookmarkEnd w:id="8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thereto) as in effect from time to time.</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the percentage which is in effect for such day as prescribed by the FRB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passage of time, giving of notice, or any other condition, has been satisfied.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Centuri and its Subsidiaries on a Consolidated basis, in accordance with GAAP for any Fiscal Year:</w:t>
      </w:r>
    </w:p>
    <w:p>
      <w:pPr>
        <w:spacing w:after="0" w:line="239"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Fiscal Year;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jc w:val="both"/>
        <w:ind w:left="660" w:firstLine="644"/>
        <w:spacing w:after="0" w:line="269" w:lineRule="auto"/>
        <w:tabs>
          <w:tab w:leader="none" w:pos="1809"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an amount equal to the amount of all non-cash charges to the extent deducted in determining Consolidated Net Income for such Fiscal Year (excluding any non-cash charges representing an accrual or reserve for a potential cash charge in any future Fiscal Year or amortization of a prepaid cash gain that was paid in a prior Fiscal Year); </w:t>
      </w:r>
      <w:r>
        <w:rPr>
          <w:rFonts w:ascii="Arial" w:cs="Arial" w:eastAsia="Arial" w:hAnsi="Arial"/>
          <w:sz w:val="19"/>
          <w:szCs w:val="19"/>
          <w:u w:val="single" w:color="auto"/>
          <w:color w:val="auto"/>
        </w:rPr>
        <w:t>plus</w:t>
      </w:r>
    </w:p>
    <w:p>
      <w:pPr>
        <w:spacing w:after="0" w:line="169" w:lineRule="exact"/>
        <w:rPr>
          <w:rFonts w:ascii="Arial" w:cs="Arial" w:eastAsia="Arial" w:hAnsi="Arial"/>
          <w:sz w:val="19"/>
          <w:szCs w:val="19"/>
          <w:color w:val="auto"/>
        </w:rPr>
      </w:pPr>
    </w:p>
    <w:p>
      <w:pPr>
        <w:ind w:left="1840" w:hanging="536"/>
        <w:spacing w:after="0"/>
        <w:tabs>
          <w:tab w:leader="none" w:pos="18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decreases in Working Capital for such Fiscal Year,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minus</w:t>
      </w:r>
    </w:p>
    <w:p>
      <w:pPr>
        <w:spacing w:after="0" w:line="21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jc w:val="both"/>
        <w:ind w:left="660" w:firstLine="644"/>
        <w:spacing w:after="0" w:line="255" w:lineRule="auto"/>
        <w:tabs>
          <w:tab w:leader="none" w:pos="1954"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the aggregate amount of cash actually paid by Centuri and its Subsidiaries during such Fiscal Year on account of Capital Expenditures, Permitted Acquisitions and other Investments pursuant to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(but excluding Investments in cash or Cash Equivalents and Investments in Centuri or any Subsidiary) (other than any amounts that were committed during a prior Fiscal Year to the extent such amounts reduced Excess Cash Flow in such prior Fiscal Year per clause (b)(ii) below),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amount of Capital Expenditures deducted under this clause (b)(i) that are financed with long-term Indebtedness, any Equity Issuance, casualty proceeds, condemnation proceeds or other proceeds that would not be included in Consolidated EBITDA in a future period, shall be added to the calculation of Excess Cash Flow in the applicable future period; </w:t>
      </w:r>
      <w:r>
        <w:rPr>
          <w:rFonts w:ascii="Arial" w:cs="Arial" w:eastAsia="Arial" w:hAnsi="Arial"/>
          <w:sz w:val="19"/>
          <w:szCs w:val="19"/>
          <w:u w:val="single" w:color="auto"/>
          <w:color w:val="auto"/>
        </w:rPr>
        <w:t>plus</w:t>
      </w:r>
    </w:p>
    <w:p>
      <w:pPr>
        <w:spacing w:after="0" w:line="189" w:lineRule="exact"/>
        <w:rPr>
          <w:rFonts w:ascii="Arial" w:cs="Arial" w:eastAsia="Arial" w:hAnsi="Arial"/>
          <w:sz w:val="19"/>
          <w:szCs w:val="19"/>
          <w:color w:val="auto"/>
        </w:rPr>
      </w:pPr>
    </w:p>
    <w:p>
      <w:pPr>
        <w:jc w:val="both"/>
        <w:ind w:left="660" w:firstLine="644"/>
        <w:spacing w:after="0" w:line="278" w:lineRule="auto"/>
        <w:tabs>
          <w:tab w:leader="none" w:pos="19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other periods, (A) the aggregate consideration required to be paid in cash by Centuri and its Subsidiaries pursuant to binding contracts, commitments, letters of intent or purchase orders (such amount, the “</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entered into prior to or during such Fiscal Year and (B) any planned cash expenditures by Centuri and its Subsidiaries (such amount, the “</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xml:space="preserve">”), in the case of each of clauses (A) and (B), relating to Permitted Acquisitions, Capital Expenditures and other Investments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(but excluding Investments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89" w:name="page90"/>
    <w:bookmarkEnd w:id="89"/>
    <w:p>
      <w:pPr>
        <w:jc w:val="both"/>
        <w:ind w:left="660"/>
        <w:spacing w:after="0" w:line="270" w:lineRule="auto"/>
        <w:rPr>
          <w:sz w:val="20"/>
          <w:szCs w:val="20"/>
          <w:color w:val="auto"/>
        </w:rPr>
      </w:pPr>
      <w:r>
        <w:rPr>
          <w:rFonts w:ascii="Arial" w:cs="Arial" w:eastAsia="Arial" w:hAnsi="Arial"/>
          <w:sz w:val="18"/>
          <w:szCs w:val="18"/>
          <w:color w:val="auto"/>
        </w:rPr>
        <w:t xml:space="preserve">cash or Cash Equivalents and Investments in Centuri or any Subsidiary) to be consummated or made during the period of four (4) consecutive fiscal quarters of Centuri following the end of such Fiscal Year and identified in writing to the Administrative Agent with reasonable supporting calculations,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the aggregate amount of cash actually utilized to finance such Permitted Acquisitions, Capital Expenditures or other Investments during such following period of four consecutive fiscal quarters is less than such Contract Consideration and Planned Expenditures, the amount of such shortfall shall be added to the calculation of Excess Cash Flow, at the end of such period of four consecutive fiscal quarters;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amount of Contract Consideration and/or Planned Expenditures relating to Capital Expenditures deducted under this clause (b)(ii) that are financed with long-term Indebtedness, any Equity Issuance, casualty proceeds, condemnation proceeds or other proceeds that would not be included in Consolidated EBITDA in a future period, shall be added to the calculation of Excess Cash Flow in the applicable future period;</w:t>
      </w:r>
    </w:p>
    <w:p>
      <w:pPr>
        <w:spacing w:after="0" w:line="176" w:lineRule="exact"/>
        <w:rPr>
          <w:sz w:val="20"/>
          <w:szCs w:val="20"/>
          <w:color w:val="auto"/>
        </w:rPr>
      </w:pPr>
    </w:p>
    <w:p>
      <w:pPr>
        <w:jc w:val="both"/>
        <w:ind w:left="660" w:firstLine="644"/>
        <w:spacing w:after="0" w:line="243" w:lineRule="auto"/>
        <w:tabs>
          <w:tab w:leader="none" w:pos="19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the aggregate amount of all scheduled principal payments or repayments of Indebtedness (other than mandatory prepayments of Loans) made by Centuri and its Subsidiaries during such Fiscal Year, but only to the extent that such payments or repayments by their terms cannot be reborrowed or redrawn and do not occur in connection with a refinancing of all or any portion of such Indebtedness, except to the extent such principal payments are financed with the proceeds of long-term Indebtedness, any Equity Issuance, casualty proceeds, condemnation proceeds or other proceeds that would not be included in Consolidated EBITDA; </w:t>
      </w:r>
      <w:r>
        <w:rPr>
          <w:rFonts w:ascii="Arial" w:cs="Arial" w:eastAsia="Arial" w:hAnsi="Arial"/>
          <w:sz w:val="20"/>
          <w:szCs w:val="20"/>
          <w:u w:val="single" w:color="auto"/>
          <w:color w:val="auto"/>
        </w:rPr>
        <w:t>plus</w:t>
      </w:r>
    </w:p>
    <w:p>
      <w:pPr>
        <w:spacing w:after="0" w:line="195" w:lineRule="exact"/>
        <w:rPr>
          <w:rFonts w:ascii="Arial" w:cs="Arial" w:eastAsia="Arial" w:hAnsi="Arial"/>
          <w:sz w:val="20"/>
          <w:szCs w:val="20"/>
          <w:color w:val="auto"/>
        </w:rPr>
      </w:pPr>
    </w:p>
    <w:p>
      <w:pPr>
        <w:jc w:val="both"/>
        <w:ind w:left="660" w:firstLine="644"/>
        <w:spacing w:after="0" w:line="246" w:lineRule="auto"/>
        <w:tabs>
          <w:tab w:leader="none" w:pos="1945"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the amount of Restricted Payments made by Centuri and its Subsidiaries in cash during such Excess Cash Flow Period pursuant to </w:t>
      </w:r>
      <w:r>
        <w:rPr>
          <w:rFonts w:ascii="Arial" w:cs="Arial" w:eastAsia="Arial" w:hAnsi="Arial"/>
          <w:sz w:val="20"/>
          <w:szCs w:val="20"/>
          <w:u w:val="single" w:color="auto"/>
          <w:color w:val="auto"/>
        </w:rPr>
        <w:t>Section 9.6(e)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w:t>
      </w:r>
      <w:r>
        <w:rPr>
          <w:rFonts w:ascii="Arial" w:cs="Arial" w:eastAsia="Arial" w:hAnsi="Arial"/>
          <w:sz w:val="20"/>
          <w:szCs w:val="20"/>
          <w:color w:val="auto"/>
        </w:rPr>
        <w:t xml:space="preserve">, in each case to the extent that such Restricted Payments are not financed with the proceeds of long-term Indebtedness, any Equity Issuance, casualty proceeds, condemnation proceeds or other proceeds that would not be included in Consolidated EBITDA; </w:t>
      </w:r>
      <w:r>
        <w:rPr>
          <w:rFonts w:ascii="Arial" w:cs="Arial" w:eastAsia="Arial" w:hAnsi="Arial"/>
          <w:sz w:val="20"/>
          <w:szCs w:val="20"/>
          <w:u w:val="single" w:color="auto"/>
          <w:color w:val="auto"/>
        </w:rPr>
        <w:t>plus</w:t>
      </w:r>
    </w:p>
    <w:p>
      <w:pPr>
        <w:spacing w:after="0" w:line="191"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an amount equal to the amount of all non-cash credits to the extent included in determining Consolidated Net Income for such Fiscal Year; </w:t>
      </w:r>
      <w:r>
        <w:rPr>
          <w:rFonts w:ascii="Arial" w:cs="Arial" w:eastAsia="Arial" w:hAnsi="Arial"/>
          <w:sz w:val="20"/>
          <w:szCs w:val="20"/>
          <w:u w:val="single" w:color="auto"/>
          <w:color w:val="auto"/>
        </w:rPr>
        <w:t>plus</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increases to Working Capital for such Fiscal Year.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(15 U.S.C. 78a et seq.).</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(a) each CFC, (b) each Subsidiary that is a direct or indirect Subsidiary of a CFC, (c) each CFC Holdco, (d) any Receivables Subsidiary, (e) any Subsidiary that is not a Wholly Owned Subsidiary if the organizational documents of such Subsidiary prohibit a guaranty by such Subsidiary of the Obligations or the pledge of the Equity Interests of such Subsidiary, and (f) any other Subsidiary with respect to which the Administrative Agent and the Borrower mutually agree that the cost of providing a Guarantee would be excessive in relation to the benefit to be afforded thereby.</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0" w:name="page91"/>
    <w:bookmarkEnd w:id="90"/>
    <w:p>
      <w:pPr>
        <w:jc w:val="both"/>
        <w:spacing w:after="0" w:line="257" w:lineRule="auto"/>
        <w:rPr>
          <w:sz w:val="20"/>
          <w:szCs w:val="20"/>
          <w:color w:val="auto"/>
        </w:rPr>
      </w:pPr>
      <w:r>
        <w:rPr>
          <w:rFonts w:ascii="Arial" w:cs="Arial" w:eastAsia="Arial" w:hAnsi="Arial"/>
          <w:sz w:val="19"/>
          <w:szCs w:val="19"/>
          <w:color w:val="auto"/>
        </w:rPr>
        <w:t>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the keepwell provisions in each applicable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Centuri under </w:t>
      </w:r>
      <w:r>
        <w:rPr>
          <w:rFonts w:ascii="Arial" w:cs="Arial" w:eastAsia="Arial" w:hAnsi="Arial"/>
          <w:sz w:val="18"/>
          <w:szCs w:val="18"/>
          <w:u w:val="single" w:color="auto"/>
          <w:color w:val="auto"/>
        </w:rPr>
        <w:t>Section 5.12(b)</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5.11(g)</w:t>
      </w:r>
      <w:r>
        <w:rPr>
          <w:rFonts w:ascii="Arial" w:cs="Arial" w:eastAsia="Arial" w:hAnsi="Arial"/>
          <w:sz w:val="18"/>
          <w:szCs w:val="18"/>
          <w:color w:val="auto"/>
        </w:rPr>
        <w:t>, (d) any United States federal withholding Taxes imposed under FATCA, and (e) any Canadian withholding Taxes imposed on a Lender by reason of such Lender (i) being a “specified shareholder” (as defined in subsection 18(5) of the ITA) of a Credit Party or (ii) not dealing at arm’s length (for purposes of the ITA) with a “specified shareholder” (as defined in subsection 18(5) of the ITA) of the Credit Party. (except, in the case of (e)(i) or (ii), where any such non-arm’s length or specified shareholder relationship arises solely in connection with or as a result of, any Lender or other Recipient hereunder having become a party to, received or perfected a security interest under, or received, exercised or enforced any rights hereunder or under any other Loan Document).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assigned thereto in the Statement of Purpose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Lenders</w:t>
      </w:r>
      <w:r>
        <w:rPr>
          <w:rFonts w:ascii="Arial" w:cs="Arial" w:eastAsia="Arial" w:hAnsi="Arial"/>
          <w:sz w:val="20"/>
          <w:szCs w:val="20"/>
          <w:color w:val="auto"/>
        </w:rPr>
        <w:t>” has the meaning assigned thereto in the Statement of Purpose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letters of credit existing on the Closing Date and identified on </w:t>
      </w:r>
      <w:r>
        <w:rPr>
          <w:rFonts w:ascii="Arial" w:cs="Arial" w:eastAsia="Arial" w:hAnsi="Arial"/>
          <w:sz w:val="20"/>
          <w:szCs w:val="20"/>
          <w:u w:val="single" w:color="auto"/>
          <w:color w:val="auto"/>
        </w:rPr>
        <w:t>Schedule 1.1(b)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Commitment</w:t>
      </w:r>
      <w:r>
        <w:rPr>
          <w:rFonts w:ascii="Arial" w:cs="Arial" w:eastAsia="Arial" w:hAnsi="Arial"/>
          <w:sz w:val="20"/>
          <w:szCs w:val="20"/>
          <w:color w:val="auto"/>
        </w:rPr>
        <w:t xml:space="preserve">” means any Class of Revolving Credit Commitments the maturity of which shall have been extended pursuant to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Loans</w:t>
      </w:r>
      <w:r>
        <w:rPr>
          <w:rFonts w:ascii="Arial" w:cs="Arial" w:eastAsia="Arial" w:hAnsi="Arial"/>
          <w:sz w:val="20"/>
          <w:szCs w:val="20"/>
          <w:color w:val="auto"/>
        </w:rPr>
        <w:t>” means any Revolving Credit Loans made pursuant to the Extended Revolving Credit Commitments.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means any Class of Term Loans the maturity of which shall have been extended pursuant to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5.19(a)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means an amendment to this Agreement (which may, at the option of the Administrative Agent and the Borrowers, be in the form of an amendment and restatement of this Agreement) among the Credit Parties, the applicable extending Lenders, the Administrative Agent and, to the extent required by </w:t>
      </w:r>
      <w:r>
        <w:rPr>
          <w:rFonts w:ascii="Arial" w:cs="Arial" w:eastAsia="Arial" w:hAnsi="Arial"/>
          <w:sz w:val="20"/>
          <w:szCs w:val="20"/>
          <w:u w:val="single" w:color="auto"/>
          <w:color w:val="auto"/>
        </w:rPr>
        <w:t>Section 5.19</w:t>
      </w:r>
      <w:r>
        <w:rPr>
          <w:rFonts w:ascii="Arial" w:cs="Arial" w:eastAsia="Arial" w:hAnsi="Arial"/>
          <w:sz w:val="20"/>
          <w:szCs w:val="20"/>
          <w:color w:val="auto"/>
        </w:rPr>
        <w:t xml:space="preserve">, the Issuing Lenders and/or the Swingline Lender implementing an Extension in accordance with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5.19(a)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w:t>
      </w:r>
    </w:p>
    <w:p>
      <w:pPr>
        <w:spacing w:after="0" w:line="1" w:lineRule="exact"/>
        <w:rPr>
          <w:sz w:val="20"/>
          <w:szCs w:val="20"/>
          <w:color w:val="auto"/>
        </w:rPr>
      </w:pPr>
    </w:p>
    <w:p>
      <w:pPr>
        <w:ind w:firstLine="8"/>
        <w:spacing w:after="0" w:line="244" w:lineRule="auto"/>
        <w:tabs>
          <w:tab w:leader="none" w:pos="339"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aggregate principal amount of the Term Loans made by such Lender then outstanding, or (b) the making of any Loan or participation in any Letter of Credit by such Lender, as the context requires.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and related legislation or official administrative rules or regulations with respect thereto.</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FCA</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FDIC</w:t>
      </w:r>
      <w:r>
        <w:rPr>
          <w:rFonts w:ascii="Arial" w:cs="Arial" w:eastAsia="Arial" w:hAnsi="Arial"/>
          <w:sz w:val="20"/>
          <w:szCs w:val="20"/>
          <w:color w:val="auto"/>
        </w:rPr>
        <w:t>” means the Federal Deposit Insurance Corporation.</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per annum equal to the weighted average of the rates on overnight federal funds transactions with members of the Federal Reserve System on such day (or, if such day is not a Business Day, for the immediately preceding Business Day), as published by the Federal Reserve Bank of New York on the Business Day next succeeding such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the foregoing, if the Federal Funds Rate shall be less than zero, such rate shall be deemed to be zero for the purposes of this Agreement.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means (a) that certain Wells Fargo Fee Letter dated as of July 13, 2021, amongst Centuri, Wells Fargo Securities, LLC and Wells Fargo, (b) that certain Joint Fee Letter dated as of July 13, 2021 amongst the Borrowers, the Arrangers, Wells Fargo, Bank of America, N.A., Canadian Imperial Bank of Commerce, PNC Bank, National Association, Truist Bank, U.S. Bank National Association and Bank of Montreal (c) any letter between one or more of the Borrowers and any Issuing Lender (other than Wells Fargo) relating to certain fees payable to such Issuing Lender in its capacity as such, in each case,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any CFC or CFC Holdco the Equity Interests of which are owned directly by any US Credit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Party.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Consolidated Companies ending on December 31.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xml:space="preserve">” means, (i) with respect to the Initial Term Loan Facility, 0.50%, (ii) with respect to any Incremental Term Loan, Refinancing Term Loan or Extended Term Loan, the applicable floor determined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w:t>
      </w:r>
      <w:r>
        <w:rPr>
          <w:rFonts w:ascii="Arial" w:cs="Arial" w:eastAsia="Arial" w:hAnsi="Arial"/>
          <w:sz w:val="20"/>
          <w:szCs w:val="20"/>
          <w:u w:val="single" w:color="auto"/>
          <w:color w:val="auto"/>
        </w:rPr>
        <w:t>5.18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5.19</w:t>
      </w:r>
      <w:r>
        <w:rPr>
          <w:rFonts w:ascii="Arial" w:cs="Arial" w:eastAsia="Arial" w:hAnsi="Arial"/>
          <w:sz w:val="20"/>
          <w:szCs w:val="20"/>
          <w:color w:val="auto"/>
        </w:rPr>
        <w:t>, as applicable, and (iii) for any purpose other than as specified in clause (i), 0%.</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with respect to the US Borrowers, a Lender that is not a U.S. Person, and (b) with respect to the Canadian Borrowers, a Lender that is resident or organized under the laws of a jurisdiction other than that in which the Canadian Borrowers are resident for tax purposes.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US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any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Approvals</w:t>
      </w:r>
      <w:r>
        <w:rPr>
          <w:rFonts w:ascii="Arial" w:cs="Arial" w:eastAsia="Arial" w:hAnsi="Arial"/>
          <w:sz w:val="20"/>
          <w:szCs w:val="20"/>
          <w:color w:val="auto"/>
        </w:rPr>
        <w:t>” means all authorizations, consents, approvals, permits, licenses and exemptions of, and all registrations and filings with or issued by, any Governmental Authorities.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Canada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of or by any Person (the “</w:t>
      </w:r>
      <w:r>
        <w:rPr>
          <w:rFonts w:ascii="Arial" w:cs="Arial" w:eastAsia="Arial" w:hAnsi="Arial"/>
          <w:sz w:val="20"/>
          <w:szCs w:val="20"/>
          <w:u w:val="single" w:color="auto"/>
          <w:color w:val="auto"/>
        </w:rPr>
        <w:t>guarantor</w:t>
      </w:r>
      <w:r>
        <w:rPr>
          <w:rFonts w:ascii="Arial" w:cs="Arial" w:eastAsia="Arial" w:hAnsi="Arial"/>
          <w:sz w:val="20"/>
          <w:szCs w:val="20"/>
          <w:color w:val="auto"/>
        </w:rPr>
        <w:t>”) means any obligation, contingent or otherwise, of the guarantor guaranteeing or having the economic effect of guaranteeing any Indebtedness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3" w:name="page94"/>
    <w:bookmarkEnd w:id="93"/>
    <w:p>
      <w:pPr>
        <w:jc w:val="both"/>
        <w:spacing w:after="0" w:line="256" w:lineRule="auto"/>
        <w:rPr>
          <w:sz w:val="20"/>
          <w:szCs w:val="20"/>
          <w:color w:val="auto"/>
        </w:rPr>
      </w:pPr>
      <w:r>
        <w:rPr>
          <w:rFonts w:ascii="Arial" w:cs="Arial" w:eastAsia="Arial" w:hAnsi="Arial"/>
          <w:sz w:val="19"/>
          <w:szCs w:val="19"/>
          <w:color w:val="auto"/>
        </w:rPr>
        <w:t>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assuming in any other manner the obligee in respect of such Indebtedness or other obligation of the payment or performance thereof or to protect such obligee against loss in respect thereof (whether in whole or in part).</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Agreements</w:t>
      </w:r>
      <w:r>
        <w:rPr>
          <w:rFonts w:ascii="Arial" w:cs="Arial" w:eastAsia="Arial" w:hAnsi="Arial"/>
          <w:sz w:val="20"/>
          <w:szCs w:val="20"/>
          <w:color w:val="auto"/>
        </w:rPr>
        <w:t>” means, collectively, the US Credit Party Guaranty Agreement and the Canadian Credit Party Guarantee Agreement.</w:t>
      </w:r>
    </w:p>
    <w:p>
      <w:pPr>
        <w:spacing w:after="0" w:line="17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by a Governmental Authority to constitute a nuisance or a trespass which pose a health or safety hazard to Persons or neighboring properties, (f) which consist of underground or aboveground storage tanks, whether empty, filled or partially filled with any substance or (g) which contain, without limitation, asbestos, polychlorinated biphenyls, urea formaldehyde foam insulation, petroleum hydrocarbons, petroleum derived substances or waste, crude oil, nuclear fuel, natural gas or synthetic gas.</w:t>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Agreement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means any US Hedge Bank or Canadian Hedge Bank.</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Termination Value</w:t>
      </w:r>
      <w:r>
        <w:rPr>
          <w:rFonts w:ascii="Arial" w:cs="Arial" w:eastAsia="Arial" w:hAnsi="Arial"/>
          <w:sz w:val="19"/>
          <w:szCs w:val="19"/>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4" w:name="page95"/>
    <w:bookmarkEnd w:id="94"/>
    <w:p>
      <w:pPr>
        <w:jc w:val="both"/>
        <w:ind w:right="20"/>
        <w:spacing w:after="0" w:line="260" w:lineRule="auto"/>
        <w:rPr>
          <w:sz w:val="20"/>
          <w:szCs w:val="20"/>
          <w:color w:val="auto"/>
        </w:rPr>
      </w:pPr>
      <w:r>
        <w:rPr>
          <w:rFonts w:ascii="Arial" w:cs="Arial" w:eastAsia="Arial" w:hAnsi="Arial"/>
          <w:sz w:val="20"/>
          <w:szCs w:val="20"/>
          <w:color w:val="auto"/>
        </w:rPr>
        <w:t>such Hedge Agreements, as determined based upon one or more mid-market or other readily available quotations provided by any recognized dealer in such Hedge Agreements (which may include a Lender or any Affiliate of a Lender).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IBA</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any Subsidiary designated in writing by Centuri to the Administrative Agent as an Immaterial Subsidiary that is not already a Credit Party and that does not, as of the last day of the most recently completed period of four (4) consecutive fiscal quarters for which Centuri has delivered financial statements pursuant to </w:t>
      </w:r>
      <w:r>
        <w:rPr>
          <w:rFonts w:ascii="Arial" w:cs="Arial" w:eastAsia="Arial" w:hAnsi="Arial"/>
          <w:sz w:val="18"/>
          <w:szCs w:val="18"/>
          <w:u w:val="single" w:color="auto"/>
          <w:color w:val="auto"/>
        </w:rPr>
        <w:t>Section 6.1(e)(i)</w:t>
      </w:r>
      <w:r>
        <w:rPr>
          <w:rFonts w:ascii="Arial" w:cs="Arial" w:eastAsia="Arial" w:hAnsi="Arial"/>
          <w:sz w:val="18"/>
          <w:szCs w:val="18"/>
          <w:color w:val="auto"/>
        </w:rPr>
        <w:t xml:space="preserve">, </w:t>
      </w:r>
      <w:r>
        <w:rPr>
          <w:rFonts w:ascii="Arial" w:cs="Arial" w:eastAsia="Arial" w:hAnsi="Arial"/>
          <w:sz w:val="18"/>
          <w:szCs w:val="18"/>
          <w:u w:val="single" w:color="auto"/>
          <w:color w:val="auto"/>
        </w:rPr>
        <w:t>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8.1(b)</w:t>
      </w:r>
      <w:r>
        <w:rPr>
          <w:rFonts w:ascii="Arial" w:cs="Arial" w:eastAsia="Arial" w:hAnsi="Arial"/>
          <w:sz w:val="18"/>
          <w:szCs w:val="18"/>
          <w:color w:val="auto"/>
        </w:rPr>
        <w:t xml:space="preserve">, as applicable, have assets with a value in excess of 2.0% of the Consolidated Total Assets of the Consolidated Companies and did not, as of such period, have revenues exceeding 2.0% of the Consolidated revenues of the Consolidated Companies;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such Subsidiary shall have been designated in writing by Centuri to the Administrative Agent as an Immaterial Subsidiary, and (b) if (i) the aggregate total assets then owned by all Subsidiaries of Centuri that would otherwise constitute Immaterial Subsidiaries shall have an aggregate value in excess of 5.0% of the Consolidated Total Assets of the Consolidated Companies as of the last day of such fiscal quarter or (ii) the combined revenues of all Subsidiaries of Centuri that would otherwise constitute Immaterial Subsidiaries shall exceed 5.0% of the Consolidated revenues of the Consolidated Companies for such four-quarter period, Centuri shall re-designate one or more of such Subsidiaries to not be Immaterial Subsidiaries within ten (10) Business Days after delivery of the Officer’s Compliance Certificate for such fiscal quarter such that only those such Subsidiaries as shall then have aggregate assets of less than 5.0% of the Consolidated Total Assets of the Consolidated Companies and combined revenues of less than 5.0% of the Consolidated revenues of the Consolidated Companies shall constitute Immaterial Subsidiaries. Notwithstanding the foregoing, in no event shall (A) any Subsidiary that owns a majority of the Equity Interests of a Material Subsidiary, (B) any Wholly-Owned US Subsidiary that owns, or otherwise licenses or has the right to use, trademarks and other intellectual property material to the operation of the Consolidated Companies or (C) any Subsidiary that is an obligor or guarantor of any Indebtedness of any Credit Party or any Subsidiary thereof in excess of the Threshold Amount, in any such case be designated as an Immaterial Subsidiary. Notwithstanding the foregoing, in no event shall any Subsidiary that is an obligor or guarantor of any Refinancing Debt, Junior Indebtedness or Incremental Equivalent Indebtedness be permitted to be designated as an “Immaterial Subsidiary” hereunder.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Indebtedness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9.1(m)</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Increases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Credit Facility Increase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xml:space="preserve">” means the commitment of any Lender to make an Incremental Term Loan to a Borrower in accordance with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any Person at any date and without duplication, the sum of the following:</w:t>
      </w:r>
    </w:p>
    <w:p>
      <w:pPr>
        <w:spacing w:after="0" w:line="216" w:lineRule="exact"/>
        <w:rPr>
          <w:sz w:val="20"/>
          <w:szCs w:val="20"/>
          <w:color w:val="auto"/>
        </w:rPr>
      </w:pPr>
    </w:p>
    <w:p>
      <w:pPr>
        <w:ind w:left="660" w:hanging="166"/>
        <w:spacing w:after="0" w:line="260" w:lineRule="auto"/>
        <w:tabs>
          <w:tab w:leader="none" w:pos="1298"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 liabilities, obligations and indebtedness for borrowed money including, but not limited to, obligations evidenced by bonds, debentures, notes or other similar instruments of any such Person;</w:t>
      </w:r>
    </w:p>
    <w:p>
      <w:pPr>
        <w:spacing w:after="0" w:line="176" w:lineRule="exact"/>
        <w:rPr>
          <w:rFonts w:ascii="Arial" w:cs="Arial" w:eastAsia="Arial" w:hAnsi="Arial"/>
          <w:sz w:val="20"/>
          <w:szCs w:val="20"/>
          <w:color w:val="auto"/>
        </w:rPr>
      </w:pPr>
    </w:p>
    <w:p>
      <w:pPr>
        <w:jc w:val="both"/>
        <w:ind w:left="660" w:firstLine="644"/>
        <w:spacing w:after="0" w:line="282" w:lineRule="auto"/>
        <w:tabs>
          <w:tab w:leader="none" w:pos="19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w:t>
      </w:r>
    </w:p>
    <w:p>
      <w:pPr>
        <w:spacing w:after="0" w:line="161" w:lineRule="exact"/>
        <w:rPr>
          <w:rFonts w:ascii="Arial" w:cs="Arial" w:eastAsia="Arial" w:hAnsi="Arial"/>
          <w:sz w:val="18"/>
          <w:szCs w:val="18"/>
          <w:color w:val="auto"/>
        </w:rPr>
      </w:pPr>
    </w:p>
    <w:p>
      <w:pPr>
        <w:ind w:left="660" w:firstLine="644"/>
        <w:spacing w:after="0" w:line="260" w:lineRule="auto"/>
        <w:tabs>
          <w:tab w:leader="none" w:pos="1946"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Attributable Indebtedness of such Person with respect to such Person’s Capital Lease Obligations and Synthetic Leases (regardless of whether accounted for as indebtedness under GAAP);</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44"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85" w:lineRule="exact"/>
        <w:rPr>
          <w:rFonts w:ascii="Arial" w:cs="Arial" w:eastAsia="Arial" w:hAnsi="Arial"/>
          <w:sz w:val="20"/>
          <w:szCs w:val="20"/>
          <w:color w:val="auto"/>
        </w:rPr>
      </w:pPr>
    </w:p>
    <w:p>
      <w:pPr>
        <w:jc w:val="both"/>
        <w:ind w:left="660" w:right="20" w:firstLine="644"/>
        <w:spacing w:after="0" w:line="291" w:lineRule="auto"/>
        <w:tabs>
          <w:tab w:leader="none" w:pos="19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151" w:lineRule="exact"/>
        <w:rPr>
          <w:rFonts w:ascii="Arial" w:cs="Arial" w:eastAsia="Arial" w:hAnsi="Arial"/>
          <w:sz w:val="18"/>
          <w:szCs w:val="18"/>
          <w:color w:val="auto"/>
        </w:rPr>
      </w:pPr>
    </w:p>
    <w:p>
      <w:pPr>
        <w:jc w:val="both"/>
        <w:ind w:left="660" w:firstLine="644"/>
        <w:spacing w:after="0" w:line="250" w:lineRule="auto"/>
        <w:tabs>
          <w:tab w:leader="none" w:pos="1951"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obligations of any such Person in respect of Disqualified Equity Interests;</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net obligations of such Person under any Hedge Agreements; and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Guarantees of any such Person with respect to any of the foregoing.</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Hedge Agreement on any date shall be deemed to be the Hedge Termination Value thereof as of such date. In respect of Indebtedness of another Person secured by a Lien on the assets of the specified Person, the amount of such Indebtedness as of any date of determination will be the lesser of (x) the fair market value of such assets as of such date and (y) the amount of such Indebtedness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6" w:name="page97"/>
    <w:bookmarkEnd w:id="96"/>
    <w:p>
      <w:pPr>
        <w:jc w:val="both"/>
        <w:ind w:right="2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12.3(b)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12.10</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the term loan denominated in Dollars made to Centuri, by the Term Loan Lenders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and Condemnation Event</w:t>
      </w:r>
      <w:r>
        <w:rPr>
          <w:rFonts w:ascii="Arial" w:cs="Arial" w:eastAsia="Arial" w:hAnsi="Arial"/>
          <w:sz w:val="20"/>
          <w:szCs w:val="20"/>
          <w:color w:val="auto"/>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LIBOR Rate Loan or CDOR Rate Loan, the period commencing on the date such LIBOR Rate Loan and CDOR Rate Loan is disbursed or converted to or continued as a LIBOR Rate Loan or CDOR Rate Loan and ending on the date that is (x) with respect to LIBOR Rate Loans, one (1), three (3) or six (6) months thereafter and (y) with respect to CDOR Rate Loans, one (1), two (2) or three (3) months thereafter, in each case as selected by the applicable Borrower in its Notice of Borrowing or Notice of Conversion/Continuation and subject to availability;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4" w:lineRule="exact"/>
        <w:rPr>
          <w:sz w:val="20"/>
          <w:szCs w:val="20"/>
          <w:color w:val="auto"/>
        </w:rPr>
      </w:pPr>
    </w:p>
    <w:p>
      <w:pPr>
        <w:jc w:val="both"/>
        <w:ind w:left="660" w:firstLine="644"/>
        <w:spacing w:after="0" w:line="250" w:lineRule="auto"/>
        <w:tabs>
          <w:tab w:leader="none" w:pos="1946"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Interest Period shall commence on the date of advance of or conversion to any LIBOR Rate Loan or CDOR Rate Loan and, in the case of immediately successive Interest Periods, each successive Interest Period shall commence on the date on which the immediately preceding Interest Period expires;</w:t>
      </w:r>
    </w:p>
    <w:p>
      <w:pPr>
        <w:spacing w:after="0" w:line="185" w:lineRule="exact"/>
        <w:rPr>
          <w:rFonts w:ascii="Arial" w:cs="Arial" w:eastAsia="Arial" w:hAnsi="Arial"/>
          <w:sz w:val="20"/>
          <w:szCs w:val="20"/>
          <w:color w:val="auto"/>
        </w:rPr>
      </w:pPr>
    </w:p>
    <w:p>
      <w:pPr>
        <w:jc w:val="both"/>
        <w:ind w:left="660" w:firstLine="644"/>
        <w:spacing w:after="0" w:line="263" w:lineRule="auto"/>
        <w:tabs>
          <w:tab w:leader="none" w:pos="19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if any Interest Period would otherwise expire on a day that is not a Business Day, such Interest Period shall expire on the next succeeding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Interest Period with respect to a LIBOR Rate Loan or CDOR Rate Loan would otherwise expire on a day that is not a Business Day but is a day of the month after which no further Business Day occurs in such month, such Interest Period shall expire on the immediately preceding Business Day;</w:t>
      </w:r>
    </w:p>
    <w:p>
      <w:pPr>
        <w:spacing w:after="0" w:line="176" w:lineRule="exact"/>
        <w:rPr>
          <w:rFonts w:ascii="Arial" w:cs="Arial" w:eastAsia="Arial" w:hAnsi="Arial"/>
          <w:sz w:val="19"/>
          <w:szCs w:val="19"/>
          <w:color w:val="auto"/>
        </w:rPr>
      </w:pPr>
    </w:p>
    <w:p>
      <w:pPr>
        <w:jc w:val="both"/>
        <w:ind w:left="660" w:firstLine="644"/>
        <w:spacing w:after="0" w:line="269" w:lineRule="auto"/>
        <w:tabs>
          <w:tab w:leader="none" w:pos="1946"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Interest Period with respect to a LIBOR Rate Loan or CDOR Rate Loan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69" w:lineRule="exact"/>
        <w:rPr>
          <w:rFonts w:ascii="Arial" w:cs="Arial" w:eastAsia="Arial" w:hAnsi="Arial"/>
          <w:sz w:val="19"/>
          <w:szCs w:val="19"/>
          <w:color w:val="auto"/>
        </w:rPr>
      </w:pPr>
    </w:p>
    <w:p>
      <w:pPr>
        <w:jc w:val="both"/>
        <w:ind w:left="660" w:firstLine="644"/>
        <w:spacing w:after="0" w:line="269" w:lineRule="auto"/>
        <w:tabs>
          <w:tab w:leader="none" w:pos="19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no Interest Period shall extend beyond the Revolving Credit Maturity Date or the Term Loan Maturity Date, as applicable, and Interest Periods shall be selected by the applicable Borrower so as to permit such Borrower to make the quarterly principal installment payments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without payment of any amounts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and</w:t>
      </w:r>
    </w:p>
    <w:p>
      <w:pPr>
        <w:spacing w:after="0" w:line="169" w:lineRule="exact"/>
        <w:rPr>
          <w:rFonts w:ascii="Arial" w:cs="Arial" w:eastAsia="Arial" w:hAnsi="Arial"/>
          <w:sz w:val="19"/>
          <w:szCs w:val="19"/>
          <w:color w:val="auto"/>
        </w:rPr>
      </w:pPr>
    </w:p>
    <w:p>
      <w:pPr>
        <w:ind w:left="1940" w:hanging="636"/>
        <w:spacing w:after="0"/>
        <w:tabs>
          <w:tab w:leader="none" w:pos="19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there shall be no more than sixteen (16) Interest Periods in effect at any time.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Interstate Commerce Act</w:t>
      </w:r>
      <w:r>
        <w:rPr>
          <w:rFonts w:ascii="Arial" w:cs="Arial" w:eastAsia="Arial" w:hAnsi="Arial"/>
          <w:sz w:val="20"/>
          <w:szCs w:val="20"/>
          <w:color w:val="auto"/>
        </w:rPr>
        <w:t>” means the body of law commonly known as the Interstate Commerce Act (49 U.S.C §§ 1 et 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7" w:name="page98"/>
    <w:bookmarkEnd w:id="9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 means the Investment Company Act of 1940 (15 U.S.C. § 80(a)(1), et seq.).</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ISP98</w:t>
      </w:r>
      <w:r>
        <w:rPr>
          <w:rFonts w:ascii="Arial" w:cs="Arial" w:eastAsia="Arial" w:hAnsi="Arial"/>
          <w:sz w:val="20"/>
          <w:szCs w:val="20"/>
          <w:color w:val="auto"/>
        </w:rPr>
        <w:t>” means the International Standby Practices (1998 Revision, effective January 1, 1999), International Chamber of Commerce Publication No. 590.</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Lenders</w:t>
      </w:r>
      <w:r>
        <w:rPr>
          <w:rFonts w:ascii="Arial" w:cs="Arial" w:eastAsia="Arial" w:hAnsi="Arial"/>
          <w:sz w:val="20"/>
          <w:szCs w:val="20"/>
          <w:color w:val="auto"/>
        </w:rPr>
        <w:t xml:space="preserve">” means (a) Wells Fargo, solely in its capacity as issuer of US Letters of Credit, (b) CIBC, solely in its capacity as issuer of Canadian Letters of Credit, (c) solely with respect to Existing Letters of Credit, the applicable issuer thereof listed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1.1(b)</w:t>
      </w:r>
      <w:r>
        <w:rPr>
          <w:rFonts w:ascii="Arial" w:cs="Arial" w:eastAsia="Arial" w:hAnsi="Arial"/>
          <w:sz w:val="20"/>
          <w:szCs w:val="20"/>
          <w:color w:val="auto"/>
        </w:rPr>
        <w:t xml:space="preserve"> and (d) any other Revolving Credit Lender to the extent it has agreed, in its sole discretion, to act as an “Issuing Lender” hereunder and that has been approved in writing by Centuri and the Administrative Agent (such approval by the Administrative Agent not to be unreasonably delayed or withheld), in each case in its capacity as issuer of any Letter of Credit (including each Existing Letter of Credit) hereunder or any successor thereto.</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means the Income Tax Act (Canada), as amended from time to time.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Indebtedness</w:t>
      </w:r>
      <w:r>
        <w:rPr>
          <w:rFonts w:ascii="Arial" w:cs="Arial" w:eastAsia="Arial" w:hAnsi="Arial"/>
          <w:sz w:val="20"/>
          <w:szCs w:val="20"/>
          <w:color w:val="auto"/>
        </w:rPr>
        <w:t>” means, with respect to Centuri and its Subsidiaries, any (a) Subordinated Indebtedness, (b) Indebtedness secured by Liens that are junior to the Liens securing the Secured Obligations and (c) unsecured Indebtedness (excluding intercompany Indebtedness) with an aggregate outstanding principal amount in excess of the Threshold Amount.</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Commitment</w:t>
      </w:r>
      <w:r>
        <w:rPr>
          <w:rFonts w:ascii="Arial" w:cs="Arial" w:eastAsia="Arial" w:hAnsi="Arial"/>
          <w:sz w:val="20"/>
          <w:szCs w:val="20"/>
          <w:color w:val="auto"/>
        </w:rPr>
        <w:t xml:space="preserve">” means, as to any Issuing Lender, the obligation of such Issuing Lender to issue Letters of Credit for the account of the Borrowers or one or more of their respective Subsidiaries from time to time in an aggregate amount equal to such amount as set forth on </w:t>
      </w:r>
      <w:r>
        <w:rPr>
          <w:rFonts w:ascii="Arial" w:cs="Arial" w:eastAsia="Arial" w:hAnsi="Arial"/>
          <w:sz w:val="20"/>
          <w:szCs w:val="20"/>
          <w:u w:val="single" w:color="auto"/>
          <w:color w:val="auto"/>
        </w:rPr>
        <w:t>Schedule 1.1(d)</w:t>
      </w:r>
      <w:r>
        <w:rPr>
          <w:rFonts w:ascii="Arial" w:cs="Arial" w:eastAsia="Arial" w:hAnsi="Arial"/>
          <w:sz w:val="20"/>
          <w:szCs w:val="20"/>
          <w:color w:val="auto"/>
        </w:rPr>
        <w:t xml:space="preserve"> or as separately agreed to in a written agreement between Centuri and such Issuing Lender (which such agreement shall be promptly delivered to the Administrative Agent upon execution), in each case any such amount may be changed after the Closing Date in a written agreement between Centuri and such Issuing Lender (which such agreement shall be promptly delivered to the Administrative Agent upon execution);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Facility</w:t>
      </w:r>
      <w:r>
        <w:rPr>
          <w:rFonts w:ascii="Arial" w:cs="Arial" w:eastAsia="Arial" w:hAnsi="Arial"/>
          <w:sz w:val="20"/>
          <w:szCs w:val="20"/>
          <w:color w:val="auto"/>
        </w:rPr>
        <w:t xml:space="preserve">” means the letter of credit facility established pursuant to </w:t>
      </w:r>
      <w:r>
        <w:rPr>
          <w:rFonts w:ascii="Arial" w:cs="Arial" w:eastAsia="Arial" w:hAnsi="Arial"/>
          <w:sz w:val="20"/>
          <w:szCs w:val="20"/>
          <w:u w:val="single" w:color="auto"/>
          <w:color w:val="auto"/>
        </w:rPr>
        <w:t>Article III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means, collectively, the Canadian L/C Obligations and the US L/C Obligations.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Participants</w:t>
      </w:r>
      <w:r>
        <w:rPr>
          <w:rFonts w:ascii="Arial" w:cs="Arial" w:eastAsia="Arial" w:hAnsi="Arial"/>
          <w:sz w:val="20"/>
          <w:szCs w:val="20"/>
          <w:color w:val="auto"/>
        </w:rPr>
        <w:t>” means, with respect to any Letter of Credit, the collective reference to all the Revolving Credit Lenders other than the applicable Issuing Lender.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means the lesser of (a) $100,000,000 and (b) the Revolving Credit Commitment.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Test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other than any Person that ceases to be a party hereto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pursuant to an Assignment and Assumption. Unless the context otherwise requires, the term “Lenders” includes the Swingline Lenders.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with respect to any Lender, the office of such Lender maintaining such Lender’s Extensions of Credit.</w:t>
      </w:r>
    </w:p>
    <w:p>
      <w:pPr>
        <w:spacing w:after="0" w:line="22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 reimbursement agreement, in the form specified by the applicable Issuing Lender from time to time, requesting such Issuing Lender to issue a Letter of Credit.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means the collective reference to Canadian Letters of Credit and US Letters of Credit.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 Increase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9.13(b)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xml:space="preserve">” means, subject to the implementation of a Benchmark Replacement in accordance with </w:t>
      </w:r>
      <w:r>
        <w:rPr>
          <w:rFonts w:ascii="Arial" w:cs="Arial" w:eastAsia="Arial" w:hAnsi="Arial"/>
          <w:sz w:val="20"/>
          <w:szCs w:val="20"/>
          <w:u w:val="single" w:color="auto"/>
          <w:color w:val="auto"/>
        </w:rPr>
        <w:t>Section 5.8(c)</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2" w:lineRule="auto"/>
        <w:tabs>
          <w:tab w:leader="none" w:pos="1286" w:val="left"/>
        </w:tabs>
        <w:numPr>
          <w:ilvl w:val="0"/>
          <w:numId w:val="37"/>
        </w:numPr>
        <w:rPr>
          <w:rFonts w:ascii="Arial" w:cs="Arial" w:eastAsia="Arial" w:hAnsi="Arial"/>
          <w:sz w:val="20"/>
          <w:szCs w:val="20"/>
          <w:color w:val="auto"/>
        </w:rPr>
      </w:pPr>
      <w:r>
        <w:rPr>
          <w:rFonts w:ascii="Arial" w:cs="Arial" w:eastAsia="Arial" w:hAnsi="Arial"/>
          <w:sz w:val="20"/>
          <w:szCs w:val="20"/>
          <w:color w:val="auto"/>
        </w:rPr>
        <w:t>for any interest rate calculation with respect to a LIBOR Rate Loan, the rate of interest per annum determined on the basis of the rate for deposits in Dollars for a period equal to the applicable Interest Period as published by the ICE Benchmark Administration Limited, a United Kingdom company, or a comparable or successor quoting service approved by the Administrative Agent, at approximately 11:00 a.m. (London time) two (2) London Banking Days prior to the first day of the applicable Interest Period. If, for any reason, such rate is not so published then “LIBOR” shall be determined by the Administrative Agent to be the arithmetic average of the rate per annum at which deposits in Dollars would be offered by first class banks in the London interbank market to the Administrative Agent at approximately 11:00 a.m. (London time) two (2) London Banking Days prior to the first day of the applicable Interest Period for a period equal to such Interest Period, and</w:t>
      </w:r>
    </w:p>
    <w:p>
      <w:pPr>
        <w:spacing w:after="0" w:line="196" w:lineRule="exact"/>
        <w:rPr>
          <w:rFonts w:ascii="Arial" w:cs="Arial" w:eastAsia="Arial" w:hAnsi="Arial"/>
          <w:sz w:val="20"/>
          <w:szCs w:val="20"/>
          <w:color w:val="auto"/>
        </w:rPr>
      </w:pPr>
    </w:p>
    <w:p>
      <w:pPr>
        <w:jc w:val="both"/>
        <w:ind w:firstLine="656"/>
        <w:spacing w:after="0" w:line="273" w:lineRule="auto"/>
        <w:tabs>
          <w:tab w:leader="none" w:pos="1284"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 Base Rate Loan,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at approximately 11:00 a.m. (London time) on such date of determination, or, if such date is not a Business Day, then the immediately preceding Business Day. If, for any reason, such rate is not so published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calculation by the Administrative Agent of LIBOR shall be conclusive and binding for all purposes, absent manifest error.</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Notwithstanding the foregoing, (x) in no event shall LIBOR (including, without limitation, any Benchmark Replacement with respect thereto) be less than the Floor and (y) unless otherwise specified in any amendment to this Agreement entered into in accordance with </w:t>
      </w:r>
      <w:r>
        <w:rPr>
          <w:rFonts w:ascii="Arial" w:cs="Arial" w:eastAsia="Arial" w:hAnsi="Arial"/>
          <w:sz w:val="20"/>
          <w:szCs w:val="20"/>
          <w:u w:val="single" w:color="auto"/>
          <w:color w:val="auto"/>
        </w:rPr>
        <w:t>Section 5.8(c)</w:t>
      </w:r>
      <w:r>
        <w:rPr>
          <w:rFonts w:ascii="Arial" w:cs="Arial" w:eastAsia="Arial" w:hAnsi="Arial"/>
          <w:sz w:val="20"/>
          <w:szCs w:val="20"/>
          <w:color w:val="auto"/>
        </w:rPr>
        <w:t>, in the event that a Benchmark Replacement with respect to LIBOR is implemented then all references herein to LIBOR shall be deemed references to such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means a rate per annum determined by the Administrative Agent pursuant to the following formula:</w:t>
      </w:r>
    </w:p>
    <w:p>
      <w:pPr>
        <w:spacing w:after="0" w:line="270" w:lineRule="exact"/>
        <w:rPr>
          <w:sz w:val="20"/>
          <w:szCs w:val="20"/>
          <w:color w:val="auto"/>
        </w:rPr>
      </w:pPr>
    </w:p>
    <w:p>
      <w:pPr>
        <w:ind w:left="1720"/>
        <w:spacing w:after="0"/>
        <w:tabs>
          <w:tab w:leader="none" w:pos="4400" w:val="left"/>
        </w:tabs>
        <w:rPr>
          <w:sz w:val="20"/>
          <w:szCs w:val="20"/>
          <w:color w:val="auto"/>
        </w:rPr>
      </w:pPr>
      <w:r>
        <w:rPr>
          <w:rFonts w:ascii="Arial" w:cs="Arial" w:eastAsia="Arial" w:hAnsi="Arial"/>
          <w:sz w:val="20"/>
          <w:szCs w:val="20"/>
          <w:color w:val="auto"/>
        </w:rPr>
        <w:t>LIBOR Rate =</w:t>
      </w:r>
      <w:r>
        <w:rPr>
          <w:sz w:val="20"/>
          <w:szCs w:val="20"/>
          <w:color w:val="auto"/>
        </w:rPr>
        <w:tab/>
      </w:r>
      <w:r>
        <w:rPr>
          <w:rFonts w:ascii="Arial" w:cs="Arial" w:eastAsia="Arial" w:hAnsi="Arial"/>
          <w:sz w:val="19"/>
          <w:szCs w:val="19"/>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164465</wp:posOffset>
            </wp:positionV>
            <wp:extent cx="32404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1.00-Eurodollar Reserve Percentage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Rate Loan</w:t>
      </w:r>
      <w:r>
        <w:rPr>
          <w:rFonts w:ascii="Arial" w:cs="Arial" w:eastAsia="Arial" w:hAnsi="Arial"/>
          <w:sz w:val="19"/>
          <w:szCs w:val="19"/>
          <w:color w:val="auto"/>
        </w:rPr>
        <w:t xml:space="preserve">” means any Loan bearing interest at a rate based upon the LIBOR Rate as provided in </w:t>
      </w:r>
      <w:r>
        <w:rPr>
          <w:rFonts w:ascii="Arial" w:cs="Arial" w:eastAsia="Arial" w:hAnsi="Arial"/>
          <w:sz w:val="19"/>
          <w:szCs w:val="19"/>
          <w:u w:val="single" w:color="auto"/>
          <w:color w:val="auto"/>
        </w:rPr>
        <w:t>Section 5.1(a)</w:t>
      </w:r>
      <w:r>
        <w:rPr>
          <w:rFonts w:ascii="Arial" w:cs="Arial" w:eastAsia="Arial" w:hAnsi="Arial"/>
          <w:sz w:val="19"/>
          <w:szCs w:val="19"/>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leasehold mortgage, lien, pledge, charge, security interest, hypothecation or encumbrance of any kind in respect of such asset whether statutory, based on common law, contract, or otherwise.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any Acquisition that (a) is not prohibited hereunder and (b) is not conditioned on the availability of, or on obtaining, third-party financing.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Linetec</w:t>
      </w:r>
      <w:r>
        <w:rPr>
          <w:rFonts w:ascii="Arial" w:cs="Arial" w:eastAsia="Arial" w:hAnsi="Arial"/>
          <w:sz w:val="20"/>
          <w:szCs w:val="20"/>
          <w:color w:val="auto"/>
        </w:rPr>
        <w:t>” means Linetec Services, LLC, a Delaware limited liability company.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Linetec Purchase Agreement</w:t>
      </w:r>
      <w:r>
        <w:rPr>
          <w:rFonts w:ascii="Arial" w:cs="Arial" w:eastAsia="Arial" w:hAnsi="Arial"/>
          <w:sz w:val="20"/>
          <w:szCs w:val="20"/>
          <w:color w:val="auto"/>
        </w:rPr>
        <w:t>” means that certain Membership Interest Purchase Agreement dated November 26, 2018 by and among, inter alia, Centuri U.S. Division, Linetec and the existing sole equity holders of Linetec, including all exhibits, schedules and annexes thereto.</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collectively, this Agreement, each Note, the Letter of Credit Applications, the Security Documents, the Guaranty Agreements, the Fee Letters, each Acceptable Intercreditor Agreement, each Refinancing Amendment, each Incremental Amendment, each Extension Amendment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collective reference to the Revolving Credit Loans, the Term Loans and the Swingline Loans, and “Loan” means any of such Loans.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with respect to the Consolidated Companies, (a) a material adverse effect on the properties, business, operations or financial condition of such Persons, taken as a whole, (b) a material impairment of the ability of any such Person to perform its obligations under the Loan Documents to which it is a party, (c) a material impairment of the rights and remedies of the Administrative Agent or any Lender under any Loan Document or (d) an impairment of the legality,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validity, binding effect or enforceability against any Credit Party of any Loan Document to which it is a party.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means, as of any date, any Subsidiary that is not an Immaterial Subsidiary.</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Collateral Amount</w:t>
      </w:r>
      <w:r>
        <w:rPr>
          <w:rFonts w:ascii="Arial" w:cs="Arial" w:eastAsia="Arial" w:hAnsi="Arial"/>
          <w:sz w:val="20"/>
          <w:szCs w:val="20"/>
          <w:color w:val="auto"/>
        </w:rPr>
        <w:t>” means, at any time, (a) with respect to Cash Collateral consisting of cash or deposit account balances, an amount equal to 100% of the sum of (i) the Fronting Exposure of the Issuing Lenders with respect to Letters of Credit issued and outstanding at such time and (ii) the Fronting Exposure of the Swingline Lenders with respect to all Swingline Loans outstanding at such time and (b) otherwise, an amount determined by the Administrative Agent and each of the applicable Issuing Lenders that is entitled to Cash Collateral hereunder at such time in their sole discretion.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 to which any Credit Party or any ERISA Affiliate is making, or is accruing an obligation to make, or has accrued an obligation to make contributions within the preceding seven (7) years.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xml:space="preserve">” means, as applicable, (a) with respect to any Asset Disposition or Insurance and Condemnation Event, the gross proceeds received by any Credit Party or any of its Subsidiaries therefrom (including any cash, Cash Equivalents, deferred payment pursuant to, or by monetization of, a note receivable or otherwise, as and when received)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sum of (i) in the case of an Asset Disposition, all income taxes and other taxes assessed by, or reasonably estimated to be payable to, a Governmental Authority as a result of such transaction (provided that if such estimated taxes exceed the amount of actual taxes required to be paid in cash in respect of such Asset Disposition, the amount of such excess shall constitute Net Cash Proceeds), (ii) all customary out-of-pocket fees and expenses incurred in connection with such transaction or event and (iii) the principal amount of, premium, if any, and interest on any Indebtedness secured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on senior ranking to the Liens created under the Loan Documents by a Lien on the asset (or a portion thereof) disposed of, which Indebtedness is required to be repaid in connection with such transaction or event, and (b) with respect to any Debt Issuance, the gross cash proceeds received by any Credit Party or any of its Subsidiaries therefrom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all customary out-of-pocket legal, underwriting and other fees and expenses (whether similar or dissimilar to the foregoing) incurred in connection therewith.</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consent, waiver, amendment, modification or termination of any Loan Document that (a) requires the approval of all Lenders or all affected Lenders in accordance with the terms of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and (b) has been approved by the Required Lenders or the Required Facility Lenders, as applicable.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Non-Credit Party Subsidiary</w:t>
      </w:r>
      <w:r>
        <w:rPr>
          <w:rFonts w:ascii="Arial" w:cs="Arial" w:eastAsia="Arial" w:hAnsi="Arial"/>
          <w:sz w:val="20"/>
          <w:szCs w:val="20"/>
          <w:color w:val="auto"/>
        </w:rPr>
        <w:t>” means any Subsidiary of a Consolidated Company that is not a Credit Party.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the collective reference to the US Revolving Credit Notes, the US Swingline Note, the US Term Loan Notes, the Canadian Revolving Credit Notes, the Canadian Swingline Note and the Canadian Term Loan Notes.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Account Designation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1" w:name="page102"/>
    <w:bookmarkEnd w:id="10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Prepayment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collectively, the Canadian Obligations and the US Obligations.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Officer’s Compliance Certificate</w:t>
      </w:r>
      <w:r>
        <w:rPr>
          <w:rFonts w:ascii="Arial" w:cs="Arial" w:eastAsia="Arial" w:hAnsi="Arial"/>
          <w:sz w:val="20"/>
          <w:szCs w:val="20"/>
          <w:color w:val="auto"/>
        </w:rPr>
        <w:t xml:space="preserve">” means a certificate of the chief financial officer or the treasurer of Centuri substantially in the form attached as </w:t>
      </w:r>
      <w:r>
        <w:rPr>
          <w:rFonts w:ascii="Arial" w:cs="Arial" w:eastAsia="Arial" w:hAnsi="Arial"/>
          <w:sz w:val="20"/>
          <w:szCs w:val="20"/>
          <w:b w:val="1"/>
          <w:bCs w:val="1"/>
          <w:i w:val="1"/>
          <w:iCs w:val="1"/>
          <w:color w:val="auto"/>
        </w:rPr>
        <w:t>Exhibit F</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Operating Lease</w:t>
      </w:r>
      <w:r>
        <w:rPr>
          <w:rFonts w:ascii="Arial" w:cs="Arial" w:eastAsia="Arial" w:hAnsi="Arial"/>
          <w:sz w:val="20"/>
          <w:szCs w:val="20"/>
          <w:color w:val="auto"/>
        </w:rPr>
        <w:t>” means, as to any Person as determined in accordance with GAAP, any lease of Property (whether real, personal or mixed) by such Person as lessee which is not a Capital Lease Obligation.</w:t>
      </w:r>
    </w:p>
    <w:p>
      <w:pPr>
        <w:spacing w:after="0" w:line="17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5.12</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agency.</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 and shall not include any Canadian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2" w:name="page103"/>
    <w:bookmarkEnd w:id="102"/>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xml:space="preserve">” means any Acquisition by any Credit Party if each such Acquisition meets all of the following requirements (subject, in the case of a Permitted Acquisition that is a Limited Condition Acquisition, to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177" w:lineRule="exact"/>
        <w:rPr>
          <w:sz w:val="20"/>
          <w:szCs w:val="20"/>
          <w:color w:val="auto"/>
        </w:rPr>
      </w:pPr>
    </w:p>
    <w:p>
      <w:pPr>
        <w:jc w:val="both"/>
        <w:ind w:firstLine="656"/>
        <w:spacing w:after="0" w:line="269" w:lineRule="auto"/>
        <w:tabs>
          <w:tab w:leader="none" w:pos="1286" w:val="left"/>
        </w:tabs>
        <w:numPr>
          <w:ilvl w:val="1"/>
          <w:numId w:val="38"/>
        </w:numPr>
        <w:rPr>
          <w:rFonts w:ascii="Arial" w:cs="Arial" w:eastAsia="Arial" w:hAnsi="Arial"/>
          <w:sz w:val="19"/>
          <w:szCs w:val="19"/>
          <w:color w:val="auto"/>
        </w:rPr>
      </w:pPr>
      <w:r>
        <w:rPr>
          <w:rFonts w:ascii="Arial" w:cs="Arial" w:eastAsia="Arial" w:hAnsi="Arial"/>
          <w:sz w:val="19"/>
          <w:szCs w:val="19"/>
          <w:color w:val="auto"/>
        </w:rPr>
        <w:t>no less than fifteen (15) Business Days prior to the proposed closing date of such Acquisition (or such shorter period as agreed to by the Administrative Agent in its sole discretion), Centuri shall have delivered written notice of such Acquisition to the Administrative Agent and the Lenders, which notice shall include the proposed closing date of such Acquisition;</w:t>
      </w:r>
    </w:p>
    <w:p>
      <w:pPr>
        <w:spacing w:after="0" w:line="169" w:lineRule="exact"/>
        <w:rPr>
          <w:rFonts w:ascii="Arial" w:cs="Arial" w:eastAsia="Arial" w:hAnsi="Arial"/>
          <w:sz w:val="19"/>
          <w:szCs w:val="19"/>
          <w:color w:val="auto"/>
        </w:rPr>
      </w:pPr>
    </w:p>
    <w:p>
      <w:pPr>
        <w:jc w:val="both"/>
        <w:ind w:firstLine="656"/>
        <w:spacing w:after="0" w:line="250" w:lineRule="auto"/>
        <w:tabs>
          <w:tab w:leader="none" w:pos="1284" w:val="left"/>
        </w:tabs>
        <w:numPr>
          <w:ilvl w:val="1"/>
          <w:numId w:val="38"/>
        </w:numPr>
        <w:rPr>
          <w:rFonts w:ascii="Arial" w:cs="Arial" w:eastAsia="Arial" w:hAnsi="Arial"/>
          <w:sz w:val="20"/>
          <w:szCs w:val="20"/>
          <w:color w:val="auto"/>
        </w:rPr>
      </w:pPr>
      <w:r>
        <w:rPr>
          <w:rFonts w:ascii="Arial" w:cs="Arial" w:eastAsia="Arial" w:hAnsi="Arial"/>
          <w:sz w:val="20"/>
          <w:szCs w:val="20"/>
          <w:color w:val="auto"/>
        </w:rPr>
        <w:t>Centuri shall have certified on or before the closing date of such Acquisition, in writing and in a form reasonably acceptable to the Administrative Agent, that such Acquisition has been approved by the board of directors (or equivalent governing body) of the Person to be acquired;</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86" w:val="left"/>
        </w:tabs>
        <w:numPr>
          <w:ilvl w:val="1"/>
          <w:numId w:val="38"/>
        </w:numPr>
        <w:rPr>
          <w:rFonts w:ascii="Arial" w:cs="Arial" w:eastAsia="Arial" w:hAnsi="Arial"/>
          <w:sz w:val="20"/>
          <w:szCs w:val="20"/>
          <w:color w:val="auto"/>
        </w:rPr>
      </w:pPr>
      <w:r>
        <w:rPr>
          <w:rFonts w:ascii="Arial" w:cs="Arial" w:eastAsia="Arial" w:hAnsi="Arial"/>
          <w:sz w:val="20"/>
          <w:szCs w:val="20"/>
          <w:color w:val="auto"/>
        </w:rPr>
        <w:t xml:space="preserve">the Person or business to be acquired shall be in a line of business permitted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or, in the case of an Acquisition of assets, the assets acquired are useful in the business of the Consolidated Companies as conducted immediately prior to such Acquisition;</w:t>
      </w:r>
    </w:p>
    <w:p>
      <w:pPr>
        <w:spacing w:after="0" w:line="185" w:lineRule="exact"/>
        <w:rPr>
          <w:rFonts w:ascii="Arial" w:cs="Arial" w:eastAsia="Arial" w:hAnsi="Arial"/>
          <w:sz w:val="20"/>
          <w:szCs w:val="20"/>
          <w:color w:val="auto"/>
        </w:rPr>
      </w:pPr>
    </w:p>
    <w:p>
      <w:pPr>
        <w:ind w:firstLine="656"/>
        <w:spacing w:after="0" w:line="260" w:lineRule="auto"/>
        <w:tabs>
          <w:tab w:leader="none" w:pos="1284" w:val="left"/>
        </w:tabs>
        <w:numPr>
          <w:ilvl w:val="1"/>
          <w:numId w:val="38"/>
        </w:numPr>
        <w:rPr>
          <w:rFonts w:ascii="Arial" w:cs="Arial" w:eastAsia="Arial" w:hAnsi="Arial"/>
          <w:sz w:val="20"/>
          <w:szCs w:val="20"/>
          <w:color w:val="auto"/>
        </w:rPr>
      </w:pPr>
      <w:r>
        <w:rPr>
          <w:rFonts w:ascii="Arial" w:cs="Arial" w:eastAsia="Arial" w:hAnsi="Arial"/>
          <w:sz w:val="20"/>
          <w:szCs w:val="20"/>
          <w:color w:val="auto"/>
        </w:rPr>
        <w:t>if such transaction is a merger, amalgamation, or consolidation, a Borrower or a Subsidiary Guarantor shall be the surviving Person and no Change in Control shall have been effected thereby;</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86" w:val="left"/>
        </w:tabs>
        <w:numPr>
          <w:ilvl w:val="1"/>
          <w:numId w:val="38"/>
        </w:numPr>
        <w:rPr>
          <w:rFonts w:ascii="Arial" w:cs="Arial" w:eastAsia="Arial" w:hAnsi="Arial"/>
          <w:sz w:val="20"/>
          <w:szCs w:val="20"/>
          <w:color w:val="auto"/>
        </w:rPr>
      </w:pPr>
      <w:r>
        <w:rPr>
          <w:rFonts w:ascii="Arial" w:cs="Arial" w:eastAsia="Arial" w:hAnsi="Arial"/>
          <w:sz w:val="20"/>
          <w:szCs w:val="20"/>
          <w:color w:val="auto"/>
        </w:rPr>
        <w:t xml:space="preserve">Centuri shall have delivered to the Administrative Agent such documents reasonably requested by the Administrative Agent or the Required Lenders (through the Administrative Agent) pursuant to </w:t>
      </w:r>
      <w:r>
        <w:rPr>
          <w:rFonts w:ascii="Arial" w:cs="Arial" w:eastAsia="Arial" w:hAnsi="Arial"/>
          <w:sz w:val="20"/>
          <w:szCs w:val="20"/>
          <w:u w:val="single" w:color="auto"/>
          <w:color w:val="auto"/>
        </w:rPr>
        <w:t>Section 8.14</w:t>
      </w:r>
      <w:r>
        <w:rPr>
          <w:rFonts w:ascii="Arial" w:cs="Arial" w:eastAsia="Arial" w:hAnsi="Arial"/>
          <w:sz w:val="20"/>
          <w:szCs w:val="20"/>
          <w:color w:val="auto"/>
        </w:rPr>
        <w:t xml:space="preserve"> to be delivered at the time required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8.14</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291" w:val="left"/>
        </w:tabs>
        <w:numPr>
          <w:ilvl w:val="1"/>
          <w:numId w:val="38"/>
        </w:numPr>
        <w:rPr>
          <w:rFonts w:ascii="Arial" w:cs="Arial" w:eastAsia="Arial" w:hAnsi="Arial"/>
          <w:sz w:val="20"/>
          <w:szCs w:val="20"/>
          <w:color w:val="auto"/>
        </w:rPr>
      </w:pPr>
      <w:r>
        <w:rPr>
          <w:rFonts w:ascii="Arial" w:cs="Arial" w:eastAsia="Arial" w:hAnsi="Arial"/>
          <w:sz w:val="20"/>
          <w:szCs w:val="20"/>
          <w:color w:val="auto"/>
        </w:rPr>
        <w:t xml:space="preserve">Centuri shall be in compliance with the financial covenants set forth in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(giving effect to any Leverage Ratio Increase that has been elected pursuant to </w:t>
      </w:r>
      <w:r>
        <w:rPr>
          <w:rFonts w:ascii="Arial" w:cs="Arial" w:eastAsia="Arial" w:hAnsi="Arial"/>
          <w:sz w:val="20"/>
          <w:szCs w:val="20"/>
          <w:u w:val="single" w:color="auto"/>
          <w:color w:val="auto"/>
        </w:rPr>
        <w:t>Section 9.13(b)</w:t>
      </w:r>
      <w:r>
        <w:rPr>
          <w:rFonts w:ascii="Arial" w:cs="Arial" w:eastAsia="Arial" w:hAnsi="Arial"/>
          <w:sz w:val="20"/>
          <w:szCs w:val="20"/>
          <w:color w:val="auto"/>
        </w:rPr>
        <w:t>), in each case, calculated on a Pro Forma Basis (as of the most recent Fiscal Quarter end preceding the proposed closing date of the acquisition for which financial statements are available and after giving effect thereto and any Indebtedness incurred in connection therewith);</w:t>
      </w:r>
    </w:p>
    <w:p>
      <w:pPr>
        <w:spacing w:after="0" w:line="191" w:lineRule="exact"/>
        <w:rPr>
          <w:rFonts w:ascii="Arial" w:cs="Arial" w:eastAsia="Arial" w:hAnsi="Arial"/>
          <w:sz w:val="20"/>
          <w:szCs w:val="20"/>
          <w:color w:val="auto"/>
        </w:rPr>
      </w:pPr>
    </w:p>
    <w:p>
      <w:pPr>
        <w:jc w:val="both"/>
        <w:ind w:firstLine="656"/>
        <w:spacing w:after="0" w:line="278" w:lineRule="auto"/>
        <w:tabs>
          <w:tab w:leader="none" w:pos="12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shall have delivered to the Administrative Agent an Officer’s Compliance Certificate for the most recent fiscal quarter end preceding such Acquisition for which financial statements are available demonstrating, in form and substance reasonably satisfactory to the Administrative Agent, that the condition set forth in paragraph (f) above is satisfied;</w:t>
      </w:r>
    </w:p>
    <w:p>
      <w:pPr>
        <w:spacing w:after="0" w:line="164" w:lineRule="exact"/>
        <w:rPr>
          <w:rFonts w:ascii="Arial" w:cs="Arial" w:eastAsia="Arial" w:hAnsi="Arial"/>
          <w:sz w:val="18"/>
          <w:szCs w:val="18"/>
          <w:color w:val="auto"/>
        </w:rPr>
      </w:pPr>
    </w:p>
    <w:p>
      <w:pPr>
        <w:jc w:val="both"/>
        <w:ind w:firstLine="656"/>
        <w:spacing w:after="0" w:line="270" w:lineRule="auto"/>
        <w:tabs>
          <w:tab w:leader="none" w:pos="12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to the extent requested by the Administrative Agent, (i) shall have delivered to the Administrative Agent promptly upon the finalization thereof copies of substantially final Permitted Acquisition Documents, and</w:t>
      </w:r>
    </w:p>
    <w:p>
      <w:pPr>
        <w:spacing w:after="0" w:line="2" w:lineRule="exact"/>
        <w:rPr>
          <w:rFonts w:ascii="Arial" w:cs="Arial" w:eastAsia="Arial" w:hAnsi="Arial"/>
          <w:sz w:val="18"/>
          <w:szCs w:val="18"/>
          <w:color w:val="auto"/>
        </w:rPr>
      </w:pPr>
    </w:p>
    <w:p>
      <w:pPr>
        <w:ind w:firstLine="8"/>
        <w:spacing w:after="0" w:line="244" w:lineRule="auto"/>
        <w:tabs>
          <w:tab w:leader="none" w:pos="323" w:val="left"/>
        </w:tabs>
        <w:numPr>
          <w:ilvl w:val="0"/>
          <w:numId w:val="39"/>
        </w:numPr>
        <w:rPr>
          <w:rFonts w:ascii="Arial" w:cs="Arial" w:eastAsia="Arial" w:hAnsi="Arial"/>
          <w:sz w:val="20"/>
          <w:szCs w:val="20"/>
          <w:color w:val="auto"/>
        </w:rPr>
      </w:pPr>
      <w:r>
        <w:rPr>
          <w:rFonts w:ascii="Arial" w:cs="Arial" w:eastAsia="Arial" w:hAnsi="Arial"/>
          <w:sz w:val="20"/>
          <w:szCs w:val="20"/>
          <w:color w:val="auto"/>
        </w:rPr>
        <w:t>shall have delivered to, or made available for inspection by, the Administrative Agent substantially complete Permitted Acquisition Diligence Information;</w:t>
      </w:r>
    </w:p>
    <w:p>
      <w:pPr>
        <w:spacing w:after="0" w:line="191" w:lineRule="exact"/>
        <w:rPr>
          <w:rFonts w:ascii="Arial" w:cs="Arial" w:eastAsia="Arial" w:hAnsi="Arial"/>
          <w:sz w:val="20"/>
          <w:szCs w:val="20"/>
          <w:color w:val="auto"/>
        </w:rPr>
      </w:pPr>
    </w:p>
    <w:p>
      <w:pPr>
        <w:ind w:right="20" w:firstLine="656"/>
        <w:spacing w:after="0" w:line="260" w:lineRule="auto"/>
        <w:tabs>
          <w:tab w:leader="none" w:pos="1294" w:val="left"/>
        </w:tabs>
        <w:numPr>
          <w:ilvl w:val="1"/>
          <w:numId w:val="39"/>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both before and after giving effect to such Acquisition and any Indebtedness incurred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3" w:name="page104"/>
    <w:bookmarkEnd w:id="103"/>
    <w:p>
      <w:pPr>
        <w:jc w:val="both"/>
        <w:ind w:firstLine="656"/>
        <w:spacing w:after="0" w:line="244" w:lineRule="auto"/>
        <w:tabs>
          <w:tab w:leader="none" w:pos="1294"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the Permitted Acquisition Consideration for any such Acquisition (or series of related Acquisitions) exceeds $150,000,000 in the aggregate, Centuri shall have (i) delivered to the Administrative Agent a certificate of a Responsible Officer certifying that all of the requirements set forth above have been satisfied or waived or will be satisfied or waived on or prior to the consummation of such purchase or other Acquisition and (ii) provided such other documents and other information as may be reasonably requested by the Administrative Agent in connection with such purchase or other Acquisition.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foregoing, the Drum Acquisition shall constitute a Permitted Acquisition.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 Consideration</w:t>
      </w:r>
      <w:r>
        <w:rPr>
          <w:rFonts w:ascii="Arial" w:cs="Arial" w:eastAsia="Arial" w:hAnsi="Arial"/>
          <w:sz w:val="19"/>
          <w:szCs w:val="19"/>
          <w:color w:val="auto"/>
        </w:rPr>
        <w:t>” means the aggregate amount of the purchase price, including, but not limited to, any assumed debt, earn-outs (valued at the maximum amount payable thereunder), deferred payments, or Equity Interests of any Borrower or any Subsidiary Guarantor, net of the applicable acquired company’s cash and Cash Equivalents balance (as shown on its most recent financial statements delivered in connection with the applicable Permitted Acquisition) to be paid on a singular basis in connection with any applicable Permitted Acquisition as set forth in the applicable Permitted Acquisition Documents executed by such Borrower or such Subsidiary Guarantor in order to consummate the applicable Permitted Acquisition.</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 Diligence Information</w:t>
      </w:r>
      <w:r>
        <w:rPr>
          <w:rFonts w:ascii="Arial" w:cs="Arial" w:eastAsia="Arial" w:hAnsi="Arial"/>
          <w:sz w:val="20"/>
          <w:szCs w:val="20"/>
          <w:color w:val="auto"/>
        </w:rPr>
        <w:t>” means with respect to any Acquisition proposed by any Borrower or any Subsidiary Guarantor, to the extent applicable, all material financial information, all material contracts, all material customer lists, all material supply agreements, and all other material information, in each case, reasonably requested to be delivered to the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 Documents</w:t>
      </w:r>
      <w:r>
        <w:rPr>
          <w:rFonts w:ascii="Arial" w:cs="Arial" w:eastAsia="Arial" w:hAnsi="Arial"/>
          <w:sz w:val="20"/>
          <w:szCs w:val="20"/>
          <w:color w:val="auto"/>
        </w:rPr>
        <w:t>” means with respect to any Acquisition proposed by any Borrower or any Subsidiary Guarantor, final copies or substantially final drafts if not executed at the required time of delivery of the purchase agreement, sale agreement, merger agreement, amalgamation agreement or other agreement evidencing such Acquisition, including, without limitation, all legal opinions and each other document executed, delivered, contemplated by or prepared in connection therewith and any amendment, modification or supplement to any of the foregoing.</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Drum Equity</w:t>
      </w:r>
      <w:r>
        <w:rPr>
          <w:rFonts w:ascii="Arial" w:cs="Arial" w:eastAsia="Arial" w:hAnsi="Arial"/>
          <w:sz w:val="20"/>
          <w:szCs w:val="20"/>
          <w:color w:val="auto"/>
        </w:rPr>
        <w:t>” means the Equity Interests of Drum Parent LLC (formerly Drum Parent, Inc.) in an amount not to exceed 5.0% of the total Equity Interests of Drum Parent LLC.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the Liens permitted pursuant to </w:t>
      </w: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Receivables Transaction</w:t>
      </w:r>
      <w:r>
        <w:rPr>
          <w:rFonts w:ascii="Arial" w:cs="Arial" w:eastAsia="Arial" w:hAnsi="Arial"/>
          <w:sz w:val="19"/>
          <w:szCs w:val="19"/>
          <w:color w:val="auto"/>
        </w:rPr>
        <w:t xml:space="preserve">” means one or more transactions pursuant to which (a) Receivables Assets or interests therein are sold to or financed by one or more Receivables Subsidiaries, and such Receivables Subsidiaries finance their acquisition of such Receivables Assets or interests therein, or the financing thereof, by selling or borrowing against such Receivables Assets or (b) Receivable Assets or interests therein are sold or discounted directly to one or more investors or other purchasers (other than Centuri or any Subsidiary), including, without limitation, in connection with a supply chain arrangement or other receivables discount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transactions shall be non-recourse (except in respect of fees, costs, indemnifications, representations and warranties and other obligations in which recourse is available against originators or servicers of Receivables Assets included in special-purpose-vehicle receivables financing arrangements,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4" w:name="page105"/>
    <w:bookmarkEnd w:id="104"/>
    <w:p>
      <w:pPr>
        <w:jc w:val="both"/>
        <w:spacing w:after="0" w:line="316" w:lineRule="auto"/>
        <w:rPr>
          <w:sz w:val="20"/>
          <w:szCs w:val="20"/>
          <w:color w:val="auto"/>
        </w:rPr>
      </w:pPr>
      <w:r>
        <w:rPr>
          <w:rFonts w:ascii="Arial" w:cs="Arial" w:eastAsia="Arial" w:hAnsi="Arial"/>
          <w:sz w:val="18"/>
          <w:szCs w:val="18"/>
          <w:color w:val="auto"/>
        </w:rPr>
        <w:t>other than any of the foregoing which are in effect credit support substitutes) to Centuri and its Subsidiaries (other than a Receivables Subsidiary) and neither Centuri nor any of its Subsidiaries (other than a Receivables Subsidiary) shall provide credit support of any kind.</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Receivables Transaction Documents</w:t>
      </w:r>
      <w:r>
        <w:rPr>
          <w:rFonts w:ascii="Arial" w:cs="Arial" w:eastAsia="Arial" w:hAnsi="Arial"/>
          <w:sz w:val="20"/>
          <w:szCs w:val="20"/>
          <w:color w:val="auto"/>
        </w:rPr>
        <w:t>” means all documents and agreements evidencing, relating to or otherwise governing a Permitted Receivables Transaction.</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PPSA</w:t>
      </w:r>
      <w:r>
        <w:rPr>
          <w:rFonts w:ascii="Arial" w:cs="Arial" w:eastAsia="Arial" w:hAnsi="Arial"/>
          <w:sz w:val="20"/>
          <w:szCs w:val="20"/>
          <w:color w:val="auto"/>
        </w:rPr>
        <w:t>” means the Personal Property Security Act of Ontario or any successor statute or similar legislation of any jurisdiction the laws of which are required by such legislation to be applied in connection with the issue, perfection, enforcement, validity or effect of security interests.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xml:space="preserve">” means,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 for purposes of calculations made of the financial covenants in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(a) after consummation of any Specified Disposition (i) income statement items (whether positive or negative) and Capital Expenditures attributable to the Property or Person disposed of shall be excluded and (ii) Indebtedness which is retired shall be excluded and deemed to have been retired as of the first day of the applicable period and (b) after consummation of any Permitted Acquisition (i) income statement items (whether positive or negative) and Capital Expenditures attributable to the Person or Property acquired shall, to the extent not otherwise included in such income statement items for Consolidated Companies in accordance with GAAP or in accordance with any defined terms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be included to the extent relating to any period applicable in such calculations, and (ii) to the extent not retired in connection with such Permitted Acquisition, Indebtedness of the Person or Property acquired shall be deemed to have been incurred as of the first day of the applicable period.</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means any right or interest in or to property of any kind whatsoever, whether real, personal or mixed and whether tangible or intangible, including, without limitation, Equity Interests.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means any Equity Interests that are not Disqualified Equity Interests.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Assets</w:t>
      </w:r>
      <w:r>
        <w:rPr>
          <w:rFonts w:ascii="Arial" w:cs="Arial" w:eastAsia="Arial" w:hAnsi="Arial"/>
          <w:sz w:val="20"/>
          <w:szCs w:val="20"/>
          <w:color w:val="auto"/>
        </w:rPr>
        <w:t>” means accounts receivable (including any bills of exchange), notes receivable, lease receivables or other instruments from time to time originated, acquired or otherwise owned by Centuri or any Subsidiary in the ordinary course of business, including any thereof constituting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5" w:name="page106"/>
    <w:bookmarkEnd w:id="105"/>
    <w:p>
      <w:pPr>
        <w:jc w:val="both"/>
        <w:ind w:right="20"/>
        <w:spacing w:after="0" w:line="260" w:lineRule="auto"/>
        <w:rPr>
          <w:sz w:val="20"/>
          <w:szCs w:val="20"/>
          <w:color w:val="auto"/>
        </w:rPr>
      </w:pPr>
      <w:r>
        <w:rPr>
          <w:rFonts w:ascii="Arial" w:cs="Arial" w:eastAsia="Arial" w:hAnsi="Arial"/>
          <w:sz w:val="20"/>
          <w:szCs w:val="20"/>
          <w:color w:val="auto"/>
        </w:rPr>
        <w:t>or evidenced by chattel paper, instruments or general intangibles, and all proceeds thereof and rights (contractual and other) and collateral (including all general intangibles, documents, instruments and records) related thereto.</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any direct or indirect special purpose, bankruptcy-remote Subsidiary of Centuri established in connection with a Permitted Receivables Transaction for the acquisition of Receivables Assets or interests therein, and which is organized in a manner intended to reduce the likelihood that it would be substantively consolidated with the Borrower or any of its Subsidiaries (other than Receivables Subsidiaries) in the event Centuri or any such Subsidiary becomes subject to a proceeding under any Debtor Relief Laws.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any Lender and (c) any Issuing Lender, as applicable.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Time</w:t>
      </w:r>
      <w:r>
        <w:rPr>
          <w:rFonts w:ascii="Arial" w:cs="Arial" w:eastAsia="Arial" w:hAnsi="Arial"/>
          <w:sz w:val="20"/>
          <w:szCs w:val="20"/>
          <w:color w:val="auto"/>
        </w:rPr>
        <w:t>” with respect to any setting of the then-current Benchmark means (1) if such Benchmark is USD LIBOR, 11:00 a.m. (London time) on the day that is two (2) London Banking Days preceding the date of such setting, and (2) if such Benchmark is not USD LIBOR, the time determined by the Administrative Agent in its reasonable discretion.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Debt</w:t>
      </w:r>
      <w:r>
        <w:rPr>
          <w:rFonts w:ascii="Arial" w:cs="Arial" w:eastAsia="Arial" w:hAnsi="Arial"/>
          <w:sz w:val="20"/>
          <w:szCs w:val="20"/>
          <w:color w:val="auto"/>
        </w:rPr>
        <w:t>” means Refinancing Term Loans, Refinancing Revolving Credit Commitments, Refinancing Revolving Loans and/or Refinancing Notes, as the context requires.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Lender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Notes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Commitments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Loans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Series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Loans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xml:space="preserve">” means the obligation of the Borrowers to reimburse any Issuing Lender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for amounts drawn under Letters of Credit issued by such Issuing Lender.</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6" w:name="page107"/>
    <w:bookmarkEnd w:id="106"/>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FRB or the Federal Reserve Bank of New York, or a committee officially endorsed or convened by the FRB or the Federal Reserve Bank of New York, or any successor thereto.</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Repricing Transaction</w:t>
      </w:r>
      <w:r>
        <w:rPr>
          <w:rFonts w:ascii="Arial" w:cs="Arial" w:eastAsia="Arial" w:hAnsi="Arial"/>
          <w:sz w:val="19"/>
          <w:szCs w:val="19"/>
          <w:color w:val="auto"/>
        </w:rPr>
        <w:t>” means (a) any prepayment or repayment of all or a portion of the Initial Term Loan with the proceeds of, or any conversion of any such Initial Term Loan into, any new or replacement bank Indebtedness or other credit facility (whether under this Agreement or otherwise), including, without limitation, any Refinancing Term Loans or Refinancing Notes, bearing interest with an All-In Yield less than the All-In Yield applicable to such Initial Term Loan subject to such event and (b) any repricing of any of the Initial Term Loan (whether pursuant to an amendment, amendment and restatement, mandatory assignment or otherwise) which reduces the All-In Yield applicable to all or a portion of such Initial Term Loan, in each case, other than in connection with the consummation of an Acquisition not permitted under this Agreement, an initial public offering of Centuri or the occurrence of a Change in Control (so long as the primary purpose of the prepayment or repayment of, or amendment to such Initial Term Loan in connection therewith is not to reduce the All-In Yield applicable to such Initial Term Loan as certified by a financial officer of Centuri in a certificate to the Administrative Agent (on which the Administrative Agent is expressly permitted to rely)).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Facility Lenders</w:t>
      </w:r>
      <w:r>
        <w:rPr>
          <w:rFonts w:ascii="Arial" w:cs="Arial" w:eastAsia="Arial" w:hAnsi="Arial"/>
          <w:sz w:val="20"/>
          <w:szCs w:val="20"/>
          <w:color w:val="auto"/>
        </w:rPr>
        <w:t>” means (a) for the Revolving Credit Facility, the Required Revolving Credit Lenders or (b) for the Term Loan Facility, the Required Term Loan Lenders, as applicable.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two or more Lenders having Total Credit Exposures representing more than fifty percent (50%) of the Total Credit Exposures of all Lenders or, if the Commitments have been terminated, two or more Lenders holding more than fifty percent (50%) of the aggregate outstanding Extensions of Credit. The Total Credit Exposure of any Defaulting Lender shall be disregarded in determining Required Lenders at any time.</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Credit Lenders</w:t>
      </w:r>
      <w:r>
        <w:rPr>
          <w:rFonts w:ascii="Arial" w:cs="Arial" w:eastAsia="Arial" w:hAnsi="Arial"/>
          <w:sz w:val="18"/>
          <w:szCs w:val="18"/>
          <w:color w:val="auto"/>
        </w:rPr>
        <w:t xml:space="preserve">” means, at any date, any combination of two or more Revolving Credit Lenders that are not Affiliates (except if there is only one Revolving Credit Lender) holding more than fifty percent (50%) of the sum of the aggregate amount of the Revolving Credit Commitment or, if the Revolving Credit Commitment has been terminated, any combination of Revolving Credit Lenders holding more than fifty percent (50%) of the aggregate Extensions of Credit under the Revolving Credit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Credit Commitment of, and the portion of the Extensions of Credit under the Revolving Credit Facility, as applicable, held or deemed held by, any Defaulting Lender shall be excluded for purposes of making a determination of Required Revolving Credit Lenders.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Term Loan Lenders</w:t>
      </w:r>
      <w:r>
        <w:rPr>
          <w:rFonts w:ascii="Arial" w:cs="Arial" w:eastAsia="Arial" w:hAnsi="Arial"/>
          <w:sz w:val="20"/>
          <w:szCs w:val="20"/>
          <w:color w:val="auto"/>
        </w:rPr>
        <w:t>” means, at any time, Lenders having outstanding Term Loans, representing more than fifty percent (50%) of the sum of the aggregate outstanding Term Loans at such time. The outstanding Term Loans of any Defaulting Lender shall be disregarded in determining Required Term Loan Lenders at any time.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as to any Person, the chief executive officer, president, chief financial officer, controller, treasurer or assistant treasurer of such Person or any other officer of such Person reasonably acceptable to the Administrative Agent. Any document delivered hereunder or under any other Loan Document that is signed by a Responsible Officer of a Person shall be conclusively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7" w:name="page108"/>
    <w:bookmarkEnd w:id="107"/>
    <w:p>
      <w:pPr>
        <w:jc w:val="both"/>
        <w:ind w:right="20"/>
        <w:spacing w:after="0" w:line="260" w:lineRule="auto"/>
        <w:rPr>
          <w:sz w:val="20"/>
          <w:szCs w:val="20"/>
          <w:color w:val="auto"/>
        </w:rPr>
      </w:pPr>
      <w:r>
        <w:rPr>
          <w:rFonts w:ascii="Arial" w:cs="Arial" w:eastAsia="Arial" w:hAnsi="Arial"/>
          <w:sz w:val="20"/>
          <w:szCs w:val="20"/>
          <w:color w:val="auto"/>
        </w:rPr>
        <w:t>presumed to have been authorized by all necessary corporate, partnership and/or other action on the part of such Person and such Responsible Officer shall be conclusively presumed to have acted on behalf of such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means, with respect to any Extension of Credit, each of the following: (a) each date of a borrowing, conversion or continuation of any Loan, but only as to the amounts so borrowed on such date, (b) each date of issuance of any Letter of Credit, but only as to the Letter of Credit so issued, amended or extended on such date, and (c) such additional dates as the Administrative Agent shall determine or the Required Lenders shall require.</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Commitment</w:t>
      </w:r>
      <w:r>
        <w:rPr>
          <w:rFonts w:ascii="Arial" w:cs="Arial" w:eastAsia="Arial" w:hAnsi="Arial"/>
          <w:sz w:val="19"/>
          <w:szCs w:val="19"/>
          <w:color w:val="auto"/>
        </w:rPr>
        <w:t xml:space="preserve">” means (a) as to any Revolving Credit Lender, the obligation of such Revolving Credit Lender to make Revolving Credit Loans to, and to purchase participations in L/C Obligations and Swingline Loans for the account of, the Borrowers hereunder in an aggregate principal amount at any time outstanding not to exceed the amount set forth opposite such Revolving Credit Lender’s name on the Register, as such amount may be modified at any time or from time to time pursuant to the terms hereof (including, without limitation,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and (b) as to all Revolving Credit Lenders, the aggregate commitment of all Revolving Credit Lenders to make Revolving Credit Loans, as such amount may be modified at any time or from time to time pursuant to the terms hereof (including, without limitation,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The aggregate Revolving Credit Commitment of all the Revolving Credit Lenders on the Closing Date shall be $400,000,000. The initial Revolving Credit Commitment of each Revolving Credit Lender on the Closing Date is set forth opposite the name of such Lender on </w:t>
      </w:r>
      <w:r>
        <w:rPr>
          <w:rFonts w:ascii="Arial" w:cs="Arial" w:eastAsia="Arial" w:hAnsi="Arial"/>
          <w:sz w:val="19"/>
          <w:szCs w:val="19"/>
          <w:u w:val="single" w:color="auto"/>
          <w:color w:val="auto"/>
        </w:rPr>
        <w:t>Schedule 1.1(a)</w:t>
      </w:r>
      <w:r>
        <w:rPr>
          <w:rFonts w:ascii="Arial" w:cs="Arial" w:eastAsia="Arial" w:hAnsi="Arial"/>
          <w:sz w:val="19"/>
          <w:szCs w:val="19"/>
          <w:color w:val="auto"/>
        </w:rPr>
        <w:t>. The Revolving Credit Commitment of any Lender shall include the Extended Revolving Credit Commitment and Refinancing Revolving Credit Commitment of such Lender.</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Percentage</w:t>
      </w:r>
      <w:r>
        <w:rPr>
          <w:rFonts w:ascii="Arial" w:cs="Arial" w:eastAsia="Arial" w:hAnsi="Arial"/>
          <w:sz w:val="18"/>
          <w:szCs w:val="18"/>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initial Revolving Credit Commitment of each Revolving Credit Lender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xml:space="preserve">” means the revolving credit facility established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(including any increase in such revolving credit facility established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any Refinance pursuant to </w:t>
      </w:r>
      <w:r>
        <w:rPr>
          <w:rFonts w:ascii="Arial" w:cs="Arial" w:eastAsia="Arial" w:hAnsi="Arial"/>
          <w:sz w:val="20"/>
          <w:szCs w:val="20"/>
          <w:u w:val="single" w:color="auto"/>
          <w:color w:val="auto"/>
        </w:rPr>
        <w:t>Section 5.18</w:t>
      </w:r>
      <w:r>
        <w:rPr>
          <w:rFonts w:ascii="Arial" w:cs="Arial" w:eastAsia="Arial" w:hAnsi="Arial"/>
          <w:sz w:val="20"/>
          <w:szCs w:val="20"/>
          <w:color w:val="auto"/>
        </w:rPr>
        <w:t xml:space="preserve"> and any Extension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5.19</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Lenders</w:t>
      </w:r>
      <w:r>
        <w:rPr>
          <w:rFonts w:ascii="Arial" w:cs="Arial" w:eastAsia="Arial" w:hAnsi="Arial"/>
          <w:sz w:val="19"/>
          <w:szCs w:val="19"/>
          <w:color w:val="auto"/>
        </w:rPr>
        <w:t>” means, collectively, all of the Lenders with a Revolving Credit Commitment. With respect to (a) each provision of this Agreement relating to the making or the repayment of any Canadian Revolving Credit Loan, (b) any rights of set-off, (c) any rights of indemnification or expense reimbursement and (d) reserves, capital adequacy or other provisions, each reference to a “Revolving Credit Lender” shall be deemed to include such Revolving Credit Lender’s Applicable Designee with respect to the portion of such Revolving Credit Lender’s Commitment funded by such Applicable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means, collectively, all US Revolving Credit Loans and all Canadian Revolving Credit Loans.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Maturity Date</w:t>
      </w:r>
      <w:r>
        <w:rPr>
          <w:rFonts w:ascii="Arial" w:cs="Arial" w:eastAsia="Arial" w:hAnsi="Arial"/>
          <w:sz w:val="19"/>
          <w:szCs w:val="19"/>
          <w:color w:val="auto"/>
        </w:rPr>
        <w:t xml:space="preserve">” means the earliest to occur of (a) August 27, 2026, (b) the date of termination of the entire Revolving Credit Commitment by the US Borrowers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(c) the date of termination of the Revolving Credit Commitment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Revolving Credit Maturity Date applicable to Extended Revolving Credit Commitments and Refinancing Revolving Credit Commitments shall be the final maturity date specified in the relevant documentation for such Extended Revolving Credit Commitments or Refinancing Revolving Credit Commitments.</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Outstandings</w:t>
      </w:r>
      <w:r>
        <w:rPr>
          <w:rFonts w:ascii="Arial" w:cs="Arial" w:eastAsia="Arial" w:hAnsi="Arial"/>
          <w:sz w:val="20"/>
          <w:szCs w:val="20"/>
          <w:color w:val="auto"/>
        </w:rPr>
        <w:t xml:space="preserve">” means the </w:t>
      </w:r>
      <w:r>
        <w:rPr>
          <w:rFonts w:ascii="Arial" w:cs="Arial" w:eastAsia="Arial" w:hAnsi="Arial"/>
          <w:sz w:val="20"/>
          <w:szCs w:val="20"/>
          <w:u w:val="single" w:color="auto"/>
          <w:color w:val="auto"/>
        </w:rPr>
        <w:t>sum</w:t>
      </w:r>
      <w:r>
        <w:rPr>
          <w:rFonts w:ascii="Arial" w:cs="Arial" w:eastAsia="Arial" w:hAnsi="Arial"/>
          <w:sz w:val="20"/>
          <w:szCs w:val="20"/>
          <w:color w:val="auto"/>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with respect to any L/C Obligations on any date, the aggregate outstanding amount thereof on such date after giving effect to any Revolving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Extensions of Credit</w:t>
      </w:r>
      <w:r>
        <w:rPr>
          <w:rFonts w:ascii="Arial" w:cs="Arial" w:eastAsia="Arial" w:hAnsi="Arial"/>
          <w:sz w:val="20"/>
          <w:szCs w:val="20"/>
          <w:color w:val="auto"/>
        </w:rPr>
        <w:t>” means (a) any Revolving Credit Loan then outstanding, (b) any Letter of Credit then outstanding or (c) any Swingline Loan then outstanding.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 Service, a division of S&amp;P Global Inc. and any successor thereto.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region, country or territory which is itself the subject or target of any Sanctions (which, as of the Closing Date, consists of Cuba, Iran, North Korea, Syria and Crimea).</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at any time, (a) any Person listed in any Sanctions-related list of designated Persons maintained by OFAC, the U.S. Department of State, the United Nations Security Council, the European Union, any member state of the European Union, Her Majesty’s Treasury of the United Kingdom, Global Affairs Canada, or other relevant sanctions authority, (b) any Person operating, organized or resident in a Sanctioned Country or (c) any Person owned or controlled by any such Person or Persons described in clauses (a) and (b).</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member state of the European Union, Her Majesty’s Treasury of the United Kingdom, Global Affairs Canada, or other relevant sanctions authority.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between or among any Credit Party or applicable Subsidiary thereof and any Cash Management Bank.</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means any Hedge Agreement between or among any Credit Party or applicable Subsidiary thereof and any Hedge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09" w:name="page110"/>
    <w:bookmarkEnd w:id="109"/>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collectively, (a) the Obligations and (b) all existing or future payment and other obligations owing by any Credit Party under (i) any Secured Hedge Agreement (other than an Excluded Swap Obligation) and (ii) any Secured Cash Management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collectively, the Canadian Secured Parties and the US Secured Parties.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(15 U.S.C. §§ 77 et seq.).</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means the collective reference to the US Collateral Agreement, Canadian Collateral Agreement, and each other agreement or writing pursuant to which any Credit Party pledges or grants a security interest in any Property or assets securing the Secured Obligations.</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xml:space="preserve">” means the website of the Federal Reserve Bank of New York, currently at </w:t>
      </w:r>
      <w:r>
        <w:rPr>
          <w:rFonts w:ascii="Arial" w:cs="Arial" w:eastAsia="Arial" w:hAnsi="Arial"/>
          <w:sz w:val="20"/>
          <w:szCs w:val="20"/>
          <w:u w:val="single" w:color="auto"/>
          <w:color w:val="auto"/>
        </w:rPr>
        <w:t>http://www.newyorkfed.org</w:t>
      </w:r>
      <w:r>
        <w:rPr>
          <w:rFonts w:ascii="Arial" w:cs="Arial" w:eastAsia="Arial" w:hAnsi="Arial"/>
          <w:sz w:val="20"/>
          <w:szCs w:val="20"/>
          <w:color w:val="auto"/>
        </w:rPr>
        <w:t>, or any successor source for the secured overnight financing rate identified as such by the SOFR Administrator from time to time.</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w:t>
      </w:r>
    </w:p>
    <w:p>
      <w:pPr>
        <w:spacing w:after="0" w:line="4" w:lineRule="exact"/>
        <w:rPr>
          <w:sz w:val="20"/>
          <w:szCs w:val="20"/>
          <w:color w:val="auto"/>
        </w:rPr>
      </w:pPr>
    </w:p>
    <w:p>
      <w:pPr>
        <w:jc w:val="both"/>
        <w:ind w:firstLine="8"/>
        <w:spacing w:after="0" w:line="281" w:lineRule="auto"/>
        <w:tabs>
          <w:tab w:leader="none" w:pos="27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Southwest Gas</w:t>
      </w:r>
      <w:r>
        <w:rPr>
          <w:rFonts w:ascii="Arial" w:cs="Arial" w:eastAsia="Arial" w:hAnsi="Arial"/>
          <w:sz w:val="20"/>
          <w:szCs w:val="20"/>
          <w:color w:val="auto"/>
        </w:rPr>
        <w:t>” means Southwest Gas Holdings, Inc., a Delaware corporation.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Disposition</w:t>
      </w:r>
      <w:r>
        <w:rPr>
          <w:rFonts w:ascii="Arial" w:cs="Arial" w:eastAsia="Arial" w:hAnsi="Arial"/>
          <w:sz w:val="20"/>
          <w:szCs w:val="20"/>
          <w:color w:val="auto"/>
        </w:rPr>
        <w:t>” means any Asset Disposition (or series of related Asset Dispositions) having gross sales proceeds in excess of $10,000,000.</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Representations</w:t>
      </w:r>
      <w:r>
        <w:rPr>
          <w:rFonts w:ascii="Arial" w:cs="Arial" w:eastAsia="Arial" w:hAnsi="Arial"/>
          <w:sz w:val="19"/>
          <w:szCs w:val="19"/>
          <w:color w:val="auto"/>
        </w:rPr>
        <w:t>” means the representations and warranties set forth in the Loan Documents relating to corporate existence of the Credit Parties and good standing of the Credit Parties in their respective jurisdictions of organization; power and authority, due authorization, execution and delivery and enforceability, in each case, relating to the Credit Parties entering into and performance of the Loan Documents; no conflicts with or consents under the Credit Parties’ organizational documents; Solvency of the Borrowers and their respective subsidiaries on a Consolidated basis as of the Closing Date (after giving effect to the Transactions); Federal Reserve margin regulations; the Investment Company Act; use of proceeds not in violation of Sanctions, Anti-Money Laundering Laws, Anti-Corruption Laws and Beneficial Ownership Certifications; and creation, validity and perfection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0" w:name="page111"/>
    <w:bookmarkEnd w:id="110"/>
    <w:p>
      <w:pPr>
        <w:jc w:val="both"/>
        <w:spacing w:after="0" w:line="260" w:lineRule="auto"/>
        <w:rPr>
          <w:sz w:val="20"/>
          <w:szCs w:val="20"/>
          <w:color w:val="auto"/>
        </w:rPr>
      </w:pPr>
      <w:r>
        <w:rPr>
          <w:rFonts w:ascii="Arial" w:cs="Arial" w:eastAsia="Arial" w:hAnsi="Arial"/>
          <w:sz w:val="20"/>
          <w:szCs w:val="20"/>
          <w:color w:val="auto"/>
        </w:rPr>
        <w:t>security interests in the Collateral; and the status of the Credit Facilities and the guaranties thereof as senior debt (or equivalent term) and, to the extent applicable, “designated senior debt” (or an equivalent term).</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Transactions</w:t>
      </w:r>
      <w:r>
        <w:rPr>
          <w:rFonts w:ascii="Arial" w:cs="Arial" w:eastAsia="Arial" w:hAnsi="Arial"/>
          <w:sz w:val="20"/>
          <w:szCs w:val="20"/>
          <w:color w:val="auto"/>
        </w:rPr>
        <w:t>” means (a) any Specified Disposition consummated after the Closing Date, (b) any Permitted Acquisition consummated after the Closing Date and (c) the Transactions.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Spot Rate</w:t>
      </w:r>
      <w:r>
        <w:rPr>
          <w:rFonts w:ascii="Arial" w:cs="Arial" w:eastAsia="Arial" w:hAnsi="Arial"/>
          <w:sz w:val="20"/>
          <w:szCs w:val="20"/>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may obtain such spot rate from another financial institution reasonably designated by the Administrative Agent if the Person acting in such capacity does not have as of the date of determination a spot buying rate for any such currency.</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the collective reference to any Indebtedness incurred by any Consolidated Company that is subordinated in right and time of payment to the Obligations on terms and conditions satisfactory to the Administrative Agent.</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Centuri.</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Guarantors</w:t>
      </w:r>
      <w:r>
        <w:rPr>
          <w:rFonts w:ascii="Arial" w:cs="Arial" w:eastAsia="Arial" w:hAnsi="Arial"/>
          <w:sz w:val="20"/>
          <w:szCs w:val="20"/>
          <w:color w:val="auto"/>
        </w:rPr>
        <w:t>” means, collectively, the US Subsidiary Guarantors and the Canadian Subsidiary Guarantors.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Credit Party,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means the lesser of (a) $30,000,000 and (b) the Revolving Credit Commitment.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Facility</w:t>
      </w:r>
      <w:r>
        <w:rPr>
          <w:rFonts w:ascii="Arial" w:cs="Arial" w:eastAsia="Arial" w:hAnsi="Arial"/>
          <w:sz w:val="20"/>
          <w:szCs w:val="20"/>
          <w:color w:val="auto"/>
        </w:rPr>
        <w:t xml:space="preserve">” means the swingline facility established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(a) Wells Fargo, solely in its capacity as swingline lender with respect to US Swingline Loans and (b) CIBC, solely in its capacity as swingline lender with respect to Canadian Swingline Loans, in each case, or any successor thereto.</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means, a US Swingline Loan or a Canadian Swingline Loan, as the context requires, and “</w:t>
      </w:r>
      <w:r>
        <w:rPr>
          <w:rFonts w:ascii="Arial" w:cs="Arial" w:eastAsia="Arial" w:hAnsi="Arial"/>
          <w:sz w:val="20"/>
          <w:szCs w:val="20"/>
          <w:u w:val="single" w:color="auto"/>
          <w:color w:val="auto"/>
        </w:rPr>
        <w:t>Swingline Loans</w:t>
      </w:r>
      <w:r>
        <w:rPr>
          <w:rFonts w:ascii="Arial" w:cs="Arial" w:eastAsia="Arial" w:hAnsi="Arial"/>
          <w:sz w:val="20"/>
          <w:szCs w:val="20"/>
          <w:color w:val="auto"/>
        </w:rPr>
        <w:t>” means, collectively, all US Swingline Loans and all Canadian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1" w:name="page112"/>
    <w:bookmarkEnd w:id="111"/>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w:t>
      </w:r>
      <w:r>
        <w:rPr>
          <w:rFonts w:ascii="Arial" w:cs="Arial" w:eastAsia="Arial" w:hAnsi="Arial"/>
          <w:sz w:val="20"/>
          <w:szCs w:val="20"/>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means (a) as to any Term Loan Lender, the obligation of such Term Loan Lender to make a portion of the Initial Term Loan and/or Incremental Term Loans, as applicable, to the account of the US Borrowers or the Canadian Borrowers, as applicable, hereunder on the Closing Date or the applicable borrowing date (in the case of any Incremental Term Loan) in an aggregate principal amount not to exceed the amount set forth opposite such Lender’s name on the Register, as such amount may be increased, reduced or otherwise modified at any time or from time to time pursuant to the terms hereof and (b) as to all Term Loan Lenders, the aggregate commitment of all Term Loan Lenders to make such Initial Term Loan. The aggregate Term Loan Commitment with respect to the Initial Term Loan of all Term Loan Lenders on the Closing Date shall be $1,145,000,000.</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Facility</w:t>
      </w:r>
      <w:r>
        <w:rPr>
          <w:rFonts w:ascii="Arial" w:cs="Arial" w:eastAsia="Arial" w:hAnsi="Arial"/>
          <w:sz w:val="20"/>
          <w:szCs w:val="20"/>
          <w:color w:val="auto"/>
        </w:rPr>
        <w:t xml:space="preserve">” means the term loan facility established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(including any new term loan facility established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each facility providing for the borrowing of Refinancing Term Loans and each facility providing for the borrowing of Extended Term Loans).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w:t>
      </w:r>
      <w:r>
        <w:rPr>
          <w:rFonts w:ascii="Arial" w:cs="Arial" w:eastAsia="Arial" w:hAnsi="Arial"/>
          <w:sz w:val="20"/>
          <w:szCs w:val="20"/>
          <w:color w:val="auto"/>
        </w:rPr>
        <w:t>” means any Lender with a Term Loan Commitment and/or outstanding Term Loans, each reference to a “Term Loan Lender” shall be deemed to include such Term Loan Lender’s Applicable Designee with respect to the portion of such Term Loan Lender’s Term Loan Commitment funded by such Applicable Designee.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Maturity Date</w:t>
      </w:r>
      <w:r>
        <w:rPr>
          <w:rFonts w:ascii="Arial" w:cs="Arial" w:eastAsia="Arial" w:hAnsi="Arial"/>
          <w:sz w:val="20"/>
          <w:szCs w:val="20"/>
          <w:color w:val="auto"/>
        </w:rPr>
        <w:t xml:space="preserve">” means the first to occur of (a) August 27, 2028 and (b) the date of acceleration of the Term Loans pursuant to </w:t>
      </w:r>
      <w:r>
        <w:rPr>
          <w:rFonts w:ascii="Arial" w:cs="Arial" w:eastAsia="Arial" w:hAnsi="Arial"/>
          <w:sz w:val="20"/>
          <w:szCs w:val="20"/>
          <w:u w:val="single" w:color="auto"/>
          <w:color w:val="auto"/>
        </w:rPr>
        <w:t>Section 10.2(a)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the Term Loan Maturity Date applicable to Incremental Term Loans, Extended Term Loans and Refinancing Term Loans shall be the final maturity date specified in the relevant documentation for such Incremental Term Loans, Extended Term Loans and Refinancing Term Loans.</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Percentage</w:t>
      </w:r>
      <w:r>
        <w:rPr>
          <w:rFonts w:ascii="Arial" w:cs="Arial" w:eastAsia="Arial" w:hAnsi="Arial"/>
          <w:sz w:val="19"/>
          <w:szCs w:val="19"/>
          <w:color w:val="auto"/>
        </w:rPr>
        <w:t>” means, with respect to any Term Loan Lender at any time, the percentage of the total outstanding principal balance of the Term Loans represented by the outstanding principal balance of such Term Loan Lender’s Term Loans.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means the Initial Term Loan and, if applicable, the Incremental Term Loans, the Extended Term Loans and the Refinancing Term Loans, and “</w:t>
      </w:r>
      <w:r>
        <w:rPr>
          <w:rFonts w:ascii="Arial" w:cs="Arial" w:eastAsia="Arial" w:hAnsi="Arial"/>
          <w:sz w:val="20"/>
          <w:szCs w:val="20"/>
          <w:u w:val="single" w:color="auto"/>
          <w:color w:val="auto"/>
        </w:rPr>
        <w:t>Term Loan</w:t>
      </w:r>
      <w:r>
        <w:rPr>
          <w:rFonts w:ascii="Arial" w:cs="Arial" w:eastAsia="Arial" w:hAnsi="Arial"/>
          <w:sz w:val="20"/>
          <w:szCs w:val="20"/>
          <w:color w:val="auto"/>
        </w:rPr>
        <w:t>” means any of such Term Loans.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for the applicable Corresponding Tenor as of the applicable Reference Time, the forward-looking term rate based on SOFR that has been selected or recommended by the Relevant Governmental Body.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Notice</w:t>
      </w:r>
      <w:r>
        <w:rPr>
          <w:rFonts w:ascii="Arial" w:cs="Arial" w:eastAsia="Arial" w:hAnsi="Arial"/>
          <w:sz w:val="20"/>
          <w:szCs w:val="20"/>
          <w:color w:val="auto"/>
        </w:rPr>
        <w:t>” means a notification by the Administrative Agent to the Lenders and the Borrower of the occurrence of a Term SOFR Transition Event.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Transition Event</w:t>
      </w:r>
      <w:r>
        <w:rPr>
          <w:rFonts w:ascii="Arial" w:cs="Arial" w:eastAsia="Arial" w:hAnsi="Arial"/>
          <w:sz w:val="20"/>
          <w:szCs w:val="20"/>
          <w:color w:val="auto"/>
        </w:rPr>
        <w:t>” means the determination by the Administrative Agent that (a) Term SOFR has been recommended for use by the Relevant Governmental Body, (b) the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2" w:name="page113"/>
    <w:bookmarkEnd w:id="112"/>
    <w:p>
      <w:pPr>
        <w:jc w:val="both"/>
        <w:spacing w:after="0" w:line="246" w:lineRule="auto"/>
        <w:rPr>
          <w:sz w:val="20"/>
          <w:szCs w:val="20"/>
          <w:color w:val="auto"/>
        </w:rPr>
      </w:pPr>
      <w:r>
        <w:rPr>
          <w:rFonts w:ascii="Arial" w:cs="Arial" w:eastAsia="Arial" w:hAnsi="Arial"/>
          <w:sz w:val="20"/>
          <w:szCs w:val="20"/>
          <w:color w:val="auto"/>
        </w:rPr>
        <w:t xml:space="preserve">of Term SOFR is administratively feasible for the Administrative Agent and (c) a Benchmark Transition Event or an Early Opt-in Election, as applicable, has previously occurred resulting in the replacement of the then-current Benchmark for all purposes hereunder and under any Loan Document in accordance with </w:t>
      </w:r>
      <w:r>
        <w:rPr>
          <w:rFonts w:ascii="Arial" w:cs="Arial" w:eastAsia="Arial" w:hAnsi="Arial"/>
          <w:sz w:val="20"/>
          <w:szCs w:val="20"/>
          <w:u w:val="single" w:color="auto"/>
          <w:color w:val="auto"/>
        </w:rPr>
        <w:t>Section 5.8(c)</w:t>
      </w:r>
      <w:r>
        <w:rPr>
          <w:rFonts w:ascii="Arial" w:cs="Arial" w:eastAsia="Arial" w:hAnsi="Arial"/>
          <w:sz w:val="20"/>
          <w:szCs w:val="20"/>
          <w:color w:val="auto"/>
        </w:rPr>
        <w:t xml:space="preserve"> with a Benchmark Replacement the Unadjusted Benchmark Replacement component of which is not Term SOFR.</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Event</w:t>
      </w:r>
      <w:r>
        <w:rPr>
          <w:rFonts w:ascii="Arial" w:cs="Arial" w:eastAsia="Arial" w:hAnsi="Arial"/>
          <w:sz w:val="19"/>
          <w:szCs w:val="19"/>
          <w:color w:val="auto"/>
        </w:rPr>
        <w:t>” means the occurrence of any of the following which, individually or in the aggregate, has resulted or could reasonably be expected to result in liability of the US Borrowers or any of their respective Subsidiaries in an aggregate amount in excess of the Threshold Amount: (a) a “Reportable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$35,000,000.</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unused Commitments, Revolving Credit Exposure and outstanding Term Loans of such Lender at such time.</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collectively, (a) the refinancing of Indebtedness outstanding under the Existing Credit Agreement, (b) the refinancing of certain Indebtedness of Drum and its Subsidiaries, (c) the initial Extensions of Credit, (d) the financing of the Drum Acquisition and (e) the payment of the costs incurred in connection with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in the State of New York.</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3" w:name="page114"/>
    <w:bookmarkEnd w:id="11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Customs</w:t>
      </w:r>
      <w:r>
        <w:rPr>
          <w:rFonts w:ascii="Arial" w:cs="Arial" w:eastAsia="Arial" w:hAnsi="Arial"/>
          <w:sz w:val="20"/>
          <w:szCs w:val="20"/>
          <w:color w:val="auto"/>
        </w:rPr>
        <w:t>” means the Uniform Customs and Practice for Documentary Credits (2007 Revision), effective July, 2007 International Chamber of Commerce Publication No. 600.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w:t>
      </w:r>
      <w:r>
        <w:rPr>
          <w:rFonts w:ascii="Arial" w:cs="Arial" w:eastAsia="Arial" w:hAnsi="Arial"/>
          <w:sz w:val="18"/>
          <w:szCs w:val="18"/>
          <w:color w:val="auto"/>
        </w:rPr>
        <w:t>” shall mean, when referring to cash and Cash Equivalents of Centuri and its Subsidiaries, that such cash and Cash Equivalents (a) do not appear or would not be required to appear as “restricted” on the financial statements of Centuri or any such Subsidiary (unless related to the Loan Documents or the Liens created thereunder), (b) are not subject to a Lien in favor of any Person other than the Administrative Agent under the Loan Documents, (c) are assets of Centuri or a Subsidiary that is a US Subsidiary and are held in bank accounts or securities accounts located in the United States or (d) are not otherwise unavailable to Centuri or such Subsidiary.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LIBOR</w:t>
      </w:r>
      <w:r>
        <w:rPr>
          <w:rFonts w:ascii="Arial" w:cs="Arial" w:eastAsia="Arial" w:hAnsi="Arial"/>
          <w:sz w:val="20"/>
          <w:szCs w:val="20"/>
          <w:color w:val="auto"/>
        </w:rPr>
        <w:t>” means the London interbank offered rate for Dollars.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Borrowers</w:t>
      </w:r>
      <w:r>
        <w:rPr>
          <w:rFonts w:ascii="Arial" w:cs="Arial" w:eastAsia="Arial" w:hAnsi="Arial"/>
          <w:sz w:val="20"/>
          <w:szCs w:val="20"/>
          <w:color w:val="auto"/>
        </w:rPr>
        <w:t>” means, collectively, Centuri and each Additional Borrower approved by the Lenders that becomes a party hereto as a US Borrower.</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Cash Management Bank</w:t>
      </w:r>
      <w:r>
        <w:rPr>
          <w:rFonts w:ascii="Arial" w:cs="Arial" w:eastAsia="Arial" w:hAnsi="Arial"/>
          <w:sz w:val="18"/>
          <w:szCs w:val="18"/>
          <w:color w:val="auto"/>
        </w:rPr>
        <w:t>” means any Person that, (a) at the time it enters into a Cash Management Agreement with a US Credit Party or any US Subsidiary thereof, is a Lender, an Affiliate of a Lender, the Administrative Agent or an Affiliate of the Administrative Agent, or (b) at the time it (or its Affiliate) becomes a Lender (including on the Closing Date), is a party to a Cash Management Agreement with a US Credit Party or any US Subsidiary thereof, in each case in its capacity as a party to such Cash Management Agreement.</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Collateral Agreement</w:t>
      </w:r>
      <w:r>
        <w:rPr>
          <w:rFonts w:ascii="Arial" w:cs="Arial" w:eastAsia="Arial" w:hAnsi="Arial"/>
          <w:sz w:val="20"/>
          <w:szCs w:val="20"/>
          <w:color w:val="auto"/>
        </w:rPr>
        <w:t>” means that certain Second Amended and Restated US Collateral Agreement of even date herewith executed by the US Credit Parties in favor of the Administrative Agent, for the ratable benefit of the US Secured Parties and the Canadian Secured Parties.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Credit Parties</w:t>
      </w:r>
      <w:r>
        <w:rPr>
          <w:rFonts w:ascii="Arial" w:cs="Arial" w:eastAsia="Arial" w:hAnsi="Arial"/>
          <w:sz w:val="20"/>
          <w:szCs w:val="20"/>
          <w:color w:val="auto"/>
        </w:rPr>
        <w:t>” means, collectively, the US Borrowers and the US Subsidiary Guarantors.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Credit Party Guaranty Agreement</w:t>
      </w:r>
      <w:r>
        <w:rPr>
          <w:rFonts w:ascii="Arial" w:cs="Arial" w:eastAsia="Arial" w:hAnsi="Arial"/>
          <w:sz w:val="20"/>
          <w:szCs w:val="20"/>
          <w:color w:val="auto"/>
        </w:rPr>
        <w:t>” means that certain Second Amended and Restated US Credit Party Guaranty Agreement of even date herewith executed by the US Credit Parties in favor of the Administrative Agent, for the ratable benefit of the US Secured Parties and the Canadian Secured Parties.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Hedge Bank</w:t>
      </w:r>
      <w:r>
        <w:rPr>
          <w:rFonts w:ascii="Arial" w:cs="Arial" w:eastAsia="Arial" w:hAnsi="Arial"/>
          <w:sz w:val="19"/>
          <w:szCs w:val="19"/>
          <w:color w:val="auto"/>
        </w:rPr>
        <w:t xml:space="preserve">” means any Person that, (a) at the time it enters into a Hedge Agreement with a US Credit Party or any US Subsidiary thereof permitted under </w:t>
      </w:r>
      <w:r>
        <w:rPr>
          <w:rFonts w:ascii="Arial" w:cs="Arial" w:eastAsia="Arial" w:hAnsi="Arial"/>
          <w:sz w:val="19"/>
          <w:szCs w:val="19"/>
          <w:u w:val="single" w:color="auto"/>
          <w:color w:val="auto"/>
        </w:rPr>
        <w:t>Article IX</w:t>
      </w:r>
      <w:r>
        <w:rPr>
          <w:rFonts w:ascii="Arial" w:cs="Arial" w:eastAsia="Arial" w:hAnsi="Arial"/>
          <w:sz w:val="19"/>
          <w:szCs w:val="19"/>
          <w:color w:val="auto"/>
        </w:rPr>
        <w:t>, is a Lender, an Affiliate of a Lender, the Administrative Agent or an Affiliate of the Administrative Agent or (b) at the time it (or its Affiliate) becomes a Lender (including on the Closing Date), is a party to a Hedge Agreement with a US Credit Party or any US Subsidiary thereof, in each case in its capacity as a party to such Hedge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4" w:name="page115"/>
    <w:bookmarkEnd w:id="11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L/C Obligations</w:t>
      </w:r>
      <w:r>
        <w:rPr>
          <w:rFonts w:ascii="Arial" w:cs="Arial" w:eastAsia="Arial" w:hAnsi="Arial"/>
          <w:sz w:val="20"/>
          <w:szCs w:val="20"/>
          <w:color w:val="auto"/>
        </w:rPr>
        <w:t xml:space="preserve">” means at any time, an amount equal to the sum of (a) the aggregate undrawn and unexpired amount of the then outstanding US Letters of Credit and (b) the aggregate amount of drawings under US Letters of Credit which have not then been reimbursed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Letters of Credit</w:t>
      </w:r>
      <w:r>
        <w:rPr>
          <w:rFonts w:ascii="Arial" w:cs="Arial" w:eastAsia="Arial" w:hAnsi="Arial"/>
          <w:sz w:val="20"/>
          <w:szCs w:val="20"/>
          <w:color w:val="auto"/>
        </w:rPr>
        <w:t xml:space="preserve">” means the collective reference to letters of credit denominated in Dollars pursuant to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“US Letter of Credit” for purposes of the Loan Documents until such time as the Administrative Agent has been notified in writing of the issuance thereof by the applicable Issuing Lender.</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Obligations</w:t>
      </w:r>
      <w:r>
        <w:rPr>
          <w:rFonts w:ascii="Arial" w:cs="Arial" w:eastAsia="Arial" w:hAnsi="Arial"/>
          <w:sz w:val="18"/>
          <w:szCs w:val="18"/>
          <w:color w:val="auto"/>
        </w:rPr>
        <w:t>” means, in each case, whether now in existence or hereafter arising: (a) the principal of and interest on (including interest accruing after the filing of any bankruptcy or similar petition) the Loans (other than the Canadian Revolving Credit Loans, the Canadian Swingline Loans and, to the extent applicable, any Incremental Term Loan made to the Canadian Borrowers), (b) the US L/C Obligations and (c) all other fees and commissions (including attorneys’ fees), charges, indebtedness, loans, liabilities, financial accommodations, obligations, covenants and duties owing by the US Credit Parties to the Lenders, the Issuing Lenders or the Administrative Agent, in each case under any Loan Document, with respect to any Loan (other than any Canadian Revolving Credit Loan, any Canadian Swingline Loan and, to the extent applicable, any Incremental Term Loan made to the Canadian Borrowers) or any US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Credit Loans</w:t>
      </w:r>
      <w:r>
        <w:rPr>
          <w:rFonts w:ascii="Arial" w:cs="Arial" w:eastAsia="Arial" w:hAnsi="Arial"/>
          <w:sz w:val="18"/>
          <w:szCs w:val="18"/>
          <w:color w:val="auto"/>
        </w:rPr>
        <w:t xml:space="preserve">” means any revolving loan denominated in Dollars made to the US Borrowers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and all such revolving loans collectively as the context requires, and shall include any Extended Revolving Credit Loans, any Refinancing Revolving Loans and any loans made pursuant to an Incremental Revolving Credit Facility Increase, in each case, related to such loans.</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Revolving Credit Note</w:t>
      </w:r>
      <w:r>
        <w:rPr>
          <w:rFonts w:ascii="Arial" w:cs="Arial" w:eastAsia="Arial" w:hAnsi="Arial"/>
          <w:sz w:val="20"/>
          <w:szCs w:val="20"/>
          <w:color w:val="auto"/>
        </w:rPr>
        <w:t xml:space="preserve">” means a promissory note made by the US Borrowers in favor of a Revolving Credit Lender evidencing the Revolving Credit Loans made by such Revolving Credit Lender, substantially in the form attached as </w:t>
      </w:r>
      <w:r>
        <w:rPr>
          <w:rFonts w:ascii="Arial" w:cs="Arial" w:eastAsia="Arial" w:hAnsi="Arial"/>
          <w:sz w:val="20"/>
          <w:szCs w:val="20"/>
          <w:b w:val="1"/>
          <w:bCs w:val="1"/>
          <w:i w:val="1"/>
          <w:iCs w:val="1"/>
          <w:color w:val="auto"/>
        </w:rPr>
        <w:t>Exhibit A-1</w:t>
      </w:r>
      <w:r>
        <w:rPr>
          <w:rFonts w:ascii="Arial" w:cs="Arial" w:eastAsia="Arial" w:hAnsi="Arial"/>
          <w:sz w:val="20"/>
          <w:szCs w:val="20"/>
          <w:color w:val="auto"/>
        </w:rPr>
        <w:t>, and any substitutes therefor, and any replacements, restatements, renewals or extension thereof, in whole or in part.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Secured Obligations</w:t>
      </w:r>
      <w:r>
        <w:rPr>
          <w:rFonts w:ascii="Arial" w:cs="Arial" w:eastAsia="Arial" w:hAnsi="Arial"/>
          <w:sz w:val="20"/>
          <w:szCs w:val="20"/>
          <w:color w:val="auto"/>
        </w:rPr>
        <w:t>” means, collectively, (a) the US Obligations and (b) all existing or future payment and other obligations owing by any US Credit Party or any US Subsidiary thereof under (i) any Secured Hedge Agreement with a US Hedge Bank and (ii) any Secured Cash Management Agreement with a US Cash Management Bank.</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Parties</w:t>
      </w:r>
      <w:r>
        <w:rPr>
          <w:rFonts w:ascii="Arial" w:cs="Arial" w:eastAsia="Arial" w:hAnsi="Arial"/>
          <w:sz w:val="18"/>
          <w:szCs w:val="18"/>
          <w:color w:val="auto"/>
        </w:rPr>
        <w:t xml:space="preserve">” means, collectively, the Administrative Agent, the Lenders, the Issuing Lenders, the US Hedge Banks, the US Cash Management Banks, each co-agent or sub-agent appointed by the Administrative Agent from time to time pursuant to </w:t>
      </w:r>
      <w:r>
        <w:rPr>
          <w:rFonts w:ascii="Arial" w:cs="Arial" w:eastAsia="Arial" w:hAnsi="Arial"/>
          <w:sz w:val="18"/>
          <w:szCs w:val="18"/>
          <w:u w:val="single" w:color="auto"/>
          <w:color w:val="auto"/>
        </w:rPr>
        <w:t>Section 12.5</w:t>
      </w:r>
      <w:r>
        <w:rPr>
          <w:rFonts w:ascii="Arial" w:cs="Arial" w:eastAsia="Arial" w:hAnsi="Arial"/>
          <w:sz w:val="18"/>
          <w:szCs w:val="18"/>
          <w:color w:val="auto"/>
        </w:rPr>
        <w:t>, any other holder from time to time of any US Secured Obligations and, in each case,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5" w:name="page116"/>
    <w:bookmarkEnd w:id="115"/>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Subsidiary</w:t>
      </w:r>
      <w:r>
        <w:rPr>
          <w:rFonts w:ascii="Arial" w:cs="Arial" w:eastAsia="Arial" w:hAnsi="Arial"/>
          <w:sz w:val="20"/>
          <w:szCs w:val="20"/>
          <w:color w:val="auto"/>
        </w:rPr>
        <w:t>” means any Subsidiary that is organized under the laws of the United States, any State thereof or the District of Columbia.</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Subsidiary Guarantors</w:t>
      </w:r>
      <w:r>
        <w:rPr>
          <w:rFonts w:ascii="Arial" w:cs="Arial" w:eastAsia="Arial" w:hAnsi="Arial"/>
          <w:sz w:val="20"/>
          <w:szCs w:val="20"/>
          <w:color w:val="auto"/>
        </w:rPr>
        <w:t xml:space="preserve">” means, collectively, all US Subsidiaries in existence on the Closing Date or which become parties to the US Credit Party Guaranty Agreement pursuant to </w:t>
      </w:r>
      <w:r>
        <w:rPr>
          <w:rFonts w:ascii="Arial" w:cs="Arial" w:eastAsia="Arial" w:hAnsi="Arial"/>
          <w:sz w:val="20"/>
          <w:szCs w:val="20"/>
          <w:u w:val="single" w:color="auto"/>
          <w:color w:val="auto"/>
        </w:rPr>
        <w:t>Section 8.14</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Loan</w:t>
      </w:r>
      <w:r>
        <w:rPr>
          <w:rFonts w:ascii="Arial" w:cs="Arial" w:eastAsia="Arial" w:hAnsi="Arial"/>
          <w:sz w:val="20"/>
          <w:szCs w:val="20"/>
          <w:color w:val="auto"/>
        </w:rPr>
        <w:t xml:space="preserve">” means any swingline loan denominated in Dollars made by the applicable Swingline Lender to a US Borrower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 and all such swingline loans collectively as the context requires.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Note</w:t>
      </w:r>
      <w:r>
        <w:rPr>
          <w:rFonts w:ascii="Arial" w:cs="Arial" w:eastAsia="Arial" w:hAnsi="Arial"/>
          <w:sz w:val="20"/>
          <w:szCs w:val="20"/>
          <w:color w:val="auto"/>
        </w:rPr>
        <w:t xml:space="preserve">” means a promissory note made by the US Borrowers in favor of the applicable Swingline Lender evidencing the Swingline Loans made by the applicable Swingline Lender, substantially in the form attached as </w:t>
      </w:r>
      <w:r>
        <w:rPr>
          <w:rFonts w:ascii="Arial" w:cs="Arial" w:eastAsia="Arial" w:hAnsi="Arial"/>
          <w:sz w:val="20"/>
          <w:szCs w:val="20"/>
          <w:b w:val="1"/>
          <w:bCs w:val="1"/>
          <w:i w:val="1"/>
          <w:iCs w:val="1"/>
          <w:color w:val="auto"/>
        </w:rPr>
        <w:t>Exhibit A-3</w:t>
      </w:r>
      <w:r>
        <w:rPr>
          <w:rFonts w:ascii="Arial" w:cs="Arial" w:eastAsia="Arial" w:hAnsi="Arial"/>
          <w:sz w:val="20"/>
          <w:szCs w:val="20"/>
          <w:color w:val="auto"/>
        </w:rPr>
        <w:t>, and any substitutes therefor, and any replacements, restatements, renewals or extension thereof, in whole or in part.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5.11(g)</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Term Loan Note</w:t>
      </w:r>
      <w:r>
        <w:rPr>
          <w:rFonts w:ascii="Arial" w:cs="Arial" w:eastAsia="Arial" w:hAnsi="Arial"/>
          <w:sz w:val="19"/>
          <w:szCs w:val="19"/>
          <w:color w:val="auto"/>
        </w:rPr>
        <w:t xml:space="preserve">” means a promissory note made by the US Borrowers in favor of a Term Loan Lender evidencing the portion of the Term Loans made by such Term Loan Lender to the US Borrowers, substantially in the form attached as </w:t>
      </w:r>
      <w:r>
        <w:rPr>
          <w:rFonts w:ascii="Arial" w:cs="Arial" w:eastAsia="Arial" w:hAnsi="Arial"/>
          <w:sz w:val="19"/>
          <w:szCs w:val="19"/>
          <w:b w:val="1"/>
          <w:bCs w:val="1"/>
          <w:i w:val="1"/>
          <w:iCs w:val="1"/>
          <w:color w:val="auto"/>
        </w:rPr>
        <w:t>Exhibit A-5</w:t>
      </w:r>
      <w:r>
        <w:rPr>
          <w:rFonts w:ascii="Arial" w:cs="Arial" w:eastAsia="Arial" w:hAnsi="Arial"/>
          <w:sz w:val="19"/>
          <w:szCs w:val="19"/>
          <w:color w:val="auto"/>
        </w:rPr>
        <w:t>, and any substitutes therefor, and any replacements, restatements, renewals or extensions thereof, in whole or in part.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installment, sinking fund, serial maturity or other required payment of principal.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means Wells Fargo Bank, National Association, a national banking association.</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that all of the Equity Interests of such Subsidiary are, directly or indirectly, owned or controlled by Centuri and/or one or more of its Wholly-Owned Subsidiaries (except for directors’ qualifying shares or other shares required by Applicable Law to be owned by a Person other than Centuri and/or one or more of its Wholly-Owned Subsidiaries).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Credit Party and the Administrative Agent.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w:t>
      </w:r>
      <w:r>
        <w:rPr>
          <w:rFonts w:ascii="Arial" w:cs="Arial" w:eastAsia="Arial" w:hAnsi="Arial"/>
          <w:sz w:val="20"/>
          <w:szCs w:val="20"/>
          <w:color w:val="auto"/>
        </w:rPr>
        <w:t>” means, for Centuri and its Subsidiaries on a Consolidated basis and calculated in accordance with GAAP, as of any date of determination, the excess of (a) current assets (other than cash, Cash Equivalents, taxes and deferred taxes) over (b) current liabilities, excluding, without duplication, (i) the current portion of any long-term Indebtedness, (ii) outstanding Revolving Credit Loans and Swingline Loans, (iii) the current portion of current taxes and deferred income taxes and (iv) the current portion of accrued Consolidated Interest Expense.</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6" w:name="page117"/>
    <w:bookmarkEnd w:id="116"/>
    <w:p>
      <w:pPr>
        <w:jc w:val="both"/>
        <w:spacing w:after="0" w:line="243" w:lineRule="auto"/>
        <w:rPr>
          <w:sz w:val="20"/>
          <w:szCs w:val="20"/>
          <w:color w:val="auto"/>
        </w:rPr>
      </w:pPr>
      <w:r>
        <w:rPr>
          <w:rFonts w:ascii="Arial" w:cs="Arial" w:eastAsia="Arial" w:hAnsi="Arial"/>
          <w:sz w:val="20"/>
          <w:szCs w:val="20"/>
          <w:color w:val="auto"/>
        </w:rPr>
        <w:t>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I.2 </w:t>
      </w:r>
      <w:r>
        <w:rPr>
          <w:rFonts w:ascii="Arial" w:cs="Arial" w:eastAsia="Arial" w:hAnsi="Arial"/>
          <w:sz w:val="18"/>
          <w:szCs w:val="18"/>
          <w:u w:val="single" w:color="auto"/>
          <w:color w:val="auto"/>
        </w:rPr>
        <w:t>Other Definitions and Provisions</w:t>
      </w:r>
      <w:r>
        <w:rPr>
          <w:rFonts w:ascii="Arial" w:cs="Arial" w:eastAsia="Arial" w:hAnsi="Arial"/>
          <w:sz w:val="18"/>
          <w:szCs w:val="18"/>
          <w:color w:val="auto"/>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w:t>
      </w:r>
    </w:p>
    <w:p>
      <w:pPr>
        <w:spacing w:after="0" w:line="3" w:lineRule="exact"/>
        <w:rPr>
          <w:sz w:val="20"/>
          <w:szCs w:val="20"/>
          <w:color w:val="auto"/>
        </w:rPr>
      </w:pPr>
    </w:p>
    <w:p>
      <w:pPr>
        <w:jc w:val="both"/>
        <w:ind w:firstLine="8"/>
        <w:spacing w:after="0" w:line="274" w:lineRule="auto"/>
        <w:tabs>
          <w:tab w:leader="none" w:pos="3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I.3</w:t>
      </w:r>
      <w:r>
        <w:rPr>
          <w:sz w:val="20"/>
          <w:szCs w:val="20"/>
          <w:color w:val="auto"/>
        </w:rPr>
        <w:tab/>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7" w:lineRule="auto"/>
        <w:tabs>
          <w:tab w:leader="none" w:pos="1286"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Notwithstanding the foregoing, for purposes of determining compliance with any covenant (including the computation of any financial covenant) contained herein, Indebtedness of the Consolidated Companies shall be deemed to be carried at 100% of the outstanding principal amount thereof, and the effects of FASB ASC 825 and FASB ASC 470-20 on financial liabilities shall be disregarded.</w:t>
      </w:r>
    </w:p>
    <w:p>
      <w:pPr>
        <w:spacing w:after="0" w:line="184" w:lineRule="exact"/>
        <w:rPr>
          <w:rFonts w:ascii="Arial" w:cs="Arial" w:eastAsia="Arial" w:hAnsi="Arial"/>
          <w:sz w:val="19"/>
          <w:szCs w:val="19"/>
          <w:color w:val="auto"/>
        </w:rPr>
      </w:pPr>
    </w:p>
    <w:p>
      <w:pPr>
        <w:jc w:val="both"/>
        <w:ind w:firstLine="656"/>
        <w:spacing w:after="0" w:line="257" w:lineRule="auto"/>
        <w:tabs>
          <w:tab w:leader="none" w:pos="1284"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at any time any change in GAAP would affect the computation of any financial ratio or requirement set forth in any Loan Document, and either the Borrowers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all obligations of any Person that are or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7" w:name="page118"/>
    <w:bookmarkEnd w:id="117"/>
    <w:p>
      <w:pPr>
        <w:jc w:val="both"/>
        <w:spacing w:after="0" w:line="263" w:lineRule="auto"/>
        <w:rPr>
          <w:sz w:val="20"/>
          <w:szCs w:val="20"/>
          <w:color w:val="auto"/>
        </w:rPr>
      </w:pPr>
      <w:r>
        <w:rPr>
          <w:rFonts w:ascii="Arial" w:cs="Arial" w:eastAsia="Arial" w:hAnsi="Arial"/>
          <w:sz w:val="19"/>
          <w:szCs w:val="19"/>
          <w:color w:val="auto"/>
        </w:rPr>
        <w:t>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 Lease Obligations in the financial statements.</w:t>
      </w:r>
    </w:p>
    <w:p>
      <w:pPr>
        <w:spacing w:after="0" w:line="17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 xml:space="preserve">SECTION I.4 </w:t>
      </w:r>
      <w:r>
        <w:rPr>
          <w:rFonts w:ascii="Arial" w:cs="Arial" w:eastAsia="Arial" w:hAnsi="Arial"/>
          <w:sz w:val="16"/>
          <w:szCs w:val="16"/>
          <w:u w:val="single" w:color="auto"/>
          <w:color w:val="auto"/>
        </w:rPr>
        <w:t>UCC and PPSA Terms</w:t>
      </w:r>
      <w:r>
        <w:rPr>
          <w:rFonts w:ascii="Arial" w:cs="Arial" w:eastAsia="Arial" w:hAnsi="Arial"/>
          <w:sz w:val="16"/>
          <w:szCs w:val="16"/>
          <w:color w:val="auto"/>
        </w:rPr>
        <w:t xml:space="preserve">. Terms defined in the UCC and/or the PPSA in effect on the Closing Date and not otherwise defined herein shall, unless the context otherwise indicates, have the meanings provided in the UCC and/or the PPSA,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term is defined in both the UCC and the PPSA and not otherwise defined herein, such term shall have the meaning provided in the UCC. Subject to the foregoing, the term “UCC” and “PPSA” refers, as of any date of determination, to the UCC or PPSA then in effect.</w:t>
      </w:r>
    </w:p>
    <w:p>
      <w:pPr>
        <w:spacing w:after="0" w:line="12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I.5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5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SECTION I.6 </w:t>
      </w:r>
      <w:r>
        <w:rPr>
          <w:rFonts w:ascii="Arial" w:cs="Arial" w:eastAsia="Arial" w:hAnsi="Arial"/>
          <w:sz w:val="16"/>
          <w:szCs w:val="16"/>
          <w:u w:val="single" w:color="auto"/>
          <w:color w:val="auto"/>
        </w:rPr>
        <w:t>References to Agreement and Laws</w:t>
      </w:r>
      <w:r>
        <w:rPr>
          <w:rFonts w:ascii="Arial" w:cs="Arial" w:eastAsia="Arial" w:hAnsi="Arial"/>
          <w:sz w:val="16"/>
          <w:szCs w:val="16"/>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w:t>
      </w:r>
    </w:p>
    <w:p>
      <w:pPr>
        <w:spacing w:after="0" w:line="2" w:lineRule="exact"/>
        <w:rPr>
          <w:sz w:val="20"/>
          <w:szCs w:val="20"/>
          <w:color w:val="auto"/>
        </w:rPr>
      </w:pPr>
    </w:p>
    <w:p>
      <w:pPr>
        <w:jc w:val="both"/>
        <w:ind w:firstLine="8"/>
        <w:spacing w:after="0" w:line="276" w:lineRule="auto"/>
        <w:tabs>
          <w:tab w:leader="none" w:pos="2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definition or reference to any Applicable Law, including, without limitation, the Code, the Commodity Exchange Act, ERISA, the Exchange Act, the PATRIOT Act, the Securities Act, the UCC, the PPSA, the Investment Company Act,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6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I.7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Eastern time (daylight or standard, as applicable).</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I.8</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4" w:lineRule="auto"/>
        <w:tabs>
          <w:tab w:leader="none" w:pos="1286" w:val="left"/>
        </w:tabs>
        <w:numPr>
          <w:ilvl w:val="0"/>
          <w:numId w:val="45"/>
        </w:numPr>
        <w:rPr>
          <w:rFonts w:ascii="Arial" w:cs="Arial" w:eastAsia="Arial" w:hAnsi="Arial"/>
          <w:sz w:val="20"/>
          <w:szCs w:val="20"/>
          <w:color w:val="auto"/>
        </w:rPr>
      </w:pPr>
      <w:r>
        <w:rPr>
          <w:rFonts w:ascii="Arial" w:cs="Arial" w:eastAsia="Arial" w:hAnsi="Arial"/>
          <w:sz w:val="20"/>
          <w:szCs w:val="20"/>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(i) any permanent reduction of such Letter of Credit or (ii) any amount which is drawn, reimbursed and no longer available under such Letter of Credit).</w:t>
      </w:r>
    </w:p>
    <w:p>
      <w:pPr>
        <w:spacing w:after="0" w:line="194" w:lineRule="exact"/>
        <w:rPr>
          <w:rFonts w:ascii="Arial" w:cs="Arial" w:eastAsia="Arial" w:hAnsi="Arial"/>
          <w:sz w:val="20"/>
          <w:szCs w:val="20"/>
          <w:color w:val="auto"/>
        </w:rPr>
      </w:pPr>
    </w:p>
    <w:p>
      <w:pPr>
        <w:ind w:firstLine="656"/>
        <w:spacing w:after="0" w:line="260" w:lineRule="auto"/>
        <w:tabs>
          <w:tab w:leader="none" w:pos="1284"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Articles 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the applicable outstanding amount of all Canadian Letters of Credit and Canadian L/C Obligations shall be deemed to refer to the Dollar Amount thereof.</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I.9 </w:t>
      </w:r>
      <w:r>
        <w:rPr>
          <w:rFonts w:ascii="Arial" w:cs="Arial" w:eastAsia="Arial" w:hAnsi="Arial"/>
          <w:sz w:val="20"/>
          <w:szCs w:val="20"/>
          <w:u w:val="single" w:color="auto"/>
          <w:color w:val="auto"/>
        </w:rPr>
        <w:t>Guarantees/Earn-Outs</w:t>
      </w:r>
      <w:r>
        <w:rPr>
          <w:rFonts w:ascii="Arial" w:cs="Arial" w:eastAsia="Arial" w:hAnsi="Arial"/>
          <w:sz w:val="20"/>
          <w:szCs w:val="20"/>
          <w:color w:val="auto"/>
        </w:rPr>
        <w:t>. Unless otherwise specified, (a) the amount of any Guarantee shall be the lesser of the amount of the obligations guaranteed and still outstanding and the maximum amount for which the guaranteeing Person may be liable pursuant to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8" w:name="page119"/>
    <w:bookmarkEnd w:id="118"/>
    <w:p>
      <w:pPr>
        <w:spacing w:after="0" w:line="260" w:lineRule="auto"/>
        <w:rPr>
          <w:sz w:val="20"/>
          <w:szCs w:val="20"/>
          <w:color w:val="auto"/>
        </w:rPr>
      </w:pPr>
      <w:r>
        <w:rPr>
          <w:rFonts w:ascii="Arial" w:cs="Arial" w:eastAsia="Arial" w:hAnsi="Arial"/>
          <w:sz w:val="20"/>
          <w:szCs w:val="20"/>
          <w:color w:val="auto"/>
        </w:rPr>
        <w:t>instrument embodying such Guarantee and (b) the amount of any earn-out or similar obligation shall be the amount of such obligation as reflected on the balance sheet of such Person in accordance with GAAP.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I.10 </w:t>
      </w:r>
      <w:r>
        <w:rPr>
          <w:rFonts w:ascii="Arial" w:cs="Arial" w:eastAsia="Arial" w:hAnsi="Arial"/>
          <w:sz w:val="20"/>
          <w:szCs w:val="20"/>
          <w:u w:val="single" w:color="auto"/>
          <w:color w:val="auto"/>
        </w:rPr>
        <w:t>Alternative Currency Matters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3" w:lineRule="auto"/>
        <w:tabs>
          <w:tab w:leader="none" w:pos="128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Covenant Compliance Generally</w:t>
      </w:r>
      <w:r>
        <w:rPr>
          <w:rFonts w:ascii="Arial" w:cs="Arial" w:eastAsia="Arial" w:hAnsi="Arial"/>
          <w:sz w:val="18"/>
          <w:szCs w:val="18"/>
          <w:color w:val="auto"/>
        </w:rPr>
        <w:t xml:space="preserve">. For purposes of determining compliance under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9.6</w:t>
      </w:r>
      <w:r>
        <w:rPr>
          <w:rFonts w:ascii="Arial" w:cs="Arial" w:eastAsia="Arial" w:hAnsi="Arial"/>
          <w:sz w:val="18"/>
          <w:szCs w:val="18"/>
          <w:color w:val="auto"/>
        </w:rPr>
        <w:t xml:space="preserve">, any amount in a currency other than Dollars will be converted to Dollars in a manner consistent with that used in calculating Consolidated Net Income in the most recent annual financial statements of the Consolidated Companies delivered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Notwithstanding the foregoing, for purposes of determining compliance with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foregoing provisions of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shall otherwise apply to such Sections, including with respect to determining whether any Indebtedness or Investment may be incurred at any time under such Sections.</w:t>
      </w:r>
    </w:p>
    <w:p>
      <w:pPr>
        <w:spacing w:after="0" w:line="168" w:lineRule="exact"/>
        <w:rPr>
          <w:rFonts w:ascii="Arial" w:cs="Arial" w:eastAsia="Arial" w:hAnsi="Arial"/>
          <w:sz w:val="18"/>
          <w:szCs w:val="18"/>
          <w:color w:val="auto"/>
        </w:rPr>
      </w:pPr>
    </w:p>
    <w:p>
      <w:pPr>
        <w:jc w:val="both"/>
        <w:ind w:firstLine="656"/>
        <w:spacing w:after="0" w:line="263" w:lineRule="auto"/>
        <w:tabs>
          <w:tab w:leader="none" w:pos="128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Amount of Obligations</w:t>
      </w:r>
      <w:r>
        <w:rPr>
          <w:rFonts w:ascii="Arial" w:cs="Arial" w:eastAsia="Arial" w:hAnsi="Arial"/>
          <w:sz w:val="19"/>
          <w:szCs w:val="19"/>
          <w:color w:val="auto"/>
        </w:rPr>
        <w:t>. Unless otherwise specified, for purposes of this Agreement, any determination of the amount of any outstanding Canadian Revolving Credit Loans, Canadian Swingline Loans, Incremental Term Loans denominated in Canadian Dollars or Canadian Obligations shall be based upon the Dollar Amount of such Canadian Revolving Credit Loans, Canadian Swingline Loans, Incremental Term Loans denominated in Canadian Dollars or Canadian Obligations, as the case may be.</w:t>
      </w:r>
    </w:p>
    <w:p>
      <w:pPr>
        <w:spacing w:after="0" w:line="176" w:lineRule="exact"/>
        <w:rPr>
          <w:rFonts w:ascii="Arial" w:cs="Arial" w:eastAsia="Arial" w:hAnsi="Arial"/>
          <w:sz w:val="19"/>
          <w:szCs w:val="19"/>
          <w:color w:val="auto"/>
        </w:rPr>
      </w:pPr>
    </w:p>
    <w:p>
      <w:pPr>
        <w:jc w:val="both"/>
        <w:ind w:firstLine="656"/>
        <w:spacing w:after="0" w:line="246" w:lineRule="auto"/>
        <w:tabs>
          <w:tab w:leader="none" w:pos="128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Exchange Rates</w:t>
      </w:r>
      <w:r>
        <w:rPr>
          <w:rFonts w:ascii="Arial" w:cs="Arial" w:eastAsia="Arial" w:hAnsi="Arial"/>
          <w:sz w:val="20"/>
          <w:szCs w:val="20"/>
          <w:color w:val="auto"/>
        </w:rPr>
        <w:t>. The Administrative Agent shall determine the Spot Rates as of each Revaluation Date to be used for calculating Dollar Amount of any Extensions of Credit and Revolving Credit Outstandings denominated in Canadian Dollars. Such Spot Rates shall become effective as of such Revaluation Date and shall be the Spot Rates employed in converting any amounts between the applicable currencies until the next Revaluation Date to occur.</w:t>
      </w:r>
    </w:p>
    <w:p>
      <w:pPr>
        <w:spacing w:after="0" w:line="19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SECTION I.11 </w:t>
      </w:r>
      <w:r>
        <w:rPr>
          <w:rFonts w:ascii="Arial" w:cs="Arial" w:eastAsia="Arial" w:hAnsi="Arial"/>
          <w:sz w:val="18"/>
          <w:szCs w:val="18"/>
          <w:u w:val="single" w:color="auto"/>
          <w:color w:val="auto"/>
        </w:rPr>
        <w:t>Rates</w:t>
      </w:r>
      <w:r>
        <w:rPr>
          <w:rFonts w:ascii="Arial" w:cs="Arial" w:eastAsia="Arial" w:hAnsi="Arial"/>
          <w:sz w:val="18"/>
          <w:szCs w:val="18"/>
          <w:color w:val="auto"/>
        </w:rPr>
        <w:t>. The interest rate on LIBOR Rate Loans and Base Rate Loans (when determined by reference to clause (c) of the definition of Base Rate) may be determined by reference to LIBOR, which is derived from the London interbank offered rate. The London interbank offered rate is intended to represent the rate at which contributing banks may obtain short-term borrowings from each other in the London interbank market. On March 5, 2021, ICE Benchmark Administration (“</w:t>
      </w:r>
      <w:r>
        <w:rPr>
          <w:rFonts w:ascii="Arial" w:cs="Arial" w:eastAsia="Arial" w:hAnsi="Arial"/>
          <w:sz w:val="18"/>
          <w:szCs w:val="18"/>
          <w:u w:val="single" w:color="auto"/>
          <w:color w:val="auto"/>
        </w:rPr>
        <w:t>IBA</w:t>
      </w:r>
      <w:r>
        <w:rPr>
          <w:rFonts w:ascii="Arial" w:cs="Arial" w:eastAsia="Arial" w:hAnsi="Arial"/>
          <w:sz w:val="18"/>
          <w:szCs w:val="18"/>
          <w:color w:val="auto"/>
        </w:rPr>
        <w:t>”), the administrator of the London interbank offered rate, and the Financial Conduct Authority (the “</w:t>
      </w:r>
      <w:r>
        <w:rPr>
          <w:rFonts w:ascii="Arial" w:cs="Arial" w:eastAsia="Arial" w:hAnsi="Arial"/>
          <w:sz w:val="18"/>
          <w:szCs w:val="18"/>
          <w:u w:val="single" w:color="auto"/>
          <w:color w:val="auto"/>
        </w:rPr>
        <w:t>FCA</w:t>
      </w:r>
      <w:r>
        <w:rPr>
          <w:rFonts w:ascii="Arial" w:cs="Arial" w:eastAsia="Arial" w:hAnsi="Arial"/>
          <w:sz w:val="18"/>
          <w:szCs w:val="18"/>
          <w:color w:val="auto"/>
        </w:rPr>
        <w:t>”), the regulatory supervisor of IBA, announced in public statements (the “</w:t>
      </w:r>
      <w:r>
        <w:rPr>
          <w:rFonts w:ascii="Arial" w:cs="Arial" w:eastAsia="Arial" w:hAnsi="Arial"/>
          <w:sz w:val="18"/>
          <w:szCs w:val="18"/>
          <w:u w:val="single" w:color="auto"/>
          <w:color w:val="auto"/>
        </w:rPr>
        <w:t>Announcements</w:t>
      </w:r>
      <w:r>
        <w:rPr>
          <w:rFonts w:ascii="Arial" w:cs="Arial" w:eastAsia="Arial" w:hAnsi="Arial"/>
          <w:sz w:val="18"/>
          <w:szCs w:val="18"/>
          <w:color w:val="auto"/>
        </w:rPr>
        <w:t>”) that the final publication or representativeness date for the London interbank offered rate for Dollars for: (a) 1-week and 2-month tenor settings will be December 31, 2021 and (b) overnight, 1-month, 3-month, 6-month and 12-month tenor settings will be June 30, 2023. No successor administrator for IBA was identified in such Announcements. As a result, it is possible that commencing immediately after such dates, the London interbank offered rate for such tenors may no longer be available or may no longer be deemed a representative reference rate upon which to determine the interest rate on LIBOR Rate Loans or Base Rate Loans (when determined by reference to clause</w:t>
      </w:r>
    </w:p>
    <w:p>
      <w:pPr>
        <w:spacing w:after="0" w:line="8" w:lineRule="exact"/>
        <w:rPr>
          <w:sz w:val="20"/>
          <w:szCs w:val="20"/>
          <w:color w:val="auto"/>
        </w:rPr>
      </w:pPr>
    </w:p>
    <w:p>
      <w:pPr>
        <w:jc w:val="both"/>
        <w:ind w:firstLine="8"/>
        <w:spacing w:after="0" w:line="256" w:lineRule="auto"/>
        <w:tabs>
          <w:tab w:leader="none" w:pos="284"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of the definition of Base Rate).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date hereof, to be underway to implement new or alternative reference rates to be used in place of the London interbank offered rate. In the event that the London interbank offered rate or any other then-current Benchmark is no longer available or in certain other circumstances set forth in </w:t>
      </w:r>
      <w:r>
        <w:rPr>
          <w:rFonts w:ascii="Arial" w:cs="Arial" w:eastAsia="Arial" w:hAnsi="Arial"/>
          <w:sz w:val="19"/>
          <w:szCs w:val="19"/>
          <w:u w:val="single" w:color="auto"/>
          <w:color w:val="auto"/>
        </w:rPr>
        <w:t>Section 5.8(c)</w:t>
      </w:r>
      <w:r>
        <w:rPr>
          <w:rFonts w:ascii="Arial" w:cs="Arial" w:eastAsia="Arial" w:hAnsi="Arial"/>
          <w:sz w:val="19"/>
          <w:szCs w:val="19"/>
          <w:color w:val="auto"/>
        </w:rPr>
        <w: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19" w:name="page120"/>
    <w:bookmarkEnd w:id="119"/>
    <w:p>
      <w:pPr>
        <w:jc w:val="both"/>
        <w:spacing w:after="0" w:line="254" w:lineRule="auto"/>
        <w:rPr>
          <w:sz w:val="20"/>
          <w:szCs w:val="20"/>
          <w:color w:val="auto"/>
        </w:rPr>
      </w:pPr>
      <w:r>
        <w:rPr>
          <w:rFonts w:ascii="Arial" w:cs="Arial" w:eastAsia="Arial" w:hAnsi="Arial"/>
          <w:sz w:val="19"/>
          <w:szCs w:val="19"/>
          <w:u w:val="single" w:color="auto"/>
          <w:color w:val="auto"/>
        </w:rPr>
        <w:t>Section 5.8(c)</w:t>
      </w:r>
      <w:r>
        <w:rPr>
          <w:rFonts w:ascii="Arial" w:cs="Arial" w:eastAsia="Arial" w:hAnsi="Arial"/>
          <w:sz w:val="19"/>
          <w:szCs w:val="19"/>
          <w:color w:val="auto"/>
        </w:rPr>
        <w:t xml:space="preserve"> provides a mechanism for determining an alternative rate of interest. The Administrative Agent will notify Centuri, pursuant to </w:t>
      </w:r>
      <w:r>
        <w:rPr>
          <w:rFonts w:ascii="Arial" w:cs="Arial" w:eastAsia="Arial" w:hAnsi="Arial"/>
          <w:sz w:val="19"/>
          <w:szCs w:val="19"/>
          <w:u w:val="single" w:color="auto"/>
          <w:color w:val="auto"/>
        </w:rPr>
        <w:t>Section 5.8(c)</w:t>
      </w:r>
      <w:r>
        <w:rPr>
          <w:rFonts w:ascii="Arial" w:cs="Arial" w:eastAsia="Arial" w:hAnsi="Arial"/>
          <w:sz w:val="19"/>
          <w:szCs w:val="19"/>
          <w:color w:val="auto"/>
        </w:rPr>
        <w:t xml:space="preserve">, of any change to the reference rate upon which the interest rate on LIBOR Rate Loans and Base Rate Loans (when determined by reference to clause (c) of the definition of Base Rate) is based. However, the Administrative Agent does not warrant or accept any responsibility for, and shall not have any liability with respect to, (i) the continuation of, administration of, submission of, calculation of or any other matter related to the London interbank offered rate or other rates in the definition of “LIBOR”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9"/>
          <w:szCs w:val="19"/>
          <w:u w:val="single" w:color="auto"/>
          <w:color w:val="auto"/>
        </w:rPr>
        <w:t>Section 5.8(c)</w:t>
      </w:r>
      <w:r>
        <w:rPr>
          <w:rFonts w:ascii="Arial" w:cs="Arial" w:eastAsia="Arial" w:hAnsi="Arial"/>
          <w:sz w:val="19"/>
          <w:szCs w:val="19"/>
          <w:color w:val="auto"/>
        </w:rPr>
        <w:t>, will be similar to, or produce the same value or economic equivalence of, LIBOR or any other Benchmark, or have the same volume or liquidity as did the London interbank offered rate or any other Benchmark prior to its discontinuance or unavailability, or (ii) the effect, implementation or composition of any Benchmark Replacement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I.12 </w:t>
      </w:r>
      <w:r>
        <w:rPr>
          <w:rFonts w:ascii="Arial" w:cs="Arial" w:eastAsia="Arial" w:hAnsi="Arial"/>
          <w:sz w:val="20"/>
          <w:szCs w:val="20"/>
          <w:u w:val="single" w:color="auto"/>
          <w:color w:val="auto"/>
        </w:rPr>
        <w:t>Limited Condition Acquisitions</w:t>
      </w:r>
      <w:r>
        <w:rPr>
          <w:rFonts w:ascii="Arial" w:cs="Arial" w:eastAsia="Arial" w:hAnsi="Arial"/>
          <w:sz w:val="20"/>
          <w:szCs w:val="20"/>
          <w:color w:val="auto"/>
        </w:rPr>
        <w:t xml:space="preserve">. In the event that Centuri notifies the Administrative Agent in writing that any proposed Acquisition is a Limited Condition Acquisition and that Centuri wishes to test the conditions to such Acquisition and any Incremental Term Loan or Incremental Equivalent Indebtedness that is to be used to finance such Acquisition in accordance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1.12</w:t>
      </w:r>
      <w:r>
        <w:rPr>
          <w:rFonts w:ascii="Arial" w:cs="Arial" w:eastAsia="Arial" w:hAnsi="Arial"/>
          <w:sz w:val="20"/>
          <w:szCs w:val="20"/>
          <w:color w:val="auto"/>
        </w:rPr>
        <w:t>, then, so long as agreed to by the Administrative Agent and the lenders providing such Incremental Term Loan or such Incremental Equivalent Indebtedness, the following provisions shall apply:</w:t>
      </w:r>
    </w:p>
    <w:p>
      <w:pPr>
        <w:spacing w:after="0" w:line="194" w:lineRule="exact"/>
        <w:rPr>
          <w:sz w:val="20"/>
          <w:szCs w:val="20"/>
          <w:color w:val="auto"/>
        </w:rPr>
      </w:pPr>
    </w:p>
    <w:p>
      <w:pPr>
        <w:jc w:val="both"/>
        <w:ind w:firstLine="656"/>
        <w:spacing w:after="0" w:line="257" w:lineRule="auto"/>
        <w:tabs>
          <w:tab w:leader="none" w:pos="1286"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condition to such Limited Condition Acquisition, such Incremental Term Loan or such Incremental Equivalent Indebtedness that requires that no Default or Event of Default shall have occurred and be continuing at the time of such Limited Condition Acquisition or the incurrence of such Incremental Term Loan or Incremental Equivalent Indebtedness, shall be satisfied if (i) no Default or Event of Default shall have occurred and be continuing at the time of the execution of the definitive purchase agreement, merger agreement or other acquisition agreement governing such Limited Condition Acquisition (the “</w:t>
      </w:r>
      <w:r>
        <w:rPr>
          <w:rFonts w:ascii="Arial" w:cs="Arial" w:eastAsia="Arial" w:hAnsi="Arial"/>
          <w:sz w:val="19"/>
          <w:szCs w:val="19"/>
          <w:u w:val="single" w:color="auto"/>
          <w:color w:val="auto"/>
        </w:rPr>
        <w:t>LCA Test Date</w:t>
      </w:r>
      <w:r>
        <w:rPr>
          <w:rFonts w:ascii="Arial" w:cs="Arial" w:eastAsia="Arial" w:hAnsi="Arial"/>
          <w:sz w:val="19"/>
          <w:szCs w:val="19"/>
          <w:color w:val="auto"/>
        </w:rPr>
        <w:t xml:space="preserve">”) and (ii) no Event of Default under any of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10.1(j)</w:t>
      </w:r>
      <w:r>
        <w:rPr>
          <w:rFonts w:ascii="Arial" w:cs="Arial" w:eastAsia="Arial" w:hAnsi="Arial"/>
          <w:sz w:val="19"/>
          <w:szCs w:val="19"/>
          <w:color w:val="auto"/>
        </w:rPr>
        <w:t xml:space="preserve"> shall have occurred and be continuing both immediately before and immediately after giving effect to such Limited Condition Acquisition and any Indebtedness incurred in connection therewith (including any such additional Incremental Term Loan or Incremental Equivalent Indebtedness);</w:t>
      </w:r>
    </w:p>
    <w:p>
      <w:pPr>
        <w:spacing w:after="0" w:line="180" w:lineRule="exact"/>
        <w:rPr>
          <w:rFonts w:ascii="Arial" w:cs="Arial" w:eastAsia="Arial" w:hAnsi="Arial"/>
          <w:sz w:val="19"/>
          <w:szCs w:val="19"/>
          <w:color w:val="auto"/>
        </w:rPr>
      </w:pPr>
    </w:p>
    <w:p>
      <w:pPr>
        <w:jc w:val="both"/>
        <w:ind w:firstLine="656"/>
        <w:spacing w:after="0" w:line="263" w:lineRule="auto"/>
        <w:tabs>
          <w:tab w:leader="none" w:pos="1284"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condition to such Limited Condition Acquisition, such Incremental Term Loan or such Incremental Equivalent Indebtedness that the representations and warranties in this Agreement and the other Loan Documents shall be true and correct at the time of consummation of such Limited Condition Acquisition or the incurrence of such Incremental Term Loan or Incremental Equivalent Indebtedness shall be deemed satisfied if (i) all representations and warranties in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0" w:name="page121"/>
    <w:bookmarkEnd w:id="120"/>
    <w:p>
      <w:pPr>
        <w:jc w:val="both"/>
        <w:spacing w:after="0" w:line="255" w:lineRule="auto"/>
        <w:rPr>
          <w:sz w:val="20"/>
          <w:szCs w:val="20"/>
          <w:color w:val="auto"/>
        </w:rPr>
      </w:pPr>
      <w:r>
        <w:rPr>
          <w:rFonts w:ascii="Arial" w:cs="Arial" w:eastAsia="Arial" w:hAnsi="Arial"/>
          <w:sz w:val="19"/>
          <w:szCs w:val="19"/>
          <w:color w:val="auto"/>
        </w:rPr>
        <w:t>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Incremental Term Loan or Incremental Equivalent Indebtedness shall be true and correct, but only to the extent that Centuri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Incremental Term Loan or Incremental Equivalent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84" w:lineRule="exact"/>
        <w:rPr>
          <w:sz w:val="20"/>
          <w:szCs w:val="20"/>
          <w:color w:val="auto"/>
        </w:rPr>
      </w:pPr>
    </w:p>
    <w:p>
      <w:pPr>
        <w:jc w:val="both"/>
        <w:ind w:firstLine="656"/>
        <w:spacing w:after="0" w:line="310" w:lineRule="auto"/>
        <w:tabs>
          <w:tab w:leader="none" w:pos="128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financial ratio test or condition to be tested in connection with such Limited Condition Acquisition and the availability of such Incremental Term Loan or Incremental Equivalent Indebtedness will be tested as of the LCA Test Date, in each case, after giving effect to the relevant Limited Condition Acquisition and related incurrence of Incremental Term Loan or Incremental Equivalent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Consolidated EBITDA of Centuri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spacing w:after="0" w:line="142" w:lineRule="exact"/>
        <w:rPr>
          <w:rFonts w:ascii="Arial" w:cs="Arial" w:eastAsia="Arial" w:hAnsi="Arial"/>
          <w:sz w:val="16"/>
          <w:szCs w:val="16"/>
          <w:color w:val="auto"/>
        </w:rPr>
      </w:pPr>
    </w:p>
    <w:p>
      <w:pPr>
        <w:jc w:val="both"/>
        <w:ind w:firstLine="656"/>
        <w:spacing w:after="0" w:line="269" w:lineRule="auto"/>
        <w:tabs>
          <w:tab w:leader="none" w:pos="12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calculation of any such ratio or basket under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shall be calculated (i)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and (ii) assuming such Limited Condition Acquisition and other transactions in connection therewith (including the incurrence or assumption of the applicable Incremental Term Loan, Incremental Equivalent Indebtedness or any other applicable Indebtedness) have not been consummated. Notwithstanding the foregoing, any calculation of a ratio in connection with determining the Applicable Margin and determining whether or not the Borrower is in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shall, in each case be calculated assuming such Limited Condition Acquisition and other transactions in connection therewith (including the incurrence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20"/>
          <w:szCs w:val="20"/>
          <w:color w:val="auto"/>
        </w:rPr>
        <w:t>assumption of the applicable Incremental Term Loan, Incremental Equivalent Indebtedness or any other applicable Indebtedness to be incurred or assumed in connection with such Acquisition) have not been consummated.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foregoing provisions shall apply with similar effect during the pendency of multiple Limited Condition Acquisitions such that each of the possible scenarios is separately tested.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I.13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0"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REVOLVING CREDIT FACILITY</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II.1 </w:t>
      </w:r>
      <w:r>
        <w:rPr>
          <w:rFonts w:ascii="Arial" w:cs="Arial" w:eastAsia="Arial" w:hAnsi="Arial"/>
          <w:sz w:val="18"/>
          <w:szCs w:val="18"/>
          <w:u w:val="single" w:color="auto"/>
          <w:color w:val="auto"/>
        </w:rPr>
        <w:t>Revolving Credit Loans</w:t>
      </w:r>
      <w:r>
        <w:rPr>
          <w:rFonts w:ascii="Arial" w:cs="Arial" w:eastAsia="Arial" w:hAnsi="Arial"/>
          <w:sz w:val="18"/>
          <w:szCs w:val="18"/>
          <w:color w:val="auto"/>
        </w:rPr>
        <w:t xml:space="preserve">. Subject to the terms and conditions of this Agreement and the other Loan Documents, and in reliance upon the representations and warranties set forth in this Agreement and the other Loan Documents, each Revolving Credit Lender severally agrees to make (a) US Revolving Credit Loans to the US Borrowers and (b) Canadian Revolving Credit Loans to the Canadian Borrowers, in each case, from time to time from the Closing Date through, but not including, the Revolving Credit Maturity Date as requested by a US Borrower or a Canadian Borrower, as applicable, in accordance with the terms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 on the Closing Date, the aggregate Revolving Credit Outstandings, excluding the aggregate undrawn and unexpired amount of the Existing Letters of Credit, shall not exceed $125,000,000, (ii) after the Closing Date,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Borrowers may borrow, repay and reborrow Revolving Credit Loans hereunder until the Revolving Credit Maturity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II.2 </w:t>
      </w:r>
      <w:r>
        <w:rPr>
          <w:rFonts w:ascii="Arial" w:cs="Arial" w:eastAsia="Arial" w:hAnsi="Arial"/>
          <w:sz w:val="20"/>
          <w:szCs w:val="20"/>
          <w:u w:val="single" w:color="auto"/>
          <w:color w:val="auto"/>
        </w:rPr>
        <w:t>Swingline Loans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3" w:lineRule="auto"/>
        <w:tabs>
          <w:tab w:leader="none" w:pos="128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Subject to the terms and conditions of this Agreement and the other Loan Documents, and in reliance upon the representations and warranties set forth in this Agreement and the other Loan Documents, (a) the Swingline Lender shall make US Swingline Loans to the US Borrowers and (b) the Swingline Lender shall make Canadian Swingline Loans to the Canadian Borrowers, in each case, from time to time from the Closing Date through, but not including, the Revolving Credit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2" w:name="page123"/>
    <w:bookmarkEnd w:id="122"/>
    <w:p>
      <w:pPr>
        <w:ind w:left="1300" w:hanging="644"/>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Refunding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5" w:lineRule="auto"/>
        <w:tabs>
          <w:tab w:leader="none" w:pos="1954" w:val="left"/>
        </w:tabs>
        <w:numPr>
          <w:ilvl w:val="1"/>
          <w:numId w:val="51"/>
        </w:numPr>
        <w:rPr>
          <w:rFonts w:ascii="Arial" w:cs="Arial" w:eastAsia="Arial" w:hAnsi="Arial"/>
          <w:sz w:val="19"/>
          <w:szCs w:val="19"/>
          <w:color w:val="auto"/>
        </w:rPr>
      </w:pPr>
      <w:r>
        <w:rPr>
          <w:rFonts w:ascii="Arial" w:cs="Arial" w:eastAsia="Arial" w:hAnsi="Arial"/>
          <w:sz w:val="19"/>
          <w:szCs w:val="19"/>
          <w:color w:val="auto"/>
        </w:rPr>
        <w:t>Swingline Loans shall be refunded by the Revolving Credit Lenders on demand by the applicable Swingline Lender. Such refundings shall be made by the Revolving Credit Lenders in accordance with their respective Revolving Credit Commitment Percentages, in the applicable currency of the underlying Swingline Loan, and shall thereafter be reflected as Revolving Credit Loans of the Revolving Credit Lenders on the books and records of the Administrative Agent. Each Revolving Credit Lender shall fund its respective Revolving Credit Commitment Percentage of such Revolving Credit Loans as required to repay Swingline Loans outstanding to the applicable Swingline Lender upon demand by such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186" w:lineRule="exact"/>
        <w:rPr>
          <w:rFonts w:ascii="Arial" w:cs="Arial" w:eastAsia="Arial" w:hAnsi="Arial"/>
          <w:sz w:val="19"/>
          <w:szCs w:val="19"/>
          <w:color w:val="auto"/>
        </w:rPr>
      </w:pPr>
    </w:p>
    <w:p>
      <w:pPr>
        <w:jc w:val="both"/>
        <w:ind w:left="660" w:firstLine="644"/>
        <w:spacing w:after="0" w:line="254" w:lineRule="auto"/>
        <w:tabs>
          <w:tab w:leader="none" w:pos="1955"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The applicable Borrower shall pay to the applicable Swingline Lender on demand and, in any event on the Revolving Credit Maturity Date, the amount of such Swingline Loans made to such Borrower to the extent amounts received from the Revolving Credit Lenders are not sufficient to repay in full the outstanding Swingline Loans requested or required to be refunded. If not demanded by such Swingline Lender, each Canadian Swingline Loan shall be repaid by the applicable Canadian Borrower on the date that is five (5) Business Days after such Canadian Swingline Loan is made. In addition, each Borrower hereby authorizes the Administrative Agent to charge any account maintained by such Borrower with the applicable Swingline Lender (up to the amount available therein) in order to immediately pay the applicable Swingline Lender the amount of such Swingline Loans made to such Borrower to the extent amounts received from the Revolving Credit Lenders are not sufficient to repay in full the outstanding Swingline Loans requested or required to be refunded. If any portion of any such amount paid to the applicable Swingline Lender shall be recovered by or on behalf of any Borrower from the applicable Swingline Lender in bankruptcy or otherwise, the loss of the amount so recovered shall be ratably shared among all the Revolving Credit Lenders in accordance with their respective Revolving Credit Commitment Percentages (unless the amounts so recovered by or on behalf of such Borrower pertain to a Swingline Loan extended after the occurrence and during the continuance of an Event of Default of which the Administrative Agent has received notice in the manner required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and which such Event of Default has not been waived by the Required Lenders or the Lenders, as applicable).</w:t>
      </w:r>
    </w:p>
    <w:p>
      <w:pPr>
        <w:spacing w:after="0" w:line="190" w:lineRule="exact"/>
        <w:rPr>
          <w:rFonts w:ascii="Arial" w:cs="Arial" w:eastAsia="Arial" w:hAnsi="Arial"/>
          <w:sz w:val="19"/>
          <w:szCs w:val="19"/>
          <w:color w:val="auto"/>
        </w:rPr>
      </w:pPr>
    </w:p>
    <w:p>
      <w:pPr>
        <w:jc w:val="both"/>
        <w:ind w:left="660" w:firstLine="644"/>
        <w:spacing w:after="0" w:line="242" w:lineRule="auto"/>
        <w:tabs>
          <w:tab w:leader="none" w:pos="1956" w:val="left"/>
        </w:tabs>
        <w:numPr>
          <w:ilvl w:val="1"/>
          <w:numId w:val="51"/>
        </w:numPr>
        <w:rPr>
          <w:rFonts w:ascii="Arial" w:cs="Arial" w:eastAsia="Arial" w:hAnsi="Arial"/>
          <w:sz w:val="20"/>
          <w:szCs w:val="20"/>
          <w:color w:val="auto"/>
        </w:rPr>
      </w:pPr>
      <w:r>
        <w:rPr>
          <w:rFonts w:ascii="Arial" w:cs="Arial" w:eastAsia="Arial" w:hAnsi="Arial"/>
          <w:sz w:val="20"/>
          <w:szCs w:val="20"/>
          <w:color w:val="auto"/>
        </w:rPr>
        <w:t xml:space="preserve">Each Revolving Credit Lender acknowledges and agrees that its obligation to refund Swingline Loans in accordance with the terms of this Section is absolute and unconditional and shall not be affected by any circumstance whatsoever, including, without limitation, non-satisfaction of the conditions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Further, each Revolving Credit Lender agrees and acknowledges that if prior to the refunding of any outstanding Swingline Loans pursuant to this Section, one of the events described in </w:t>
      </w:r>
      <w:r>
        <w:rPr>
          <w:rFonts w:ascii="Arial" w:cs="Arial" w:eastAsia="Arial" w:hAnsi="Arial"/>
          <w:sz w:val="20"/>
          <w:szCs w:val="20"/>
          <w:u w:val="single" w:color="auto"/>
          <w:color w:val="auto"/>
        </w:rPr>
        <w:t>Section 10.1(i)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3" w:name="page124"/>
    <w:bookmarkEnd w:id="123"/>
    <w:p>
      <w:pPr>
        <w:jc w:val="both"/>
        <w:ind w:left="660"/>
        <w:spacing w:after="0" w:line="257" w:lineRule="auto"/>
        <w:rPr>
          <w:sz w:val="20"/>
          <w:szCs w:val="20"/>
          <w:color w:val="auto"/>
        </w:rPr>
      </w:pPr>
      <w:r>
        <w:rPr>
          <w:rFonts w:ascii="Arial" w:cs="Arial" w:eastAsia="Arial" w:hAnsi="Arial"/>
          <w:sz w:val="19"/>
          <w:szCs w:val="19"/>
          <w:color w:val="auto"/>
        </w:rPr>
        <w:t>transfer to the applicable Swingline Lender, in immediately available funds, the amount of its participation and upon receipt thereof such Swingline Lender will deliver to such Revolving Credit Lender a certificate evidencing such participation dated the date of receipt of such funds and for such amount. Whenever, at any time after the applicable Swingline Lender has received from any Revolving Credit Lender such Revolving Credit Lender’s participating interest in a Swingline Loan, the applicable Swingline Lender receives any payment on account thereof, the applicable Swingline Lender will distribute to such Revolving Credit Lender its participating interest in such amount (appropriately adjusted, in the case of interest payments, to reflect the period of time during which such Revolving Credit Lender’s participating interest was outstanding and funded).</w:t>
      </w:r>
    </w:p>
    <w:p>
      <w:pPr>
        <w:spacing w:after="0" w:line="185" w:lineRule="exact"/>
        <w:rPr>
          <w:sz w:val="20"/>
          <w:szCs w:val="20"/>
          <w:color w:val="auto"/>
        </w:rPr>
      </w:pPr>
    </w:p>
    <w:p>
      <w:pPr>
        <w:ind w:firstLine="656"/>
        <w:spacing w:after="0" w:line="260" w:lineRule="auto"/>
        <w:tabs>
          <w:tab w:leader="none" w:pos="1286"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anything to the contrary contained in this Agreement,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shall be subject to the terms and conditions of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43" w:lineRule="auto"/>
        <w:tabs>
          <w:tab w:leader="none" w:pos="1284"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Resignation of Swingline Lender</w:t>
      </w:r>
      <w:r>
        <w:rPr>
          <w:rFonts w:ascii="Arial" w:cs="Arial" w:eastAsia="Arial" w:hAnsi="Arial"/>
          <w:sz w:val="20"/>
          <w:szCs w:val="20"/>
          <w:color w:val="auto"/>
        </w:rPr>
        <w:t>. In connection with (i) any Refinancing Revolving Credit Commitments or (ii) any Extension of Revolving Credit Commitments, that has not been consented to by the applicable Swingline Lender, such Swingline Lender may, in connection with such Refinancing Revolving Credit Commitments or Extension resign as a Swingline Lender hereunder upon not less than five (5) Business Days’ prior notice to Centuri and the Administrative Agent (or such shorter period of time as may be acceptable to Centuri and the Administrative Agent). Following such notice of resignation, such Swingline Lender shall have no further obligations to make Swingline Loans pursuant to this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II.3 </w:t>
      </w:r>
      <w:r>
        <w:rPr>
          <w:rFonts w:ascii="Arial" w:cs="Arial" w:eastAsia="Arial" w:hAnsi="Arial"/>
          <w:sz w:val="20"/>
          <w:szCs w:val="20"/>
          <w:u w:val="single" w:color="auto"/>
          <w:color w:val="auto"/>
        </w:rPr>
        <w:t>Procedure for Advances of Revolving Credit Loans and Swingline Loans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9" w:lineRule="auto"/>
        <w:tabs>
          <w:tab w:leader="none" w:pos="1286"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Requests for Borrowing</w:t>
      </w:r>
      <w:r>
        <w:rPr>
          <w:rFonts w:ascii="Arial" w:cs="Arial" w:eastAsia="Arial" w:hAnsi="Arial"/>
          <w:sz w:val="18"/>
          <w:szCs w:val="18"/>
          <w:color w:val="auto"/>
        </w:rPr>
        <w:t xml:space="preserve">. The applicable Borrower shall give the Administrative Agent irrevocable prior written notice substantially in the form of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not later than 11:00 a.m. (i) on the same Business Day as each Base Rate Loan, each US Swingline Loan and each Canadian Swingline Loan, (ii) at least one (1) Business Day before each Canadian Base Rate Loan (other than Canadian Swingline Loans), (iii) at least three (3) Business Days before each LIBOR Rate Loan and (iv) at least four (4) Business Days before each CDOR Rate Loan, of its intention to borrow, specifying (A) the date of such borrowing, which shall be a Business Day,</w:t>
      </w:r>
    </w:p>
    <w:p>
      <w:pPr>
        <w:spacing w:after="0" w:line="3" w:lineRule="exact"/>
        <w:rPr>
          <w:rFonts w:ascii="Arial" w:cs="Arial" w:eastAsia="Arial" w:hAnsi="Arial"/>
          <w:sz w:val="18"/>
          <w:szCs w:val="18"/>
          <w:color w:val="auto"/>
        </w:rPr>
      </w:pPr>
    </w:p>
    <w:p>
      <w:pPr>
        <w:jc w:val="both"/>
        <w:ind w:firstLine="8"/>
        <w:spacing w:after="0" w:line="269" w:lineRule="auto"/>
        <w:tabs>
          <w:tab w:leader="none" w:pos="3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of such borrowing, which shall be, (x) with respect to Base Rate Loans (other than Swingline Loans) and Canadian Revolving Credit Loans in an aggregate principal amount of $2,000,000 (or C$2,000,000) or a whole multiple of $500,000 (or C$500,000) in excess thereof, (y) with respect to LIBOR Rate Loans, in an aggregate principal amount of $2,000,000 or a whole multiple of $500,000 in excess thereof and (z) with respect to Swingline Loans in an aggregate principal amount of $500,000 (or C$500,000) or a whole multiple of $100,000 (or C$100,000) in excess thereof, (C) whether such Loan is to be a US Revolving Credit Loan, Canadian Revolving Credit Loan, US Swingline Loan or Canadian Swingline Loan, (D) in the case of a US Revolving Credit Loan, whether the Loans are to be LIBOR Rate Loans or Base Rate Loans, (E) in the case of a Canadian Revolving Credit Loan, whether the Loans are to be CDOR Rate Loans or Canadian Base Rate Loans, and (F) in the case of a LIBOR Rate Loan or a CDOR Rate Loan, the duration of the Interest Period applicable thereto. A Notice of Borrowing received after 11:00 a.m. shall be deemed received on the next Business Day. The Administrative Agent shall promptly notify the Revolving Credit Lenders of each Notice of Borrowing.</w:t>
      </w:r>
    </w:p>
    <w:p>
      <w:pPr>
        <w:spacing w:after="0" w:line="175" w:lineRule="exact"/>
        <w:rPr>
          <w:rFonts w:ascii="Arial" w:cs="Arial" w:eastAsia="Arial" w:hAnsi="Arial"/>
          <w:sz w:val="18"/>
          <w:szCs w:val="18"/>
          <w:color w:val="auto"/>
        </w:rPr>
      </w:pPr>
    </w:p>
    <w:p>
      <w:pPr>
        <w:jc w:val="both"/>
        <w:ind w:firstLine="656"/>
        <w:spacing w:after="0" w:line="250" w:lineRule="auto"/>
        <w:tabs>
          <w:tab w:leader="none" w:pos="1284"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Disbursement of Revolving Credit and Swingline Loans</w:t>
      </w:r>
      <w:r>
        <w:rPr>
          <w:rFonts w:ascii="Arial" w:cs="Arial" w:eastAsia="Arial" w:hAnsi="Arial"/>
          <w:sz w:val="20"/>
          <w:szCs w:val="20"/>
          <w:color w:val="auto"/>
        </w:rPr>
        <w:t>. Not later than (i) 1:00 p.m. on the proposed borrowing date, each Revolving Credit Lender will make available to the Administrative Agent, for the account of the US Borrowers, at the office of the Administrative Agent in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4" w:name="page125"/>
    <w:bookmarkEnd w:id="124"/>
    <w:p>
      <w:pPr>
        <w:jc w:val="both"/>
        <w:spacing w:after="0" w:line="269" w:lineRule="auto"/>
        <w:rPr>
          <w:sz w:val="20"/>
          <w:szCs w:val="20"/>
          <w:color w:val="auto"/>
        </w:rPr>
      </w:pPr>
      <w:r>
        <w:rPr>
          <w:rFonts w:ascii="Arial" w:cs="Arial" w:eastAsia="Arial" w:hAnsi="Arial"/>
          <w:sz w:val="18"/>
          <w:szCs w:val="18"/>
          <w:color w:val="auto"/>
        </w:rPr>
        <w:t xml:space="preserve">immediately available to the Administrative Agent (in Dollars), such Revolving Credit Lender’s Revolving Credit Commitment Percentage of the US Revolving Credit Loans to be made on such borrowing date, (ii) 11:00 a.m. on the proposed borrowing date, each Revolving Credit Lender will make available to the Administrative Agent, for the account of the Canadian Borrowers, at the office of the Administrative Agent in funds immediately available to the Administrative Agent (in Canadian Dollars), such Revolving Credit Lender’s Revolving Credit Commitment Percentage of the Canadian Revolving Credit Loans to be made on such borrowing date and (iii) 1:00 p.m. on the proposed borrowing date, the applicable Swingline Lender will make available to the Administrative Agent, for the account of the applicable Borrower, at the office of the Administrative Agent in funds immediately available to the Administrative Agent (in the applicable currency), the Swingline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Arial" w:cs="Arial" w:eastAsia="Arial" w:hAnsi="Arial"/>
          <w:sz w:val="18"/>
          <w:szCs w:val="18"/>
          <w:b w:val="1"/>
          <w:bCs w:val="1"/>
          <w:i w:val="1"/>
          <w:iCs w:val="1"/>
          <w:color w:val="auto"/>
        </w:rPr>
        <w:t>Exhibit 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Designation</w:t>
      </w:r>
      <w:r>
        <w:rPr>
          <w:rFonts w:ascii="Arial" w:cs="Arial" w:eastAsia="Arial" w:hAnsi="Arial"/>
          <w:sz w:val="18"/>
          <w:szCs w:val="18"/>
          <w:color w:val="auto"/>
        </w:rPr>
        <w:t xml:space="preserve">”) delivered by such Borrower to the Administrative Agent or as may be otherwise agreed upon by such Borrower and the Administrative Agent from time to time. Subject to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II.4 </w:t>
      </w:r>
      <w:r>
        <w:rPr>
          <w:rFonts w:ascii="Arial" w:cs="Arial" w:eastAsia="Arial" w:hAnsi="Arial"/>
          <w:sz w:val="20"/>
          <w:szCs w:val="20"/>
          <w:u w:val="single" w:color="auto"/>
          <w:color w:val="auto"/>
        </w:rPr>
        <w:t>Repayment and Prepayment of Revolving Credit and Swingline Loans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6" w:lineRule="auto"/>
        <w:tabs>
          <w:tab w:leader="none" w:pos="128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Repayment on Termination Date</w:t>
      </w:r>
      <w:r>
        <w:rPr>
          <w:rFonts w:ascii="Arial" w:cs="Arial" w:eastAsia="Arial" w:hAnsi="Arial"/>
          <w:sz w:val="20"/>
          <w:szCs w:val="20"/>
          <w:color w:val="auto"/>
        </w:rPr>
        <w:t xml:space="preserve">. Each Borrower hereby agrees to repay the outstanding principal amount of (i) all Revolving Credit Loans made to such Borrower in full on the Revolving Credit Maturity Date, and (ii) all Swingline Loans made to such Borrower in accordance with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(but, in any event, no later than the Revolving Credit Maturity Date), together, in each case, with all accrued but unpaid interest thereon.</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5" w:lineRule="auto"/>
        <w:tabs>
          <w:tab w:leader="none" w:pos="1954"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If at any time the Revolving Credit Outstandings exceed the Revolving Credit Commitment (as a result of currency fluctuations or otherwise), each applicable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principal amount of outstanding US Swingline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principal amount of outstanding Canadian Swingline Loans,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the principal amount of outstanding US Revolving Credit Loans,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principal amount of outstanding Canadian Revolving Credit Loans and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upon the occurrence and during the continuance of an Event of Default,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US Borrower is required to make a payment of Cash Collateral pursuant to the terms of this </w:t>
      </w:r>
      <w:r>
        <w:rPr>
          <w:rFonts w:ascii="Arial" w:cs="Arial" w:eastAsia="Arial" w:hAnsi="Arial"/>
          <w:sz w:val="19"/>
          <w:szCs w:val="19"/>
          <w:u w:val="single" w:color="auto"/>
          <w:color w:val="auto"/>
        </w:rPr>
        <w:t>Section 2.4(b)(i)</w:t>
      </w:r>
      <w:r>
        <w:rPr>
          <w:rFonts w:ascii="Arial" w:cs="Arial" w:eastAsia="Arial" w:hAnsi="Arial"/>
          <w:sz w:val="19"/>
          <w:szCs w:val="19"/>
          <w:color w:val="auto"/>
        </w:rPr>
        <w:t xml:space="preserve"> as a result of any such excess, such amount (to the extent not applied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shall be returned to such US Borrower within three Business Days after such excess ceases to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5" w:name="page126"/>
    <w:bookmarkEnd w:id="125"/>
    <w:p>
      <w:pPr>
        <w:ind w:left="1960" w:hanging="656"/>
        <w:spacing w:after="0"/>
        <w:tabs>
          <w:tab w:leader="none" w:pos="19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left="660" w:firstLine="644"/>
        <w:spacing w:after="0" w:line="282" w:lineRule="auto"/>
        <w:tabs>
          <w:tab w:leader="none" w:pos="19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at any time Swingline Loans outstanding at such time exceed the Swingline Commitment (as a result of currency fluctuations or otherwise), the applicable Borrower or Borrowers agree to repay within one (1) Business Day following receipt of notice from the Administrative Agent, by payment to the Administrative Agent for the account of the applicable Swingline Lender, Swingline Loans in an amount equal to such excess with each such repayment applied ratably to the outstanding Swingline Loans.</w:t>
      </w:r>
    </w:p>
    <w:p>
      <w:pPr>
        <w:spacing w:after="0" w:line="161" w:lineRule="exact"/>
        <w:rPr>
          <w:rFonts w:ascii="Arial" w:cs="Arial" w:eastAsia="Arial" w:hAnsi="Arial"/>
          <w:sz w:val="18"/>
          <w:szCs w:val="18"/>
          <w:color w:val="auto"/>
        </w:rPr>
      </w:pPr>
    </w:p>
    <w:p>
      <w:pPr>
        <w:jc w:val="both"/>
        <w:ind w:left="660" w:firstLine="644"/>
        <w:spacing w:after="0" w:line="259" w:lineRule="auto"/>
        <w:tabs>
          <w:tab w:leader="none" w:pos="1945"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If at any time Letters of Credit outstanding at such time exceed the L/C Sublimit (as a result of currency fluctuations or otherwise), the applicable Borrower or Borrowers agree to Cash Collateralize the amount of such excess (such Cash Collateral to be applied, upon the occurrence and during the continuance of an Event of Default,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Borrower is required to make a payment of Cash Collateral pursuant to the terms of this </w:t>
      </w:r>
      <w:r>
        <w:rPr>
          <w:rFonts w:ascii="Arial" w:cs="Arial" w:eastAsia="Arial" w:hAnsi="Arial"/>
          <w:sz w:val="19"/>
          <w:szCs w:val="19"/>
          <w:u w:val="single" w:color="auto"/>
          <w:color w:val="auto"/>
        </w:rPr>
        <w:t>Section 2.4(b)(iv)</w:t>
      </w:r>
      <w:r>
        <w:rPr>
          <w:rFonts w:ascii="Arial" w:cs="Arial" w:eastAsia="Arial" w:hAnsi="Arial"/>
          <w:sz w:val="19"/>
          <w:szCs w:val="19"/>
          <w:color w:val="auto"/>
        </w:rPr>
        <w:t xml:space="preserve"> as a result of any such excess, such amount (to the extent not applied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shall be returned to such Borrower within three Business Days after such excess ceases to exist.</w:t>
      </w:r>
    </w:p>
    <w:p>
      <w:pPr>
        <w:spacing w:after="0" w:line="178" w:lineRule="exact"/>
        <w:rPr>
          <w:rFonts w:ascii="Arial" w:cs="Arial" w:eastAsia="Arial" w:hAnsi="Arial"/>
          <w:sz w:val="19"/>
          <w:szCs w:val="19"/>
          <w:color w:val="auto"/>
        </w:rPr>
      </w:pPr>
    </w:p>
    <w:p>
      <w:pPr>
        <w:jc w:val="both"/>
        <w:ind w:firstLine="656"/>
        <w:spacing w:after="0" w:line="269" w:lineRule="auto"/>
        <w:tabs>
          <w:tab w:leader="none" w:pos="128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Borrowers may at any time and from time to time prepay Revolving Credit Loans and Swingline Loans, in whole or in part, without premium or penalty, with irrevocable prior written notice to the Administrative Agent substantially in the form attached as </w:t>
      </w:r>
      <w:r>
        <w:rPr>
          <w:rFonts w:ascii="Arial" w:cs="Arial" w:eastAsia="Arial" w:hAnsi="Arial"/>
          <w:sz w:val="18"/>
          <w:szCs w:val="18"/>
          <w:b w:val="1"/>
          <w:bCs w:val="1"/>
          <w:i w:val="1"/>
          <w:iCs w:val="1"/>
          <w:color w:val="auto"/>
        </w:rPr>
        <w:t>Exhibit D</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given not later than 11:00 a.m. (i) on the same Business Day as each Base Rate Loan, each Canadian Swingline Loan and each US Swingline Loan, (ii) at least one (1) Business Day before each Canadian Base Rate Loan, (iii) at least three (3) Business Days before each LIBOR Rate Loan and (iv) at least four (4) Business Days before each CDOR Rate Loan, specifying the date and amount of prepayment and whether the prepayment is of LIBOR Rate Loans, Base Rate Loans, Canadian Base Rate Loans, CDOR Rate Loans, US Swingline Loans, Canadian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C$1,000,000) or a whole multiple of $500,000 (or C$500,000) in excess thereof with respect to Base Rate Loans (other than Swingline Loans) and Canadian Revolving Credit Loans, $2,000,000 or a whole multiple of $500,000 in excess thereof with respect to LIBOR Rate Loans and $100,000 (or C$100,000) or a whole multiple of $100,000 (or C$100,000) in excess thereof with respect to Swingline Loans. A Notice of Prepayment received after 11:00 a.m. shall be deemed received on the next Business Day. Each such repayment shall be accompanied by any amount required to be paid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hereof. Notwithstanding the foregoing, any Notice of Prepayment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Borrowers in the event such refinancing is not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such contingency shall not relieve any Borrower from its obligations in respect thereof under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46" w:lineRule="auto"/>
        <w:tabs>
          <w:tab w:leader="none" w:pos="1284"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Prepayment of Excess Proceeds</w:t>
      </w:r>
      <w:r>
        <w:rPr>
          <w:rFonts w:ascii="Arial" w:cs="Arial" w:eastAsia="Arial" w:hAnsi="Arial"/>
          <w:sz w:val="20"/>
          <w:szCs w:val="20"/>
          <w:color w:val="auto"/>
        </w:rPr>
        <w:t xml:space="preserve">. In the event proceeds remain after the prepayments of Term Loan Facility pursuant to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the amount of such excess proceeds shall be used on the date of the required prepayment under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to prepay the outstanding principal amount of the Revolving Credit Loans, without a corresponding reduction of the Revolving Credit Commitment, with remaining proceeds, if any, refunded to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6" w:name="page127"/>
    <w:bookmarkEnd w:id="126"/>
    <w:p>
      <w:pPr>
        <w:jc w:val="both"/>
        <w:ind w:firstLine="656"/>
        <w:spacing w:after="0" w:line="250" w:lineRule="auto"/>
        <w:tabs>
          <w:tab w:leader="none" w:pos="128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Limitation on Prepayment of LIBOR Rate Loans</w:t>
      </w:r>
      <w:r>
        <w:rPr>
          <w:rFonts w:ascii="Arial" w:cs="Arial" w:eastAsia="Arial" w:hAnsi="Arial"/>
          <w:sz w:val="20"/>
          <w:szCs w:val="20"/>
          <w:color w:val="auto"/>
        </w:rPr>
        <w:t xml:space="preserve">. The Borrowers may not prepay any LIBOR Rate Loan on any day other than on the last day of the Interest Period applicable thereto unless such prepayment is accompanied by any amount required to be paid pursuant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hereof.</w:t>
      </w:r>
    </w:p>
    <w:p>
      <w:pPr>
        <w:spacing w:after="0" w:line="185" w:lineRule="exact"/>
        <w:rPr>
          <w:rFonts w:ascii="Arial" w:cs="Arial" w:eastAsia="Arial" w:hAnsi="Arial"/>
          <w:sz w:val="20"/>
          <w:szCs w:val="20"/>
          <w:color w:val="auto"/>
        </w:rPr>
      </w:pPr>
    </w:p>
    <w:p>
      <w:pPr>
        <w:ind w:right="20" w:firstLine="656"/>
        <w:spacing w:after="0" w:line="260" w:lineRule="auto"/>
        <w:tabs>
          <w:tab w:leader="none" w:pos="129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Hedge Agreements</w:t>
      </w:r>
      <w:r>
        <w:rPr>
          <w:rFonts w:ascii="Arial" w:cs="Arial" w:eastAsia="Arial" w:hAnsi="Arial"/>
          <w:sz w:val="20"/>
          <w:szCs w:val="20"/>
          <w:color w:val="auto"/>
        </w:rPr>
        <w:t>. No repayment or prepayment of the Loans pursuant to this Section shall affect any of the Borrowers’ obligations under any Hedge Agreement entered into with respect to the Loans.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II.5 </w:t>
      </w:r>
      <w:r>
        <w:rPr>
          <w:rFonts w:ascii="Arial" w:cs="Arial" w:eastAsia="Arial" w:hAnsi="Arial"/>
          <w:sz w:val="20"/>
          <w:szCs w:val="20"/>
          <w:u w:val="single" w:color="auto"/>
          <w:color w:val="auto"/>
        </w:rPr>
        <w:t>Permanent Reduction of the Revolving Credit Commitment</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0" w:lineRule="auto"/>
        <w:tabs>
          <w:tab w:leader="none" w:pos="128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Voluntary Reduction</w:t>
      </w:r>
      <w:r>
        <w:rPr>
          <w:rFonts w:ascii="Arial" w:cs="Arial" w:eastAsia="Arial" w:hAnsi="Arial"/>
          <w:sz w:val="18"/>
          <w:szCs w:val="18"/>
          <w:color w:val="auto"/>
        </w:rPr>
        <w:t>. The Borrowers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 such reduction in the Revolving Credit Commitments shall reduce the Swingline Commitment or the L/C Sublimit (except as set forth in each respective definition). Notwithstanding the foregoing, any notice to reduce the Revolving Credit Commitment to zero delivered in connection with any refinancing of all of the Credit Facility with the proceeds of such refinancing or of any incurrence of Indebtedness, may be, if expressly so stated to be, contingent upon the consummation of such refinancing or incurrence and may be revoked by any Borrower in the event such refinancing is not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such contingency shall not relieve any Borrower from its obligations in respect thereof under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firstLine="656"/>
        <w:spacing w:after="0" w:line="255" w:lineRule="auto"/>
        <w:tabs>
          <w:tab w:leader="none" w:pos="128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Corresponding Payment</w:t>
      </w:r>
      <w:r>
        <w:rPr>
          <w:rFonts w:ascii="Arial" w:cs="Arial" w:eastAsia="Arial" w:hAnsi="Arial"/>
          <w:sz w:val="19"/>
          <w:szCs w:val="19"/>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applicable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 and the Swingline Commitment and the Revolving Credit Facility. If the reduction of the Revolving Credit Commitment requires the repayment of any LIBOR Rate Loan, such repayment shall be accompanied by any amount required to be paid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hereof.</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II.6 </w:t>
      </w:r>
      <w:r>
        <w:rPr>
          <w:rFonts w:ascii="Arial" w:cs="Arial" w:eastAsia="Arial" w:hAnsi="Arial"/>
          <w:sz w:val="20"/>
          <w:szCs w:val="20"/>
          <w:u w:val="single" w:color="auto"/>
          <w:color w:val="auto"/>
        </w:rPr>
        <w:t>Termination of Revolving Credit Facility</w:t>
      </w:r>
      <w:r>
        <w:rPr>
          <w:rFonts w:ascii="Arial" w:cs="Arial" w:eastAsia="Arial" w:hAnsi="Arial"/>
          <w:sz w:val="20"/>
          <w:szCs w:val="20"/>
          <w:color w:val="auto"/>
        </w:rPr>
        <w:t>. The Revolving Credit Facility and the Revolving Credit Commitments shall terminate on the Revolving Credit Maturity Date (after giving effect to any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7" w:name="page128"/>
    <w:bookmarkEnd w:id="127"/>
    <w:p>
      <w:pPr>
        <w:jc w:val="center"/>
        <w:ind w:right="200"/>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LETTER OF CREDIT FACILITY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III.1 </w:t>
      </w:r>
      <w:r>
        <w:rPr>
          <w:rFonts w:ascii="Arial" w:cs="Arial" w:eastAsia="Arial" w:hAnsi="Arial"/>
          <w:sz w:val="20"/>
          <w:szCs w:val="20"/>
          <w:u w:val="single" w:color="auto"/>
          <w:color w:val="auto"/>
        </w:rPr>
        <w:t>L/C Facility</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5" w:lineRule="auto"/>
        <w:tabs>
          <w:tab w:leader="none" w:pos="128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hereof, each applicable Issuing Lender, in reliance on the agreements of the Revolving Credit Lenders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agrees to issue (i) standby or commercial US Letters of Credit in an aggregate amount not to exceed its L/C Commitment for the account of the US Borrowers or, subject to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any US Subsidiary or Affiliate thereof that is organized under the laws of the United States, any State thereof or the District of Columbia and (ii) standby or commercial Canadian Letters of Credit in an aggregate amount not to exceed its L/C Commitment for the account of the Canadian Borrowers or,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3.10</w:t>
      </w:r>
      <w:r>
        <w:rPr>
          <w:rFonts w:ascii="Arial" w:cs="Arial" w:eastAsia="Arial" w:hAnsi="Arial"/>
          <w:sz w:val="18"/>
          <w:szCs w:val="18"/>
          <w:color w:val="auto"/>
        </w:rPr>
        <w:t>, any Canadian Subsidiary or Affiliate thereof that is organized under the laws of Canada or any province or territory thereof, in each case, on any Business Day from the Closing Date through but not including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prior to the Revolving Credit Maturity Date in such form as may be approved from time to time by the applicable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no Issuing Lender shall issue any Letter of Credit if, after giving effect to such issuance, (A) the L/C Obligations would exceed the L/C Sublimit, (B) the Revolving Credit Outstandings would exceed the Revolving Credit Commitment or (C) the L/C Obligations with respect to Letters of Credit issued by such Issuing Lender would exceed such Issuing Lender’s L/C Commitment. Each Letter of Credit (1) (x) to be denominated in Dollars shall, in the case of a commercial US Letter of Credit, be in a minimum amount of $100,000 and, in the case of a standby US Letter of Credit, be in a minimum amount of $100,000 (or such lesser amounts as agreed to by the applicable Issuing Lender and the Administrative Agent), and (y) to be denominated in Canadian Dollars shall, in the case of a commercial Canadian Letter of Credit, be in a minimum amount of C$100,000 and, in the case of a standby Canadian Letter of Credit, be in a minimum amount of C$100,000 (or such lesser amounts as agreed to by the applicable Issuing Lender and the Administrative Agent), (2) except as agreed to by the Administrative Agent and the applicable Issuing Lender with respect to any Existing Letter of Credit, shall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(3) shall expire no later than the fifth (5th) Business Day prior to the Revolving Credit Maturity Date (except that if agreed to by the applicable Issuing Lender and the Administrative Agent, any Existing Letter of Credit may expire after such date so long as such Existing Letter of Credit is Cash Collateralized pursuant to documentation and on terms and conditions acceptable to such Issuing Lender and the Administrative Agent no later than the date that is 91 days prior to the Revolving Credit Maturity Date), (4) with respect to each US Letter of Credit, shall be subject to the Uniform Customs, in the case of a commercial Letter of Credit, or ISP98, in the case of a standby Letter of Credit, in each case, as set forth in the Letter of Credit Application or as determined by the applicable Issuing Lender and, to the extent not inconsistent therewith, the laws of the State of New York and (5) with respect to each Canadian Letter of Credit, shall be subject to the law set forth in the Letter of Credit Application or as agreed by the applicable Issuing Lender and the Canadian Borrowers.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8" w:name="page129"/>
    <w:bookmarkEnd w:id="128"/>
    <w:p>
      <w:pPr>
        <w:jc w:val="both"/>
        <w:spacing w:after="0" w:line="275" w:lineRule="auto"/>
        <w:rPr>
          <w:sz w:val="20"/>
          <w:szCs w:val="20"/>
          <w:color w:val="auto"/>
        </w:rPr>
      </w:pPr>
      <w:r>
        <w:rPr>
          <w:rFonts w:ascii="Arial" w:cs="Arial" w:eastAsia="Arial" w:hAnsi="Arial"/>
          <w:sz w:val="18"/>
          <w:szCs w:val="18"/>
          <w:color w:val="auto"/>
        </w:rPr>
        <w:t>capital requirement (for which such Issuing Lender is not otherwise compensated) not in effect on the Closing Date, or any unreimbursed loss, cost or expense that was not applicable, in effect as of the Closing Date and that such Issuing Lender in good faith deems material to it,</w:t>
      </w:r>
    </w:p>
    <w:p>
      <w:pPr>
        <w:spacing w:after="0" w:line="1" w:lineRule="exact"/>
        <w:rPr>
          <w:sz w:val="20"/>
          <w:szCs w:val="20"/>
          <w:color w:val="auto"/>
        </w:rPr>
      </w:pPr>
    </w:p>
    <w:p>
      <w:pPr>
        <w:jc w:val="both"/>
        <w:ind w:firstLine="8"/>
        <w:spacing w:after="0" w:line="276"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not satisfied or (C)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165" w:lineRule="exact"/>
        <w:rPr>
          <w:rFonts w:ascii="Arial" w:cs="Arial" w:eastAsia="Arial" w:hAnsi="Arial"/>
          <w:sz w:val="18"/>
          <w:szCs w:val="18"/>
          <w:color w:val="auto"/>
        </w:rPr>
      </w:pPr>
    </w:p>
    <w:p>
      <w:pPr>
        <w:ind w:firstLine="656"/>
        <w:spacing w:after="0" w:line="260" w:lineRule="auto"/>
        <w:tabs>
          <w:tab w:leader="none" w:pos="1284"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anything to the contrary contained in this Agreement,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be subject to the terms and conditions of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III.2 </w:t>
      </w:r>
      <w:r>
        <w:rPr>
          <w:rFonts w:ascii="Arial" w:cs="Arial" w:eastAsia="Arial" w:hAnsi="Arial"/>
          <w:sz w:val="18"/>
          <w:szCs w:val="18"/>
          <w:u w:val="single" w:color="auto"/>
          <w:color w:val="auto"/>
        </w:rPr>
        <w:t>Procedure for Issuance of Letters of Credit</w:t>
      </w:r>
      <w:r>
        <w:rPr>
          <w:rFonts w:ascii="Arial" w:cs="Arial" w:eastAsia="Arial" w:hAnsi="Arial"/>
          <w:sz w:val="18"/>
          <w:szCs w:val="18"/>
          <w:color w:val="auto"/>
        </w:rPr>
        <w:t xml:space="preserve">. The (a) US Borrowers may from time to time request that any Issuing Lender issue a US Letter of Credit and (b) Canadian Borrowers may from time to time request that any Issuing Lender issue a Canadian Letter of Credit, in each case,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r>
        <w:rPr>
          <w:rFonts w:ascii="Arial" w:cs="Arial" w:eastAsia="Arial" w:hAnsi="Arial"/>
          <w:sz w:val="18"/>
          <w:szCs w:val="18"/>
          <w:color w:val="auto"/>
        </w:rPr>
        <w:t>,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applicable Borrower. The applicable Issuing Lender shall promptly furnish to the applicable Borrowers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III.3 </w:t>
      </w:r>
      <w:r>
        <w:rPr>
          <w:rFonts w:ascii="Arial" w:cs="Arial" w:eastAsia="Arial" w:hAnsi="Arial"/>
          <w:sz w:val="20"/>
          <w:szCs w:val="20"/>
          <w:u w:val="single" w:color="auto"/>
          <w:color w:val="auto"/>
        </w:rPr>
        <w:t>Commissions and Other Charges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2" w:lineRule="auto"/>
        <w:tabs>
          <w:tab w:leader="none" w:pos="128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Letter of Credit Commissions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5.15(a)(iii)(B)</w:t>
      </w:r>
      <w:r>
        <w:rPr>
          <w:rFonts w:ascii="Arial" w:cs="Arial" w:eastAsia="Arial" w:hAnsi="Arial"/>
          <w:sz w:val="20"/>
          <w:szCs w:val="20"/>
          <w:color w:val="auto"/>
        </w:rPr>
        <w:t xml:space="preserve">, Centuri shall pay to the Administrative Agent, for the account of the applicable Issuing Lender and the L/C Participants, a letter of credit commission with respect to each Letter of Credit in the amount equal to the daily amount available to be drawn under such Letters of Credit times 50% of the Applicable Margin with respect to Revolving Credit Loans that are LIBOR Rate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in accordance with their respective Revolving Credit Commitment Percentages.</w:t>
      </w:r>
    </w:p>
    <w:p>
      <w:pPr>
        <w:spacing w:after="0" w:line="196" w:lineRule="exact"/>
        <w:rPr>
          <w:rFonts w:ascii="Arial" w:cs="Arial" w:eastAsia="Arial" w:hAnsi="Arial"/>
          <w:sz w:val="20"/>
          <w:szCs w:val="20"/>
          <w:color w:val="auto"/>
        </w:rPr>
      </w:pPr>
    </w:p>
    <w:p>
      <w:pPr>
        <w:jc w:val="both"/>
        <w:ind w:firstLine="656"/>
        <w:spacing w:after="0" w:line="342" w:lineRule="auto"/>
        <w:tabs>
          <w:tab w:leader="none" w:pos="1284"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Issuance Fee</w:t>
      </w:r>
      <w:r>
        <w:rPr>
          <w:rFonts w:ascii="Arial" w:cs="Arial" w:eastAsia="Arial" w:hAnsi="Arial"/>
          <w:sz w:val="16"/>
          <w:szCs w:val="16"/>
          <w:color w:val="auto"/>
        </w:rPr>
        <w:t>. In addition to the foregoing commission, the applicable Borrower shall pay directly to the applicable Issuing Lender, for its own account, an issuance fee with respect to each Letter of Credit issued by such Issuing Lender as set forth in the applicable Fee Letter executed by such Issuing Lender. Such issuance fee shall be payable quarterly in arrears on the last Business Day of each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29" w:name="page130"/>
    <w:bookmarkEnd w:id="129"/>
    <w:p>
      <w:pPr>
        <w:jc w:val="both"/>
        <w:spacing w:after="0" w:line="250" w:lineRule="auto"/>
        <w:rPr>
          <w:sz w:val="20"/>
          <w:szCs w:val="20"/>
          <w:color w:val="auto"/>
        </w:rPr>
      </w:pPr>
      <w:r>
        <w:rPr>
          <w:rFonts w:ascii="Arial" w:cs="Arial" w:eastAsia="Arial" w:hAnsi="Arial"/>
          <w:sz w:val="20"/>
          <w:szCs w:val="20"/>
          <w:color w:val="auto"/>
        </w:rPr>
        <w:t>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pacing w:after="0" w:line="186" w:lineRule="exact"/>
        <w:rPr>
          <w:sz w:val="20"/>
          <w:szCs w:val="20"/>
          <w:color w:val="auto"/>
        </w:rPr>
      </w:pPr>
    </w:p>
    <w:p>
      <w:pPr>
        <w:jc w:val="both"/>
        <w:ind w:firstLine="656"/>
        <w:spacing w:after="0" w:line="269" w:lineRule="auto"/>
        <w:tabs>
          <w:tab w:leader="none" w:pos="128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Other Fees, Costs, Charges and Expenses</w:t>
      </w:r>
      <w:r>
        <w:rPr>
          <w:rFonts w:ascii="Arial" w:cs="Arial" w:eastAsia="Arial" w:hAnsi="Arial"/>
          <w:sz w:val="19"/>
          <w:szCs w:val="19"/>
          <w:color w:val="auto"/>
        </w:rPr>
        <w:t>.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III.4 </w:t>
      </w:r>
      <w:r>
        <w:rPr>
          <w:rFonts w:ascii="Arial" w:cs="Arial" w:eastAsia="Arial" w:hAnsi="Arial"/>
          <w:sz w:val="20"/>
          <w:szCs w:val="20"/>
          <w:u w:val="single" w:color="auto"/>
          <w:color w:val="auto"/>
        </w:rPr>
        <w:t>L/C Participations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5" w:lineRule="auto"/>
        <w:tabs>
          <w:tab w:leader="none" w:pos="1286" w:val="left"/>
        </w:tabs>
        <w:numPr>
          <w:ilvl w:val="0"/>
          <w:numId w:val="64"/>
        </w:numPr>
        <w:rPr>
          <w:rFonts w:ascii="Arial" w:cs="Arial" w:eastAsia="Arial" w:hAnsi="Arial"/>
          <w:sz w:val="19"/>
          <w:szCs w:val="19"/>
          <w:color w:val="auto"/>
        </w:rPr>
      </w:pPr>
      <w:r>
        <w:rPr>
          <w:rFonts w:ascii="Arial" w:cs="Arial" w:eastAsia="Arial" w:hAnsi="Arial"/>
          <w:sz w:val="19"/>
          <w:szCs w:val="19"/>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Borrowers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89" w:lineRule="exact"/>
        <w:rPr>
          <w:rFonts w:ascii="Arial" w:cs="Arial" w:eastAsia="Arial" w:hAnsi="Arial"/>
          <w:sz w:val="19"/>
          <w:szCs w:val="19"/>
          <w:color w:val="auto"/>
        </w:rPr>
      </w:pPr>
    </w:p>
    <w:p>
      <w:pPr>
        <w:jc w:val="both"/>
        <w:ind w:firstLine="656"/>
        <w:spacing w:after="0" w:line="270" w:lineRule="auto"/>
        <w:tabs>
          <w:tab w:leader="none" w:pos="12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Upon becoming aware of any amount required to be paid by any L/C Participant to any Issuing Lender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72" w:lineRule="exact"/>
        <w:rPr>
          <w:rFonts w:ascii="Arial" w:cs="Arial" w:eastAsia="Arial" w:hAnsi="Arial"/>
          <w:sz w:val="18"/>
          <w:szCs w:val="18"/>
          <w:color w:val="auto"/>
        </w:rPr>
      </w:pPr>
    </w:p>
    <w:p>
      <w:pPr>
        <w:jc w:val="both"/>
        <w:ind w:firstLine="656"/>
        <w:spacing w:after="0" w:line="291" w:lineRule="auto"/>
        <w:tabs>
          <w:tab w:leader="none" w:pos="12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US Borrowers or otherwise), or any 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0" w:name="page131"/>
    <w:bookmarkEnd w:id="130"/>
    <w:p>
      <w:pPr>
        <w:jc w:val="both"/>
        <w:spacing w:after="0" w:line="250" w:lineRule="auto"/>
        <w:rPr>
          <w:sz w:val="20"/>
          <w:szCs w:val="20"/>
          <w:color w:val="auto"/>
        </w:rPr>
      </w:pPr>
      <w:r>
        <w:rPr>
          <w:rFonts w:ascii="Arial" w:cs="Arial" w:eastAsia="Arial" w:hAnsi="Arial"/>
          <w:sz w:val="20"/>
          <w:szCs w:val="20"/>
          <w:color w:val="auto"/>
        </w:rPr>
        <w:t xml:space="preserve">interest on account thereof, such Issuing Lender will distribute to such L/C Participant its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 thereof; </w:t>
      </w:r>
      <w:r>
        <w:rPr>
          <w:rFonts w:ascii="Arial" w:cs="Arial" w:eastAsia="Arial" w:hAnsi="Arial"/>
          <w:sz w:val="20"/>
          <w:szCs w:val="20"/>
          <w:u w:val="single" w:color="auto"/>
          <w:color w:val="auto"/>
        </w:rPr>
        <w:t>provided</w:t>
      </w:r>
      <w:r>
        <w:rPr>
          <w:rFonts w:ascii="Arial" w:cs="Arial" w:eastAsia="Arial" w:hAnsi="Arial"/>
          <w:sz w:val="20"/>
          <w:szCs w:val="20"/>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III.5 </w:t>
      </w:r>
      <w:r>
        <w:rPr>
          <w:rFonts w:ascii="Arial" w:cs="Arial" w:eastAsia="Arial" w:hAnsi="Arial"/>
          <w:sz w:val="19"/>
          <w:szCs w:val="19"/>
          <w:u w:val="single" w:color="auto"/>
          <w:color w:val="auto"/>
        </w:rPr>
        <w:t>Reimbursement Obligation of the Borrowers</w:t>
      </w:r>
      <w:r>
        <w:rPr>
          <w:rFonts w:ascii="Arial" w:cs="Arial" w:eastAsia="Arial" w:hAnsi="Arial"/>
          <w:sz w:val="19"/>
          <w:szCs w:val="19"/>
          <w:color w:val="auto"/>
        </w:rPr>
        <w:t xml:space="preserve">. In the event of any drawing under any Letter of Credit, the applicable Borrower agrees to reimburse (either with the proceeds of a Revolving Credit Loan as provided for in this Section or with funds from other sources), in same day funds, the applicable Issuing Lender on each date on which such Issuing Lender notifies the applicable Borrower of the date and amount of a draft paid by it under any Letter of Credit for the amount of (a) such draft so paid and (b) any amounts referred to in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incurred by such Issuing Lender in connection with such payment. Unless the applicable Borrower shall immediately notify such Issuing Lender that such Borrower intends to reimburse such Issuing Lender for such drawing from other sources or funds, such Borrower shall be deemed to have timely given a Notice of Borrowing to the Administrative Agent requesting that the Revolving Credit Lenders make a Revolving Credit Loan bearing interest at the Base Rate on the applicable repayment date in the amount of (i) such draft so paid and (ii) any amounts referred to in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incurred by such Issuing Lender in connection with such payment, and the Revolving Credit Lenders shall make a Revolving Credit Loan bearing interest at the Base Rate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w:t>
      </w:r>
      <w:r>
        <w:rPr>
          <w:rFonts w:ascii="Arial" w:cs="Arial" w:eastAsia="Arial" w:hAnsi="Arial"/>
          <w:sz w:val="19"/>
          <w:szCs w:val="19"/>
          <w:color w:val="auto"/>
        </w:rPr>
        <w:t>. If a Borrower has elected to pay the amount of such drawing with funds from other sources and shall fail to reimburse such Issuing Lender as provided above, the unreimbursed amount of such drawing shall bear interest at the rate which would be payable on any outstanding Base Rate Loans which were then overdue from the date such amounts become payable (whether at stated maturity, by acceleration or otherwise) until payment in full.</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III.6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Each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(including, without limitation, the Reimbursement Obligation) shall be absolute and unconditional under any and all circumstances and irrespective of any set off, counterclaim or defense to payment such Borrower may have or have had against the applicable Issuing Lender or any beneficiary of a Letter of Credit or any other Person. Each Borrower also agrees that the applicable Issuing Lender and the L/C Participants shall not be responsible for, and such Borrower’s Reimbursement Obligation under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not be affected by, among other things, the validity or genuineness of documents or of any endorsements thereon, even though such documents shall in fact prove to be invalid, fraudulent or forged, or any dispute between or among such Borrower and any beneficiary of any Letter of Credit or any other party to which such Letter of Credit may be transferred or any claims whatsoever of such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Each Borrower agrees that any action taken or omitted by any Issuing Lender under or in connection with any Letter of Credit issued by it or the related drafts or documents, if done in the absence of gross negligence or willful misconduct shall be binding on such Borrower and shall not result in any liability of such Issuing Lender or any L/C Participant to any Borrower. The responsibility of any Issuing Lender to the Borrowers in connection with any draft presented for payment under any Letter of Credit issued to it shall,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1" w:name="page132"/>
    <w:bookmarkEnd w:id="131"/>
    <w:p>
      <w:pPr>
        <w:jc w:val="both"/>
        <w:spacing w:after="0" w:line="250" w:lineRule="auto"/>
        <w:rPr>
          <w:sz w:val="20"/>
          <w:szCs w:val="20"/>
          <w:color w:val="auto"/>
        </w:rPr>
      </w:pPr>
      <w:r>
        <w:rPr>
          <w:rFonts w:ascii="Arial" w:cs="Arial" w:eastAsia="Arial" w:hAnsi="Arial"/>
          <w:sz w:val="20"/>
          <w:szCs w:val="20"/>
          <w:color w:val="auto"/>
        </w:rPr>
        <w:t>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III.7 </w:t>
      </w:r>
      <w:r>
        <w:rPr>
          <w:rFonts w:ascii="Arial" w:cs="Arial" w:eastAsia="Arial" w:hAnsi="Arial"/>
          <w:sz w:val="19"/>
          <w:szCs w:val="19"/>
          <w:u w:val="single" w:color="auto"/>
          <w:color w:val="auto"/>
        </w:rPr>
        <w:t>Effect of Letter of Credit Application</w:t>
      </w:r>
      <w:r>
        <w:rPr>
          <w:rFonts w:ascii="Arial" w:cs="Arial" w:eastAsia="Arial" w:hAnsi="Arial"/>
          <w:sz w:val="19"/>
          <w:szCs w:val="19"/>
          <w:color w:val="auto"/>
        </w:rPr>
        <w:t>. To the extent that any provision of any Letter of Credit Application related to any Letter of Credit is inconsistent with the provisions of this Agreement, the provisions of this Agreement shall apply and control.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III.8 </w:t>
      </w:r>
      <w:r>
        <w:rPr>
          <w:rFonts w:ascii="Arial" w:cs="Arial" w:eastAsia="Arial" w:hAnsi="Arial"/>
          <w:sz w:val="20"/>
          <w:szCs w:val="20"/>
          <w:u w:val="single" w:color="auto"/>
          <w:color w:val="auto"/>
        </w:rPr>
        <w:t>Removal and Resignation of Issuing Lenders</w:t>
      </w:r>
      <w:r>
        <w:rPr>
          <w:rFonts w:ascii="Arial" w:cs="Arial" w:eastAsia="Arial" w:hAnsi="Arial"/>
          <w:sz w:val="20"/>
          <w:szCs w:val="20"/>
          <w:color w:val="auto"/>
        </w:rPr>
        <w:t>.</w:t>
      </w:r>
    </w:p>
    <w:p>
      <w:pPr>
        <w:spacing w:after="0" w:line="216" w:lineRule="exact"/>
        <w:rPr>
          <w:sz w:val="20"/>
          <w:szCs w:val="20"/>
          <w:color w:val="auto"/>
        </w:rPr>
      </w:pPr>
    </w:p>
    <w:p>
      <w:pPr>
        <w:ind w:left="1300" w:hanging="644"/>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Borrowers may at any time remove any Lender from its role as an Issuing Lender hereunder upon not less than thirty</w:t>
      </w:r>
    </w:p>
    <w:p>
      <w:pPr>
        <w:spacing w:after="0" w:line="38" w:lineRule="exact"/>
        <w:rPr>
          <w:rFonts w:ascii="Arial" w:cs="Arial" w:eastAsia="Arial" w:hAnsi="Arial"/>
          <w:sz w:val="18"/>
          <w:szCs w:val="18"/>
          <w:color w:val="auto"/>
        </w:rPr>
      </w:pPr>
    </w:p>
    <w:p>
      <w:pPr>
        <w:ind w:firstLine="8"/>
        <w:spacing w:after="0" w:line="244" w:lineRule="auto"/>
        <w:tabs>
          <w:tab w:leader="none" w:pos="4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days prior notice to such Issuing Lender and the Administrative Agent (or such shorter period of time as may be acceptable to such Issuing Lender and the Administrative Agent).</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84"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Lender may at any time resign from its role as an Issuing Lender hereunder upon not less than thirty (30) days prior notice to Centuri and the Administrative Agent (or such shorter period of time as may be acceptable to Centuri and the Administrative Agent).</w:t>
      </w:r>
    </w:p>
    <w:p>
      <w:pPr>
        <w:spacing w:after="0" w:line="185" w:lineRule="exact"/>
        <w:rPr>
          <w:rFonts w:ascii="Arial" w:cs="Arial" w:eastAsia="Arial" w:hAnsi="Arial"/>
          <w:sz w:val="20"/>
          <w:szCs w:val="20"/>
          <w:color w:val="auto"/>
        </w:rPr>
      </w:pPr>
    </w:p>
    <w:p>
      <w:pPr>
        <w:jc w:val="both"/>
        <w:ind w:firstLine="656"/>
        <w:spacing w:after="0" w:line="282" w:lineRule="auto"/>
        <w:tabs>
          <w:tab w:leader="none" w:pos="12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connection with (i) any Refinancing Revolving Credit Commitments or (ii) any Extension of Revolving Credit Commitments, that has not been consented to by any Issuing Lender, such Issuing Lender may, in connection with such Refinancing Revolving Credit Commitments or Extension resign as an Issuing Lender hereunder upon not less than five (5) Business Days’ prior notice to Centuri and the Administrative Agent (or such shorter period of time as may be acceptable to Centuri and the Administrative Agent).</w:t>
      </w:r>
    </w:p>
    <w:p>
      <w:pPr>
        <w:spacing w:after="0" w:line="161" w:lineRule="exact"/>
        <w:rPr>
          <w:rFonts w:ascii="Arial" w:cs="Arial" w:eastAsia="Arial" w:hAnsi="Arial"/>
          <w:sz w:val="18"/>
          <w:szCs w:val="18"/>
          <w:color w:val="auto"/>
        </w:rPr>
      </w:pPr>
    </w:p>
    <w:p>
      <w:pPr>
        <w:jc w:val="both"/>
        <w:ind w:firstLine="656"/>
        <w:spacing w:after="0" w:line="272" w:lineRule="auto"/>
        <w:tabs>
          <w:tab w:leader="none" w:pos="12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without limitation, the right to require the Revolving Credit Lenders to take such actions as are required under </w:t>
      </w:r>
      <w:r>
        <w:rPr>
          <w:rFonts w:ascii="Arial" w:cs="Arial" w:eastAsia="Arial" w:hAnsi="Arial"/>
          <w:sz w:val="18"/>
          <w:szCs w:val="18"/>
          <w:u w:val="single" w:color="auto"/>
          <w:color w:val="auto"/>
        </w:rPr>
        <w:t>Section 3.4</w:t>
      </w:r>
      <w:r>
        <w:rPr>
          <w:rFonts w:ascii="Arial" w:cs="Arial" w:eastAsia="Arial" w:hAnsi="Arial"/>
          <w:sz w:val="18"/>
          <w:szCs w:val="18"/>
          <w:color w:val="auto"/>
        </w:rPr>
        <w:t>). Without limiting the foregoing, upon the removal or resignation of a Lender as an Issuing Lender hereunder, the Borrowers may, or at the request of such removed or resigned Issuing Lender the Borrowers shall, use commercially reasonable efforts to, arrange for one or more of the other Issuing Lenders to issue Letters of Credit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III.9 </w:t>
      </w:r>
      <w:r>
        <w:rPr>
          <w:rFonts w:ascii="Arial" w:cs="Arial" w:eastAsia="Arial" w:hAnsi="Arial"/>
          <w:sz w:val="18"/>
          <w:szCs w:val="18"/>
          <w:u w:val="single" w:color="auto"/>
          <w:color w:val="auto"/>
        </w:rPr>
        <w:t>Reporting of Letter of Credit Information and L/C Commitment</w:t>
      </w:r>
      <w:r>
        <w:rPr>
          <w:rFonts w:ascii="Arial" w:cs="Arial" w:eastAsia="Arial" w:hAnsi="Arial"/>
          <w:sz w:val="18"/>
          <w:szCs w:val="18"/>
          <w:color w:val="auto"/>
        </w:rPr>
        <w:t>. 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w:t>
      </w:r>
    </w:p>
    <w:p>
      <w:pPr>
        <w:spacing w:after="0" w:line="3" w:lineRule="exact"/>
        <w:rPr>
          <w:sz w:val="20"/>
          <w:szCs w:val="20"/>
          <w:color w:val="auto"/>
        </w:rPr>
      </w:pPr>
    </w:p>
    <w:p>
      <w:pPr>
        <w:jc w:val="both"/>
        <w:ind w:firstLine="8"/>
        <w:spacing w:after="0" w:line="241" w:lineRule="auto"/>
        <w:tabs>
          <w:tab w:leader="none" w:pos="323" w:val="left"/>
        </w:tabs>
        <w:numPr>
          <w:ilvl w:val="0"/>
          <w:numId w:val="67"/>
        </w:numPr>
        <w:rPr>
          <w:rFonts w:ascii="Arial" w:cs="Arial" w:eastAsia="Arial" w:hAnsi="Arial"/>
          <w:sz w:val="20"/>
          <w:szCs w:val="20"/>
          <w:color w:val="auto"/>
        </w:rPr>
      </w:pPr>
      <w:r>
        <w:rPr>
          <w:rFonts w:ascii="Arial" w:cs="Arial" w:eastAsia="Arial" w:hAnsi="Arial"/>
          <w:sz w:val="20"/>
          <w:szCs w:val="20"/>
          <w:color w:val="auto"/>
        </w:rPr>
        <w:t>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2" w:name="page133"/>
    <w:bookmarkEnd w:id="132"/>
    <w:p>
      <w:pPr>
        <w:jc w:val="both"/>
        <w:spacing w:after="0" w:line="246" w:lineRule="auto"/>
        <w:rPr>
          <w:sz w:val="20"/>
          <w:szCs w:val="20"/>
          <w:color w:val="auto"/>
        </w:rPr>
      </w:pPr>
      <w:r>
        <w:rPr>
          <w:rFonts w:ascii="Arial" w:cs="Arial" w:eastAsia="Arial" w:hAnsi="Arial"/>
          <w:sz w:val="20"/>
          <w:szCs w:val="20"/>
          <w:color w:val="auto"/>
        </w:rPr>
        <w:t xml:space="preserve">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3.9</w:t>
      </w:r>
      <w:r>
        <w:rPr>
          <w:rFonts w:ascii="Arial" w:cs="Arial" w:eastAsia="Arial" w:hAnsi="Arial"/>
          <w:sz w:val="20"/>
          <w:szCs w:val="20"/>
          <w:color w:val="auto"/>
        </w:rPr>
        <w:t xml:space="preserve"> shall limit the obligations of the Borrowers or any Revolving Credit Lender hereunder with respect to its reimbursement and participation obligations hereunder.</w:t>
      </w:r>
    </w:p>
    <w:p>
      <w:pPr>
        <w:spacing w:after="0" w:line="19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III.10 </w:t>
      </w: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xml:space="preserve">. Notwithstanding that a Letter of Credit issued or outstanding hereunder is in support of any obligations of, or is for the account of, a Borrower or any Subsidiary or Affiliate thereof described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3.1(a)</w:t>
      </w:r>
      <w:r>
        <w:rPr>
          <w:rFonts w:ascii="Arial" w:cs="Arial" w:eastAsia="Arial" w:hAnsi="Arial"/>
          <w:sz w:val="20"/>
          <w:szCs w:val="20"/>
          <w:color w:val="auto"/>
        </w:rPr>
        <w:t xml:space="preserve">, the applicable Borrower shall be obligated to reimburse, or to cause the applicable Subsidiary or Affiliate to reimburse, the applicable Issuing Lender hereunder for any and all drawings under such Letter of Credit;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aggregate face amount of all Letters of Credit issued for the account of such Affiliates of the Borrowers that are not also Subsidiaries of the Borrowers shall not exceed $25,000,000 at any time outstanding. Each Borrower hereby acknowledges that the issuance of Letters of Credit for the account of any of its Subsidiaries or Affiliates inures to the benefit of such Borrower and that such Borrower’s business derives substantial benefits from the businesses of such Subsidiaries and Affiliates.</w:t>
      </w:r>
    </w:p>
    <w:p>
      <w:pPr>
        <w:spacing w:after="0" w:line="1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 LOAN FACILITY</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IV.1 </w:t>
      </w:r>
      <w:r>
        <w:rPr>
          <w:rFonts w:ascii="Arial" w:cs="Arial" w:eastAsia="Arial" w:hAnsi="Arial"/>
          <w:sz w:val="20"/>
          <w:szCs w:val="20"/>
          <w:u w:val="single" w:color="auto"/>
          <w:color w:val="auto"/>
        </w:rPr>
        <w:t>Initial Term Loan</w:t>
      </w:r>
      <w:r>
        <w:rPr>
          <w:rFonts w:ascii="Arial" w:cs="Arial" w:eastAsia="Arial" w:hAnsi="Arial"/>
          <w:sz w:val="20"/>
          <w:szCs w:val="20"/>
          <w:color w:val="auto"/>
        </w:rPr>
        <w:t>. Subject to the terms and conditions of this Agreement and the other Loan Documents, and in reliance upon the representations and warranties set forth in this Agreement and the other Loan Documents, each Term Loan Lender severally agrees to make the Initial Term Loan to Centuri, on the Closing Date, in a principal amount equal to such Lender’s Term Loan Percentage of the Initial Term Loan as of the Closing Date.</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IV.2 </w:t>
      </w:r>
      <w:r>
        <w:rPr>
          <w:rFonts w:ascii="Arial" w:cs="Arial" w:eastAsia="Arial" w:hAnsi="Arial"/>
          <w:sz w:val="18"/>
          <w:szCs w:val="18"/>
          <w:u w:val="single" w:color="auto"/>
          <w:color w:val="auto"/>
        </w:rPr>
        <w:t>Procedure for Advance of Initial Term Loan</w:t>
      </w:r>
      <w:r>
        <w:rPr>
          <w:rFonts w:ascii="Arial" w:cs="Arial" w:eastAsia="Arial" w:hAnsi="Arial"/>
          <w:sz w:val="18"/>
          <w:szCs w:val="18"/>
          <w:color w:val="auto"/>
        </w:rPr>
        <w:t xml:space="preserve">. The applicable Borrower shall give the Administrative Agent an irrevocable Notice of Borrowing prior to 11:00 a.m. on the Closing Date requesting that the Term Loan Lenders make the Initial Term Loan as a Base Rate Loan on such date (provided that the Centuri may request, no later than three (3) Business Days prior to the Closing Date, that the Term Loan Lenders make the Initial Term Loan as a LIBOR Rate Loan, as applicable, if Centuri has delivered to the Administrative Agent a letter in form and substance reasonably satisfactory to the Administrative Agent indemnifying the Lenders in the manner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of this Agreement). Upon receipt of such Notice of Borrowing from the applicable Borrower, the Administrative Agent shall promptly notify each Term Loan Lender thereof. Not later than 1:00 p.m. on the Closing Date, with respect to the Initial Term Loan made on the Closing Date, each Term Loan Lender will make available to the Administrative Agent for the account of the applicable Borrower, at the Administrative Agent’s Office in immediately available funds, the amount of such Initial Term Loan to be made by such Term Loan Lender on the Closing Date. The Borrowers hereby irrevocably authorize the Administrative Agent to disburse the proceeds of the Initial Term Loan in immediately available funds by wire transfer to such Person or Persons as may be designated by the applicable Borrower in writing.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IV.3 </w:t>
      </w:r>
      <w:r>
        <w:rPr>
          <w:rFonts w:ascii="Arial" w:cs="Arial" w:eastAsia="Arial" w:hAnsi="Arial"/>
          <w:sz w:val="20"/>
          <w:szCs w:val="20"/>
          <w:u w:val="single" w:color="auto"/>
          <w:color w:val="auto"/>
        </w:rPr>
        <w:t>Repayment of Term Loans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91" w:lineRule="auto"/>
        <w:tabs>
          <w:tab w:leader="none" w:pos="128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The Borrowers shall repay the aggregate outstanding principal amount of the Initial Term Loan in consecutive quarterly installments equal to $2,862,500 (as the amounts of individual installments may be adjusted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on the last Business Day of each of March, June, September and December commencing December 31,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3" w:name="page134"/>
    <w:bookmarkEnd w:id="133"/>
    <w:p>
      <w:pPr>
        <w:spacing w:after="0" w:line="287" w:lineRule="auto"/>
        <w:rPr>
          <w:sz w:val="20"/>
          <w:szCs w:val="20"/>
          <w:color w:val="auto"/>
        </w:rPr>
      </w:pPr>
      <w:r>
        <w:rPr>
          <w:rFonts w:ascii="Arial" w:cs="Arial" w:eastAsia="Arial" w:hAnsi="Arial"/>
          <w:sz w:val="19"/>
          <w:szCs w:val="19"/>
          <w:color w:val="auto"/>
        </w:rPr>
        <w:t>the final principal repayment installment of the Initial Term Loan shall be repaid on the Term Loan Maturity Date in an amount equal to the aggregate principal amount of all Initial Term Loans outstanding on such date, together with accrued interest thereon.</w:t>
      </w:r>
    </w:p>
    <w:p>
      <w:pPr>
        <w:spacing w:after="0" w:line="152" w:lineRule="exact"/>
        <w:rPr>
          <w:sz w:val="20"/>
          <w:szCs w:val="20"/>
          <w:color w:val="auto"/>
        </w:rPr>
      </w:pPr>
    </w:p>
    <w:p>
      <w:pPr>
        <w:ind w:firstLine="656"/>
        <w:spacing w:after="0" w:line="316" w:lineRule="auto"/>
        <w:tabs>
          <w:tab w:leader="none" w:pos="128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The US Borrowers or the Canadian Borrowers, as applicable, shall repay the aggregate outstanding principal amount of each Incremental Term Loan (if any) as determined pursuant to, and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IV.4 </w:t>
      </w:r>
      <w:r>
        <w:rPr>
          <w:rFonts w:ascii="Arial" w:cs="Arial" w:eastAsia="Arial" w:hAnsi="Arial"/>
          <w:sz w:val="20"/>
          <w:szCs w:val="20"/>
          <w:u w:val="single" w:color="auto"/>
          <w:color w:val="auto"/>
        </w:rPr>
        <w:t>Prepayments of Term Loans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9" w:lineRule="auto"/>
        <w:tabs>
          <w:tab w:leader="none" w:pos="128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4.4(c)</w:t>
      </w:r>
      <w:r>
        <w:rPr>
          <w:rFonts w:ascii="Arial" w:cs="Arial" w:eastAsia="Arial" w:hAnsi="Arial"/>
          <w:sz w:val="18"/>
          <w:szCs w:val="18"/>
          <w:color w:val="auto"/>
        </w:rPr>
        <w:t xml:space="preserve">, the applicable Borrower shall have the right at any time and from time to time, without premium or penalty, to prepay any of the Term Loans, in whole or in part, upon delivery to the Administrative Agent of a Notice of Prepayment not later than 11:00 a.m. (i) on the same Business Day as each Base Rate Loan, (ii) at least one (1) Business Day before each Canadian Base Rate Loan and (iii) at least three (3) Business Days before each LIBOR Rate Loan or CDOR Rate Loan, as applicable, specifying the date and amount of repayment, whether the repayment is of LIBOR Rate Loans, CDOR Rate Loans, Base Rate Loans or Canadian Base Rate Loans or a combination thereof, and if a combination thereof, the amount allocable to each and whether the repayment is of the Initial Term Loan, an Incremental Term Loan or a combination thereof, and if a combination thereof, the amount allocable to each. Each optional prepayment of the Term Loans hereunder shall be in an aggregate principal amount of at least $5,000,000 (or C$5,000,000) or any whole multiple of $1,000,000 (C$1,000,000) in excess thereof and shall be applied, on a pro rata basis, to the outstanding principal installments of the Term Loans being so repaid as directed by the applicable Borrowers (or, if not so directed, in direct order of maturity). Each repayment shall be accompanied by any amount required to be paid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hereof. A Notice of Prepayment received after 11:00 a.m. shall be deemed received on the next Business Day. The Administrative Agent shall promptly notify the applicable Term Loan Lenders of each Notice of Prepayment. Notwithstanding the foregoing, any Notice of Prepayment delivered in connection with any refinancing of all of the Credit Facility with the proceeds of such refinancing or of any other incurrence of Indebtedness may be, if expressly so stated to be, contingent upon the consummation of such refinancing or incurrence and may be revoked by the applicable Borrower in the event such refinancing is not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delay or failure of such contingency shall not relieve any Borrower from its obligations in respect thereof under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82" w:lineRule="auto"/>
        <w:tabs>
          <w:tab w:leader="none" w:pos="1954"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Debt Issuances</w:t>
      </w:r>
      <w:r>
        <w:rPr>
          <w:rFonts w:ascii="Arial" w:cs="Arial" w:eastAsia="Arial" w:hAnsi="Arial"/>
          <w:sz w:val="18"/>
          <w:szCs w:val="18"/>
          <w:color w:val="auto"/>
        </w:rPr>
        <w:t xml:space="preserve">. The Borrowers shall make mandatory principal prepayments of the Loans in the manner set forth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 in an amount equal to one hundred percent (100%) of the aggregate Net Cash Proceeds from any Debt Issuance of Refinancing Debt or any other Debt Issuance not otherwise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Such prepayment shall be made within three (3) Business Days after the date of receipt of the Net Cash Proceeds of any such Debt Issuance.</w:t>
      </w:r>
    </w:p>
    <w:p>
      <w:pPr>
        <w:spacing w:after="0" w:line="161" w:lineRule="exact"/>
        <w:rPr>
          <w:rFonts w:ascii="Arial" w:cs="Arial" w:eastAsia="Arial" w:hAnsi="Arial"/>
          <w:sz w:val="18"/>
          <w:szCs w:val="18"/>
          <w:color w:val="auto"/>
        </w:rPr>
      </w:pPr>
    </w:p>
    <w:p>
      <w:pPr>
        <w:jc w:val="both"/>
        <w:ind w:left="660" w:firstLine="644"/>
        <w:spacing w:after="0" w:line="244" w:lineRule="auto"/>
        <w:tabs>
          <w:tab w:leader="none" w:pos="1955"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Asset Dispositions and Insurance and Condemnation Events</w:t>
      </w:r>
      <w:r>
        <w:rPr>
          <w:rFonts w:ascii="Arial" w:cs="Arial" w:eastAsia="Arial" w:hAnsi="Arial"/>
          <w:sz w:val="20"/>
          <w:szCs w:val="20"/>
          <w:color w:val="auto"/>
        </w:rPr>
        <w:t xml:space="preserve">. The Borrowers shall make mandatory principal prepayments of the Loans in the manner set forth in </w:t>
      </w:r>
      <w:r>
        <w:rPr>
          <w:rFonts w:ascii="Arial" w:cs="Arial" w:eastAsia="Arial" w:hAnsi="Arial"/>
          <w:sz w:val="20"/>
          <w:szCs w:val="20"/>
          <w:u w:val="single" w:color="auto"/>
          <w:color w:val="auto"/>
        </w:rPr>
        <w:t>clause (v)</w:t>
      </w:r>
      <w:r>
        <w:rPr>
          <w:rFonts w:ascii="Arial" w:cs="Arial" w:eastAsia="Arial" w:hAnsi="Arial"/>
          <w:sz w:val="20"/>
          <w:szCs w:val="20"/>
          <w:color w:val="auto"/>
        </w:rPr>
        <w:t xml:space="preserve"> below in amounts equal to one hundred percent (100%) of the aggregate Net Cash Proceeds from (A) any Asset Disposition (other than any Asset Disposition permitted pursuant to, and in accordance with, clauses (a) through (p) of </w:t>
      </w:r>
      <w:r>
        <w:rPr>
          <w:rFonts w:ascii="Arial" w:cs="Arial" w:eastAsia="Arial" w:hAnsi="Arial"/>
          <w:sz w:val="20"/>
          <w:szCs w:val="20"/>
          <w:u w:val="single" w:color="auto"/>
          <w:color w:val="auto"/>
        </w:rPr>
        <w:t>Section 9.5</w:t>
      </w:r>
      <w:r>
        <w:rPr>
          <w:rFonts w:ascii="Arial" w:cs="Arial" w:eastAsia="Arial" w:hAnsi="Arial"/>
          <w:sz w:val="20"/>
          <w:szCs w:val="20"/>
          <w:color w:val="auto"/>
        </w:rPr>
        <w:t>) or (B) any Insurance and Condemnation Event, to the extent that the aggregate amount of such Net Cash Proceeds, in the case of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4" w:name="page135"/>
    <w:bookmarkEnd w:id="134"/>
    <w:p>
      <w:pPr>
        <w:jc w:val="both"/>
        <w:ind w:left="660"/>
        <w:spacing w:after="0" w:line="244" w:lineRule="auto"/>
        <w:rPr>
          <w:sz w:val="20"/>
          <w:szCs w:val="20"/>
          <w:color w:val="auto"/>
        </w:rPr>
      </w:pPr>
      <w:r>
        <w:rPr>
          <w:rFonts w:ascii="Arial" w:cs="Arial" w:eastAsia="Arial" w:hAnsi="Arial"/>
          <w:sz w:val="20"/>
          <w:szCs w:val="20"/>
          <w:color w:val="auto"/>
        </w:rPr>
        <w:t xml:space="preserve">clauses (A) and (B), respectively, exceed $5,000,000 during any Fiscal Year. Such prepayments shall be made within three (3) Business Days after the date of receipt of the Net Cash Proceeds;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 long as no Default or Event of Default has occurred and is continuing, no prepayment shall be required under this </w:t>
      </w:r>
      <w:r>
        <w:rPr>
          <w:rFonts w:ascii="Arial" w:cs="Arial" w:eastAsia="Arial" w:hAnsi="Arial"/>
          <w:sz w:val="20"/>
          <w:szCs w:val="20"/>
          <w:u w:val="single" w:color="auto"/>
          <w:color w:val="auto"/>
        </w:rPr>
        <w:t>Section 4.4(b)(ii)</w:t>
      </w:r>
      <w:r>
        <w:rPr>
          <w:rFonts w:ascii="Arial" w:cs="Arial" w:eastAsia="Arial" w:hAnsi="Arial"/>
          <w:sz w:val="20"/>
          <w:szCs w:val="20"/>
          <w:color w:val="auto"/>
        </w:rPr>
        <w:t xml:space="preserve"> with respect to such portion of such Net Cash Proceeds that Centuri shall have reinvested, or prior to such date given written notice to the Administrative Agent of its intent to reinvest in accordance with </w:t>
      </w:r>
      <w:r>
        <w:rPr>
          <w:rFonts w:ascii="Arial" w:cs="Arial" w:eastAsia="Arial" w:hAnsi="Arial"/>
          <w:sz w:val="20"/>
          <w:szCs w:val="20"/>
          <w:u w:val="single" w:color="auto"/>
          <w:color w:val="auto"/>
        </w:rPr>
        <w:t>Section 4.4(b)(iii)</w:t>
      </w:r>
      <w:r>
        <w:rPr>
          <w:rFonts w:ascii="Arial" w:cs="Arial" w:eastAsia="Arial" w:hAnsi="Arial"/>
          <w:sz w:val="20"/>
          <w:szCs w:val="20"/>
          <w:color w:val="auto"/>
        </w:rPr>
        <w:t>.</w:t>
      </w:r>
    </w:p>
    <w:p>
      <w:pPr>
        <w:spacing w:after="0" w:line="194" w:lineRule="exact"/>
        <w:rPr>
          <w:sz w:val="20"/>
          <w:szCs w:val="20"/>
          <w:color w:val="auto"/>
        </w:rPr>
      </w:pPr>
    </w:p>
    <w:p>
      <w:pPr>
        <w:jc w:val="both"/>
        <w:ind w:left="660" w:firstLine="644"/>
        <w:spacing w:after="0" w:line="302" w:lineRule="auto"/>
        <w:tabs>
          <w:tab w:leader="none" w:pos="1956"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Reinvestment Option</w:t>
      </w:r>
      <w:r>
        <w:rPr>
          <w:rFonts w:ascii="Arial" w:cs="Arial" w:eastAsia="Arial" w:hAnsi="Arial"/>
          <w:sz w:val="16"/>
          <w:szCs w:val="16"/>
          <w:color w:val="auto"/>
        </w:rPr>
        <w:t xml:space="preserve">. With respect to any Net Cash Proceeds realized or received with respect to any Asset Disposition or any Insurance and Condemnation Event by any Credit Party of any Subsidiary thereof (in each case, to the extent not excluded pursuant to </w:t>
      </w:r>
      <w:r>
        <w:rPr>
          <w:rFonts w:ascii="Arial" w:cs="Arial" w:eastAsia="Arial" w:hAnsi="Arial"/>
          <w:sz w:val="16"/>
          <w:szCs w:val="16"/>
          <w:u w:val="single" w:color="auto"/>
          <w:color w:val="auto"/>
        </w:rPr>
        <w:t>Section 4.4(b)(ii)</w:t>
      </w:r>
      <w:r>
        <w:rPr>
          <w:rFonts w:ascii="Arial" w:cs="Arial" w:eastAsia="Arial" w:hAnsi="Arial"/>
          <w:sz w:val="16"/>
          <w:szCs w:val="16"/>
          <w:color w:val="auto"/>
        </w:rPr>
        <w:t>), at the option of Centuri, the Credit Parties may reinvest all or any portion of such Net Cash Proceeds in assets used or useful for the business of the Credit Parties and their Subsidiaries within (x) twelve (12) months following receipt of such Net Cash Proceeds or (y) if such Credit Party enters into a bona fide commitment to reinvest such Net Cash Proceeds within twelve (12) months following receipt thereof, within the later of (A) twelve (12) months following receipt thereof and (B) six</w:t>
      </w:r>
    </w:p>
    <w:p>
      <w:pPr>
        <w:spacing w:after="0" w:line="3" w:lineRule="exact"/>
        <w:rPr>
          <w:rFonts w:ascii="Arial" w:cs="Arial" w:eastAsia="Arial" w:hAnsi="Arial"/>
          <w:sz w:val="16"/>
          <w:szCs w:val="16"/>
          <w:color w:val="auto"/>
        </w:rPr>
      </w:pPr>
    </w:p>
    <w:p>
      <w:pPr>
        <w:jc w:val="both"/>
        <w:ind w:left="660" w:hanging="4"/>
        <w:spacing w:after="0" w:line="254" w:lineRule="auto"/>
        <w:tabs>
          <w:tab w:leader="none" w:pos="957"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months of the date of such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Term Loans as set forth in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spacing w:after="0" w:line="187" w:lineRule="exact"/>
        <w:rPr>
          <w:rFonts w:ascii="Arial" w:cs="Arial" w:eastAsia="Arial" w:hAnsi="Arial"/>
          <w:sz w:val="19"/>
          <w:szCs w:val="19"/>
          <w:color w:val="auto"/>
        </w:rPr>
      </w:pPr>
    </w:p>
    <w:p>
      <w:pPr>
        <w:jc w:val="both"/>
        <w:ind w:left="660" w:firstLine="644"/>
        <w:spacing w:after="0" w:line="270" w:lineRule="auto"/>
        <w:tabs>
          <w:tab w:leader="none" w:pos="1945"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Excess Cash Flow</w:t>
      </w:r>
      <w:r>
        <w:rPr>
          <w:rFonts w:ascii="Arial" w:cs="Arial" w:eastAsia="Arial" w:hAnsi="Arial"/>
          <w:sz w:val="18"/>
          <w:szCs w:val="18"/>
          <w:color w:val="auto"/>
        </w:rPr>
        <w:t xml:space="preserve">. After the end of each Fiscal Year (commencing with the Fiscal Year ending December 31, 2022), within five (5) Business Days after the earlier to occur of (x) the actual delivery of the financial statements and related Officer’s Compliance Certificate for such Fiscal Year and (y) the date on which the financial statements and the related Officer’s Compliance Certificate for such Fiscal Year are required to be delivered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the Borrowers shall make mandatory principal prepayments of the Loans in the manner set forth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 in an amount equal to (A) the applicable ECF Percentage for such Fiscal Year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Excess Cash Flow for such Fiscal Year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(i) all optional prepayments of Revolving Credit Loans during such Fiscal Year (solely to the extent accompanied by permanent optional reductions in the Revolving Credit Commitment) and (ii) all optional prepayments of any Term Loans during such Fiscal Year, in each case to the extent that such prepayments are not funded with the incurrence of any Indebtedness, any Equity Issuance, any casualty proceeds, any condemnation proceeds or any other proceeds that would not be included in Consolidated EBITDA; </w:t>
      </w:r>
      <w:r>
        <w:rPr>
          <w:rFonts w:ascii="Arial" w:cs="Arial" w:eastAsia="Arial" w:hAnsi="Arial"/>
          <w:sz w:val="18"/>
          <w:szCs w:val="18"/>
          <w:u w:val="single" w:color="auto"/>
          <w:color w:val="auto"/>
        </w:rPr>
        <w:t>provided</w:t>
      </w:r>
      <w:r>
        <w:rPr>
          <w:rFonts w:ascii="Arial" w:cs="Arial" w:eastAsia="Arial" w:hAnsi="Arial"/>
          <w:sz w:val="18"/>
          <w:szCs w:val="18"/>
          <w:color w:val="auto"/>
        </w:rPr>
        <w:t>, that, so long as no Event of Default has occurred and is continuing or would result therefrom, no such prepayments shall be required unless Excess Cash Flow for such year equals or exceeds $5,000,000, at which point the Borrowers shall cause to be prepaid an aggregate principal amount of Loans equal to the applicable percentage of Excess Cash Flow as set forth herein from the first dollar.</w:t>
      </w:r>
    </w:p>
    <w:p>
      <w:pPr>
        <w:spacing w:after="0" w:line="172" w:lineRule="exact"/>
        <w:rPr>
          <w:rFonts w:ascii="Arial" w:cs="Arial" w:eastAsia="Arial" w:hAnsi="Arial"/>
          <w:sz w:val="18"/>
          <w:szCs w:val="18"/>
          <w:color w:val="auto"/>
        </w:rPr>
      </w:pPr>
    </w:p>
    <w:p>
      <w:pPr>
        <w:ind w:left="1940" w:hanging="636"/>
        <w:spacing w:after="0"/>
        <w:tabs>
          <w:tab w:leader="none" w:pos="194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Notice; Manner of Payment</w:t>
      </w:r>
      <w:r>
        <w:rPr>
          <w:rFonts w:ascii="Arial" w:cs="Arial" w:eastAsia="Arial" w:hAnsi="Arial"/>
          <w:sz w:val="18"/>
          <w:szCs w:val="18"/>
          <w:color w:val="auto"/>
        </w:rPr>
        <w:t xml:space="preserve">. Upon the occurrence of any event triggering the prepayment requirement under </w:t>
      </w:r>
      <w:r>
        <w:rPr>
          <w:rFonts w:ascii="Arial" w:cs="Arial" w:eastAsia="Arial" w:hAnsi="Arial"/>
          <w:sz w:val="18"/>
          <w:szCs w:val="18"/>
          <w:u w:val="single" w:color="auto"/>
          <w:color w:val="auto"/>
        </w:rPr>
        <w:t>clauses</w:t>
      </w:r>
    </w:p>
    <w:p>
      <w:pPr>
        <w:spacing w:after="0" w:line="38" w:lineRule="exact"/>
        <w:rPr>
          <w:rFonts w:ascii="Arial" w:cs="Arial" w:eastAsia="Arial" w:hAnsi="Arial"/>
          <w:sz w:val="18"/>
          <w:szCs w:val="18"/>
          <w:color w:val="auto"/>
        </w:rPr>
      </w:pPr>
    </w:p>
    <w:p>
      <w:pPr>
        <w:ind w:left="660" w:right="20"/>
        <w:spacing w:after="0" w:line="269" w:lineRule="auto"/>
        <w:rPr>
          <w:rFonts w:ascii="Arial" w:cs="Arial" w:eastAsia="Arial" w:hAnsi="Arial"/>
          <w:sz w:val="18"/>
          <w:szCs w:val="18"/>
          <w:color w:val="auto"/>
        </w:rPr>
      </w:pPr>
      <w:r>
        <w:rPr>
          <w:rFonts w:ascii="Arial" w:cs="Arial" w:eastAsia="Arial" w:hAnsi="Arial"/>
          <w:sz w:val="19"/>
          <w:szCs w:val="19"/>
          <w:u w:val="single" w:color="auto"/>
          <w:color w:val="auto"/>
        </w:rPr>
        <w:t>(i)</w:t>
      </w:r>
      <w:r>
        <w:rPr>
          <w:rFonts w:ascii="Arial" w:cs="Arial" w:eastAsia="Arial" w:hAnsi="Arial"/>
          <w:sz w:val="19"/>
          <w:szCs w:val="19"/>
          <w:color w:val="auto"/>
        </w:rPr>
        <w:t xml:space="preserve"> through and including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the applicable Borrower shall promptly deliver a Notice of Prepayment to the Administrative Agent and upon receipt of such notice, the Administrative Agent shall promptly so notify the Lenders.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5" w:name="page136"/>
    <w:bookmarkEnd w:id="135"/>
    <w:p>
      <w:pPr>
        <w:jc w:val="both"/>
        <w:ind w:left="660"/>
        <w:spacing w:after="0" w:line="271" w:lineRule="auto"/>
        <w:rPr>
          <w:sz w:val="20"/>
          <w:szCs w:val="20"/>
          <w:color w:val="auto"/>
        </w:rPr>
      </w:pPr>
      <w:r>
        <w:rPr>
          <w:rFonts w:ascii="Arial" w:cs="Arial" w:eastAsia="Arial" w:hAnsi="Arial"/>
          <w:sz w:val="18"/>
          <w:szCs w:val="18"/>
          <w:color w:val="auto"/>
        </w:rPr>
        <w:t xml:space="preserve">prepayment of the Loans under this Section shall be applied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ratably between the Initial Term Loan and any Incremental Term Loans to reduce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(applied to reduce the remaining scheduled principal installments of the Initial Term Loan and any Incremental Term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(ii)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extent of any excess, to repay the Revolving Credit Loans pursuant to </w:t>
      </w: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without a corresponding reduction in the Revolving Credit Commitment. Proceeds of any Refinancing Debt shall be applied solely to prepay each applicable Class of Term Loans and/or Revolving Credit Loans subject to such Refinance. Notwithstanding the foregoing, with respect to any Net Cash Proceeds from any Asset Disposition or Insurance and Condemnation Event, the applicable Borrower may prepay Term Loans and prepay or purchase any Refinancing Notes or Incremental Equivalent Indebtedness that is secured by the Collateral on a pari passu basis (at a purchase price no greater than par plus accrued and unpaid interest), to the extent required thereby,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in accordance with the respective outstanding principal amounts of the Term Loans and such Refinancing Notes or Incremental Equivalent Indebtedness as of the time of the applicable Asset Disposition or Insurance and Condemnation Event.</w:t>
      </w:r>
    </w:p>
    <w:p>
      <w:pPr>
        <w:spacing w:after="0" w:line="170" w:lineRule="exact"/>
        <w:rPr>
          <w:sz w:val="20"/>
          <w:szCs w:val="20"/>
          <w:color w:val="auto"/>
        </w:rPr>
      </w:pPr>
    </w:p>
    <w:p>
      <w:pPr>
        <w:jc w:val="both"/>
        <w:ind w:left="660" w:firstLine="644"/>
        <w:spacing w:after="0" w:line="273" w:lineRule="auto"/>
        <w:tabs>
          <w:tab w:leader="none" w:pos="194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Rejection Right</w:t>
      </w:r>
      <w:r>
        <w:rPr>
          <w:rFonts w:ascii="Arial" w:cs="Arial" w:eastAsia="Arial" w:hAnsi="Arial"/>
          <w:sz w:val="18"/>
          <w:szCs w:val="18"/>
          <w:color w:val="auto"/>
        </w:rPr>
        <w:t xml:space="preserve">. Each Term Loan Lender may reject all (but not less than all) of its pro rata share of any mandatory prepayment (except in the case of any prepayment of Term Loans in accordance with </w:t>
      </w:r>
      <w:r>
        <w:rPr>
          <w:rFonts w:ascii="Arial" w:cs="Arial" w:eastAsia="Arial" w:hAnsi="Arial"/>
          <w:sz w:val="18"/>
          <w:szCs w:val="18"/>
          <w:u w:val="single" w:color="auto"/>
          <w:color w:val="auto"/>
        </w:rPr>
        <w:t>Section 4.4(b)(i)</w:t>
      </w:r>
      <w:r>
        <w:rPr>
          <w:rFonts w:ascii="Arial" w:cs="Arial" w:eastAsia="Arial" w:hAnsi="Arial"/>
          <w:sz w:val="18"/>
          <w:szCs w:val="18"/>
          <w:color w:val="auto"/>
        </w:rPr>
        <w:t xml:space="preserve"> with the proceeds of Refinancing Debt) (such declined amounts, the “</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of Term Loans required to be made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by providing written notice to the Administrative Agent no later than 5:00 p.m. one Business Day after the date of such Lender’s receipt of notice from the Administrative Agent regarding such prepayment. If a Lender fails to deliver a notice of rejection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shall be retained by the Borrowers and used for any purpose not prohibited by this Agreement.</w:t>
      </w:r>
    </w:p>
    <w:p>
      <w:pPr>
        <w:spacing w:after="0" w:line="168" w:lineRule="exact"/>
        <w:rPr>
          <w:rFonts w:ascii="Arial" w:cs="Arial" w:eastAsia="Arial" w:hAnsi="Arial"/>
          <w:sz w:val="18"/>
          <w:szCs w:val="18"/>
          <w:color w:val="auto"/>
        </w:rPr>
      </w:pPr>
    </w:p>
    <w:p>
      <w:pPr>
        <w:jc w:val="both"/>
        <w:ind w:left="660" w:firstLine="644"/>
        <w:spacing w:after="0" w:line="255" w:lineRule="auto"/>
        <w:tabs>
          <w:tab w:leader="none" w:pos="1945"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Prepayment of LIBOR Rate Loans and CDOR Rate Loans</w:t>
      </w:r>
      <w:r>
        <w:rPr>
          <w:rFonts w:ascii="Arial" w:cs="Arial" w:eastAsia="Arial" w:hAnsi="Arial"/>
          <w:sz w:val="19"/>
          <w:szCs w:val="19"/>
          <w:color w:val="auto"/>
        </w:rPr>
        <w:t xml:space="preserve">. Each prepayment shall be accompanied by any amount required to be paid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Default or Event of Default shall have occurred and be continuing, if any prepayment of LIBOR Rate Loans or CDOR Rate Loans is required to be made under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prior to the last day of the Interest Period therefor, in lieu of making any payment pursuant to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in respect of any such LIBOR Rate Loan or CDOR Rate Loans prior to the last day of the Interest Period therefor, the applicable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Borrowers or any other Credit Party) to apply such amount to the prepayment of such Term Loans in accordance with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Upon the occurrence and during the continuance of any Default or Event of Default, the Administrative Agent shall also be authorized (without any further action by or notice to or from the Borrowers or any other Credit Party) to apply such amount to the prepayment of the outstanding Term Loans in accordance with the relevant provisions of this </w:t>
      </w:r>
      <w:r>
        <w:rPr>
          <w:rFonts w:ascii="Arial" w:cs="Arial" w:eastAsia="Arial" w:hAnsi="Arial"/>
          <w:sz w:val="19"/>
          <w:szCs w:val="19"/>
          <w:u w:val="single" w:color="auto"/>
          <w:color w:val="auto"/>
        </w:rPr>
        <w:t>Section 4.4(b)</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ind w:left="1940" w:hanging="636"/>
        <w:spacing w:after="0"/>
        <w:tabs>
          <w:tab w:leader="none" w:pos="194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No Reborrowings</w:t>
      </w:r>
      <w:r>
        <w:rPr>
          <w:rFonts w:ascii="Arial" w:cs="Arial" w:eastAsia="Arial" w:hAnsi="Arial"/>
          <w:sz w:val="19"/>
          <w:szCs w:val="19"/>
          <w:color w:val="auto"/>
        </w:rPr>
        <w:t>. Amounts prepaid under the Term Loan pursuant to this Section may not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6" w:name="page137"/>
    <w:bookmarkEnd w:id="136"/>
    <w:p>
      <w:pPr>
        <w:jc w:val="both"/>
        <w:ind w:firstLine="656"/>
        <w:spacing w:after="0" w:line="276" w:lineRule="auto"/>
        <w:tabs>
          <w:tab w:leader="none" w:pos="128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Call Premium</w:t>
      </w:r>
      <w:r>
        <w:rPr>
          <w:rFonts w:ascii="Arial" w:cs="Arial" w:eastAsia="Arial" w:hAnsi="Arial"/>
          <w:sz w:val="18"/>
          <w:szCs w:val="18"/>
          <w:color w:val="auto"/>
        </w:rPr>
        <w:t xml:space="preserve">. In connection with any Repricing Transaction that is consummated in respect of all or any portion of the Initial Term Loans, during the six (6) month period following the Closing Date, the Borrower shall pay to the Administrative Agent, for the ratable benefit each Term Loan Lender, a fee equal to 1.0% of the aggregate principal amount of the Initial Term Loans of such Term Loan Lender subject to such Repricing Transaction (it being understood that any such fees under clause (b) of the definition of “Repricing Transaction” shall be paid to each Non-Consenting Lender that is replaced in such Repricing Transaction pursuant to </w:t>
      </w:r>
      <w:r>
        <w:rPr>
          <w:rFonts w:ascii="Arial" w:cs="Arial" w:eastAsia="Arial" w:hAnsi="Arial"/>
          <w:sz w:val="18"/>
          <w:szCs w:val="18"/>
          <w:u w:val="single" w:color="auto"/>
          <w:color w:val="auto"/>
        </w:rPr>
        <w:t>Section 5.12(b)</w:t>
      </w:r>
      <w:r>
        <w:rPr>
          <w:rFonts w:ascii="Arial" w:cs="Arial" w:eastAsia="Arial" w:hAnsi="Arial"/>
          <w:sz w:val="18"/>
          <w:szCs w:val="18"/>
          <w:color w:val="auto"/>
        </w:rPr>
        <w:t>). Such fees shall be due and payable within three (3) Business Days of the date of the effectiveness of such Repricing Transaction.</w:t>
      </w:r>
    </w:p>
    <w:p>
      <w:pPr>
        <w:spacing w:after="0" w:line="165"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LOAN PROVISIONS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V.1 </w:t>
      </w: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216" w:lineRule="exact"/>
        <w:rPr>
          <w:sz w:val="20"/>
          <w:szCs w:val="20"/>
          <w:color w:val="auto"/>
        </w:rPr>
      </w:pPr>
    </w:p>
    <w:p>
      <w:pPr>
        <w:ind w:right="20" w:firstLine="656"/>
        <w:spacing w:after="0" w:line="260" w:lineRule="auto"/>
        <w:tabs>
          <w:tab w:leader="none" w:pos="1286"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Interest Rate Options</w:t>
      </w:r>
      <w:r>
        <w:rPr>
          <w:rFonts w:ascii="Arial" w:cs="Arial" w:eastAsia="Arial" w:hAnsi="Arial"/>
          <w:sz w:val="20"/>
          <w:szCs w:val="20"/>
          <w:color w:val="auto"/>
        </w:rPr>
        <w:t>. Subject to the provisions of this Section, at the election of the US Borrowers or the Canadian Borrowers, as applicable:</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54"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US Revolving Credit Loans and any Term Loans denominated in Dollars shall bear interest at (A)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or (B) the LIBOR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LIBOR Rate shall not be available until three (3) Business Days after the Closing Date unless the US Borrowers have delivered to the Administrative Agent a letter in form and substance reasonably satisfactory to the Administrative Agent indemnifying the Lenders in the manner set forth in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of this Agreement);</w:t>
      </w:r>
    </w:p>
    <w:p>
      <w:pPr>
        <w:spacing w:after="0" w:line="194" w:lineRule="exact"/>
        <w:rPr>
          <w:rFonts w:ascii="Arial" w:cs="Arial" w:eastAsia="Arial" w:hAnsi="Arial"/>
          <w:sz w:val="20"/>
          <w:szCs w:val="20"/>
          <w:color w:val="auto"/>
        </w:rPr>
      </w:pPr>
    </w:p>
    <w:p>
      <w:pPr>
        <w:jc w:val="both"/>
        <w:ind w:left="660" w:firstLine="644"/>
        <w:spacing w:after="0" w:line="244" w:lineRule="auto"/>
        <w:tabs>
          <w:tab w:leader="none" w:pos="1955"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Canadian Revolving Credit Loans and Term Loans denominated in Canadian Dollars shall bear interest at (A) the Canadian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or (B) the CDOR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CDOR Rate shall not be available until four (4) Business Days after the Closing Date unless the Canadian Borrowers have delivered to the Administrative Agent a letter in form and substance reasonably satisfactory to the Administrative Agent indemnifying the Lenders in the manner set forth in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of this Agreement);</w:t>
      </w:r>
    </w:p>
    <w:p>
      <w:pPr>
        <w:spacing w:after="0" w:line="194" w:lineRule="exact"/>
        <w:rPr>
          <w:rFonts w:ascii="Arial" w:cs="Arial" w:eastAsia="Arial" w:hAnsi="Arial"/>
          <w:sz w:val="20"/>
          <w:szCs w:val="20"/>
          <w:color w:val="auto"/>
        </w:rPr>
      </w:pPr>
    </w:p>
    <w:p>
      <w:pPr>
        <w:ind w:left="1960" w:hanging="656"/>
        <w:spacing w:after="0"/>
        <w:tabs>
          <w:tab w:leader="none" w:pos="196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US Swingline Loans shall bear interest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and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Canadian Swingline Loans shall bear interest at the Canadian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The US Borrowers or the Canadian Borrowers, as applicable, shall select the rate of interest and Interest Period, if any, applicable to any Loan at the time a Notice of Borrowing is given or at the time a Notice of Conversion/Continuation is given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Any US Revolving Credit Loan or Term Loan denominated in Dollars or any portion thereof as to which a US Borrower has not duly specified an interest rate as provided herein shall be deemed a Base Rate Loan. Any Canadian Revolving Credit Loan or Term Loan denominated in Canadian Dollars or any portion thereof as to which a Canadian Borrower has not duly specified an interest rate as provided herein shall be deemed a Canadian Base Rate Loan. Subject to </w:t>
      </w:r>
      <w:r>
        <w:rPr>
          <w:rFonts w:ascii="Arial" w:cs="Arial" w:eastAsia="Arial" w:hAnsi="Arial"/>
          <w:sz w:val="19"/>
          <w:szCs w:val="19"/>
          <w:u w:val="single" w:color="auto"/>
          <w:color w:val="auto"/>
        </w:rPr>
        <w:t>Section 5.1(b)</w:t>
      </w:r>
      <w:r>
        <w:rPr>
          <w:rFonts w:ascii="Arial" w:cs="Arial" w:eastAsia="Arial" w:hAnsi="Arial"/>
          <w:sz w:val="19"/>
          <w:szCs w:val="19"/>
          <w:color w:val="auto"/>
        </w:rPr>
        <w:t>, any LIBOR Rate Loan or CDOR Rate Loan or any portion thereof as to which the applicable Borrower has not duly specified an Interest Period as provided herein shall be deemed a LIBOR Rate Loan or a CDOR Rate Loan with an Interest Period of one (1)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7" w:name="page138"/>
    <w:bookmarkEnd w:id="137"/>
    <w:p>
      <w:pPr>
        <w:jc w:val="both"/>
        <w:ind w:firstLine="656"/>
        <w:spacing w:after="0" w:line="269" w:lineRule="auto"/>
        <w:tabs>
          <w:tab w:leader="none" w:pos="128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(i) immediately upon the occurrence and during the continuance of an Event of Default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or (ii) at the election of the Required Lenders (or the Administrative Agent at the direction of the Required Lenders), upon the occurrence and during the continuance of any other Event of Default, (A) the Borrowers shall no longer have the option to request LIBOR Rate Loans, CDOR Rate Loans, Swingline Loans or Letters of Credit, (B) all outstanding LIBOR Rate Loans shall bear interest at a rate per annum of two percent (2%) in excess of the rate (including the Applicable Margin) then applicable to LIBOR Rate Loans until the end of the applicable Interest Period and thereafter at a rate equal to two percent (2%) in excess of the rate (including the Applicable Margin) then applicable to Base Rate Loans, (C) all outstanding CDOR Rate Loans shall bear interest at a rate per annum of two percent (2%) in excess of the rate (including the Applicable Margin) then applicable to CDOR Rate Loans until the end of the applicable Interest Period and thereafter at a rate equal to two percent (2%) in excess of the rate (including the Applicable Margin) then applicable to Canadian Base Rate Loans, (D) all outstanding Base Rate Loans and other US Obligations arising hereunder or under any other Loan Document shall bear interest at a rate per annum equal to two percent (2%) in excess of the rate (including the Applicable Margin) then applicable to Base Rate Loans or such other US Obligations arising hereunder or under any other Loan Document, (E) all outstanding Canadian Base Rate Loans and other Canadian Obligations arising hereunder or under any other Loan Document shall bear interest at a rate per annum equal to two percent (2%) in excess of the rate (including the Applicable Margin) then applicable to Canadian Base Rate Loans or such other Canadian Obligations arising hereunder or under any other Loan Document, and (F) all accrued and unpaid interest shall be due and payable on demand of the Administrative Agent. Interest shall continue to accrue on the Obligations after the filing by or against any Borrower of any petition seeking any relief in bankruptcy or under any Debtor Relief Law.</w:t>
      </w:r>
    </w:p>
    <w:p>
      <w:pPr>
        <w:spacing w:after="0" w:line="173"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Interest Payment and Computation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5" w:lineRule="auto"/>
        <w:tabs>
          <w:tab w:leader="none" w:pos="1954" w:val="left"/>
        </w:tabs>
        <w:numPr>
          <w:ilvl w:val="1"/>
          <w:numId w:val="76"/>
        </w:numPr>
        <w:rPr>
          <w:rFonts w:ascii="Arial" w:cs="Arial" w:eastAsia="Arial" w:hAnsi="Arial"/>
          <w:sz w:val="19"/>
          <w:szCs w:val="19"/>
          <w:color w:val="auto"/>
        </w:rPr>
      </w:pPr>
      <w:r>
        <w:rPr>
          <w:rFonts w:ascii="Arial" w:cs="Arial" w:eastAsia="Arial" w:hAnsi="Arial"/>
          <w:sz w:val="19"/>
          <w:szCs w:val="19"/>
          <w:color w:val="auto"/>
        </w:rPr>
        <w:t>Interest on (A) each Base Rate Loan and each Canadian Base Rate Loan shall be due and payable in arrears on the last Business Day of each calendar quarter commencing December 31, 2021; (B) each US Swingline Loan and each Canadian Swingline Loan shall be due and payable in arrears on the last Business Day of each calendar quarter commencing December 31, 2021; and (C) each LIBOR Rate Loan and CDOR Rate Loan shall be due and payable on the last day of each Interest Period applicable thereto, and if such Interest Period extends over three (3) months, at the end of each three (3) month interval during such Interest Period. All computations of interest for Base Rate Loans when the Base Rate is determined by the Prime Rate, all computations of interest for Canadian Base Rate Loans and all computations of interest for CDOR Rate Loans shall be made on the basis of a year of 365 or 366 days, as applicable,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189" w:lineRule="exact"/>
        <w:rPr>
          <w:rFonts w:ascii="Arial" w:cs="Arial" w:eastAsia="Arial" w:hAnsi="Arial"/>
          <w:sz w:val="19"/>
          <w:szCs w:val="19"/>
          <w:color w:val="auto"/>
        </w:rPr>
      </w:pPr>
    </w:p>
    <w:p>
      <w:pPr>
        <w:jc w:val="both"/>
        <w:ind w:left="660" w:firstLine="644"/>
        <w:spacing w:after="0" w:line="244" w:lineRule="auto"/>
        <w:tabs>
          <w:tab w:leader="none" w:pos="1955" w:val="left"/>
        </w:tabs>
        <w:numPr>
          <w:ilvl w:val="1"/>
          <w:numId w:val="76"/>
        </w:numPr>
        <w:rPr>
          <w:rFonts w:ascii="Arial" w:cs="Arial" w:eastAsia="Arial" w:hAnsi="Arial"/>
          <w:sz w:val="20"/>
          <w:szCs w:val="20"/>
          <w:color w:val="auto"/>
        </w:rPr>
      </w:pPr>
      <w:r>
        <w:rPr>
          <w:rFonts w:ascii="Arial" w:cs="Arial" w:eastAsia="Arial" w:hAnsi="Arial"/>
          <w:sz w:val="20"/>
          <w:szCs w:val="20"/>
          <w:color w:val="auto"/>
        </w:rPr>
        <w:t>Whenever any amount is payable under this Agreement or any other Loan Document by the Canadian Borrowers as interest or as a fee which requires the calculation of an amount using a percentage per annum, each party to this Agreement acknowledges and agrees that such amount shall be calculated as of the date payment is due without application of the “deemed reinvestment principle” or the “effective yield method” (e.g., when interest is calculated and payable monthly, the rate of interest payable per month is 1/12 of the stated rate of interest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8" w:name="page139"/>
    <w:bookmarkEnd w:id="138"/>
    <w:p>
      <w:pPr>
        <w:jc w:val="both"/>
        <w:ind w:left="660" w:firstLine="644"/>
        <w:spacing w:after="0" w:line="244" w:lineRule="auto"/>
        <w:tabs>
          <w:tab w:leader="none" w:pos="1956"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For the purposes of the </w:t>
      </w:r>
      <w:r>
        <w:rPr>
          <w:rFonts w:ascii="Arial" w:cs="Arial" w:eastAsia="Arial" w:hAnsi="Arial"/>
          <w:sz w:val="20"/>
          <w:szCs w:val="20"/>
          <w:i w:val="1"/>
          <w:iCs w:val="1"/>
          <w:color w:val="auto"/>
        </w:rPr>
        <w:t>Interest Act</w:t>
      </w:r>
      <w:r>
        <w:rPr>
          <w:rFonts w:ascii="Arial" w:cs="Arial" w:eastAsia="Arial" w:hAnsi="Arial"/>
          <w:sz w:val="20"/>
          <w:szCs w:val="20"/>
          <w:color w:val="auto"/>
        </w:rPr>
        <w:t xml:space="preserve"> (Canada) and disclosure under such Act, whenever interest to be paid under this Agreement or any other Loan Document is to be calculated on the basis of a year of 365 days or any other period of time that is less than a calendar year, the yearly rate of interest to which the rate determined pursuant to such calculation is equivalent is the rate so determined multiplied by the actual number of days in the calendar year in which the same is to be ascertained and divided by either 365 or such other period of time, as the case may be.</w:t>
      </w:r>
    </w:p>
    <w:p>
      <w:pPr>
        <w:spacing w:after="0" w:line="194" w:lineRule="exact"/>
        <w:rPr>
          <w:rFonts w:ascii="Arial" w:cs="Arial" w:eastAsia="Arial" w:hAnsi="Arial"/>
          <w:sz w:val="20"/>
          <w:szCs w:val="20"/>
          <w:color w:val="auto"/>
        </w:rPr>
      </w:pPr>
    </w:p>
    <w:p>
      <w:pPr>
        <w:ind w:left="1300" w:hanging="644"/>
        <w:spacing w:after="0"/>
        <w:tabs>
          <w:tab w:leader="none" w:pos="130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Maximum Rate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69" w:lineRule="auto"/>
        <w:tabs>
          <w:tab w:leader="none" w:pos="1954"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(A) promptly refund to the applicable Borrowers any interest received by the Lenders in excess of the maximum lawful rate or</w:t>
      </w:r>
    </w:p>
    <w:p>
      <w:pPr>
        <w:spacing w:after="0" w:line="1"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20"/>
          <w:szCs w:val="20"/>
          <w:color w:val="auto"/>
        </w:rPr>
        <w:t>(B) apply such excess to the principal balance of the US Obligations or the Canadian Obligations, as applicable. It is the intent hereof that the Borrowers not pay or contract to pay, and that neither the Administrative Agent nor any Lender receive or contract to receive, directly or indirectly in any manner whatsoever, interest in excess of that which may be paid by the applicable Borrower under Applicable Law.</w:t>
      </w:r>
    </w:p>
    <w:p>
      <w:pPr>
        <w:spacing w:after="0" w:line="194" w:lineRule="exact"/>
        <w:rPr>
          <w:sz w:val="20"/>
          <w:szCs w:val="20"/>
          <w:color w:val="auto"/>
        </w:rPr>
      </w:pPr>
    </w:p>
    <w:p>
      <w:pPr>
        <w:jc w:val="both"/>
        <w:ind w:left="660" w:firstLine="644"/>
        <w:spacing w:after="0" w:line="269" w:lineRule="auto"/>
        <w:tabs>
          <w:tab w:leader="none" w:pos="19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If any provision of this Agreement or of any of the other Loan Documents would obligate the Canadian Borrowers or any other Canadian Credit Party to make any payment of interest or other amount payable to any Lender, in an amount or calculated at a rate which would result in a receipt by such Lender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 (A) firstly, by reducing the amount or rate of interest required to be paid to such Lender on Canadian Revolving Credit Loans or Canadian Swingline Loans, as applicable, and (B) thereafter, by reducing any fees, commissions, premiums and other amounts required to be paid to such Lender, which would constitute “interest” for purposes of Section 347 of the Criminal Code (Canada). Any amount or rate of interest referred to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determined in accordance with generally accepted actuarial practices and principles as an effective annual rate of interest over the term that the applicable Canadian Revolving Credit Loan or Canadian Swingline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set out in clause (a) of the definition of “Revolving Credit Maturity Date” and, in the event of a dispute, a certificate of a Fellow of the Canadian Institute of Actuaries appointed by Administrative Agent shall be conclusive for the purposes of such determination.</w:t>
      </w:r>
    </w:p>
    <w:p>
      <w:pPr>
        <w:spacing w:after="0" w:line="17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SECTION V.2 </w:t>
      </w:r>
      <w:r>
        <w:rPr>
          <w:rFonts w:ascii="Arial" w:cs="Arial" w:eastAsia="Arial" w:hAnsi="Arial"/>
          <w:sz w:val="20"/>
          <w:szCs w:val="20"/>
          <w:u w:val="single" w:color="auto"/>
          <w:color w:val="auto"/>
        </w:rPr>
        <w:t>Notice and Manner of Conversion or Continuation of Loans</w:t>
      </w:r>
      <w:r>
        <w:rPr>
          <w:rFonts w:ascii="Arial" w:cs="Arial" w:eastAsia="Arial" w:hAnsi="Arial"/>
          <w:sz w:val="20"/>
          <w:szCs w:val="20"/>
          <w:color w:val="auto"/>
        </w:rPr>
        <w:t>. Provided that no Default or Event of Default has occurred and is then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39" w:name="page140"/>
    <w:bookmarkEnd w:id="139"/>
    <w:p>
      <w:pPr>
        <w:jc w:val="both"/>
        <w:ind w:firstLine="656"/>
        <w:spacing w:after="0" w:line="244" w:lineRule="auto"/>
        <w:tabs>
          <w:tab w:leader="none" w:pos="1286"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US Borrowers shall have the option to (a) convert at any time all or any portion of any outstanding Base Rate Loans (other than US Swingline Loans) in a principal amount equal to $3,000,000 or any whole multiple of $500,000 in excess thereof into one or more LIBOR Rate Loans and (b) upon the expiration of any Interest Period, (i) convert all or any part of its outstanding LIBOR Rate Loans in a principal amount equal to $1,000,000 or a whole multiple of $100,000 in excess thereof into Base Rate Loans (other than Swingline Loans) or (ii) continue such LIBOR Rate Loans as LIBOR Rate Loans; and</w:t>
      </w:r>
    </w:p>
    <w:p>
      <w:pPr>
        <w:spacing w:after="0" w:line="194" w:lineRule="exact"/>
        <w:rPr>
          <w:rFonts w:ascii="Arial" w:cs="Arial" w:eastAsia="Arial" w:hAnsi="Arial"/>
          <w:sz w:val="20"/>
          <w:szCs w:val="20"/>
          <w:color w:val="auto"/>
        </w:rPr>
      </w:pPr>
    </w:p>
    <w:p>
      <w:pPr>
        <w:jc w:val="both"/>
        <w:ind w:firstLine="656"/>
        <w:spacing w:after="0" w:line="243" w:lineRule="auto"/>
        <w:tabs>
          <w:tab w:leader="none" w:pos="1284"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Canadian Borrowers shall have the option to (a) convert at any time all or any portion of any outstanding Canadian Base Rate Loans (other than Canadian Swingline Loans) in a principal amount equal to C$1,000,000 or any whole multiple of C$100,000 in excess thereof into one or more CDOR Rate Loans and (b) upon the expiration of any Interest Period for such CDOR Rate Loans, (i) convert all or any part of its outstanding CDOR Rate Loans in a principal amount equal to C$1,000,000 or a whole multiple of C$100,000 in excess thereof into Canadian Base Rate Loans (other than Canadian Swingline Loans) or (ii) continue such CDOR Rate Loans as CDOR Rate Loans.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Whenever any Borrower desires to convert or continue Loans as provided above, such Borrower shall give the Administrative Agent irrevocable prior written notice in the form attached as </w:t>
      </w:r>
      <w:r>
        <w:rPr>
          <w:rFonts w:ascii="Arial" w:cs="Arial" w:eastAsia="Arial" w:hAnsi="Arial"/>
          <w:sz w:val="18"/>
          <w:szCs w:val="18"/>
          <w:b w:val="1"/>
          <w:bCs w:val="1"/>
          <w:i w:val="1"/>
          <w:iCs w:val="1"/>
          <w:color w:val="auto"/>
        </w:rPr>
        <w:t>Exhibit E</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not later than 11:00 a.m. three (3) Business Days before (or four (4) Business Days before the day of a proposed conversion to or continuation of CDOR Rate Loans) the day on which a proposed conversion or continuation of such Loan is to be effective specifying (A) the Loans to be converted or continued, and, in the case of any LIBOR Rate Loan or CDOR Rate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LIBOR Rate Loan or CDOR Rate Loan. If the applicable Borrower fails to give a timely Notice of Conversion/Continuation prior to the end of the Interest Period for any LIBOR Rate Loan or CDOR Rate Loan, then the applicable LIBOR Rate Loan or CDOR Rate Loan shall automatically continue as a LIBOR Rate Loan or CDOR Rate Loan (in each case having the same Interest Period as the then expiring Interest Period), as applicable. Any such automatic continuation shall be effective as of the last day of the Interest Period then in effect with respect to the applicable LIBOR Rate Loan or CDOR Rate Loan. If the applicable Borrower requests a conversion to, or continuation of, LIBOR Rate Loans or CDOR Rate Loans, but fails to specify an Interest Period, it will be deemed to have specified an Interest Period of one month in the case of a conversion and an Interest Period that is the same as the then expiring Interest Period in the case of a continuation. Notwithstanding anything to the contrary herein, a Swingline Loan may not be converted to a LIBOR Rate Loan or CDOR Rate Loan. The Administrative Agent shall promptly notify the affected Lenders of such Notice of Conversion/Continuation.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V.3 </w:t>
      </w:r>
      <w:r>
        <w:rPr>
          <w:rFonts w:ascii="Arial" w:cs="Arial" w:eastAsia="Arial" w:hAnsi="Arial"/>
          <w:sz w:val="20"/>
          <w:szCs w:val="20"/>
          <w:u w:val="single" w:color="auto"/>
          <w:color w:val="auto"/>
        </w:rPr>
        <w:t>Fees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4" w:lineRule="auto"/>
        <w:tabs>
          <w:tab w:leader="none" w:pos="128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Commencing on the Closing Date, subject to </w:t>
      </w:r>
      <w:r>
        <w:rPr>
          <w:rFonts w:ascii="Arial" w:cs="Arial" w:eastAsia="Arial" w:hAnsi="Arial"/>
          <w:sz w:val="18"/>
          <w:szCs w:val="18"/>
          <w:u w:val="single" w:color="auto"/>
          <w:color w:val="auto"/>
        </w:rPr>
        <w:t>Section 5.15(a)(iii)(A)</w:t>
      </w:r>
      <w:r>
        <w:rPr>
          <w:rFonts w:ascii="Arial" w:cs="Arial" w:eastAsia="Arial" w:hAnsi="Arial"/>
          <w:sz w:val="18"/>
          <w:szCs w:val="18"/>
          <w:color w:val="auto"/>
        </w:rPr>
        <w:t>, the US Borrowers shall pay to the Administrative Agent, for the account of the Revolving Credit Lenders, a non-refundable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at a rate per annum equal to the Applicable Margin on the average daily unused portion of the Revolving Credit Commitment of the Revolving Credit Lenders (other than the Defaulting Lenders, if any);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December 31, 2021 and ending on the date upon which all Obligations (other than contingent indemnification obligations not then due)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0" w:name="page141"/>
    <w:bookmarkEnd w:id="140"/>
    <w:p>
      <w:pPr>
        <w:jc w:val="both"/>
        <w:spacing w:after="0" w:line="263" w:lineRule="auto"/>
        <w:rPr>
          <w:sz w:val="20"/>
          <w:szCs w:val="20"/>
          <w:color w:val="auto"/>
        </w:rPr>
      </w:pPr>
      <w:r>
        <w:rPr>
          <w:rFonts w:ascii="Arial" w:cs="Arial" w:eastAsia="Arial" w:hAnsi="Arial"/>
          <w:sz w:val="19"/>
          <w:szCs w:val="19"/>
          <w:color w:val="auto"/>
        </w:rPr>
        <w:t xml:space="preserve">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accordance with such Revolving Credit Lenders’ respective Revolving Credit Commitment Percentages.</w:t>
      </w:r>
    </w:p>
    <w:p>
      <w:pPr>
        <w:spacing w:after="0" w:line="176" w:lineRule="exact"/>
        <w:rPr>
          <w:sz w:val="20"/>
          <w:szCs w:val="20"/>
          <w:color w:val="auto"/>
        </w:rPr>
      </w:pPr>
    </w:p>
    <w:p>
      <w:pPr>
        <w:jc w:val="both"/>
        <w:ind w:firstLine="656"/>
        <w:spacing w:after="0" w:line="250" w:lineRule="auto"/>
        <w:tabs>
          <w:tab w:leader="none" w:pos="128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The Borrowers shall pay to the Arrangers and the Administrative Agent for their own respective accounts fees in the amounts and at the times specified in any Fee Letter as applicable. The Borrowers shall pay to the Lenders such fees as shall have been separately agreed upon in writing in the amounts and at the times so specified.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V.4 </w:t>
      </w:r>
      <w:r>
        <w:rPr>
          <w:rFonts w:ascii="Arial" w:cs="Arial" w:eastAsia="Arial" w:hAnsi="Arial"/>
          <w:sz w:val="20"/>
          <w:szCs w:val="20"/>
          <w:u w:val="single" w:color="auto"/>
          <w:color w:val="auto"/>
        </w:rPr>
        <w:t>Manner of Payment</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9" w:lineRule="auto"/>
        <w:tabs>
          <w:tab w:leader="none" w:pos="128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Payments made by the Borrowers</w:t>
      </w:r>
      <w:r>
        <w:rPr>
          <w:rFonts w:ascii="Arial" w:cs="Arial" w:eastAsia="Arial" w:hAnsi="Arial"/>
          <w:sz w:val="18"/>
          <w:szCs w:val="18"/>
          <w:color w:val="auto"/>
        </w:rPr>
        <w:t xml:space="preserve">. Each payment by a Borrower on account of the principal of or interest on the Loans or of any fee, commission or other amounts (including the Reimbursement Obligations) payable to the Lenders under this Agreement shall be made not later than 1:00 p.m. on the date specified for payment under this Agreement to the Administrative Agent at the Administrative Agent’s Office for the account of the Lenders entitled to such payment, in immediately available funds and shall be made without any set off, counterclaim or deduction whatsoever. Any payment received after such time but before 2:00 p.m. on such day shall be deemed a payment on such date for the purposes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applicable Swingline Lender shall be made in like manner, but for the account of the applicable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8"/>
          <w:szCs w:val="18"/>
          <w:u w:val="single" w:color="auto"/>
          <w:color w:val="auto"/>
        </w:rPr>
        <w:t>Sections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12.3</w:t>
      </w:r>
      <w:r>
        <w:rPr>
          <w:rFonts w:ascii="Arial" w:cs="Arial" w:eastAsia="Arial" w:hAnsi="Arial"/>
          <w:sz w:val="18"/>
          <w:szCs w:val="18"/>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171" w:lineRule="exact"/>
        <w:rPr>
          <w:rFonts w:ascii="Arial" w:cs="Arial" w:eastAsia="Arial" w:hAnsi="Arial"/>
          <w:sz w:val="18"/>
          <w:szCs w:val="18"/>
          <w:color w:val="auto"/>
        </w:rPr>
      </w:pPr>
    </w:p>
    <w:p>
      <w:pPr>
        <w:ind w:firstLine="656"/>
        <w:spacing w:after="0" w:line="260" w:lineRule="auto"/>
        <w:tabs>
          <w:tab w:leader="none" w:pos="1284"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the foregoing, if there exists a Defaulting Lender each payment by any Borrower to such Defaulting Lender hereunder shall be applied in accordance with </w:t>
      </w:r>
      <w:r>
        <w:rPr>
          <w:rFonts w:ascii="Arial" w:cs="Arial" w:eastAsia="Arial" w:hAnsi="Arial"/>
          <w:sz w:val="20"/>
          <w:szCs w:val="20"/>
          <w:u w:val="single" w:color="auto"/>
          <w:color w:val="auto"/>
        </w:rPr>
        <w:t>Section 5.15(a)(ii)</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V.5 </w:t>
      </w:r>
      <w:r>
        <w:rPr>
          <w:rFonts w:ascii="Arial" w:cs="Arial" w:eastAsia="Arial" w:hAnsi="Arial"/>
          <w:sz w:val="20"/>
          <w:szCs w:val="20"/>
          <w:u w:val="single" w:color="auto"/>
          <w:color w:val="auto"/>
        </w:rPr>
        <w:t>Evidence of Indebtedness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91" w:lineRule="auto"/>
        <w:tabs>
          <w:tab w:leader="none" w:pos="128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Extensions of Credit</w:t>
      </w:r>
      <w:r>
        <w:rPr>
          <w:rFonts w:ascii="Arial" w:cs="Arial" w:eastAsia="Arial" w:hAnsi="Arial"/>
          <w:sz w:val="18"/>
          <w:szCs w:val="18"/>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1" w:name="page142"/>
    <w:bookmarkEnd w:id="141"/>
    <w:p>
      <w:pPr>
        <w:jc w:val="both"/>
        <w:spacing w:after="0" w:line="271" w:lineRule="auto"/>
        <w:rPr>
          <w:sz w:val="20"/>
          <w:szCs w:val="20"/>
          <w:color w:val="auto"/>
        </w:rPr>
      </w:pPr>
      <w:r>
        <w:rPr>
          <w:rFonts w:ascii="Arial" w:cs="Arial" w:eastAsia="Arial" w:hAnsi="Arial"/>
          <w:sz w:val="18"/>
          <w:szCs w:val="18"/>
          <w:color w:val="auto"/>
        </w:rPr>
        <w:t>conclusive absent manifest error of the amount of the Extensions of Credit made by the Lenders or such Issuing Lender to the applicable Borrowers and their applicable respective Subsidiaries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applicable Borrower shall execute and deliver to such Lender (through the Administrative Agent) a US Revolving Credit Note, Canadian Revolving Credit Note, a US Term Loan Note, a Canadian Term Loan Note, US Swingline Note and/or Canadian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174" w:lineRule="exact"/>
        <w:rPr>
          <w:sz w:val="20"/>
          <w:szCs w:val="20"/>
          <w:color w:val="auto"/>
        </w:rPr>
      </w:pPr>
    </w:p>
    <w:p>
      <w:pPr>
        <w:jc w:val="both"/>
        <w:ind w:firstLine="656"/>
        <w:spacing w:after="0" w:line="260" w:lineRule="auto"/>
        <w:tabs>
          <w:tab w:leader="none" w:pos="128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V.6 </w:t>
      </w: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19"/>
          <w:szCs w:val="19"/>
          <w:u w:val="single" w:color="auto"/>
          <w:color w:val="auto"/>
        </w:rPr>
        <w:t>Sections 5.9</w:t>
      </w:r>
      <w:r>
        <w:rPr>
          <w:rFonts w:ascii="Arial" w:cs="Arial" w:eastAsia="Arial" w:hAnsi="Arial"/>
          <w:sz w:val="19"/>
          <w:szCs w:val="19"/>
          <w:color w:val="auto"/>
        </w:rPr>
        <w:t xml:space="preserve">, </w:t>
      </w:r>
      <w:r>
        <w:rPr>
          <w:rFonts w:ascii="Arial" w:cs="Arial" w:eastAsia="Arial" w:hAnsi="Arial"/>
          <w:sz w:val="19"/>
          <w:szCs w:val="19"/>
          <w:u w:val="single" w:color="auto"/>
          <w:color w:val="auto"/>
        </w:rPr>
        <w:t>5.10</w:t>
      </w:r>
      <w:r>
        <w:rPr>
          <w:rFonts w:ascii="Arial" w:cs="Arial" w:eastAsia="Arial" w:hAnsi="Arial"/>
          <w:sz w:val="19"/>
          <w:szCs w:val="19"/>
          <w:color w:val="auto"/>
        </w:rPr>
        <w:t xml:space="preserve">, </w:t>
      </w:r>
      <w:r>
        <w:rPr>
          <w:rFonts w:ascii="Arial" w:cs="Arial" w:eastAsia="Arial" w:hAnsi="Arial"/>
          <w:sz w:val="19"/>
          <w:szCs w:val="19"/>
          <w:u w:val="single" w:color="auto"/>
          <w:color w:val="auto"/>
        </w:rPr>
        <w:t>5.11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12.3</w:t>
      </w:r>
      <w:r>
        <w:rPr>
          <w:rFonts w:ascii="Arial" w:cs="Arial" w:eastAsia="Arial" w:hAnsi="Arial"/>
          <w:sz w:val="19"/>
          <w:szCs w:val="19"/>
          <w:color w:val="auto"/>
        </w:rPr>
        <w:t xml:space="preserve">) greater than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0" w:lineRule="exact"/>
        <w:rPr>
          <w:sz w:val="20"/>
          <w:szCs w:val="20"/>
          <w:color w:val="auto"/>
        </w:rPr>
      </w:pPr>
    </w:p>
    <w:p>
      <w:pPr>
        <w:ind w:left="660" w:firstLine="644"/>
        <w:spacing w:after="0" w:line="287" w:lineRule="auto"/>
        <w:tabs>
          <w:tab w:leader="none" w:pos="1954"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52" w:lineRule="exact"/>
        <w:rPr>
          <w:rFonts w:ascii="Arial" w:cs="Arial" w:eastAsia="Arial" w:hAnsi="Arial"/>
          <w:sz w:val="19"/>
          <w:szCs w:val="19"/>
          <w:color w:val="auto"/>
        </w:rPr>
      </w:pPr>
    </w:p>
    <w:p>
      <w:pPr>
        <w:jc w:val="both"/>
        <w:ind w:left="660" w:firstLine="644"/>
        <w:spacing w:after="0" w:line="243" w:lineRule="auto"/>
        <w:tabs>
          <w:tab w:leader="none" w:pos="1955"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the provisions of this paragraph shall not be construed to apply to (A) any payment made by the Borrowers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or (C) any payment obtained by a Lender as consideration for the assignment of or sale of a participation in any of its Loans or participations in Swingline Loans and Letters of Credit to any assignee or participant, other than to any of the Consolidated Companies or their Affiliates (as to which this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shall apply).</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Each Credit Party consents to the foregoing and agrees, to the extent it may effectively do so under Applicable Law, that any Lender acquiring a participation pursuant to the foregoing arrangements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2" w:name="page143"/>
    <w:bookmarkEnd w:id="142"/>
    <w:p>
      <w:pPr>
        <w:ind w:right="20"/>
        <w:spacing w:after="0" w:line="260" w:lineRule="auto"/>
        <w:rPr>
          <w:sz w:val="20"/>
          <w:szCs w:val="20"/>
          <w:color w:val="auto"/>
        </w:rPr>
      </w:pPr>
      <w:r>
        <w:rPr>
          <w:rFonts w:ascii="Arial" w:cs="Arial" w:eastAsia="Arial" w:hAnsi="Arial"/>
          <w:sz w:val="20"/>
          <w:szCs w:val="20"/>
          <w:color w:val="auto"/>
        </w:rPr>
        <w:t>exercise against each Credit Party rights of setoff and counterclaim with respect to such participation as fully as if such Lender were a direct creditor of each Credit Party in the amount of such participation.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V.7 </w:t>
      </w:r>
      <w:r>
        <w:rPr>
          <w:rFonts w:ascii="Arial" w:cs="Arial" w:eastAsia="Arial" w:hAnsi="Arial"/>
          <w:sz w:val="20"/>
          <w:szCs w:val="20"/>
          <w:u w:val="single" w:color="auto"/>
          <w:color w:val="auto"/>
        </w:rPr>
        <w:t>Administrative Agent’s Clawback</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8" w:lineRule="auto"/>
        <w:tabs>
          <w:tab w:leader="none" w:pos="128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(i) in the case of Base Rate Loans, not later than 12:00 noon on the date of any proposed borrowing, (ii) in the case of Canadian Revolving Credit Loans, not later than 12:00 noon one (1) Business Day before the date of any proposed borrowing and (iii)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Sections 2.3(b)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 in the case of a payment to be made by such Lender, (1) with respect to any Loan denominated in Dollars, at the greater of (x) the daily average Federal Funds Rate and (y) a rate determined by the Administrative Agent in accordance with banking industry rules on interbank compensation and (2) with respect to any Loan denominated in Canadian Dollars, at the greater of (x)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 and (y) a rate determined by the Administrative Agent in accordance with banking industry rules on interbank compensation and (B) in the case of a payment to be made by such Borrower, (1) with respect to any Loan denominated in Dollars, the Base Rate and (2) with respect to any Loan denominated in Canadian Dollars, the Canadian Base Rate.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180" w:lineRule="exact"/>
        <w:rPr>
          <w:rFonts w:ascii="Arial" w:cs="Arial" w:eastAsia="Arial" w:hAnsi="Arial"/>
          <w:sz w:val="18"/>
          <w:szCs w:val="18"/>
          <w:color w:val="auto"/>
        </w:rPr>
      </w:pPr>
    </w:p>
    <w:p>
      <w:pPr>
        <w:jc w:val="both"/>
        <w:ind w:firstLine="656"/>
        <w:spacing w:after="0" w:line="255" w:lineRule="auto"/>
        <w:tabs>
          <w:tab w:leader="none" w:pos="128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Payments by the Borrowers; Presumptions by Administrative Agent</w:t>
      </w:r>
      <w:r>
        <w:rPr>
          <w:rFonts w:ascii="Arial" w:cs="Arial" w:eastAsia="Arial" w:hAnsi="Arial"/>
          <w:sz w:val="19"/>
          <w:szCs w:val="19"/>
          <w:color w:val="auto"/>
        </w:rPr>
        <w:t>. Unless the Administrative Agent shall have received notice from the applicable Borrower prior to the date on which any payment is due to the Administrative Agent for the account of the Lenders, any Issuing Lender or any Swingline Lender hereunder that the applicable Borrower will not make such payment, the Administrative Agent may assume that such Borrower has made such payment on such date in accordance herewith and may, in reliance upon such assumption, distribute to the Lenders, such Issuing Lender or such Swingline Lender, as the case may be, the amount due. In such event, if the applicable Borrower has not in fact made such payment, then each of the Lenders, each Issuing Lender or each Swingline Lender, as the case maybe, severally agrees to repay to the Administrative Agent forthwith on demand the amount so distributed to such Lender, Issuing Lender or Swingline Lender, with interest thereon, for each day from and including the date such amount is distributed to it to but excluding the date of payment to the Administrative Agent, (i) with respect to any Extension of Credit (other than any Canadian Revolving Credit Loan, any Canadian Swingline Loan and, to the extent applicable, any Incremental Term Loan made to the Canadian Borrowers), at the greater of the Federal Funds Rate and a rate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3" w:name="page144"/>
    <w:bookmarkEnd w:id="143"/>
    <w:p>
      <w:pPr>
        <w:jc w:val="both"/>
        <w:spacing w:after="0" w:line="244" w:lineRule="auto"/>
        <w:rPr>
          <w:sz w:val="20"/>
          <w:szCs w:val="20"/>
          <w:color w:val="auto"/>
        </w:rPr>
      </w:pPr>
      <w:r>
        <w:rPr>
          <w:rFonts w:ascii="Arial" w:cs="Arial" w:eastAsia="Arial" w:hAnsi="Arial"/>
          <w:sz w:val="20"/>
          <w:szCs w:val="20"/>
          <w:color w:val="auto"/>
        </w:rPr>
        <w:t>Administrative Agent in accordance with banking industry rules on interbank compensation and (ii) with respect to any Canadian Revolving Credit Loan, any Canadian Swingline Loan and, to the extent applicable, any Incremental Term Loan made to the Canadian Borrowers, at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w:t>
      </w:r>
    </w:p>
    <w:p>
      <w:pPr>
        <w:spacing w:after="0" w:line="194" w:lineRule="exact"/>
        <w:rPr>
          <w:sz w:val="20"/>
          <w:szCs w:val="20"/>
          <w:color w:val="auto"/>
        </w:rPr>
      </w:pPr>
    </w:p>
    <w:p>
      <w:pPr>
        <w:jc w:val="both"/>
        <w:ind w:firstLine="656"/>
        <w:spacing w:after="0" w:line="259" w:lineRule="auto"/>
        <w:tabs>
          <w:tab w:leader="none" w:pos="128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Nature of Obligations of Lenders Regarding Extensions of Credit</w:t>
      </w:r>
      <w:r>
        <w:rPr>
          <w:rFonts w:ascii="Arial" w:cs="Arial" w:eastAsia="Arial" w:hAnsi="Arial"/>
          <w:sz w:val="19"/>
          <w:szCs w:val="19"/>
          <w:color w:val="auto"/>
        </w:rPr>
        <w:t xml:space="preserve">. The obligations of the Lenders under this Agreement to make the Loans and issue or participate in Letters of Credit and to make payments under this Section, </w:t>
      </w:r>
      <w:r>
        <w:rPr>
          <w:rFonts w:ascii="Arial" w:cs="Arial" w:eastAsia="Arial" w:hAnsi="Arial"/>
          <w:sz w:val="19"/>
          <w:szCs w:val="19"/>
          <w:u w:val="single" w:color="auto"/>
          <w:color w:val="auto"/>
        </w:rPr>
        <w:t>Section 5.11(e)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12.3(c)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12.7</w:t>
      </w:r>
      <w:r>
        <w:rPr>
          <w:rFonts w:ascii="Arial" w:cs="Arial" w:eastAsia="Arial" w:hAnsi="Arial"/>
          <w:sz w:val="19"/>
          <w:szCs w:val="19"/>
          <w:color w:val="auto"/>
        </w:rPr>
        <w:t>, as applicable, are several and are not joint or joint and several. The failure of any Lender to make available its Commitment Percentage of any Loan requested by any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V.8 </w:t>
      </w:r>
      <w:r>
        <w:rPr>
          <w:rFonts w:ascii="Arial" w:cs="Arial" w:eastAsia="Arial" w:hAnsi="Arial"/>
          <w:sz w:val="20"/>
          <w:szCs w:val="20"/>
          <w:u w:val="single" w:color="auto"/>
          <w:color w:val="auto"/>
        </w:rPr>
        <w:t>Changed Circumstances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6" w:lineRule="auto"/>
        <w:tabs>
          <w:tab w:leader="none" w:pos="1286"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Circumstances Affecting LIBOR Rate or CDOR Rate Availability</w:t>
      </w:r>
      <w:r>
        <w:rPr>
          <w:rFonts w:ascii="Arial" w:cs="Arial" w:eastAsia="Arial" w:hAnsi="Arial"/>
          <w:sz w:val="20"/>
          <w:szCs w:val="20"/>
          <w:color w:val="auto"/>
        </w:rPr>
        <w:t>. Subject to clause (c) below, in connection with any request for (x) a LIBOR Rate Loan (or a Base Rate Loan as to which the interest rate is determined with reference to LIBOR or a conversion to or continuation thereof) or (y) a CDOR Rate Loan (or a Canadian Base Rate Loan as to which the interest rate is determined with reference to the CDOR Rate or a conversion thereof) or otherwise, if for any reason</w:t>
      </w:r>
    </w:p>
    <w:p>
      <w:pPr>
        <w:spacing w:after="0" w:line="191" w:lineRule="exact"/>
        <w:rPr>
          <w:rFonts w:ascii="Arial" w:cs="Arial" w:eastAsia="Arial" w:hAnsi="Arial"/>
          <w:sz w:val="20"/>
          <w:szCs w:val="20"/>
          <w:color w:val="auto"/>
        </w:rPr>
      </w:pPr>
    </w:p>
    <w:p>
      <w:pPr>
        <w:jc w:val="both"/>
        <w:ind w:left="660" w:firstLine="644"/>
        <w:spacing w:after="0" w:line="250" w:lineRule="auto"/>
        <w:tabs>
          <w:tab w:leader="none" w:pos="1954" w:val="left"/>
        </w:tabs>
        <w:numPr>
          <w:ilvl w:val="1"/>
          <w:numId w:val="89"/>
        </w:numPr>
        <w:rPr>
          <w:rFonts w:ascii="Arial" w:cs="Arial" w:eastAsia="Arial" w:hAnsi="Arial"/>
          <w:sz w:val="20"/>
          <w:szCs w:val="20"/>
          <w:color w:val="auto"/>
        </w:rPr>
      </w:pPr>
      <w:r>
        <w:rPr>
          <w:rFonts w:ascii="Arial" w:cs="Arial" w:eastAsia="Arial" w:hAnsi="Arial"/>
          <w:sz w:val="20"/>
          <w:szCs w:val="20"/>
          <w:color w:val="auto"/>
        </w:rPr>
        <w:t>with respect to a proposed LIBOR Rate Loan, the Administrative Agent shall determine (which determination shall be conclusive and binding absent manifest error) that Dollar deposits are not being offered to banks in the London interbank Eurodollar market for the applicable amount and Interest Period of such Loan,</w:t>
      </w:r>
    </w:p>
    <w:p>
      <w:pPr>
        <w:spacing w:after="0" w:line="185" w:lineRule="exact"/>
        <w:rPr>
          <w:rFonts w:ascii="Arial" w:cs="Arial" w:eastAsia="Arial" w:hAnsi="Arial"/>
          <w:sz w:val="20"/>
          <w:szCs w:val="20"/>
          <w:color w:val="auto"/>
        </w:rPr>
      </w:pPr>
    </w:p>
    <w:p>
      <w:pPr>
        <w:jc w:val="both"/>
        <w:ind w:left="660" w:firstLine="644"/>
        <w:spacing w:after="0" w:line="244" w:lineRule="auto"/>
        <w:tabs>
          <w:tab w:leader="none" w:pos="1955"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Administrative Agent shall determine (which determination shall be conclusive and binding absent manifest error) that reasonable and adequate means do not exist for ascertaining (A) the LIBOR Rate for such Interest Period with respect to a proposed LIBOR Rate Loan (or any Base Rate Loan as to which the interest rate is determined with reference to LIBOR) or (B) the CDOR Rate for such Interest Period with respect to a proposed CDOR Rate Loan (or any Canadian Base Rate Loan as to which the interest rate is determined with reference to the CDOR Rate), or</w:t>
      </w:r>
    </w:p>
    <w:p>
      <w:pPr>
        <w:spacing w:after="0" w:line="194"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Required Lenders shall determine (which determination shall be conclusive and binding absent manifest error) that the LIBOR Rate or CDOR Rate, as applicable, does not adequately and fairly reflect the cost to such Lenders of making or maintaining such Loans during such Interest Period,</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then the Administrative Agent shall promptly give notice thereof to Centuri. Thereafter, until the Administrative Agent notifies Centuri that such circumstances no longer exist, the obligation of the Lenders to make LIBOR Rate Loans (or Base Rate Loans as to which the interest rate is determined with reference to LIBOR) or CDOR Rate Loans (or Canadian Base Rate Loans as to which the interest rate is determined with reference to CDOR), as applicable, and the right of any Borrower to convert any Loan to or continue any Loan as a LIBOR Rate Loan (or a Base Rate Loan as to which the interest rate is determined with reference to LIBOR) or a CDOR Rate Loan (or Canadian Base Rate Loan as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4" w:name="page145"/>
    <w:bookmarkEnd w:id="144"/>
    <w:p>
      <w:pPr>
        <w:jc w:val="both"/>
        <w:spacing w:after="0" w:line="271" w:lineRule="auto"/>
        <w:rPr>
          <w:sz w:val="20"/>
          <w:szCs w:val="20"/>
          <w:color w:val="auto"/>
        </w:rPr>
      </w:pPr>
      <w:r>
        <w:rPr>
          <w:rFonts w:ascii="Arial" w:cs="Arial" w:eastAsia="Arial" w:hAnsi="Arial"/>
          <w:sz w:val="18"/>
          <w:szCs w:val="18"/>
          <w:color w:val="auto"/>
        </w:rPr>
        <w:t xml:space="preserve">the interest rate is determined with reference to CDOR), as applicable, shall be suspended, and (i) in the case of LIBOR Rate Loans, the applicable Borrower shall either (A) repay in full (or cause to be repaid in full) the then outstanding principal amount of each such LIBOR Rate Loan made to it together with accrued interest thereon (subject to </w:t>
      </w:r>
      <w:r>
        <w:rPr>
          <w:rFonts w:ascii="Arial" w:cs="Arial" w:eastAsia="Arial" w:hAnsi="Arial"/>
          <w:sz w:val="18"/>
          <w:szCs w:val="18"/>
          <w:u w:val="single" w:color="auto"/>
          <w:color w:val="auto"/>
        </w:rPr>
        <w:t>Section 5.1(d)</w:t>
      </w:r>
      <w:r>
        <w:rPr>
          <w:rFonts w:ascii="Arial" w:cs="Arial" w:eastAsia="Arial" w:hAnsi="Arial"/>
          <w:sz w:val="18"/>
          <w:szCs w:val="18"/>
          <w:color w:val="auto"/>
        </w:rPr>
        <w:t>), on the last day of the then current Interest Period applicable to such LIBOR Rate Loan; or (B) convert the then outstanding principal amount of each such LIBOR Rate Loan made to it to a Base Rate Loan as to which the interest rate is not determined by reference to LIBOR as of the last day of such Interest Period; (ii) in the case of Base Rate Loans as to which the interest rate is determined by reference to LIBOR, the US Borrowers shall convert the then outstanding principal amount of each such Loan to a Base Rate Loan as to which the interest rate is not determined by reference to LIBOR as of the last day of such Interest Period; or (iii) in the case of CDOR Rate Loans (or Canadian Base Rate Loans as to which the interest rate is determined by reference to the CDOR Rate), the Canadian Borrowers shall convert the then outstanding principal amount of each such Loan to a Canadian Base Rate Loan as to which the interest rate is not determined by reference to the CDOR Rate.</w:t>
      </w:r>
    </w:p>
    <w:p>
      <w:pPr>
        <w:spacing w:after="0" w:line="201" w:lineRule="exact"/>
        <w:rPr>
          <w:sz w:val="20"/>
          <w:szCs w:val="20"/>
          <w:color w:val="auto"/>
        </w:rPr>
      </w:pPr>
    </w:p>
    <w:p>
      <w:pPr>
        <w:jc w:val="both"/>
        <w:ind w:firstLine="656"/>
        <w:spacing w:after="0" w:line="241" w:lineRule="auto"/>
        <w:tabs>
          <w:tab w:leader="none" w:pos="1284"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Laws Affecting LIBOR Rate or CDOR Rate Availability</w:t>
      </w:r>
      <w:r>
        <w:rPr>
          <w:rFonts w:ascii="Arial" w:cs="Arial" w:eastAsia="Arial" w:hAnsi="Arial"/>
          <w:sz w:val="20"/>
          <w:szCs w:val="20"/>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(x) any LIBOR Rate Loan (or any Base Rate Loan as to which the interest rate is determined by reference to LIBOR) or (y) any CDOR Rate Loan (or any Canadian Base Rate Loan as to which the interest rate is determined by reference to the CDOR Rate), such Lender shall promptly give notice thereof to the Administrative Agent and the Administrative Agent shall promptly give notice to Centuri and the other Lenders. Thereafter, until the Administrative Agent notifies Centuri that such circumstances no longer exist:</w:t>
      </w:r>
    </w:p>
    <w:p>
      <w:pPr>
        <w:spacing w:after="0" w:line="201" w:lineRule="exact"/>
        <w:rPr>
          <w:rFonts w:ascii="Arial" w:cs="Arial" w:eastAsia="Arial" w:hAnsi="Arial"/>
          <w:sz w:val="20"/>
          <w:szCs w:val="20"/>
          <w:color w:val="auto"/>
        </w:rPr>
      </w:pPr>
    </w:p>
    <w:p>
      <w:pPr>
        <w:jc w:val="both"/>
        <w:ind w:left="660" w:firstLine="644"/>
        <w:spacing w:after="0" w:line="313" w:lineRule="auto"/>
        <w:tabs>
          <w:tab w:leader="none" w:pos="1954"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obligations of the Lenders to make LIBOR Rate Loans (or Base Rate Loans as to which the interest rate is determined by reference to LIBOR) or CDOR Rate Loans (or Canadian Base Rate Loans as to which the interest rate is determined by reference to the CDOR Rate), as applicable, and the right of the Borrowers to convert any Loan to a LIBOR Rate Loan or continue any Loan as a LIBOR Rate Loan (or a Base Rate Loan as to which the interest rate is determined by reference to LIBOR), or to convert any Loan to a CDOR Rate Loan (or any Canadian Base Rate Loan as to which the interest rate is determined by reference to the CDOR Rate), shall be suspended and thereafter the applicable Borrower may select only Base Rate Loans and Canadian Base Rate Loans, as applicable, as to which the interest rate is not determined by reference to LIBOR or CDOR hereunder,</w:t>
      </w:r>
    </w:p>
    <w:p>
      <w:pPr>
        <w:spacing w:after="0" w:line="142" w:lineRule="exact"/>
        <w:rPr>
          <w:rFonts w:ascii="Arial" w:cs="Arial" w:eastAsia="Arial" w:hAnsi="Arial"/>
          <w:sz w:val="16"/>
          <w:szCs w:val="16"/>
          <w:color w:val="auto"/>
        </w:rPr>
      </w:pPr>
    </w:p>
    <w:p>
      <w:pPr>
        <w:ind w:left="660" w:firstLine="644"/>
        <w:spacing w:after="0" w:line="260" w:lineRule="auto"/>
        <w:tabs>
          <w:tab w:leader="none" w:pos="1955" w:val="left"/>
        </w:tabs>
        <w:numPr>
          <w:ilvl w:val="1"/>
          <w:numId w:val="90"/>
        </w:numPr>
        <w:rPr>
          <w:rFonts w:ascii="Arial" w:cs="Arial" w:eastAsia="Arial" w:hAnsi="Arial"/>
          <w:sz w:val="20"/>
          <w:szCs w:val="20"/>
          <w:color w:val="auto"/>
        </w:rPr>
      </w:pPr>
      <w:r>
        <w:rPr>
          <w:rFonts w:ascii="Arial" w:cs="Arial" w:eastAsia="Arial" w:hAnsi="Arial"/>
          <w:sz w:val="20"/>
          <w:szCs w:val="20"/>
          <w:color w:val="auto"/>
        </w:rPr>
        <w:t>all Base Rate Loans shall cease to be determined by reference to LIBOR and/or all Canadian Base Rate Loans shall cease to be determined by reference to CDOR, as applicable, and</w:t>
      </w:r>
    </w:p>
    <w:p>
      <w:pPr>
        <w:spacing w:after="0" w:line="176" w:lineRule="exact"/>
        <w:rPr>
          <w:rFonts w:ascii="Arial" w:cs="Arial" w:eastAsia="Arial" w:hAnsi="Arial"/>
          <w:sz w:val="20"/>
          <w:szCs w:val="20"/>
          <w:color w:val="auto"/>
        </w:rPr>
      </w:pPr>
    </w:p>
    <w:p>
      <w:pPr>
        <w:jc w:val="both"/>
        <w:ind w:left="660" w:firstLine="644"/>
        <w:spacing w:after="0" w:line="263" w:lineRule="auto"/>
        <w:tabs>
          <w:tab w:leader="none" w:pos="1956"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any of the Lenders may not lawfully continue to maintain a LIBOR Rate Loan to the end of the then current Interest Period applicable thereto, the applicable Loan shall immediately be converted to a Base Rate Loan as to which the interest rate is not determined by reference to LIBOR for the remainder of such Interest Period. Each Lender agrees to designate a different Lending Office or assign its rights and obligations hereunder to another of its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5" w:name="page146"/>
    <w:bookmarkEnd w:id="145"/>
    <w:p>
      <w:pPr>
        <w:jc w:val="both"/>
        <w:ind w:left="660" w:right="20"/>
        <w:spacing w:after="0" w:line="269" w:lineRule="auto"/>
        <w:rPr>
          <w:sz w:val="20"/>
          <w:szCs w:val="20"/>
          <w:color w:val="auto"/>
        </w:rPr>
      </w:pPr>
      <w:r>
        <w:rPr>
          <w:rFonts w:ascii="Arial" w:cs="Arial" w:eastAsia="Arial" w:hAnsi="Arial"/>
          <w:sz w:val="19"/>
          <w:szCs w:val="19"/>
          <w:color w:val="auto"/>
        </w:rPr>
        <w:t>branches or affiliates if such designation or assignment will avoid the need for such notice and will not, in the good faith judgment of such Lender, otherwise be materially disadvantageous to such Lender. Each Borrower hereby agrees to pay all reasonable costs and expenses incurred by such Lender in connection with any such designation or assignment.</w:t>
      </w:r>
    </w:p>
    <w:p>
      <w:pPr>
        <w:spacing w:after="0" w:line="170"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Benchmark Replacement Setting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4"/>
        <w:spacing w:after="0" w:line="264" w:lineRule="auto"/>
        <w:tabs>
          <w:tab w:leader="none" w:pos="2198"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Notwithstanding anything to the contrary herein or in any other Loan Document (and any Hedge Agreement shall be deemed not to be a “Loan Document” for purposes of this </w:t>
      </w:r>
      <w:r>
        <w:rPr>
          <w:rFonts w:ascii="Arial" w:cs="Arial" w:eastAsia="Arial" w:hAnsi="Arial"/>
          <w:sz w:val="18"/>
          <w:szCs w:val="18"/>
          <w:u w:val="single" w:color="auto"/>
          <w:color w:val="auto"/>
        </w:rPr>
        <w:t>Section 5.8(c)</w:t>
      </w:r>
      <w:r>
        <w:rPr>
          <w:rFonts w:ascii="Arial" w:cs="Arial" w:eastAsia="Arial" w:hAnsi="Arial"/>
          <w:sz w:val="18"/>
          <w:szCs w:val="18"/>
          <w:color w:val="auto"/>
        </w:rPr>
        <w: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(a)(1) or (a)(2)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(a)(3)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an Unadjusted Benchmark Replacement is Daily Simple SOFR, all interest payments will be payable on a monthly basis.</w:t>
      </w:r>
    </w:p>
    <w:p>
      <w:pPr>
        <w:spacing w:after="0" w:line="181" w:lineRule="exact"/>
        <w:rPr>
          <w:rFonts w:ascii="Arial" w:cs="Arial" w:eastAsia="Arial" w:hAnsi="Arial"/>
          <w:sz w:val="18"/>
          <w:szCs w:val="18"/>
          <w:color w:val="auto"/>
        </w:rPr>
      </w:pPr>
    </w:p>
    <w:p>
      <w:pPr>
        <w:jc w:val="both"/>
        <w:ind w:left="1300" w:firstLine="652"/>
        <w:spacing w:after="0" w:line="273" w:lineRule="auto"/>
        <w:tabs>
          <w:tab w:leader="none" w:pos="2590"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(B) shall not be effective unless the Administrative Agent has delivered to the Lenders and the Borrower a Term SOFR Notice. For the avoidance of doubt, the Administrative Agent shall not be required to deliver a Term SOFR Notice after a Term SOFR Transition Event and may elect or not elect to do so in its sole discretion.</w:t>
      </w:r>
    </w:p>
    <w:p>
      <w:pPr>
        <w:spacing w:after="0" w:line="168" w:lineRule="exact"/>
        <w:rPr>
          <w:rFonts w:ascii="Arial" w:cs="Arial" w:eastAsia="Arial" w:hAnsi="Arial"/>
          <w:sz w:val="18"/>
          <w:szCs w:val="18"/>
          <w:color w:val="auto"/>
        </w:rPr>
      </w:pPr>
    </w:p>
    <w:p>
      <w:pPr>
        <w:jc w:val="both"/>
        <w:ind w:left="660" w:firstLine="644"/>
        <w:spacing w:after="0" w:line="244" w:lineRule="auto"/>
        <w:tabs>
          <w:tab w:leader="none" w:pos="1955"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6" w:name="page147"/>
    <w:bookmarkEnd w:id="146"/>
    <w:p>
      <w:pPr>
        <w:jc w:val="both"/>
        <w:ind w:left="660" w:firstLine="644"/>
        <w:spacing w:after="0" w:line="270" w:lineRule="auto"/>
        <w:tabs>
          <w:tab w:leader="none" w:pos="195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xml:space="preserve">. The Administrative Agent will promptly notify the Borrower and the Lenders of (A) any occurrence of a Benchmark Transition Event, a Term SOFR Transition Event or an Early Opt-in Election, as applicable, and its related Benchmark Replacement Date, (B) the implementation of any Benchmark Replacement, (C) the effectiveness of any Benchmark Replacement Conforming Changes, (D) the removal or reinstatement of any tenor of a Benchmark pursuant to </w:t>
      </w:r>
      <w:r>
        <w:rPr>
          <w:rFonts w:ascii="Arial" w:cs="Arial" w:eastAsia="Arial" w:hAnsi="Arial"/>
          <w:sz w:val="18"/>
          <w:szCs w:val="18"/>
          <w:u w:val="single" w:color="auto"/>
          <w:color w:val="auto"/>
        </w:rPr>
        <w:t>Section 5.8(c)(iv)</w:t>
      </w:r>
      <w:r>
        <w:rPr>
          <w:rFonts w:ascii="Arial" w:cs="Arial" w:eastAsia="Arial" w:hAnsi="Arial"/>
          <w:sz w:val="18"/>
          <w:szCs w:val="18"/>
          <w:color w:val="auto"/>
        </w:rPr>
        <w:t xml:space="preserve"> below and (E)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made in a manner substantially consistent with determinations being made for similarly situated customers of such Administrative Agent under agreements having provisions similar to this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5.8(c)</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660" w:firstLine="644"/>
        <w:spacing w:after="0" w:line="270" w:lineRule="auto"/>
        <w:tabs>
          <w:tab w:leader="none" w:pos="194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xml:space="preserve">. Notwithstanding anything to the contrary herein or in any other Loan Document, at any time (including in connection with the implementation of a Benchmark Replacement), (A) if the then-current Benchmark is a term rate (including Term SOFR or USD LIBOR) and either (1) any tenor for such Benchmark is not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provisions similar to this </w:t>
      </w:r>
      <w:r>
        <w:rPr>
          <w:rFonts w:ascii="Arial" w:cs="Arial" w:eastAsia="Arial" w:hAnsi="Arial"/>
          <w:sz w:val="18"/>
          <w:szCs w:val="18"/>
          <w:u w:val="single" w:color="auto"/>
          <w:color w:val="auto"/>
        </w:rPr>
        <w:t>Section 5.8(c)</w:t>
      </w:r>
      <w:r>
        <w:rPr>
          <w:rFonts w:ascii="Arial" w:cs="Arial" w:eastAsia="Arial" w:hAnsi="Arial"/>
          <w:sz w:val="18"/>
          <w:szCs w:val="18"/>
          <w:color w:val="auto"/>
        </w:rPr>
        <w:t>)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2" w:lineRule="exact"/>
        <w:rPr>
          <w:rFonts w:ascii="Arial" w:cs="Arial" w:eastAsia="Arial" w:hAnsi="Arial"/>
          <w:sz w:val="18"/>
          <w:szCs w:val="18"/>
          <w:color w:val="auto"/>
        </w:rPr>
      </w:pPr>
    </w:p>
    <w:p>
      <w:pPr>
        <w:jc w:val="both"/>
        <w:ind w:left="660" w:firstLine="644"/>
        <w:spacing w:after="0" w:line="243" w:lineRule="auto"/>
        <w:tabs>
          <w:tab w:leader="none" w:pos="194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Upon Centuri’s receipt of notice of the commencement of a Benchmark Unavailability Period, the applicable Borrower may revoke any request for a borrowing of, conversion to or continuation of LIBOR Rate Loans to be made, converted or continued during any Benchmark Unavailability Period and, failing that, the applicable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92" w:lineRule="exact"/>
        <w:rPr>
          <w:rFonts w:ascii="Arial" w:cs="Arial" w:eastAsia="Arial" w:hAnsi="Arial"/>
          <w:sz w:val="20"/>
          <w:szCs w:val="20"/>
          <w:color w:val="auto"/>
        </w:rPr>
      </w:pPr>
    </w:p>
    <w:p>
      <w:pPr>
        <w:ind w:left="660" w:firstLine="644"/>
        <w:spacing w:after="0" w:line="260" w:lineRule="auto"/>
        <w:tabs>
          <w:tab w:leader="none" w:pos="1945"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London Interbank Offered Rate Benchmark Transition Event</w:t>
      </w:r>
      <w:r>
        <w:rPr>
          <w:rFonts w:ascii="Arial" w:cs="Arial" w:eastAsia="Arial" w:hAnsi="Arial"/>
          <w:sz w:val="20"/>
          <w:szCs w:val="20"/>
          <w:color w:val="auto"/>
        </w:rPr>
        <w:t>. On March 5, 2021, the IBA, the administrator of the London interbank offered rate, and the FCA,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7" w:name="page148"/>
    <w:bookmarkEnd w:id="147"/>
    <w:p>
      <w:pPr>
        <w:jc w:val="both"/>
        <w:ind w:left="660"/>
        <w:spacing w:after="0" w:line="257" w:lineRule="auto"/>
        <w:rPr>
          <w:sz w:val="20"/>
          <w:szCs w:val="20"/>
          <w:color w:val="auto"/>
        </w:rPr>
      </w:pPr>
      <w:r>
        <w:rPr>
          <w:rFonts w:ascii="Arial" w:cs="Arial" w:eastAsia="Arial" w:hAnsi="Arial"/>
          <w:sz w:val="19"/>
          <w:szCs w:val="19"/>
          <w:color w:val="auto"/>
        </w:rPr>
        <w:t xml:space="preserve">regulatory supervisor of the IBA, made the Announcements that the final publication or representativeness date for Dollars for (I) 1-week and 2-month London interbank offered rate tenor settings will be December 31, 2021 and (II) overnight, 1-month, 3-month, 6-month and 12-month London interbank offered rate tenor settings will be June 30, 2023. No successor administrator for the IBA was identified in such Announcements. The parties hereto agree and acknowledge that the Announcements resulted in the occurrence of a Benchmark Transition Event with respect to the London interbank offered rate pursuant to the terms of this Agreement and that any obligation of the Administrative Agent to notify any parties of such Benchmark Transition Event pursuant to clause (iii) of this </w:t>
      </w:r>
      <w:r>
        <w:rPr>
          <w:rFonts w:ascii="Arial" w:cs="Arial" w:eastAsia="Arial" w:hAnsi="Arial"/>
          <w:sz w:val="19"/>
          <w:szCs w:val="19"/>
          <w:u w:val="single" w:color="auto"/>
          <w:color w:val="auto"/>
        </w:rPr>
        <w:t>Section 5.8(c)</w:t>
      </w:r>
      <w:r>
        <w:rPr>
          <w:rFonts w:ascii="Arial" w:cs="Arial" w:eastAsia="Arial" w:hAnsi="Arial"/>
          <w:sz w:val="19"/>
          <w:szCs w:val="19"/>
          <w:color w:val="auto"/>
        </w:rPr>
        <w:t xml:space="preserve"> shall be deemed satisfied.</w:t>
      </w:r>
    </w:p>
    <w:p>
      <w:pPr>
        <w:spacing w:after="0" w:line="185" w:lineRule="exact"/>
        <w:rPr>
          <w:sz w:val="20"/>
          <w:szCs w:val="20"/>
          <w:color w:val="auto"/>
        </w:rPr>
      </w:pPr>
    </w:p>
    <w:p>
      <w:pPr>
        <w:jc w:val="both"/>
        <w:ind w:firstLine="656"/>
        <w:spacing w:after="0" w:line="255" w:lineRule="auto"/>
        <w:tabs>
          <w:tab w:leader="none" w:pos="128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Illegality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5.12</w:t>
      </w:r>
      <w:r>
        <w:rPr>
          <w:rFonts w:ascii="Arial" w:cs="Arial" w:eastAsia="Arial" w:hAnsi="Arial"/>
          <w:sz w:val="19"/>
          <w:szCs w:val="19"/>
          <w:color w:val="auto"/>
        </w:rPr>
        <w:t>, if, in any applicable jurisdiction, the Administrative Agent, any Issuing Lender or any Lender or its Applicable Designee determines that any Applicable Law has made it unlawful, or that any Governmental Authority has asserted that it is unlawful, for the Administrative Agent, any Issuing Lender, any Lender or any Applicable Designee to (i) perform any of its obligations hereunder or under any other Loan Document, (ii) to fund or maintain its participation in any Loan or (iii) issue, make, maintain, fund or charge interest or fees with respect to any Extension of Credit to any Borrower that is a Foreign Subsidiary such Person shall promptly notify the Administrative Agent, then, upon the Administrative Agent notifying Centuri,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Credit Parties shall, (A) repay that Person’s participation in the Loans or other applicable Obligations on the last day of the Interest Period for each Loan or other Obligation occurring after the Administrative Agent has notified Centuri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V.9 </w:t>
      </w:r>
      <w:r>
        <w:rPr>
          <w:rFonts w:ascii="Arial" w:cs="Arial" w:eastAsia="Arial" w:hAnsi="Arial"/>
          <w:sz w:val="18"/>
          <w:szCs w:val="18"/>
          <w:u w:val="single" w:color="auto"/>
          <w:color w:val="auto"/>
        </w:rPr>
        <w:t>Indemnity</w:t>
      </w:r>
      <w:r>
        <w:rPr>
          <w:rFonts w:ascii="Arial" w:cs="Arial" w:eastAsia="Arial" w:hAnsi="Arial"/>
          <w:sz w:val="18"/>
          <w:szCs w:val="18"/>
          <w:color w:val="auto"/>
        </w:rPr>
        <w:t>. Each Borrower hereby indemnifies each of the Lenders against any loss or expense (including any loss or expense arising from the liquidation or reemployment of funds obtained by it to maintain a LIBOR Rate Loan or a CDOR Rate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such Borrower to make any payment when due of any amount due hereunder in connection with a LIBOR Rate Loan or a CDOR Rate Loan,</w:t>
      </w:r>
    </w:p>
    <w:p>
      <w:pPr>
        <w:spacing w:after="0" w:line="4" w:lineRule="exact"/>
        <w:rPr>
          <w:sz w:val="20"/>
          <w:szCs w:val="20"/>
          <w:color w:val="auto"/>
        </w:rPr>
      </w:pPr>
    </w:p>
    <w:p>
      <w:pPr>
        <w:jc w:val="both"/>
        <w:ind w:firstLine="8"/>
        <w:spacing w:after="0" w:line="270" w:lineRule="auto"/>
        <w:tabs>
          <w:tab w:leader="none" w:pos="2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due to any failure of such Borrower to borrow, continue or convert on a date specified therefor in a Notice of Borrowing or Notice of Conversion/Continuation or (c) due to any payment, prepayment or conversion of any LIBOR Rate Loan or any CDOR Rate Loan on a date other than the last day of the Interest Period therefor. The amount of such loss or expense shall be determined, in the applicable Lender’s sole discretion, based upon the assumption that such Lender funded its Commitment Percentage of the LIBOR Rate Loans in the London interbank market or the CDOR Rate Loans in the Canadian bankers’ acceptance market, as applicable,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The applicable Borrower shall pay such Lender the amount shown as due on any such certificate within ten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20"/>
          <w:szCs w:val="20"/>
          <w:color w:val="auto"/>
        </w:rPr>
        <w:t>SECTION V.10</w:t>
      </w:r>
      <w:r>
        <w:rPr>
          <w:rFonts w:ascii="Arial" w:cs="Arial" w:eastAsia="Arial" w:hAnsi="Arial"/>
          <w:sz w:val="20"/>
          <w:szCs w:val="20"/>
          <w:u w:val="single" w:color="auto"/>
          <w:color w:val="auto"/>
        </w:rPr>
        <w:t>Increased Costs</w:t>
      </w:r>
      <w:r>
        <w:rPr>
          <w:rFonts w:ascii="Arial" w:cs="Arial" w:eastAsia="Arial" w:hAnsi="Arial"/>
          <w:sz w:val="20"/>
          <w:szCs w:val="20"/>
          <w:color w:val="auto"/>
        </w:rPr>
        <w:t>.</w:t>
      </w:r>
    </w:p>
    <w:p>
      <w:pPr>
        <w:spacing w:after="0" w:line="216"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954" w:val="left"/>
        </w:tabs>
        <w:numPr>
          <w:ilvl w:val="1"/>
          <w:numId w:val="95"/>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955" w:val="left"/>
        </w:tabs>
        <w:numPr>
          <w:ilvl w:val="1"/>
          <w:numId w:val="95"/>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185" w:lineRule="exact"/>
        <w:rPr>
          <w:rFonts w:ascii="Arial" w:cs="Arial" w:eastAsia="Arial" w:hAnsi="Arial"/>
          <w:sz w:val="20"/>
          <w:szCs w:val="20"/>
          <w:color w:val="auto"/>
        </w:rPr>
      </w:pPr>
    </w:p>
    <w:p>
      <w:pPr>
        <w:ind w:left="660" w:firstLine="644"/>
        <w:spacing w:after="0" w:line="316" w:lineRule="auto"/>
        <w:tabs>
          <w:tab w:leader="none" w:pos="1956" w:val="left"/>
        </w:tabs>
        <w:numPr>
          <w:ilvl w:val="1"/>
          <w:numId w:val="95"/>
        </w:numPr>
        <w:rPr>
          <w:rFonts w:ascii="Arial" w:cs="Arial" w:eastAsia="Arial" w:hAnsi="Arial"/>
          <w:sz w:val="18"/>
          <w:szCs w:val="18"/>
          <w:color w:val="auto"/>
        </w:rPr>
      </w:pPr>
      <w:r>
        <w:rPr>
          <w:rFonts w:ascii="Arial" w:cs="Arial" w:eastAsia="Arial" w:hAnsi="Arial"/>
          <w:sz w:val="18"/>
          <w:szCs w:val="18"/>
          <w:color w:val="auto"/>
        </w:rPr>
        <w:t>impose on any Lender or any Issuing Lender or the London interbank market any other condition, cost or expense (other than Taxes) affecting this Agreement or Loans made by such Lender or any Letter of Credit or participation therein;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Borrowers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80" w:lineRule="exact"/>
        <w:rPr>
          <w:sz w:val="20"/>
          <w:szCs w:val="20"/>
          <w:color w:val="auto"/>
        </w:rPr>
      </w:pPr>
    </w:p>
    <w:p>
      <w:pPr>
        <w:jc w:val="both"/>
        <w:ind w:firstLine="656"/>
        <w:spacing w:after="0" w:line="271" w:lineRule="auto"/>
        <w:tabs>
          <w:tab w:leader="none" w:pos="128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upon written request of such Lender or such Issuing Lender the Borrowers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69" w:lineRule="exact"/>
        <w:rPr>
          <w:rFonts w:ascii="Arial" w:cs="Arial" w:eastAsia="Arial" w:hAnsi="Arial"/>
          <w:sz w:val="18"/>
          <w:szCs w:val="18"/>
          <w:color w:val="auto"/>
        </w:rPr>
      </w:pPr>
    </w:p>
    <w:p>
      <w:pPr>
        <w:jc w:val="both"/>
        <w:ind w:firstLine="656"/>
        <w:spacing w:after="0" w:line="250" w:lineRule="auto"/>
        <w:tabs>
          <w:tab w:leader="none" w:pos="1286"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a Lender, or an Issuing Lender or such other Recipient setting forth the amount or amounts necessary to compensate such Lender or such Issuing Lender, such other Recipient or any of their respective holding companies, as the case may be,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49" w:name="page150"/>
    <w:bookmarkEnd w:id="149"/>
    <w:p>
      <w:pPr>
        <w:jc w:val="both"/>
        <w:spacing w:after="0" w:line="250" w:lineRule="auto"/>
        <w:rPr>
          <w:sz w:val="20"/>
          <w:szCs w:val="20"/>
          <w:color w:val="auto"/>
        </w:rPr>
      </w:pPr>
      <w:r>
        <w:rPr>
          <w:rFonts w:ascii="Arial" w:cs="Arial" w:eastAsia="Arial" w:hAnsi="Arial"/>
          <w:sz w:val="20"/>
          <w:szCs w:val="20"/>
          <w:color w:val="auto"/>
        </w:rPr>
        <w:t>specified in paragraph (a) or (b) of this Section and delivered to the Borrowers, shall be conclusive absent manifest error. The Borrowers shall pay such Lender or such Issuing Lender or such other Recipient, as the case may be, the amount shown as due on any such certificate within ten (10) days after receipt thereof.</w:t>
      </w:r>
    </w:p>
    <w:p>
      <w:pPr>
        <w:spacing w:after="0" w:line="186" w:lineRule="exact"/>
        <w:rPr>
          <w:sz w:val="20"/>
          <w:szCs w:val="20"/>
          <w:color w:val="auto"/>
        </w:rPr>
      </w:pPr>
    </w:p>
    <w:p>
      <w:pPr>
        <w:jc w:val="both"/>
        <w:ind w:firstLine="656"/>
        <w:spacing w:after="0" w:line="273" w:lineRule="auto"/>
        <w:tabs>
          <w:tab w:leader="none" w:pos="128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Borrowers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V.11</w:t>
      </w:r>
      <w:r>
        <w:rPr>
          <w:rFonts w:ascii="Arial" w:cs="Arial" w:eastAsia="Arial" w:hAnsi="Arial"/>
          <w:sz w:val="20"/>
          <w:szCs w:val="20"/>
          <w:u w:val="single" w:color="auto"/>
          <w:color w:val="auto"/>
        </w:rPr>
        <w:t>Taxes</w:t>
      </w:r>
      <w:r>
        <w:rPr>
          <w:rFonts w:ascii="Arial" w:cs="Arial" w:eastAsia="Arial" w:hAnsi="Arial"/>
          <w:sz w:val="20"/>
          <w:szCs w:val="20"/>
          <w:color w:val="auto"/>
        </w:rPr>
        <w:t>.</w:t>
      </w:r>
    </w:p>
    <w:p>
      <w:pPr>
        <w:spacing w:after="0" w:line="216" w:lineRule="exact"/>
        <w:rPr>
          <w:sz w:val="20"/>
          <w:szCs w:val="20"/>
          <w:color w:val="auto"/>
        </w:rPr>
      </w:pPr>
    </w:p>
    <w:p>
      <w:pPr>
        <w:ind w:firstLine="656"/>
        <w:spacing w:after="0" w:line="260" w:lineRule="auto"/>
        <w:tabs>
          <w:tab w:leader="none" w:pos="1286"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5.11</w:t>
      </w:r>
      <w:r>
        <w:rPr>
          <w:rFonts w:ascii="Arial" w:cs="Arial" w:eastAsia="Arial" w:hAnsi="Arial"/>
          <w:sz w:val="20"/>
          <w:szCs w:val="20"/>
          <w:color w:val="auto"/>
        </w:rPr>
        <w:t>, the term “Lender” includes any Issuing Lender and the term “Applicable Law” includes FATCA.</w:t>
      </w:r>
    </w:p>
    <w:p>
      <w:pPr>
        <w:spacing w:after="0" w:line="176" w:lineRule="exact"/>
        <w:rPr>
          <w:rFonts w:ascii="Arial" w:cs="Arial" w:eastAsia="Arial" w:hAnsi="Arial"/>
          <w:sz w:val="20"/>
          <w:szCs w:val="20"/>
          <w:color w:val="auto"/>
        </w:rPr>
      </w:pPr>
    </w:p>
    <w:p>
      <w:pPr>
        <w:jc w:val="both"/>
        <w:ind w:firstLine="656"/>
        <w:spacing w:after="0" w:line="273" w:lineRule="auto"/>
        <w:tabs>
          <w:tab w:leader="none" w:pos="128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68" w:lineRule="exact"/>
        <w:rPr>
          <w:rFonts w:ascii="Arial" w:cs="Arial" w:eastAsia="Arial" w:hAnsi="Arial"/>
          <w:sz w:val="18"/>
          <w:szCs w:val="18"/>
          <w:color w:val="auto"/>
        </w:rPr>
      </w:pPr>
    </w:p>
    <w:p>
      <w:pPr>
        <w:ind w:firstLine="656"/>
        <w:spacing w:after="0" w:line="316" w:lineRule="auto"/>
        <w:tabs>
          <w:tab w:leader="none" w:pos="128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Credit Parties</w:t>
      </w:r>
      <w:r>
        <w:rPr>
          <w:rFonts w:ascii="Arial" w:cs="Arial" w:eastAsia="Arial" w:hAnsi="Arial"/>
          <w:sz w:val="18"/>
          <w:szCs w:val="18"/>
          <w:color w:val="auto"/>
        </w:rPr>
        <w:t>. The Credit Parties shall timely pay to the relevant Governmental Authority in accordance with Applicable Law, or at the option of the Administrative Agent timely reimburse it for the payment of, any Other Taxes.</w:t>
      </w:r>
    </w:p>
    <w:p>
      <w:pPr>
        <w:spacing w:after="0" w:line="129" w:lineRule="exact"/>
        <w:rPr>
          <w:rFonts w:ascii="Arial" w:cs="Arial" w:eastAsia="Arial" w:hAnsi="Arial"/>
          <w:sz w:val="18"/>
          <w:szCs w:val="18"/>
          <w:color w:val="auto"/>
        </w:rPr>
      </w:pPr>
    </w:p>
    <w:p>
      <w:pPr>
        <w:jc w:val="both"/>
        <w:ind w:firstLine="656"/>
        <w:spacing w:after="0" w:line="256" w:lineRule="auto"/>
        <w:tabs>
          <w:tab w:leader="none" w:pos="128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Indemnification by the Credit Parties</w:t>
      </w:r>
      <w:r>
        <w:rPr>
          <w:rFonts w:ascii="Arial" w:cs="Arial" w:eastAsia="Arial" w:hAnsi="Arial"/>
          <w:sz w:val="19"/>
          <w:szCs w:val="19"/>
          <w:color w:val="auto"/>
        </w:rPr>
        <w:t>. With respect to any Indemnified Taxes arising from US Obligations, the US Credit Parties shall jointly and severally indemnify each Recipient, within ten (10) days after written demand therefor, for the full amount of any such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With respect to any Indemnified Taxes arising from Canadian Obligations, the Credit Parties shall jointly and severally indemnify each Recipient, within ten (10) days after written demand therefor, for the full amount of any such Indemnified Taxes (including Indemnified Taxes imposed on or asserted on or attributable to amounts payable under this Section) payable or paid by such Recipient or required to be withheld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0" w:name="page151"/>
    <w:bookmarkEnd w:id="150"/>
    <w:p>
      <w:pPr>
        <w:jc w:val="both"/>
        <w:spacing w:after="0" w:line="246" w:lineRule="auto"/>
        <w:rPr>
          <w:sz w:val="20"/>
          <w:szCs w:val="20"/>
          <w:color w:val="auto"/>
        </w:rPr>
      </w:pPr>
      <w:r>
        <w:rPr>
          <w:rFonts w:ascii="Arial" w:cs="Arial" w:eastAsia="Arial" w:hAnsi="Arial"/>
          <w:sz w:val="20"/>
          <w:szCs w:val="20"/>
          <w:color w:val="auto"/>
        </w:rPr>
        <w:t>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Recipient (with a copy to the Administrative Agent), or by the Administrative Agent on its own behalf or on behalf of a Recipient, shall be conclusive absent manifest error.</w:t>
      </w:r>
    </w:p>
    <w:p>
      <w:pPr>
        <w:spacing w:after="0" w:line="191" w:lineRule="exact"/>
        <w:rPr>
          <w:sz w:val="20"/>
          <w:szCs w:val="20"/>
          <w:color w:val="auto"/>
        </w:rPr>
      </w:pPr>
    </w:p>
    <w:p>
      <w:pPr>
        <w:jc w:val="both"/>
        <w:ind w:firstLine="656"/>
        <w:spacing w:after="0" w:line="255" w:lineRule="auto"/>
        <w:tabs>
          <w:tab w:leader="none" w:pos="1286"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9"/>
          <w:szCs w:val="19"/>
          <w:u w:val="single" w:color="auto"/>
          <w:color w:val="auto"/>
        </w:rPr>
        <w:t>Section 12.9(d)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6" w:lineRule="exact"/>
        <w:rPr>
          <w:rFonts w:ascii="Arial" w:cs="Arial" w:eastAsia="Arial" w:hAnsi="Arial"/>
          <w:sz w:val="19"/>
          <w:szCs w:val="19"/>
          <w:color w:val="auto"/>
        </w:rPr>
      </w:pPr>
    </w:p>
    <w:p>
      <w:pPr>
        <w:jc w:val="both"/>
        <w:ind w:firstLine="656"/>
        <w:spacing w:after="0" w:line="246" w:lineRule="auto"/>
        <w:tabs>
          <w:tab w:leader="none" w:pos="1291"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after any payment of Taxes by any Credit Party to a Governmental Authority pursuant to this </w:t>
      </w:r>
      <w:r>
        <w:rPr>
          <w:rFonts w:ascii="Arial" w:cs="Arial" w:eastAsia="Arial" w:hAnsi="Arial"/>
          <w:sz w:val="20"/>
          <w:szCs w:val="20"/>
          <w:u w:val="single" w:color="auto"/>
          <w:color w:val="auto"/>
        </w:rPr>
        <w:t>Section 5.11</w:t>
      </w:r>
      <w:r>
        <w:rPr>
          <w:rFonts w:ascii="Arial" w:cs="Arial" w:eastAsia="Arial" w:hAnsi="Arial"/>
          <w:sz w:val="20"/>
          <w:szCs w:val="20"/>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71" w:lineRule="auto"/>
        <w:tabs>
          <w:tab w:leader="none" w:pos="1954"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Centuri and the Administrative Agent, at the time or times reasonably requested by Centuri or the Administrative Agent, such properly completed and executed documentation reasonably requested by Centuri or the Administrative Agent as will permit such payments to be made without withholding or at a reduced rate of withholding. In addition, any Lender, if reasonably requested by Centuri or the Administrative Agent, shall deliver such other documentation prescribed by Applicable Law or reasonably requested by Centuri or the Administrative Agent as will enable Centuri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5.11(g)(ii)(A)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9" w:lineRule="exact"/>
        <w:rPr>
          <w:rFonts w:ascii="Arial" w:cs="Arial" w:eastAsia="Arial" w:hAnsi="Arial"/>
          <w:sz w:val="18"/>
          <w:szCs w:val="18"/>
          <w:color w:val="auto"/>
        </w:rPr>
      </w:pPr>
    </w:p>
    <w:p>
      <w:pPr>
        <w:ind w:left="1960" w:hanging="656"/>
        <w:spacing w:after="0"/>
        <w:tabs>
          <w:tab w:leader="none" w:pos="1960" w:val="left"/>
        </w:tabs>
        <w:numPr>
          <w:ilvl w:val="1"/>
          <w:numId w:val="99"/>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15" w:lineRule="exact"/>
        <w:rPr>
          <w:rFonts w:ascii="Arial" w:cs="Arial" w:eastAsia="Arial" w:hAnsi="Arial"/>
          <w:sz w:val="20"/>
          <w:szCs w:val="20"/>
          <w:color w:val="auto"/>
        </w:rPr>
      </w:pPr>
    </w:p>
    <w:p>
      <w:pPr>
        <w:ind w:left="1300" w:right="20" w:firstLine="652"/>
        <w:spacing w:after="0" w:line="260" w:lineRule="auto"/>
        <w:tabs>
          <w:tab w:leader="none" w:pos="2587" w:val="left"/>
        </w:tabs>
        <w:numPr>
          <w:ilvl w:val="2"/>
          <w:numId w:val="99"/>
        </w:numPr>
        <w:rPr>
          <w:rFonts w:ascii="Arial" w:cs="Arial" w:eastAsia="Arial" w:hAnsi="Arial"/>
          <w:sz w:val="20"/>
          <w:szCs w:val="20"/>
          <w:color w:val="auto"/>
        </w:rPr>
      </w:pPr>
      <w:r>
        <w:rPr>
          <w:rFonts w:ascii="Arial" w:cs="Arial" w:eastAsia="Arial" w:hAnsi="Arial"/>
          <w:sz w:val="20"/>
          <w:szCs w:val="20"/>
          <w:color w:val="auto"/>
        </w:rPr>
        <w:t>Any Lender that is a U.S. Person shall deliver to Centuri and the Administrative Agent on or prior to the date on which such Lender becomes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1" w:name="page152"/>
    <w:bookmarkEnd w:id="151"/>
    <w:p>
      <w:pPr>
        <w:jc w:val="both"/>
        <w:ind w:left="1300"/>
        <w:spacing w:after="0" w:line="250" w:lineRule="auto"/>
        <w:rPr>
          <w:sz w:val="20"/>
          <w:szCs w:val="20"/>
          <w:color w:val="auto"/>
        </w:rPr>
      </w:pPr>
      <w:r>
        <w:rPr>
          <w:rFonts w:ascii="Arial" w:cs="Arial" w:eastAsia="Arial" w:hAnsi="Arial"/>
          <w:sz w:val="20"/>
          <w:szCs w:val="20"/>
          <w:color w:val="auto"/>
        </w:rPr>
        <w:t>under this Agreement (and from time to time thereafter upon the reasonable request of Centuri or the Administrative Agent), executed originals of IRS Form W-9 (or any successor form) certifying that such Lender is exempt from United States federal backup withholding tax;</w:t>
      </w:r>
    </w:p>
    <w:p>
      <w:pPr>
        <w:spacing w:after="0" w:line="186" w:lineRule="exact"/>
        <w:rPr>
          <w:sz w:val="20"/>
          <w:szCs w:val="20"/>
          <w:color w:val="auto"/>
        </w:rPr>
      </w:pPr>
    </w:p>
    <w:p>
      <w:pPr>
        <w:jc w:val="both"/>
        <w:ind w:left="1300" w:firstLine="652"/>
        <w:spacing w:after="0" w:line="246" w:lineRule="auto"/>
        <w:tabs>
          <w:tab w:leader="none" w:pos="259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whichever of the following is applicable:</w:t>
      </w:r>
    </w:p>
    <w:p>
      <w:pPr>
        <w:spacing w:after="0" w:line="191" w:lineRule="exact"/>
        <w:rPr>
          <w:rFonts w:ascii="Arial" w:cs="Arial" w:eastAsia="Arial" w:hAnsi="Arial"/>
          <w:sz w:val="20"/>
          <w:szCs w:val="20"/>
          <w:color w:val="auto"/>
        </w:rPr>
      </w:pPr>
    </w:p>
    <w:p>
      <w:pPr>
        <w:jc w:val="both"/>
        <w:ind w:left="1960" w:firstLine="640"/>
        <w:spacing w:after="0" w:line="274" w:lineRule="auto"/>
        <w:tabs>
          <w:tab w:leader="none" w:pos="304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any successor form) or W-8BEN-E (or any successor form), as applicable, establishing an exemption from, or reduction of, United States federal withholding Tax pursuant to the “interest” article of such tax treaty and (y) with respect to any other applicable payments under any Loan Document, IRS Form W-8BEN (or any successor form) or W-8BEN-E (or any successor form), as applicable, establishing an exemption from, or reduction of, United States federal withholding Tax pursuant to the “business profits” or “other income” article of such tax treaty;</w:t>
      </w:r>
    </w:p>
    <w:p>
      <w:pPr>
        <w:spacing w:after="0" w:line="168" w:lineRule="exact"/>
        <w:rPr>
          <w:rFonts w:ascii="Arial" w:cs="Arial" w:eastAsia="Arial" w:hAnsi="Arial"/>
          <w:sz w:val="18"/>
          <w:szCs w:val="18"/>
          <w:color w:val="auto"/>
        </w:rPr>
      </w:pPr>
    </w:p>
    <w:p>
      <w:pPr>
        <w:ind w:left="3020" w:hanging="420"/>
        <w:spacing w:after="0"/>
        <w:tabs>
          <w:tab w:leader="none" w:pos="302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executed copies of IRS Form W-8ECI (or any successor form);</w:t>
      </w:r>
    </w:p>
    <w:p>
      <w:pPr>
        <w:spacing w:after="0" w:line="215" w:lineRule="exact"/>
        <w:rPr>
          <w:rFonts w:ascii="Arial" w:cs="Arial" w:eastAsia="Arial" w:hAnsi="Arial"/>
          <w:sz w:val="20"/>
          <w:szCs w:val="20"/>
          <w:color w:val="auto"/>
        </w:rPr>
      </w:pPr>
    </w:p>
    <w:p>
      <w:pPr>
        <w:jc w:val="both"/>
        <w:ind w:left="1960" w:firstLine="640"/>
        <w:spacing w:after="0" w:line="276" w:lineRule="auto"/>
        <w:tabs>
          <w:tab w:leader="none" w:pos="313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b w:val="1"/>
          <w:bCs w:val="1"/>
          <w:i w:val="1"/>
          <w:iCs w:val="1"/>
          <w:color w:val="auto"/>
        </w:rPr>
        <w:t>Exhibit H-1</w:t>
      </w:r>
      <w:r>
        <w:rPr>
          <w:rFonts w:ascii="Arial" w:cs="Arial" w:eastAsia="Arial" w:hAnsi="Arial"/>
          <w:sz w:val="18"/>
          <w:szCs w:val="18"/>
          <w:color w:val="auto"/>
        </w:rPr>
        <w:t xml:space="preserve"> to the effect that such Foreign Lender is not a “bank” within the meaning of Section 881(c)(3)(A) of the Code, a “10 percent shareholder” of a US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 (or any successor form) or W-8BEN-E (or any successor form), as applicable; or</w:t>
      </w:r>
    </w:p>
    <w:p>
      <w:pPr>
        <w:spacing w:after="0" w:line="164" w:lineRule="exact"/>
        <w:rPr>
          <w:rFonts w:ascii="Arial" w:cs="Arial" w:eastAsia="Arial" w:hAnsi="Arial"/>
          <w:sz w:val="18"/>
          <w:szCs w:val="18"/>
          <w:color w:val="auto"/>
        </w:rPr>
      </w:pPr>
    </w:p>
    <w:p>
      <w:pPr>
        <w:jc w:val="both"/>
        <w:ind w:left="1960" w:firstLine="640"/>
        <w:spacing w:after="0" w:line="274" w:lineRule="auto"/>
        <w:tabs>
          <w:tab w:leader="none" w:pos="30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(or any successor form), accompanied by IRS Form W-8ECI (or any successor form), IRS Form W-8BEN (or any successor form) or W-8BEN-E (or any successor form), a U.S. Tax Compliance Certificate substantially in the form of </w:t>
      </w:r>
      <w:r>
        <w:rPr>
          <w:rFonts w:ascii="Arial" w:cs="Arial" w:eastAsia="Arial" w:hAnsi="Arial"/>
          <w:sz w:val="18"/>
          <w:szCs w:val="18"/>
          <w:b w:val="1"/>
          <w:bCs w:val="1"/>
          <w:i w:val="1"/>
          <w:iCs w:val="1"/>
          <w:color w:val="auto"/>
        </w:rPr>
        <w:t>Exhibit H-2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b w:val="1"/>
          <w:bCs w:val="1"/>
          <w:i w:val="1"/>
          <w:iCs w:val="1"/>
          <w:color w:val="auto"/>
        </w:rPr>
        <w:t>Exhibit H-4</w:t>
      </w:r>
      <w:r>
        <w:rPr>
          <w:rFonts w:ascii="Arial" w:cs="Arial" w:eastAsia="Arial" w:hAnsi="Arial"/>
          <w:sz w:val="18"/>
          <w:szCs w:val="18"/>
          <w:color w:val="auto"/>
        </w:rPr>
        <w:t xml:space="preserve"> on behalf of each such direct and indirect partner;</w:t>
      </w:r>
    </w:p>
    <w:p>
      <w:pPr>
        <w:spacing w:after="0" w:line="168" w:lineRule="exact"/>
        <w:rPr>
          <w:rFonts w:ascii="Arial" w:cs="Arial" w:eastAsia="Arial" w:hAnsi="Arial"/>
          <w:sz w:val="18"/>
          <w:szCs w:val="18"/>
          <w:color w:val="auto"/>
        </w:rPr>
      </w:pPr>
    </w:p>
    <w:p>
      <w:pPr>
        <w:ind w:left="1300" w:firstLine="652"/>
        <w:spacing w:after="0" w:line="260" w:lineRule="auto"/>
        <w:tabs>
          <w:tab w:leader="none" w:pos="259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Centuri and the Administrative Agent (in such number of copies as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2" w:name="page153"/>
    <w:bookmarkEnd w:id="152"/>
    <w:p>
      <w:pPr>
        <w:jc w:val="both"/>
        <w:ind w:left="1300"/>
        <w:spacing w:after="0" w:line="278" w:lineRule="auto"/>
        <w:rPr>
          <w:sz w:val="20"/>
          <w:szCs w:val="20"/>
          <w:color w:val="auto"/>
        </w:rPr>
      </w:pPr>
      <w:r>
        <w:rPr>
          <w:rFonts w:ascii="Arial" w:cs="Arial" w:eastAsia="Arial" w:hAnsi="Arial"/>
          <w:sz w:val="18"/>
          <w:szCs w:val="18"/>
          <w:color w:val="auto"/>
        </w:rPr>
        <w:t>requested by the recipient) on or prior to the date on which such Foreign Lender becomes a Lender under this Agreement (and from time to time thereafter upon the reasonable request of Centuri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US Borrowers or the Administrative Agent to determine the withholding or deduction required to be made; and</w:t>
      </w:r>
    </w:p>
    <w:p>
      <w:pPr>
        <w:spacing w:after="0" w:line="165" w:lineRule="exact"/>
        <w:rPr>
          <w:sz w:val="20"/>
          <w:szCs w:val="20"/>
          <w:color w:val="auto"/>
        </w:rPr>
      </w:pPr>
    </w:p>
    <w:p>
      <w:pPr>
        <w:jc w:val="both"/>
        <w:ind w:left="1300" w:firstLine="652"/>
        <w:spacing w:after="0" w:line="255" w:lineRule="auto"/>
        <w:tabs>
          <w:tab w:leader="none" w:pos="258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Centuri and the Administrative Agent at the time or times prescribed by law and at such time or times reasonably requested by Centuri or the Administrative Agent such documentation prescribed by Applicable Law (including as prescribed by Section 1471(b)(3)(C)(i) of the Code) and such additional documentation reasonably requested by Centuri or the Administrative Agent as may be necessary for the US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Each Lender agrees that (x) it shall promptly notify Centuri and the Administrative Agent of any change in circumstances which would modify or render invalid any claimed exemption or reduction to withholding and (y) if any form or certification it previously delivered expires or becomes obsolete or inaccurate in any respect, it shall update such form or certification or promptly notify Centuri and the Administrative Agent in writing of its legal inability to do 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updating or notification is required to be made on account of any Canadian withholding tax if no form or certification has been previously delivered for Canadian withholding tax purposes.</w:t>
      </w:r>
    </w:p>
    <w:p>
      <w:pPr>
        <w:spacing w:after="0" w:line="165" w:lineRule="exact"/>
        <w:rPr>
          <w:sz w:val="20"/>
          <w:szCs w:val="20"/>
          <w:color w:val="auto"/>
        </w:rPr>
      </w:pPr>
    </w:p>
    <w:p>
      <w:pPr>
        <w:jc w:val="both"/>
        <w:ind w:firstLine="656"/>
        <w:spacing w:after="0" w:line="255" w:lineRule="auto"/>
        <w:tabs>
          <w:tab w:leader="none" w:pos="128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5.11</w:t>
      </w:r>
      <w:r>
        <w:rPr>
          <w:rFonts w:ascii="Arial" w:cs="Arial" w:eastAsia="Arial" w:hAnsi="Arial"/>
          <w:sz w:val="19"/>
          <w:szCs w:val="19"/>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3" w:name="page154"/>
    <w:bookmarkEnd w:id="153"/>
    <w:p>
      <w:pPr>
        <w:spacing w:after="0" w:line="260" w:lineRule="auto"/>
        <w:rPr>
          <w:sz w:val="20"/>
          <w:szCs w:val="20"/>
          <w:color w:val="auto"/>
        </w:rPr>
      </w:pPr>
      <w:r>
        <w:rPr>
          <w:rFonts w:ascii="Arial" w:cs="Arial" w:eastAsia="Arial" w:hAnsi="Arial"/>
          <w:sz w:val="20"/>
          <w:szCs w:val="20"/>
          <w:color w:val="auto"/>
        </w:rPr>
        <w:t>any indemnified party to make available its Tax returns (or any other information relating to its Taxes that it deems confidential) to the indemnifying party or any other Person.</w:t>
      </w:r>
    </w:p>
    <w:p>
      <w:pPr>
        <w:spacing w:after="0" w:line="177" w:lineRule="exact"/>
        <w:rPr>
          <w:sz w:val="20"/>
          <w:szCs w:val="20"/>
          <w:color w:val="auto"/>
        </w:rPr>
      </w:pPr>
    </w:p>
    <w:p>
      <w:pPr>
        <w:jc w:val="both"/>
        <w:ind w:firstLine="656"/>
        <w:spacing w:after="0" w:line="250" w:lineRule="auto"/>
        <w:tabs>
          <w:tab w:leader="none" w:pos="1294"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V.12</w:t>
      </w:r>
      <w:r>
        <w:rPr>
          <w:rFonts w:ascii="Arial" w:cs="Arial" w:eastAsia="Arial" w:hAnsi="Arial"/>
          <w:sz w:val="20"/>
          <w:szCs w:val="20"/>
          <w:u w:val="single" w:color="auto"/>
          <w:color w:val="auto"/>
        </w:rPr>
        <w:t>Mitigation Obligations; Replacement of Lenders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6" w:lineRule="auto"/>
        <w:tabs>
          <w:tab w:leader="none" w:pos="128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requires any Borrower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or determines that it is unable to fulfill its obligations hereunder due to illegality pursuant to </w:t>
      </w:r>
      <w:r>
        <w:rPr>
          <w:rFonts w:ascii="Arial" w:cs="Arial" w:eastAsia="Arial" w:hAnsi="Arial"/>
          <w:sz w:val="19"/>
          <w:szCs w:val="19"/>
          <w:u w:val="single" w:color="auto"/>
          <w:color w:val="auto"/>
        </w:rPr>
        <w:t>Section 5.8(d)</w:t>
      </w:r>
      <w:r>
        <w:rPr>
          <w:rFonts w:ascii="Arial" w:cs="Arial" w:eastAsia="Arial" w:hAnsi="Arial"/>
          <w:sz w:val="19"/>
          <w:szCs w:val="19"/>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or avoid illegality under </w:t>
      </w:r>
      <w:r>
        <w:rPr>
          <w:rFonts w:ascii="Arial" w:cs="Arial" w:eastAsia="Arial" w:hAnsi="Arial"/>
          <w:sz w:val="19"/>
          <w:szCs w:val="19"/>
          <w:u w:val="single" w:color="auto"/>
          <w:color w:val="auto"/>
        </w:rPr>
        <w:t>Section 5.8(d)</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184" w:lineRule="exact"/>
        <w:rPr>
          <w:rFonts w:ascii="Arial" w:cs="Arial" w:eastAsia="Arial" w:hAnsi="Arial"/>
          <w:sz w:val="19"/>
          <w:szCs w:val="19"/>
          <w:color w:val="auto"/>
        </w:rPr>
      </w:pPr>
    </w:p>
    <w:p>
      <w:pPr>
        <w:jc w:val="both"/>
        <w:ind w:firstLine="656"/>
        <w:spacing w:after="0" w:line="272" w:lineRule="auto"/>
        <w:tabs>
          <w:tab w:leader="none" w:pos="128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if the Borrowers are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any Lender determines that it is unable to fulfill its obligations hereunder due to illegality pursuant to </w:t>
      </w:r>
      <w:r>
        <w:rPr>
          <w:rFonts w:ascii="Arial" w:cs="Arial" w:eastAsia="Arial" w:hAnsi="Arial"/>
          <w:sz w:val="18"/>
          <w:szCs w:val="18"/>
          <w:u w:val="single" w:color="auto"/>
          <w:color w:val="auto"/>
        </w:rPr>
        <w:t>Section 5.8(d)</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or if any Lender is a Defaulting Lender or a Non-Consenting Lender,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the Borrowers shall have paid to the Administrative Agent the assignment fee (if any) specified in </w:t>
      </w:r>
      <w:r>
        <w:rPr>
          <w:rFonts w:ascii="Arial" w:cs="Arial" w:eastAsia="Arial" w:hAnsi="Arial"/>
          <w:sz w:val="19"/>
          <w:szCs w:val="19"/>
          <w:u w:val="single" w:color="auto"/>
          <w:color w:val="auto"/>
        </w:rPr>
        <w:t>Section 12.9</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left="660" w:firstLine="644"/>
        <w:spacing w:after="0" w:line="263" w:lineRule="auto"/>
        <w:tabs>
          <w:tab w:leader="none" w:pos="1955"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Arial" w:cs="Arial" w:eastAsia="Arial" w:hAnsi="Arial"/>
          <w:sz w:val="19"/>
          <w:szCs w:val="19"/>
          <w:u w:val="single" w:color="auto"/>
          <w:color w:val="auto"/>
        </w:rPr>
        <w:t>Section 5.9</w:t>
      </w:r>
      <w:r>
        <w:rPr>
          <w:rFonts w:ascii="Arial" w:cs="Arial" w:eastAsia="Arial" w:hAnsi="Arial"/>
          <w:sz w:val="19"/>
          <w:szCs w:val="19"/>
          <w:color w:val="auto"/>
        </w:rPr>
        <w:t>) from the assignee (to the extent of such outstanding principal and accrued interest and fees) or the Borrowers (in the case of all other amounts);</w:t>
      </w:r>
    </w:p>
    <w:p>
      <w:pPr>
        <w:spacing w:after="0" w:line="176" w:lineRule="exact"/>
        <w:rPr>
          <w:rFonts w:ascii="Arial" w:cs="Arial" w:eastAsia="Arial" w:hAnsi="Arial"/>
          <w:sz w:val="19"/>
          <w:szCs w:val="19"/>
          <w:color w:val="auto"/>
        </w:rPr>
      </w:pPr>
    </w:p>
    <w:p>
      <w:pPr>
        <w:ind w:left="660" w:right="20" w:firstLine="644"/>
        <w:spacing w:after="0" w:line="385" w:lineRule="auto"/>
        <w:tabs>
          <w:tab w:leader="none" w:pos="195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claim for compensation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assignment will result in a reduction in such compensation or payments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4" w:name="page155"/>
    <w:bookmarkEnd w:id="154"/>
    <w:p>
      <w:pPr>
        <w:ind w:left="1940" w:hanging="636"/>
        <w:spacing w:after="0"/>
        <w:tabs>
          <w:tab w:leader="none" w:pos="19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215"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 the case of any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Each party hereto agrees that (x) an assignment required pursuant to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may be effected pursuant to an Assignment and Assumption executed by Centuri, the Administrative Agent and the assignee and (y) the Lender required to make such assignment need not be a party thereto in order for such assignment to be effective and shall be deemed to have consented to and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or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documents shall be without recourse to or warranty by the parties thereto.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V.13</w:t>
      </w:r>
      <w:r>
        <w:rPr>
          <w:rFonts w:ascii="Arial" w:cs="Arial" w:eastAsia="Arial" w:hAnsi="Arial"/>
          <w:sz w:val="20"/>
          <w:szCs w:val="20"/>
          <w:u w:val="single" w:color="auto"/>
          <w:color w:val="auto"/>
        </w:rPr>
        <w:t>Incremental Loans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8" w:lineRule="auto"/>
        <w:tabs>
          <w:tab w:leader="none" w:pos="128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At any time after the Closing Date, upon written notice to the Administrative Agent, the US Borrowers, or the Canadian Borrowers, as applicable, may, from time to time, request (i) one or more incremental term loans, including a borrowing of an additional term loan, the principal amount of which will be added to the tranche of Term Loan with the latest maturity date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or (ii) one or more increases in the Revolving Credit Commitments (an “</w:t>
      </w:r>
      <w:r>
        <w:rPr>
          <w:rFonts w:ascii="Arial" w:cs="Arial" w:eastAsia="Arial" w:hAnsi="Arial"/>
          <w:sz w:val="18"/>
          <w:szCs w:val="18"/>
          <w:u w:val="single" w:color="auto"/>
          <w:color w:val="auto"/>
        </w:rPr>
        <w:t>Incremental Revolving Credit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w:t>
      </w:r>
      <w:r>
        <w:rPr>
          <w:rFonts w:ascii="Arial" w:cs="Arial" w:eastAsia="Arial" w:hAnsi="Arial"/>
          <w:sz w:val="18"/>
          <w:szCs w:val="18"/>
          <w:color w:val="auto"/>
        </w:rPr>
        <w:t>” and, together with the initial principal amount of the Incremental Term Loans, the “</w:t>
      </w:r>
      <w:r>
        <w:rPr>
          <w:rFonts w:ascii="Arial" w:cs="Arial" w:eastAsia="Arial" w:hAnsi="Arial"/>
          <w:sz w:val="18"/>
          <w:szCs w:val="18"/>
          <w:u w:val="single" w:color="auto"/>
          <w:color w:val="auto"/>
        </w:rPr>
        <w:t>Incremental Increases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for all such Incremental Increases and Incremental Equivalent Indebtedness incurred after the Closing Date shall not exceed the sum of (1) the greater of $300,000,000 and Consolidated EBITDA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 plus</w:t>
      </w:r>
      <w:r>
        <w:rPr>
          <w:rFonts w:ascii="Arial" w:cs="Arial" w:eastAsia="Arial" w:hAnsi="Arial"/>
          <w:sz w:val="18"/>
          <w:szCs w:val="18"/>
          <w:color w:val="auto"/>
        </w:rPr>
        <w:t xml:space="preserve"> (2) an amount which, after giving pro forma effect to such Incremental Increase and/or Incremental Equivalent Indebtedness (assuming that the entire Incremental Increase and/or Incremental Equivalent Indebtedness is funded on the effective date thereof and after giving effect to the use of proceeds thereof and any permanent repayment of Indebtedness in connection therewith) pursuant to this clause (2), would not cause the Consolidated Net Leverage Ratio,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 xml:space="preserve"> (or in the case of any Incremental Term Loan, the proceeds of which will finance a substantially concurrent Limited Condition Acquisition, as of the LCA Test Date), to exceed 4.00 to 1.00 (in each case, as demonstrated by Centuri in a written certification to the Administrative Agent), (B) any such request for an increase shall be in a minimum amount of $5,000,000 (or C$5,000,000) for any Incremental Term Loan and $5,000,000 for any Incremental Revolving Credit Facility Increase or, if less, the remaining amount permitted pursuant to the foregoing clause (A) and (C) no Lender will be required or otherwise obligated to provide any portion of such Incremental Increase. Incremental Term Loans may be made to the US Borrowers in Dollars or to the Canadian Borrowers in Canadian Dollars. Unless the applicable Borrower otherwise notifies the Administrative Agent, if all or any portion of any Incremental Increases or Incremental Equivalent Indebtedness would be permitted under clause (A)(2) above on the applicable date of incurrence,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5" w:name="page156"/>
    <w:bookmarkEnd w:id="155"/>
    <w:p>
      <w:pPr>
        <w:spacing w:after="0" w:line="260" w:lineRule="auto"/>
        <w:rPr>
          <w:sz w:val="20"/>
          <w:szCs w:val="20"/>
          <w:color w:val="auto"/>
        </w:rPr>
      </w:pPr>
      <w:r>
        <w:rPr>
          <w:rFonts w:ascii="Arial" w:cs="Arial" w:eastAsia="Arial" w:hAnsi="Arial"/>
          <w:sz w:val="20"/>
          <w:szCs w:val="20"/>
          <w:color w:val="auto"/>
        </w:rPr>
        <w:t>Incremental Increases or Incremental Equivalent Indebtedness (or the relevant portion thereof) shall be deemed to have been incurred in reliance on clause (A)(2) above prior to the utilization of any amount available under clause (A)(1) above.</w:t>
      </w:r>
    </w:p>
    <w:p>
      <w:pPr>
        <w:spacing w:after="0" w:line="177" w:lineRule="exact"/>
        <w:rPr>
          <w:sz w:val="20"/>
          <w:szCs w:val="20"/>
          <w:color w:val="auto"/>
        </w:rPr>
      </w:pPr>
    </w:p>
    <w:p>
      <w:pPr>
        <w:jc w:val="both"/>
        <w:ind w:firstLine="656"/>
        <w:spacing w:after="0" w:line="255" w:lineRule="auto"/>
        <w:tabs>
          <w:tab w:leader="none" w:pos="128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Incremental Lenders</w:t>
      </w:r>
      <w:r>
        <w:rPr>
          <w:rFonts w:ascii="Arial" w:cs="Arial" w:eastAsia="Arial" w:hAnsi="Arial"/>
          <w:sz w:val="19"/>
          <w:szCs w:val="19"/>
          <w:color w:val="auto"/>
        </w:rPr>
        <w:t>. Each notice from the applicable Borrower pursuant to this Section shall set forth the requested amount, currency and proposed terms of the relevant Incremental Increase. Incremental Increases may be provided by any existing Lender or by any other Persons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each Issuing Lender and/or each Swingline Lender, as applicable, shall have consented (not to be unreasonably withheld, conditioned or delayed) to such Incremental Lender’s providing such Incremental Increases to the extent any such consent would be required under </w:t>
      </w:r>
      <w:r>
        <w:rPr>
          <w:rFonts w:ascii="Arial" w:cs="Arial" w:eastAsia="Arial" w:hAnsi="Arial"/>
          <w:sz w:val="19"/>
          <w:szCs w:val="19"/>
          <w:u w:val="single" w:color="auto"/>
          <w:color w:val="auto"/>
        </w:rPr>
        <w:t>Section 12.9(b)</w:t>
      </w:r>
      <w:r>
        <w:rPr>
          <w:rFonts w:ascii="Arial" w:cs="Arial" w:eastAsia="Arial" w:hAnsi="Arial"/>
          <w:sz w:val="19"/>
          <w:szCs w:val="19"/>
          <w:color w:val="auto"/>
        </w:rPr>
        <w:t xml:space="preserve"> for an assignment of Loans or Revolving Credit Commitments, as applicable, to such Incremental Lender. At the time of sending such notice, the applicable Borrower (in consultation with the Administrative Agent) shall specify the time period within which each Incremental Lender is requested to respond, which shall in no event be less than ten (10) Business Days from the date of delivery of such notice to the proposed Incremental Lenders (or such shorter period as may be approved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184" w:lineRule="exact"/>
        <w:rPr>
          <w:rFonts w:ascii="Arial" w:cs="Arial" w:eastAsia="Arial" w:hAnsi="Arial"/>
          <w:sz w:val="19"/>
          <w:szCs w:val="19"/>
          <w:color w:val="auto"/>
        </w:rPr>
      </w:pPr>
    </w:p>
    <w:p>
      <w:pPr>
        <w:jc w:val="both"/>
        <w:ind w:firstLine="656"/>
        <w:spacing w:after="0" w:line="246" w:lineRule="auto"/>
        <w:tabs>
          <w:tab w:leader="none" w:pos="1286"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Increase Effective Date and Allocations</w:t>
      </w:r>
      <w:r>
        <w:rPr>
          <w:rFonts w:ascii="Arial" w:cs="Arial" w:eastAsia="Arial" w:hAnsi="Arial"/>
          <w:sz w:val="20"/>
          <w:szCs w:val="20"/>
          <w:color w:val="auto"/>
        </w:rPr>
        <w:t>. The Administrative Agent and the applicable Borrower shall determine the effective date (the “</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and the final allocation of such Incremental Increase (limited in the case of the Incremental Lenders to their own respective allocations thereof). The Administrative Agent shall promptly notify the applicable Borrower and the Incremental Lenders of the final allocation of such Incremental Increases and the Increase Effective Date.</w:t>
      </w:r>
    </w:p>
    <w:p>
      <w:pPr>
        <w:spacing w:after="0" w:line="191" w:lineRule="exact"/>
        <w:rPr>
          <w:rFonts w:ascii="Arial" w:cs="Arial" w:eastAsia="Arial" w:hAnsi="Arial"/>
          <w:sz w:val="20"/>
          <w:szCs w:val="20"/>
          <w:color w:val="auto"/>
        </w:rPr>
      </w:pPr>
    </w:p>
    <w:p>
      <w:pPr>
        <w:ind w:firstLine="656"/>
        <w:spacing w:after="0" w:line="287" w:lineRule="auto"/>
        <w:tabs>
          <w:tab w:leader="none" w:pos="128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Terms of Incremental Increases</w:t>
      </w:r>
      <w:r>
        <w:rPr>
          <w:rFonts w:ascii="Arial" w:cs="Arial" w:eastAsia="Arial" w:hAnsi="Arial"/>
          <w:sz w:val="19"/>
          <w:szCs w:val="19"/>
          <w:color w:val="auto"/>
        </w:rPr>
        <w:t xml:space="preserve">. The terms of each Incremental Increase (which shall be set forth in the relevant Incremental Amendment) shall be determined by the applicable Borrowers and the applicable Incremental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2" w:lineRule="exact"/>
        <w:rPr>
          <w:rFonts w:ascii="Arial" w:cs="Arial" w:eastAsia="Arial" w:hAnsi="Arial"/>
          <w:sz w:val="19"/>
          <w:szCs w:val="19"/>
          <w:color w:val="auto"/>
        </w:rPr>
      </w:pPr>
    </w:p>
    <w:p>
      <w:pPr>
        <w:ind w:left="1940" w:hanging="636"/>
        <w:spacing w:after="0"/>
        <w:tabs>
          <w:tab w:leader="none" w:pos="194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in the case of each Incremental Term Loan (the terms of which shall be set forth in the relevant Incremental</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Amendment):</w:t>
      </w:r>
    </w:p>
    <w:p>
      <w:pPr>
        <w:spacing w:after="0" w:line="199" w:lineRule="exact"/>
        <w:rPr>
          <w:rFonts w:ascii="Arial" w:cs="Arial" w:eastAsia="Arial" w:hAnsi="Arial"/>
          <w:sz w:val="19"/>
          <w:szCs w:val="19"/>
          <w:color w:val="auto"/>
        </w:rPr>
      </w:pPr>
    </w:p>
    <w:p>
      <w:pPr>
        <w:jc w:val="both"/>
        <w:ind w:left="1300" w:firstLine="652"/>
        <w:spacing w:after="0" w:line="242" w:lineRule="auto"/>
        <w:tabs>
          <w:tab w:leader="none" w:pos="2587" w:val="left"/>
        </w:tabs>
        <w:numPr>
          <w:ilvl w:val="2"/>
          <w:numId w:val="107"/>
        </w:numPr>
        <w:rPr>
          <w:rFonts w:ascii="Arial" w:cs="Arial" w:eastAsia="Arial" w:hAnsi="Arial"/>
          <w:sz w:val="20"/>
          <w:szCs w:val="20"/>
          <w:color w:val="auto"/>
        </w:rPr>
      </w:pPr>
      <w:r>
        <w:rPr>
          <w:rFonts w:ascii="Arial" w:cs="Arial" w:eastAsia="Arial" w:hAnsi="Arial"/>
          <w:sz w:val="20"/>
          <w:szCs w:val="20"/>
          <w:color w:val="auto"/>
        </w:rPr>
        <w:t xml:space="preserve">the maturity of any such Incremental Term Loan shall not be earlier than the then the latest scheduled maturity date of the Loans and Commitments in effect as of the Increase Effective Date and the Weighted Average Life to Maturity of any such Incremental Term Loan shall not be shorter than the remaining Weighted Average Life to Maturity of such latest maturing Term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restrictions of this clause (A) shall not apply to the extent such Incremental Term Loan constitutes a customary bridge or similar facility that is to be automatically converted or exchanged into notes or other permitted Indebtedness that otherwise would satisfy this clause (A) so long as such conversion or exchange is subject only to conditions customary for similar conversions and exchanges and the applicable Borrower irrevocably agrees at the time of incurrence thereof to take all actions necessary to convert or exchange such Incremental Term Loan);</w:t>
      </w:r>
    </w:p>
    <w:p>
      <w:pPr>
        <w:spacing w:after="0" w:line="194" w:lineRule="exact"/>
        <w:rPr>
          <w:rFonts w:ascii="Arial" w:cs="Arial" w:eastAsia="Arial" w:hAnsi="Arial"/>
          <w:sz w:val="20"/>
          <w:szCs w:val="20"/>
          <w:color w:val="auto"/>
        </w:rPr>
      </w:pPr>
    </w:p>
    <w:p>
      <w:pPr>
        <w:ind w:left="1300" w:firstLine="652"/>
        <w:spacing w:after="0" w:line="260" w:lineRule="auto"/>
        <w:tabs>
          <w:tab w:leader="none" w:pos="2590" w:val="left"/>
        </w:tabs>
        <w:numPr>
          <w:ilvl w:val="2"/>
          <w:numId w:val="107"/>
        </w:numPr>
        <w:rPr>
          <w:rFonts w:ascii="Arial" w:cs="Arial" w:eastAsia="Arial" w:hAnsi="Arial"/>
          <w:sz w:val="20"/>
          <w:szCs w:val="20"/>
          <w:color w:val="auto"/>
        </w:rPr>
      </w:pPr>
      <w:r>
        <w:rPr>
          <w:rFonts w:ascii="Arial" w:cs="Arial" w:eastAsia="Arial" w:hAnsi="Arial"/>
          <w:sz w:val="20"/>
          <w:szCs w:val="20"/>
          <w:color w:val="auto"/>
        </w:rPr>
        <w:t>the All-In Yield and pricing grid, if applicable, for such Incremental Term Loan shall be determined by the applicable Incremental Lenders and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6" w:name="page157"/>
    <w:bookmarkEnd w:id="156"/>
    <w:p>
      <w:pPr>
        <w:jc w:val="both"/>
        <w:ind w:left="1300"/>
        <w:spacing w:after="0" w:line="260" w:lineRule="auto"/>
        <w:rPr>
          <w:sz w:val="20"/>
          <w:szCs w:val="20"/>
          <w:color w:val="auto"/>
        </w:rPr>
      </w:pPr>
      <w:r>
        <w:rPr>
          <w:rFonts w:ascii="Arial" w:cs="Arial" w:eastAsia="Arial" w:hAnsi="Arial"/>
          <w:sz w:val="19"/>
          <w:szCs w:val="19"/>
          <w:color w:val="auto"/>
        </w:rPr>
        <w:t xml:space="preserve">Borrower on the applicable Increase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All-In Yield in respect of any Incremental Term Loan incurred on or prior to the date that is six (6) months after the Closing Date exceeds the All-In Yield for the Initial Term Loan (as reasonably determined by the Administrative Agent) by more than 0.50%, then the Applicable Margin for the Initial Term Loan shall be increased so that the All-In Yield in respect of such Initial Term Loan is equal to the All-In Yield for such Incremental Term Loan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0.50% (determined at each level of each applicable pricing grid);</w:t>
      </w:r>
    </w:p>
    <w:p>
      <w:pPr>
        <w:spacing w:after="0" w:line="180" w:lineRule="exact"/>
        <w:rPr>
          <w:sz w:val="20"/>
          <w:szCs w:val="20"/>
          <w:color w:val="auto"/>
        </w:rPr>
      </w:pPr>
    </w:p>
    <w:p>
      <w:pPr>
        <w:jc w:val="both"/>
        <w:ind w:left="1300" w:firstLine="652"/>
        <w:spacing w:after="0" w:line="263" w:lineRule="auto"/>
        <w:tabs>
          <w:tab w:leader="none" w:pos="259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any mandatory prepayment (other than scheduled amortization payments) of each Incremental Term Loan shall be made on a pro rata basis with all then existing Term Loans, except that the applicable Borrower and the Incremental Lenders in respect of such Incremental Term Loan may, in their sole discretion, elect to prepay or receive, as applicable, any prepayments on a less than pro rata basis (but not on a greater than pro rata basis); and</w:t>
      </w:r>
    </w:p>
    <w:p>
      <w:pPr>
        <w:spacing w:after="0" w:line="176" w:lineRule="exact"/>
        <w:rPr>
          <w:rFonts w:ascii="Arial" w:cs="Arial" w:eastAsia="Arial" w:hAnsi="Arial"/>
          <w:sz w:val="19"/>
          <w:szCs w:val="19"/>
          <w:color w:val="auto"/>
        </w:rPr>
      </w:pPr>
    </w:p>
    <w:p>
      <w:pPr>
        <w:jc w:val="both"/>
        <w:ind w:left="1300" w:firstLine="652"/>
        <w:spacing w:after="0" w:line="244" w:lineRule="auto"/>
        <w:tabs>
          <w:tab w:leader="none" w:pos="2587" w:val="left"/>
        </w:tabs>
        <w:numPr>
          <w:ilvl w:val="1"/>
          <w:numId w:val="108"/>
        </w:numPr>
        <w:rPr>
          <w:rFonts w:ascii="Arial" w:cs="Arial" w:eastAsia="Arial" w:hAnsi="Arial"/>
          <w:sz w:val="20"/>
          <w:szCs w:val="20"/>
          <w:color w:val="auto"/>
        </w:rPr>
      </w:pPr>
      <w:r>
        <w:rPr>
          <w:rFonts w:ascii="Arial" w:cs="Arial" w:eastAsia="Arial" w:hAnsi="Arial"/>
          <w:sz w:val="20"/>
          <w:szCs w:val="20"/>
          <w:color w:val="auto"/>
        </w:rPr>
        <w:t>except as provided above, all other terms and conditions applicable to any Incremental Term Loan shall be consistent with the terms and conditions of the Initial Term Loan or otherwise reasonably satisfactory to the Administrative Agent and the applicable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other terms and conditions, taken as a whole, shall not be more favorable to the Lenders under any Incremental Term Loans than such other terms and conditions, taken as a whole, under the Initial Term Loans);</w:t>
      </w:r>
    </w:p>
    <w:p>
      <w:pPr>
        <w:spacing w:after="0" w:line="194" w:lineRule="exact"/>
        <w:rPr>
          <w:rFonts w:ascii="Arial" w:cs="Arial" w:eastAsia="Arial" w:hAnsi="Arial"/>
          <w:sz w:val="20"/>
          <w:szCs w:val="20"/>
          <w:color w:val="auto"/>
        </w:rPr>
      </w:pPr>
    </w:p>
    <w:p>
      <w:pPr>
        <w:ind w:left="660" w:firstLine="644"/>
        <w:spacing w:after="0" w:line="260" w:lineRule="auto"/>
        <w:tabs>
          <w:tab w:leader="none" w:pos="195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case of each Incremental Revolving Credit Facility Increase (the terms of which shall be set forth in the relevant Incremental Amendment):</w:t>
      </w:r>
    </w:p>
    <w:p>
      <w:pPr>
        <w:spacing w:after="0" w:line="176" w:lineRule="exact"/>
        <w:rPr>
          <w:rFonts w:ascii="Arial" w:cs="Arial" w:eastAsia="Arial" w:hAnsi="Arial"/>
          <w:sz w:val="20"/>
          <w:szCs w:val="20"/>
          <w:color w:val="auto"/>
        </w:rPr>
      </w:pPr>
    </w:p>
    <w:p>
      <w:pPr>
        <w:ind w:left="1300" w:right="20" w:firstLine="652"/>
        <w:spacing w:after="0" w:line="316" w:lineRule="auto"/>
        <w:tabs>
          <w:tab w:leader="none" w:pos="258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Revolving Credit Loans made with respect to the Incremental Revolving Credit Facility Increase shall mature on the Revolving Credit Maturity Date and shall bear interest at the rate applicable to the Revolving Credit Loans;</w:t>
      </w:r>
    </w:p>
    <w:p>
      <w:pPr>
        <w:spacing w:after="0" w:line="129" w:lineRule="exact"/>
        <w:rPr>
          <w:rFonts w:ascii="Arial" w:cs="Arial" w:eastAsia="Arial" w:hAnsi="Arial"/>
          <w:sz w:val="18"/>
          <w:szCs w:val="18"/>
          <w:color w:val="auto"/>
        </w:rPr>
      </w:pPr>
    </w:p>
    <w:p>
      <w:pPr>
        <w:jc w:val="both"/>
        <w:ind w:left="1300" w:firstLine="652"/>
        <w:spacing w:after="0" w:line="274" w:lineRule="auto"/>
        <w:tabs>
          <w:tab w:leader="none" w:pos="24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Revolving Credit Facility Increase) agree to make all payments and adjustments necessary to effect such reallocation and the applicable Borrower shall pay any and all costs required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in connection with such reallocation as if such reallocation were a repayment); and</w:t>
      </w:r>
    </w:p>
    <w:p>
      <w:pPr>
        <w:spacing w:after="0" w:line="168" w:lineRule="exact"/>
        <w:rPr>
          <w:rFonts w:ascii="Arial" w:cs="Arial" w:eastAsia="Arial" w:hAnsi="Arial"/>
          <w:sz w:val="18"/>
          <w:szCs w:val="18"/>
          <w:color w:val="auto"/>
        </w:rPr>
      </w:pPr>
    </w:p>
    <w:p>
      <w:pPr>
        <w:jc w:val="both"/>
        <w:ind w:left="1300" w:firstLine="652"/>
        <w:spacing w:after="0" w:line="246" w:lineRule="auto"/>
        <w:tabs>
          <w:tab w:leader="none" w:pos="2518" w:val="left"/>
        </w:tabs>
        <w:numPr>
          <w:ilvl w:val="1"/>
          <w:numId w:val="109"/>
        </w:numPr>
        <w:rPr>
          <w:rFonts w:ascii="Arial" w:cs="Arial" w:eastAsia="Arial" w:hAnsi="Arial"/>
          <w:sz w:val="20"/>
          <w:szCs w:val="20"/>
          <w:color w:val="auto"/>
        </w:rPr>
      </w:pPr>
      <w:r>
        <w:rPr>
          <w:rFonts w:ascii="Arial" w:cs="Arial" w:eastAsia="Arial" w:hAnsi="Arial"/>
          <w:sz w:val="20"/>
          <w:szCs w:val="20"/>
          <w:color w:val="auto"/>
        </w:rPr>
        <w:t xml:space="preserve">except as provided above, all of the other terms and conditions applicable to such Incremental Revolving Credit Facility Increase shall, except to the extent otherwise provided in this </w:t>
      </w:r>
      <w:r>
        <w:rPr>
          <w:rFonts w:ascii="Arial" w:cs="Arial" w:eastAsia="Arial" w:hAnsi="Arial"/>
          <w:sz w:val="20"/>
          <w:szCs w:val="20"/>
          <w:u w:val="single" w:color="auto"/>
          <w:color w:val="auto"/>
        </w:rPr>
        <w:t>Section 5.13</w:t>
      </w:r>
      <w:r>
        <w:rPr>
          <w:rFonts w:ascii="Arial" w:cs="Arial" w:eastAsia="Arial" w:hAnsi="Arial"/>
          <w:sz w:val="20"/>
          <w:szCs w:val="20"/>
          <w:color w:val="auto"/>
        </w:rPr>
        <w:t>, be identical to the terms and conditions applicable to the Revolving Credit Facility, including the Applicable Margin and unused fees (but may have different upfront fees);</w:t>
      </w:r>
    </w:p>
    <w:p>
      <w:pPr>
        <w:spacing w:after="0" w:line="191"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Incremental Increase shall constitute US Obligations of the US Borrowers or Canadian Obligations of the Canadian Borrowers, as applicable, and shall be secured and guaranteed with the other Extensions of Credit on a pari passu basis;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7" w:name="page158"/>
    <w:bookmarkEnd w:id="157"/>
    <w:p>
      <w:pPr>
        <w:jc w:val="both"/>
        <w:ind w:left="660" w:firstLine="644"/>
        <w:spacing w:after="0" w:line="246" w:lineRule="auto"/>
        <w:tabs>
          <w:tab w:leader="none" w:pos="1945"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any Incremental Lender with an Incremental Revolving Credit Facility Increase shall be entitled to the same voting rights as the existing Revolving Credit Lenders under the Revolving Credit Facility and any Extensions of Credit made in connection with each Incremental Revolving Credit Facility Increase shall receive proceeds of prepayments on the same basis as the other Revolving Credit Loans made hereunder.</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86"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 of Incremental Increases</w:t>
      </w:r>
      <w:r>
        <w:rPr>
          <w:rFonts w:ascii="Arial" w:cs="Arial" w:eastAsia="Arial" w:hAnsi="Arial"/>
          <w:sz w:val="20"/>
          <w:szCs w:val="20"/>
          <w:color w:val="auto"/>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Acquisition, shall be subject to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660" w:right="20" w:firstLine="644"/>
        <w:spacing w:after="0" w:line="260" w:lineRule="auto"/>
        <w:tabs>
          <w:tab w:leader="none" w:pos="195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no Default or Event of Default shall exist on such Increase Effective Date immediately prior to or after giving effect to (A) such Incremental Increase or (B) the making of any Extensions of Credit pursuant thereto;</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5"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all of the representations and warranties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shall be true and correct in all material respects (or if qualified by materiality or Material Adverse Effect, in all respects) as of such Increase Effective Date, or if such representation speaks as of an earlier date, as of such earlier date;</w:t>
      </w:r>
    </w:p>
    <w:p>
      <w:pPr>
        <w:spacing w:after="0" w:line="185"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from Centuri, an Officer’s Compliance Certificate demonstrating that the Consolidated Companies are in pro forma compliance with the financial covenants set forth in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(based on the financial statements most recently delivered pursuant to </w:t>
      </w:r>
      <w:r>
        <w:rPr>
          <w:rFonts w:ascii="Arial" w:cs="Arial" w:eastAsia="Arial" w:hAnsi="Arial"/>
          <w:sz w:val="20"/>
          <w:szCs w:val="20"/>
          <w:u w:val="single" w:color="auto"/>
          <w:color w:val="auto"/>
        </w:rPr>
        <w:t>Section 8.1</w:t>
      </w:r>
      <w:r>
        <w:rPr>
          <w:rFonts w:ascii="Arial" w:cs="Arial" w:eastAsia="Arial" w:hAnsi="Arial"/>
          <w:sz w:val="20"/>
          <w:szCs w:val="20"/>
          <w:color w:val="auto"/>
        </w:rPr>
        <w:t>) after giving effect to such Incremental Increase (assuming that the entire applicable Incremental Term Loan and/or Incremental Revolving Credit Facility Increase is fully funded on the effective date thereof) and any Permitted Acquisition, refinancing of Indebtedness or other event consummated in connection therewith giving rise to a Pro Forma Basis adjustment;</w:t>
      </w:r>
    </w:p>
    <w:p>
      <w:pPr>
        <w:spacing w:after="0" w:line="195" w:lineRule="exact"/>
        <w:rPr>
          <w:rFonts w:ascii="Arial" w:cs="Arial" w:eastAsia="Arial" w:hAnsi="Arial"/>
          <w:sz w:val="20"/>
          <w:szCs w:val="20"/>
          <w:color w:val="auto"/>
        </w:rPr>
      </w:pPr>
    </w:p>
    <w:p>
      <w:pPr>
        <w:ind w:left="660" w:firstLine="644"/>
        <w:spacing w:after="0" w:line="260" w:lineRule="auto"/>
        <w:tabs>
          <w:tab w:leader="none" w:pos="1945"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Credit Parties shall have executed an Incremental Amendment in form and substance reasonably acceptable to the applicable Borrower and the applicable Incremental Lenders; and</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94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the applicable Borrower, any customary legal opinions or other documents (including a resolution duly adopted by the board of directors (or equivalent governing body) of each Credit Party authorizing such Incremental Increase), and other documents reasonably requested by Administrative Agent in connection with such Incremental Increase.</w:t>
      </w:r>
    </w:p>
    <w:p>
      <w:pPr>
        <w:spacing w:after="0" w:line="191" w:lineRule="exact"/>
        <w:rPr>
          <w:rFonts w:ascii="Arial" w:cs="Arial" w:eastAsia="Arial" w:hAnsi="Arial"/>
          <w:sz w:val="20"/>
          <w:szCs w:val="20"/>
          <w:color w:val="auto"/>
        </w:rPr>
      </w:pPr>
    </w:p>
    <w:p>
      <w:pPr>
        <w:jc w:val="both"/>
        <w:ind w:firstLine="656"/>
        <w:spacing w:after="0" w:line="244" w:lineRule="auto"/>
        <w:tabs>
          <w:tab w:leader="none" w:pos="1291"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Incremental Amendments</w:t>
      </w:r>
      <w:r>
        <w:rPr>
          <w:rFonts w:ascii="Arial" w:cs="Arial" w:eastAsia="Arial" w:hAnsi="Arial"/>
          <w:sz w:val="20"/>
          <w:szCs w:val="20"/>
          <w:color w:val="auto"/>
        </w:rPr>
        <w:t>. Each such Incremental Increase shall be effected pursuant to an amendment (an “</w:t>
      </w:r>
      <w:r>
        <w:rPr>
          <w:rFonts w:ascii="Arial" w:cs="Arial" w:eastAsia="Arial" w:hAnsi="Arial"/>
          <w:sz w:val="20"/>
          <w:szCs w:val="20"/>
          <w:u w:val="single" w:color="auto"/>
          <w:color w:val="auto"/>
        </w:rPr>
        <w:t>Incremental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left="1300" w:hanging="644"/>
        <w:spacing w:after="0"/>
        <w:tabs>
          <w:tab w:leader="none" w:pos="1300"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12.2</w:t>
      </w:r>
      <w:r>
        <w:rPr>
          <w:rFonts w:ascii="Arial" w:cs="Arial" w:eastAsia="Arial" w:hAnsi="Arial"/>
          <w:sz w:val="20"/>
          <w:szCs w:val="20"/>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8" w:name="page159"/>
    <w:bookmarkEnd w:id="158"/>
    <w:p>
      <w:pPr>
        <w:jc w:val="both"/>
        <w:ind w:firstLine="648"/>
        <w:spacing w:after="0" w:line="260" w:lineRule="auto"/>
        <w:rPr>
          <w:sz w:val="20"/>
          <w:szCs w:val="20"/>
          <w:color w:val="auto"/>
        </w:rPr>
      </w:pPr>
      <w:r>
        <w:rPr>
          <w:rFonts w:ascii="Arial" w:cs="Arial" w:eastAsia="Arial" w:hAnsi="Arial"/>
          <w:sz w:val="19"/>
          <w:szCs w:val="19"/>
          <w:color w:val="auto"/>
        </w:rPr>
        <w:t>SECTION V.14</w:t>
      </w:r>
      <w:r>
        <w:rPr>
          <w:rFonts w:ascii="Arial" w:cs="Arial" w:eastAsia="Arial" w:hAnsi="Arial"/>
          <w:sz w:val="19"/>
          <w:szCs w:val="19"/>
          <w:u w:val="single" w:color="auto"/>
          <w:color w:val="auto"/>
        </w:rPr>
        <w:t>Cash Collateral</w:t>
      </w:r>
      <w:r>
        <w:rPr>
          <w:rFonts w:ascii="Arial" w:cs="Arial" w:eastAsia="Arial" w:hAnsi="Arial"/>
          <w:sz w:val="19"/>
          <w:szCs w:val="19"/>
          <w:color w:val="auto"/>
        </w:rPr>
        <w:t xml:space="preserve">. At any time that there shall exist a Defaulting Lender, within one Business Day following the written request of the Administrative Agent, any Issuing Lender (with a copy to the Administrative Agent) or any Swingline Lender (with a copy to the Administrative Agent), the Borrowers shall Cash Collateralize the Fronting Exposure of such Issuing Lender and/or such Swingline Lender, as applicable, with respect to such Defaulting Lender (determined after giving effect to </w:t>
      </w:r>
      <w:r>
        <w:rPr>
          <w:rFonts w:ascii="Arial" w:cs="Arial" w:eastAsia="Arial" w:hAnsi="Arial"/>
          <w:sz w:val="19"/>
          <w:szCs w:val="19"/>
          <w:u w:val="single" w:color="auto"/>
          <w:color w:val="auto"/>
        </w:rPr>
        <w:t>Section 5.15(a)(iv)</w:t>
      </w:r>
      <w:r>
        <w:rPr>
          <w:rFonts w:ascii="Arial" w:cs="Arial" w:eastAsia="Arial" w:hAnsi="Arial"/>
          <w:sz w:val="19"/>
          <w:szCs w:val="19"/>
          <w:color w:val="auto"/>
        </w:rPr>
        <w:t xml:space="preserve"> and any Cash Collateral provided by such Defaulting Lender) in an amount not less than the Minimum Collateral Amount.</w:t>
      </w:r>
    </w:p>
    <w:p>
      <w:pPr>
        <w:spacing w:after="0" w:line="180" w:lineRule="exact"/>
        <w:rPr>
          <w:sz w:val="20"/>
          <w:szCs w:val="20"/>
          <w:color w:val="auto"/>
        </w:rPr>
      </w:pPr>
    </w:p>
    <w:p>
      <w:pPr>
        <w:jc w:val="both"/>
        <w:ind w:firstLine="656"/>
        <w:spacing w:after="0" w:line="256" w:lineRule="auto"/>
        <w:tabs>
          <w:tab w:leader="none" w:pos="1286"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Each Borrower, and to the extent provided by any Defaulting Lender, such Defaulting Lender, hereby grants to the Administrative Agent, for the benefit of each Issuing Lender and each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each Swingline Lender as herein provided (other than Permitted Liens in favor of a depository bank),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4" w:lineRule="exact"/>
        <w:rPr>
          <w:rFonts w:ascii="Arial" w:cs="Arial" w:eastAsia="Arial" w:hAnsi="Arial"/>
          <w:sz w:val="19"/>
          <w:szCs w:val="19"/>
          <w:color w:val="auto"/>
        </w:rPr>
      </w:pPr>
    </w:p>
    <w:p>
      <w:pPr>
        <w:jc w:val="both"/>
        <w:ind w:firstLine="656"/>
        <w:spacing w:after="0" w:line="260" w:lineRule="auto"/>
        <w:tabs>
          <w:tab w:leader="none" w:pos="1284"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or any other Loan Document, Cash Collateral provided under this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5.15</w:t>
      </w:r>
      <w:r>
        <w:rPr>
          <w:rFonts w:ascii="Arial" w:cs="Arial" w:eastAsia="Arial" w:hAnsi="Arial"/>
          <w:sz w:val="19"/>
          <w:szCs w:val="19"/>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80" w:lineRule="exact"/>
        <w:rPr>
          <w:rFonts w:ascii="Arial" w:cs="Arial" w:eastAsia="Arial" w:hAnsi="Arial"/>
          <w:sz w:val="19"/>
          <w:szCs w:val="19"/>
          <w:color w:val="auto"/>
        </w:rPr>
      </w:pPr>
    </w:p>
    <w:p>
      <w:pPr>
        <w:jc w:val="both"/>
        <w:ind w:firstLine="656"/>
        <w:spacing w:after="0" w:line="276" w:lineRule="auto"/>
        <w:tabs>
          <w:tab w:leader="none" w:pos="128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the Fronting Exposure of any Issuing Lender and/or any Swingline Lender, as applicable, shall no longer be required to be held as Cash Collateral pursuant to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following (i) the elimination of the applicable Fronting Exposure (including by the termination of Defaulting Lender status of the applicable Lender), or (ii) the determination by the Administrative Agent, the Issuing Lenders and the Swingline Lenders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 the Person providing Cash Collateral, the Issuing Lenders and the Swingline Lenders may agree that Cash Collateral shall be held to support future anticipated Fronting Exposure or other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V.15</w:t>
      </w:r>
      <w:r>
        <w:rPr>
          <w:rFonts w:ascii="Arial" w:cs="Arial" w:eastAsia="Arial" w:hAnsi="Arial"/>
          <w:sz w:val="20"/>
          <w:szCs w:val="20"/>
          <w:u w:val="single" w:color="auto"/>
          <w:color w:val="auto"/>
        </w:rPr>
        <w:t>Defaulting Lenders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0" w:lineRule="auto"/>
        <w:tabs>
          <w:tab w:leader="none" w:pos="1286"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Defaulting Lender Adjustments</w:t>
      </w:r>
      <w:r>
        <w:rPr>
          <w:rFonts w:ascii="Arial" w:cs="Arial" w:eastAsia="Arial" w:hAnsi="Arial"/>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954" w:val="left"/>
        </w:tabs>
        <w:numPr>
          <w:ilvl w:val="1"/>
          <w:numId w:val="113"/>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the definitions of “Required Lenders”, “Required Revolving Credit Lenders” or “Required Term Loan Lenders” and </w:t>
      </w:r>
      <w:r>
        <w:rPr>
          <w:rFonts w:ascii="Arial" w:cs="Arial" w:eastAsia="Arial" w:hAnsi="Arial"/>
          <w:sz w:val="20"/>
          <w:szCs w:val="20"/>
          <w:u w:val="single" w:color="auto"/>
          <w:color w:val="auto"/>
        </w:rPr>
        <w:t>Section 12.2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59" w:name="page160"/>
    <w:bookmarkEnd w:id="159"/>
    <w:p>
      <w:pPr>
        <w:jc w:val="both"/>
        <w:ind w:left="660" w:firstLine="644"/>
        <w:spacing w:after="0" w:line="267" w:lineRule="auto"/>
        <w:tabs>
          <w:tab w:leader="none" w:pos="195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Defaulting Lender to the Issuing Lenders or the Swingline Lenders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Fronting Exposure of the Issuing Lenders and the Swingline Lenders with respect to such Defaulting Lender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Borrowers, to be held in a deposit account and released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Lenders or the Swingline Lenders as a result of any judgment of a court of competent jurisdiction obtained by any Lender, any Issuing Lender or any Swingline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were satisfied or waived, such payment shall be applied solely to pay the Loans of, and funded participations in Letters of Credit or Swingline Loans owed to, all Non-Defaulting Lenders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Revolving Credit Commitments under the applicable Revolving Credit Facility without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5.15(a)(ii)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92" w:lineRule="exact"/>
        <w:rPr>
          <w:rFonts w:ascii="Arial" w:cs="Arial" w:eastAsia="Arial" w:hAnsi="Arial"/>
          <w:sz w:val="18"/>
          <w:szCs w:val="18"/>
          <w:color w:val="auto"/>
        </w:rPr>
      </w:pPr>
    </w:p>
    <w:p>
      <w:pPr>
        <w:ind w:left="1960" w:hanging="656"/>
        <w:spacing w:after="0"/>
        <w:tabs>
          <w:tab w:leader="none" w:pos="196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587" w:val="left"/>
        </w:tabs>
        <w:numPr>
          <w:ilvl w:val="1"/>
          <w:numId w:val="114"/>
        </w:numPr>
        <w:rPr>
          <w:rFonts w:ascii="Arial" w:cs="Arial" w:eastAsia="Arial" w:hAnsi="Arial"/>
          <w:sz w:val="20"/>
          <w:szCs w:val="20"/>
          <w:color w:val="auto"/>
        </w:rPr>
      </w:pPr>
      <w:r>
        <w:rPr>
          <w:rFonts w:ascii="Arial" w:cs="Arial" w:eastAsia="Arial" w:hAnsi="Arial"/>
          <w:sz w:val="20"/>
          <w:szCs w:val="20"/>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0" w:name="page161"/>
    <w:bookmarkEnd w:id="160"/>
    <w:p>
      <w:pPr>
        <w:jc w:val="both"/>
        <w:ind w:left="1300" w:firstLine="652"/>
        <w:spacing w:after="0" w:line="291" w:lineRule="auto"/>
        <w:tabs>
          <w:tab w:leader="none" w:pos="259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commissions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left="1300" w:firstLine="652"/>
        <w:spacing w:after="0" w:line="274" w:lineRule="auto"/>
        <w:tabs>
          <w:tab w:leader="none" w:pos="259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68" w:lineRule="exact"/>
        <w:rPr>
          <w:rFonts w:ascii="Arial" w:cs="Arial" w:eastAsia="Arial" w:hAnsi="Arial"/>
          <w:sz w:val="18"/>
          <w:szCs w:val="18"/>
          <w:color w:val="auto"/>
        </w:rPr>
      </w:pPr>
    </w:p>
    <w:p>
      <w:pPr>
        <w:jc w:val="both"/>
        <w:ind w:left="660" w:firstLine="644"/>
        <w:spacing w:after="0" w:line="271" w:lineRule="auto"/>
        <w:tabs>
          <w:tab w:leader="none" w:pos="194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(x)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3" w:lineRule="exact"/>
        <w:rPr>
          <w:rFonts w:ascii="Arial" w:cs="Arial" w:eastAsia="Arial" w:hAnsi="Arial"/>
          <w:sz w:val="18"/>
          <w:szCs w:val="18"/>
          <w:color w:val="auto"/>
        </w:rPr>
      </w:pPr>
    </w:p>
    <w:p>
      <w:pPr>
        <w:jc w:val="both"/>
        <w:ind w:left="660" w:firstLine="644"/>
        <w:spacing w:after="0" w:line="263" w:lineRule="auto"/>
        <w:tabs>
          <w:tab w:leader="none" w:pos="1944"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xml:space="preserve">. If the reallocation described in clause (iv) above cannot, or can only partially, be effected, the Borrowers shall, without prejudice to any right or remedy available to it hereunder or under law,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repay Swingline Loans in an amount equal to the Swingline Lenders’ Fronting Exposure and (y)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Cash Collateralize the Issuing Lenders’ Fronting Exposure in accordance with the procedures set forth in </w:t>
      </w:r>
      <w:r>
        <w:rPr>
          <w:rFonts w:ascii="Arial" w:cs="Arial" w:eastAsia="Arial" w:hAnsi="Arial"/>
          <w:sz w:val="19"/>
          <w:szCs w:val="19"/>
          <w:u w:val="single" w:color="auto"/>
          <w:color w:val="auto"/>
        </w:rPr>
        <w:t>Section 5.14</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firstLine="656"/>
        <w:spacing w:after="0" w:line="257" w:lineRule="auto"/>
        <w:tabs>
          <w:tab w:leader="none" w:pos="1284"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Borrowers, the Administrative Agent, the Issuing Lenders and the Swingline Lenders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by the Lenders in accordance with the Commitments under the applicable Credit Facility (without giving effect to </w:t>
      </w:r>
      <w:r>
        <w:rPr>
          <w:rFonts w:ascii="Arial" w:cs="Arial" w:eastAsia="Arial" w:hAnsi="Arial"/>
          <w:sz w:val="19"/>
          <w:szCs w:val="19"/>
          <w:u w:val="single" w:color="auto"/>
          <w:color w:val="auto"/>
        </w:rPr>
        <w:t>Section 5.15(a)(iv)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1" w:name="page162"/>
    <w:bookmarkEnd w:id="161"/>
    <w:p>
      <w:pPr>
        <w:jc w:val="both"/>
        <w:spacing w:after="0" w:line="269" w:lineRule="auto"/>
        <w:rPr>
          <w:sz w:val="20"/>
          <w:szCs w:val="20"/>
          <w:color w:val="auto"/>
        </w:rPr>
      </w:pPr>
      <w:r>
        <w:rPr>
          <w:rFonts w:ascii="Arial" w:cs="Arial" w:eastAsia="Arial" w:hAnsi="Arial"/>
          <w:sz w:val="19"/>
          <w:szCs w:val="19"/>
          <w:color w:val="auto"/>
        </w:rPr>
        <w:t xml:space="preserve">fees accrued or payments made by or on behalf of the Borrowers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V.16</w:t>
      </w:r>
      <w:r>
        <w:rPr>
          <w:rFonts w:ascii="Arial" w:cs="Arial" w:eastAsia="Arial" w:hAnsi="Arial"/>
          <w:sz w:val="20"/>
          <w:szCs w:val="20"/>
          <w:u w:val="single" w:color="auto"/>
          <w:color w:val="auto"/>
        </w:rPr>
        <w:t>Centuri as Agent for the Borrowers; Nature of Obligations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6" w:lineRule="auto"/>
        <w:tabs>
          <w:tab w:leader="none" w:pos="128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Borrower hereby irrevocably appoints and authorizes Centuri (a) to provide the Administrative Agent with all notices with respect to Loans obtained for the benefit of such Borrower and all other notices and instructions under this Agreement, (b) to take such action on behalf of such Borrower as Centuri deems appropriate on its behalf to such Borrower Loans or Letters of Credit and to exercise such other powers as are reasonably incidental thereto to carry out the purposes of this Agreement and (c) to act as its agent for service of process and notices required to be delivered under this Agreement or the other Loan Documents, it being understood and agreed that receipt by Centuri of any summons, notice or other similar item shall be deemed effective receipt by the Consolidated Companies.</w:t>
      </w:r>
    </w:p>
    <w:p>
      <w:pPr>
        <w:spacing w:after="0" w:line="164" w:lineRule="exact"/>
        <w:rPr>
          <w:rFonts w:ascii="Arial" w:cs="Arial" w:eastAsia="Arial" w:hAnsi="Arial"/>
          <w:sz w:val="18"/>
          <w:szCs w:val="18"/>
          <w:color w:val="auto"/>
        </w:rPr>
      </w:pPr>
    </w:p>
    <w:p>
      <w:pPr>
        <w:jc w:val="both"/>
        <w:ind w:firstLine="656"/>
        <w:spacing w:after="0" w:line="263" w:lineRule="auto"/>
        <w:tabs>
          <w:tab w:leader="none" w:pos="128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Notwithstanding anything to contrary contained in the Loan Documents, (a) the US Borrowers shall be jointly and severally liable for all Obligations and (b) the Canadian Borrowers shall be jointly and severally liable for all Canadian Obligations, but in no event shall any Canadian Borrower have any obligation with respect to the US Obligations. In the event of any conflict or inconsistency between this </w:t>
      </w:r>
      <w:r>
        <w:rPr>
          <w:rFonts w:ascii="Arial" w:cs="Arial" w:eastAsia="Arial" w:hAnsi="Arial"/>
          <w:sz w:val="19"/>
          <w:szCs w:val="19"/>
          <w:u w:val="single" w:color="auto"/>
          <w:color w:val="auto"/>
        </w:rPr>
        <w:t>Section 5.16(b)</w:t>
      </w:r>
      <w:r>
        <w:rPr>
          <w:rFonts w:ascii="Arial" w:cs="Arial" w:eastAsia="Arial" w:hAnsi="Arial"/>
          <w:sz w:val="19"/>
          <w:szCs w:val="19"/>
          <w:color w:val="auto"/>
        </w:rPr>
        <w:t xml:space="preserve"> and any other provision of any Loan Document, this </w:t>
      </w:r>
      <w:r>
        <w:rPr>
          <w:rFonts w:ascii="Arial" w:cs="Arial" w:eastAsia="Arial" w:hAnsi="Arial"/>
          <w:sz w:val="19"/>
          <w:szCs w:val="19"/>
          <w:u w:val="single" w:color="auto"/>
          <w:color w:val="auto"/>
        </w:rPr>
        <w:t>Section 5.16(b)</w:t>
      </w:r>
      <w:r>
        <w:rPr>
          <w:rFonts w:ascii="Arial" w:cs="Arial" w:eastAsia="Arial" w:hAnsi="Arial"/>
          <w:sz w:val="19"/>
          <w:szCs w:val="19"/>
          <w:color w:val="auto"/>
        </w:rPr>
        <w:t xml:space="preserve"> shall control.</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SECTION V.17</w:t>
      </w:r>
      <w:r>
        <w:rPr>
          <w:rFonts w:ascii="Arial" w:cs="Arial" w:eastAsia="Arial" w:hAnsi="Arial"/>
          <w:sz w:val="18"/>
          <w:szCs w:val="18"/>
          <w:u w:val="single" w:color="auto"/>
          <w:color w:val="auto"/>
        </w:rPr>
        <w:t>Additional Borrowers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8.14</w:t>
      </w:r>
      <w:r>
        <w:rPr>
          <w:rFonts w:ascii="Arial" w:cs="Arial" w:eastAsia="Arial" w:hAnsi="Arial"/>
          <w:sz w:val="18"/>
          <w:szCs w:val="18"/>
          <w:color w:val="auto"/>
        </w:rPr>
        <w:t>, Centuri may at any time, upon not less than fifteen (15) Business Days’ notice from Centuri to the Administrative Agent and the Lenders (or such shorter period as may be agreed by the Administrative Agent in its sole discretion), request that a Wholly-Owned US Subsidiary or Wholly-Owned Canadian Subsidiary (each, an “</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be designated as an Additional Borrower to receive Loans and request Letters of Credit hereunder by delivering to the Administrative Agent (which shall promptly deliver counterparts thereof to each Lender) a duly executed notice and agreement in substantially the form of </w:t>
      </w:r>
      <w:r>
        <w:rPr>
          <w:rFonts w:ascii="Arial" w:cs="Arial" w:eastAsia="Arial" w:hAnsi="Arial"/>
          <w:sz w:val="18"/>
          <w:szCs w:val="18"/>
          <w:b w:val="1"/>
          <w:bCs w:val="1"/>
          <w:i w:val="1"/>
          <w:iCs w:val="1"/>
          <w:color w:val="auto"/>
        </w:rPr>
        <w:t xml:space="preserve">Exhibit I </w:t>
      </w:r>
      <w:r>
        <w:rPr>
          <w:rFonts w:ascii="Arial" w:cs="Arial" w:eastAsia="Arial" w:hAnsi="Arial"/>
          <w:sz w:val="18"/>
          <w:szCs w:val="18"/>
          <w:color w:val="auto"/>
        </w:rPr>
        <w:t>(an “</w:t>
      </w:r>
      <w:r>
        <w:rPr>
          <w:rFonts w:ascii="Arial" w:cs="Arial" w:eastAsia="Arial" w:hAnsi="Arial"/>
          <w:sz w:val="18"/>
          <w:szCs w:val="18"/>
          <w:u w:val="single" w:color="auto"/>
          <w:color w:val="auto"/>
        </w:rPr>
        <w:t>Additional Borrower Request and Assumption Agreement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no US Subsidiary or Canadian Subsidiary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designated as an Additional Borrower without the consent of each Revolving Credit Lender unless such US Subsidiary or Canadian Subsidiary is already a US Subsidiary Guarantor or Canadian Subsidiary Guarantor, as applicable. The parties hereto acknowledge and agree that prior to any Applicant Borrower becoming entitled to utilize the Credit Facilities, the Administrative Agent and the Lenders shall have received such supporting Security Documents, supplements to the Loan Documents, resolutions, incumbency certificates, opinions of counsel, all documentation and other information in order to comply with requirements of any Anti-Money Laundering Laws including, without limitation, the PATRIOT Act and any applicable “know your customer” rules and regulations, Beneficial Ownership Certification and other documents or information, in form, content and scope reasonably satisfactory to the Administrative Agent, as may be required by the Administrative Agent or the Lenders in their sole discretion, and Notes signed by such new Borrowers to the extent any Lenders so require. If the Administrative Agent and the Lenders agree that an Applicant Borrower shall be entitled to receive Loans and request Letters of Credit hereunder, then promptly following receipt of all such requested documents and information described above, the Administrative Agent shall send a notice in substantially the form of </w:t>
      </w:r>
      <w:r>
        <w:rPr>
          <w:rFonts w:ascii="Arial" w:cs="Arial" w:eastAsia="Arial" w:hAnsi="Arial"/>
          <w:sz w:val="18"/>
          <w:szCs w:val="18"/>
          <w:b w:val="1"/>
          <w:bCs w:val="1"/>
          <w:i w:val="1"/>
          <w:iCs w:val="1"/>
          <w:color w:val="auto"/>
        </w:rPr>
        <w:t>Exhibit J</w:t>
      </w:r>
      <w:r>
        <w:rPr>
          <w:rFonts w:ascii="Arial" w:cs="Arial" w:eastAsia="Arial" w:hAnsi="Arial"/>
          <w:sz w:val="18"/>
          <w:szCs w:val="18"/>
          <w:color w:val="auto"/>
        </w:rPr>
        <w:t xml:space="preserve"> (an “</w:t>
      </w:r>
      <w:r>
        <w:rPr>
          <w:rFonts w:ascii="Arial" w:cs="Arial" w:eastAsia="Arial" w:hAnsi="Arial"/>
          <w:sz w:val="18"/>
          <w:szCs w:val="18"/>
          <w:u w:val="single" w:color="auto"/>
          <w:color w:val="auto"/>
        </w:rPr>
        <w:t>Additional Borrower Notice</w:t>
      </w:r>
      <w:r>
        <w:rPr>
          <w:rFonts w:ascii="Arial" w:cs="Arial" w:eastAsia="Arial" w:hAnsi="Arial"/>
          <w:sz w:val="18"/>
          <w:szCs w:val="18"/>
          <w:color w:val="auto"/>
        </w:rPr>
        <w:t>”) to Centuri and the Lenders specifying the effective date upon which the Applicant Borrower shall constitute an Additional Borrower for purposes hereof, whereupon each of the Lenders agrees to permit such Additional Borrower to receive Loans and request Letters of Credit hereunder, on the terms and conditions set forth herein, and each of the parties agrees that such Additional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2" w:name="page163"/>
    <w:bookmarkEnd w:id="162"/>
    <w:p>
      <w:pPr>
        <w:ind w:right="20"/>
        <w:spacing w:after="0" w:line="287" w:lineRule="auto"/>
        <w:rPr>
          <w:sz w:val="20"/>
          <w:szCs w:val="20"/>
          <w:color w:val="auto"/>
        </w:rPr>
      </w:pPr>
      <w:r>
        <w:rPr>
          <w:rFonts w:ascii="Arial" w:cs="Arial" w:eastAsia="Arial" w:hAnsi="Arial"/>
          <w:sz w:val="19"/>
          <w:szCs w:val="19"/>
          <w:color w:val="auto"/>
        </w:rPr>
        <w:t xml:space="preserve">otherwise shall be a Borrower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Notice of Borrowing or Letter of Credit Application may be submitted by or on behalf of such Additional Borrower until the date five (5) Business Days after such effective date.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V.18</w:t>
      </w:r>
      <w:r>
        <w:rPr>
          <w:rFonts w:ascii="Arial" w:cs="Arial" w:eastAsia="Arial" w:hAnsi="Arial"/>
          <w:sz w:val="20"/>
          <w:szCs w:val="20"/>
          <w:u w:val="single" w:color="auto"/>
          <w:color w:val="auto"/>
        </w:rPr>
        <w:t>Refinancing Facilities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6" w:lineRule="auto"/>
        <w:tabs>
          <w:tab w:leader="none" w:pos="128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Borrowers may by written notice to the Administrative Agent elect to request the establishment of (i) one or more additional tranches or Classes of term loans under this Agreement (“</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or one or more series of debt securities (“</w:t>
      </w:r>
      <w:r>
        <w:rPr>
          <w:rFonts w:ascii="Arial" w:cs="Arial" w:eastAsia="Arial" w:hAnsi="Arial"/>
          <w:sz w:val="18"/>
          <w:szCs w:val="18"/>
          <w:u w:val="single" w:color="auto"/>
          <w:color w:val="auto"/>
        </w:rPr>
        <w:t>Refinancing Notes</w:t>
      </w:r>
      <w:r>
        <w:rPr>
          <w:rFonts w:ascii="Arial" w:cs="Arial" w:eastAsia="Arial" w:hAnsi="Arial"/>
          <w:sz w:val="18"/>
          <w:szCs w:val="18"/>
          <w:color w:val="auto"/>
        </w:rPr>
        <w:t>”), which refinance, renew, replace, defease or refund (collectively, “</w:t>
      </w:r>
      <w:r>
        <w:rPr>
          <w:rFonts w:ascii="Arial" w:cs="Arial" w:eastAsia="Arial" w:hAnsi="Arial"/>
          <w:sz w:val="18"/>
          <w:szCs w:val="18"/>
          <w:u w:val="single" w:color="auto"/>
          <w:color w:val="auto"/>
        </w:rPr>
        <w:t>Refinance</w:t>
      </w:r>
      <w:r>
        <w:rPr>
          <w:rFonts w:ascii="Arial" w:cs="Arial" w:eastAsia="Arial" w:hAnsi="Arial"/>
          <w:sz w:val="18"/>
          <w:szCs w:val="18"/>
          <w:color w:val="auto"/>
        </w:rPr>
        <w:t>”) one or more Classes of Term Loans under this Agreement or (ii) one or more additional revolving facilities under this Agreement providing for revolving commitments (“</w:t>
      </w:r>
      <w:r>
        <w:rPr>
          <w:rFonts w:ascii="Arial" w:cs="Arial" w:eastAsia="Arial" w:hAnsi="Arial"/>
          <w:sz w:val="18"/>
          <w:szCs w:val="18"/>
          <w:u w:val="single" w:color="auto"/>
          <w:color w:val="auto"/>
        </w:rPr>
        <w:t>Refinancing Revolving Credit Commitments</w:t>
      </w:r>
      <w:r>
        <w:rPr>
          <w:rFonts w:ascii="Arial" w:cs="Arial" w:eastAsia="Arial" w:hAnsi="Arial"/>
          <w:sz w:val="18"/>
          <w:szCs w:val="18"/>
          <w:color w:val="auto"/>
        </w:rPr>
        <w:t>” and the revolving loans thereunder, “</w:t>
      </w:r>
      <w:r>
        <w:rPr>
          <w:rFonts w:ascii="Arial" w:cs="Arial" w:eastAsia="Arial" w:hAnsi="Arial"/>
          <w:sz w:val="18"/>
          <w:szCs w:val="18"/>
          <w:u w:val="single" w:color="auto"/>
          <w:color w:val="auto"/>
        </w:rPr>
        <w:t>Refinancing Revolving Loans</w:t>
      </w:r>
      <w:r>
        <w:rPr>
          <w:rFonts w:ascii="Arial" w:cs="Arial" w:eastAsia="Arial" w:hAnsi="Arial"/>
          <w:sz w:val="18"/>
          <w:szCs w:val="18"/>
          <w:color w:val="auto"/>
        </w:rPr>
        <w:t xml:space="preserve">”) which Refinances one or more Classes of Revolving Credit Commitments (and Revolving Credit Loans thereunder)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4" w:lineRule="exact"/>
        <w:rPr>
          <w:rFonts w:ascii="Arial" w:cs="Arial" w:eastAsia="Arial" w:hAnsi="Arial"/>
          <w:sz w:val="18"/>
          <w:szCs w:val="18"/>
          <w:color w:val="auto"/>
        </w:rPr>
      </w:pPr>
    </w:p>
    <w:p>
      <w:pPr>
        <w:ind w:left="1940" w:hanging="636"/>
        <w:spacing w:after="0"/>
        <w:tabs>
          <w:tab w:leader="none" w:pos="194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would result therefrom;</w:t>
      </w:r>
    </w:p>
    <w:p>
      <w:pPr>
        <w:spacing w:after="0" w:line="215" w:lineRule="exact"/>
        <w:rPr>
          <w:rFonts w:ascii="Arial" w:cs="Arial" w:eastAsia="Arial" w:hAnsi="Arial"/>
          <w:sz w:val="20"/>
          <w:szCs w:val="20"/>
          <w:color w:val="auto"/>
        </w:rPr>
      </w:pPr>
    </w:p>
    <w:p>
      <w:pPr>
        <w:jc w:val="both"/>
        <w:ind w:left="660" w:firstLine="644"/>
        <w:spacing w:after="0" w:line="291" w:lineRule="auto"/>
        <w:tabs>
          <w:tab w:leader="none" w:pos="195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the principal amount of such Refinancing Debt or Refinancing Revolving Credit Commitments may not exceed the aggregate principal amount of the Term Loans or Revolving Credit Commitments being Refinanced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interest thereon, any prepayment premiums applicable thereto and reasonable fees and expenses incurred in connection therewith;</w:t>
      </w:r>
    </w:p>
    <w:p>
      <w:pPr>
        <w:spacing w:after="0" w:line="151" w:lineRule="exact"/>
        <w:rPr>
          <w:rFonts w:ascii="Arial" w:cs="Arial" w:eastAsia="Arial" w:hAnsi="Arial"/>
          <w:sz w:val="18"/>
          <w:szCs w:val="18"/>
          <w:color w:val="auto"/>
        </w:rPr>
      </w:pPr>
    </w:p>
    <w:p>
      <w:pPr>
        <w:jc w:val="both"/>
        <w:ind w:left="660" w:firstLine="644"/>
        <w:spacing w:after="0" w:line="278" w:lineRule="auto"/>
        <w:tabs>
          <w:tab w:leader="none" w:pos="195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final maturity date of such Refinancing Debt or Refinancing Revolving Credit Commitments shall not be earlier than the maturity date of the Term Loans (or, in the case of any unsecured or junior lien Refinancing Debt, no earlier than the date that is 91 days after the latest final maturity date of the Term Loans existing at the time of such refinancing or replacement) or Revolving Credit Commitments being Refinanced, and the Weighted Average Life to Maturity of such Refinancing Debt shall be no earlier than the then remaining Weighted Average Life to Maturity of each Class of Term Loans being refinanced;</w:t>
      </w:r>
    </w:p>
    <w:p>
      <w:pPr>
        <w:spacing w:after="0" w:line="164" w:lineRule="exact"/>
        <w:rPr>
          <w:rFonts w:ascii="Arial" w:cs="Arial" w:eastAsia="Arial" w:hAnsi="Arial"/>
          <w:sz w:val="18"/>
          <w:szCs w:val="18"/>
          <w:color w:val="auto"/>
        </w:rPr>
      </w:pPr>
    </w:p>
    <w:p>
      <w:pPr>
        <w:jc w:val="both"/>
        <w:ind w:left="660" w:firstLine="644"/>
        <w:spacing w:after="0" w:line="273" w:lineRule="auto"/>
        <w:tabs>
          <w:tab w:leader="none" w:pos="1945"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other terms and conditions of such Refinancing Debt or Refinancing Revolving Credit Commitments (except as otherwise provided in clause (iii) above and with respect to pricing, interest rate margins, premiums, discounts, fees, rate floors and optional prepayment or redemption terms), taken as a whole shall (as reasonably determined by the Borrowers) be substantially similar to, or (taken as a whole) not materially less favorable to the Borrowers and their respective Subsidiaries than, the terms, taken as a whole, applicable to Term Loans or Revolving Credit Commitments being Refinanced, except to the extent such covenants and other terms apply solely to any period after the latest final Term Loan Maturity Date or Revolving Credit Maturity Date of the Term Loans and/or Revolving Credit Commitments being Refinanced (or, in the case of any unsecured or junior lien Refinancing Debt, after the date that is 91 days after such latest final Term Loan Maturity Date or Revolving Credit Maturity Date);</w:t>
      </w:r>
    </w:p>
    <w:p>
      <w:pPr>
        <w:spacing w:after="0" w:line="168" w:lineRule="exact"/>
        <w:rPr>
          <w:rFonts w:ascii="Arial" w:cs="Arial" w:eastAsia="Arial" w:hAnsi="Arial"/>
          <w:sz w:val="18"/>
          <w:szCs w:val="18"/>
          <w:color w:val="auto"/>
        </w:rPr>
      </w:pPr>
    </w:p>
    <w:p>
      <w:pPr>
        <w:jc w:val="both"/>
        <w:ind w:left="660" w:firstLine="644"/>
        <w:spacing w:after="0" w:line="282" w:lineRule="auto"/>
        <w:tabs>
          <w:tab w:leader="none" w:pos="194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the proceeds of such Refinancing Debt, Refinancing Revolving Credit Commitments or Refinancing Revolving Loans shall be applied, concurrently or substantially concurrently with the incurrence thereof (in accordance with </w:t>
      </w:r>
      <w:r>
        <w:rPr>
          <w:rFonts w:ascii="Arial" w:cs="Arial" w:eastAsia="Arial" w:hAnsi="Arial"/>
          <w:sz w:val="18"/>
          <w:szCs w:val="18"/>
          <w:u w:val="single" w:color="auto"/>
          <w:color w:val="auto"/>
        </w:rPr>
        <w:t>Section 4.4(b)(i)</w:t>
      </w:r>
      <w:r>
        <w:rPr>
          <w:rFonts w:ascii="Arial" w:cs="Arial" w:eastAsia="Arial" w:hAnsi="Arial"/>
          <w:sz w:val="18"/>
          <w:szCs w:val="18"/>
          <w:color w:val="auto"/>
        </w:rPr>
        <w:t>), solely to the repayment of the outstanding amount of one or more Classes of Term Loans or permanently reduce one or more Classes of Revolving Credit Commitments and Revolving Credit Loans, as the case may be, being Refinanced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3" w:name="page164"/>
    <w:bookmarkEnd w:id="163"/>
    <w:p>
      <w:pPr>
        <w:jc w:val="both"/>
        <w:ind w:left="660" w:firstLine="644"/>
        <w:spacing w:after="0" w:line="269" w:lineRule="auto"/>
        <w:tabs>
          <w:tab w:leader="none" w:pos="1945" w:val="left"/>
        </w:tabs>
        <w:numPr>
          <w:ilvl w:val="1"/>
          <w:numId w:val="120"/>
        </w:numPr>
        <w:rPr>
          <w:rFonts w:ascii="Arial" w:cs="Arial" w:eastAsia="Arial" w:hAnsi="Arial"/>
          <w:sz w:val="19"/>
          <w:szCs w:val="19"/>
          <w:color w:val="auto"/>
        </w:rPr>
      </w:pPr>
      <w:r>
        <w:rPr>
          <w:rFonts w:ascii="Arial" w:cs="Arial" w:eastAsia="Arial" w:hAnsi="Arial"/>
          <w:sz w:val="19"/>
          <w:szCs w:val="19"/>
          <w:color w:val="auto"/>
        </w:rPr>
        <w:t>each Class of Refinancing Term Loans or Refinancing Revolving Credit Commitments shall be in an aggregate amount of $5,000,000 or any whole multiple of $1,000,000 in excess thereof (or such other amount necessary to repay or replace any Class of outstanding Term Loans or Refinancing Revolving Credit Commitments in full);</w:t>
      </w:r>
    </w:p>
    <w:p>
      <w:pPr>
        <w:spacing w:after="0" w:line="169" w:lineRule="exact"/>
        <w:rPr>
          <w:rFonts w:ascii="Arial" w:cs="Arial" w:eastAsia="Arial" w:hAnsi="Arial"/>
          <w:sz w:val="19"/>
          <w:szCs w:val="19"/>
          <w:color w:val="auto"/>
        </w:rPr>
      </w:pPr>
    </w:p>
    <w:p>
      <w:pPr>
        <w:ind w:left="660" w:firstLine="644"/>
        <w:spacing w:after="0" w:line="260" w:lineRule="auto"/>
        <w:tabs>
          <w:tab w:leader="none" w:pos="1945" w:val="left"/>
        </w:tabs>
        <w:numPr>
          <w:ilvl w:val="1"/>
          <w:numId w:val="120"/>
        </w:numPr>
        <w:rPr>
          <w:rFonts w:ascii="Arial" w:cs="Arial" w:eastAsia="Arial" w:hAnsi="Arial"/>
          <w:sz w:val="20"/>
          <w:szCs w:val="20"/>
          <w:color w:val="auto"/>
        </w:rPr>
      </w:pPr>
      <w:r>
        <w:rPr>
          <w:rFonts w:ascii="Arial" w:cs="Arial" w:eastAsia="Arial" w:hAnsi="Arial"/>
          <w:sz w:val="20"/>
          <w:szCs w:val="20"/>
          <w:color w:val="auto"/>
        </w:rPr>
        <w:t>no Subsidiary that is not also a Subsidiary Guarantor may be a borrower or a guarantor with respect to such Refinancing Debt, Refinancing Revolving Credit Commitments and/or Refinancing Revolving Loans;</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47" w:val="left"/>
        </w:tabs>
        <w:numPr>
          <w:ilvl w:val="1"/>
          <w:numId w:val="120"/>
        </w:numPr>
        <w:rPr>
          <w:rFonts w:ascii="Arial" w:cs="Arial" w:eastAsia="Arial" w:hAnsi="Arial"/>
          <w:sz w:val="20"/>
          <w:szCs w:val="20"/>
          <w:color w:val="auto"/>
        </w:rPr>
      </w:pPr>
      <w:r>
        <w:rPr>
          <w:rFonts w:ascii="Arial" w:cs="Arial" w:eastAsia="Arial" w:hAnsi="Arial"/>
          <w:sz w:val="20"/>
          <w:szCs w:val="20"/>
          <w:color w:val="auto"/>
        </w:rPr>
        <w:t>Refinancing Debt, Refinancing Revolving Credit Commitments and/or Refinancing Revolving Loans may be unsecured or may only be secured by the Collateral and may rank pari passu or junior in right of payment and/or security with the remaining Revolving Credit Commitments, Revolving Credit Loans and/or Term Loans, so long as the holders of any Refinancing Debt, Refinancing Revolving Credit Commitments and/or Refinancing Revolving Loans that are junior in right of payment and/or security are subject to an Acceptable Intercreditor Agreement;</w:t>
      </w:r>
    </w:p>
    <w:p>
      <w:pPr>
        <w:spacing w:after="0" w:line="194" w:lineRule="exact"/>
        <w:rPr>
          <w:rFonts w:ascii="Arial" w:cs="Arial" w:eastAsia="Arial" w:hAnsi="Arial"/>
          <w:sz w:val="20"/>
          <w:szCs w:val="20"/>
          <w:color w:val="auto"/>
        </w:rPr>
      </w:pPr>
    </w:p>
    <w:p>
      <w:pPr>
        <w:ind w:left="660" w:firstLine="644"/>
        <w:spacing w:after="0" w:line="260" w:lineRule="auto"/>
        <w:tabs>
          <w:tab w:leader="none" w:pos="1945" w:val="left"/>
        </w:tabs>
        <w:numPr>
          <w:ilvl w:val="1"/>
          <w:numId w:val="120"/>
        </w:numPr>
        <w:rPr>
          <w:rFonts w:ascii="Arial" w:cs="Arial" w:eastAsia="Arial" w:hAnsi="Arial"/>
          <w:sz w:val="20"/>
          <w:szCs w:val="20"/>
          <w:color w:val="auto"/>
        </w:rPr>
      </w:pPr>
      <w:r>
        <w:rPr>
          <w:rFonts w:ascii="Arial" w:cs="Arial" w:eastAsia="Arial" w:hAnsi="Arial"/>
          <w:sz w:val="20"/>
          <w:szCs w:val="20"/>
          <w:color w:val="auto"/>
        </w:rPr>
        <w:t>such Refinancing Debt or Refinancing Revolving Credit Commitments shall not be secured by any asset of the Borrowers and their respective Subsidiaries other than the Collateral;</w:t>
      </w:r>
    </w:p>
    <w:p>
      <w:pPr>
        <w:spacing w:after="0" w:line="176" w:lineRule="exact"/>
        <w:rPr>
          <w:rFonts w:ascii="Arial" w:cs="Arial" w:eastAsia="Arial" w:hAnsi="Arial"/>
          <w:sz w:val="20"/>
          <w:szCs w:val="20"/>
          <w:color w:val="auto"/>
        </w:rPr>
      </w:pPr>
    </w:p>
    <w:p>
      <w:pPr>
        <w:jc w:val="both"/>
        <w:ind w:left="660" w:firstLine="644"/>
        <w:spacing w:after="0" w:line="243" w:lineRule="auto"/>
        <w:tabs>
          <w:tab w:leader="none" w:pos="194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in the case of any Refinancing Revolving Credit Commitments, substantially concurrently with the effectiveness thereof, all the Revolving Credit Commitments then in effect shall be terminated, and all the Revolving Credit Loans then outstanding, together with all interest thereon, and all other amounts accrued for the benefit of the Revolving Credit Lenders, shall be repaid or paid (it being understood, however, that any Letters of Credit may continue to be outstanding hereunder), and the aggregate amount of such Refinancing Revolving Credit Commitments does not exceed the aggregate amount of the Revolving Credit Commitments so terminated; and</w:t>
      </w:r>
    </w:p>
    <w:p>
      <w:pPr>
        <w:spacing w:after="0" w:line="195" w:lineRule="exact"/>
        <w:rPr>
          <w:rFonts w:ascii="Arial" w:cs="Arial" w:eastAsia="Arial" w:hAnsi="Arial"/>
          <w:sz w:val="20"/>
          <w:szCs w:val="20"/>
          <w:color w:val="auto"/>
        </w:rPr>
      </w:pPr>
    </w:p>
    <w:p>
      <w:pPr>
        <w:jc w:val="both"/>
        <w:ind w:left="660" w:firstLine="644"/>
        <w:spacing w:after="0" w:line="246" w:lineRule="auto"/>
        <w:tabs>
          <w:tab w:leader="none" w:pos="1945"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any mandatory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Each such notice shall specify the date (each, a “</w:t>
      </w:r>
      <w:r>
        <w:rPr>
          <w:rFonts w:ascii="Arial" w:cs="Arial" w:eastAsia="Arial" w:hAnsi="Arial"/>
          <w:sz w:val="20"/>
          <w:szCs w:val="20"/>
          <w:u w:val="single" w:color="auto"/>
          <w:color w:val="auto"/>
        </w:rPr>
        <w:t>Refinancing Effective Date</w:t>
      </w:r>
      <w:r>
        <w:rPr>
          <w:rFonts w:ascii="Arial" w:cs="Arial" w:eastAsia="Arial" w:hAnsi="Arial"/>
          <w:sz w:val="20"/>
          <w:szCs w:val="20"/>
          <w:color w:val="auto"/>
        </w:rPr>
        <w:t>”) on which the applicable Borrower proposes that the Refinancing Debt be made or the Refinancing Revolving Credit Commitments shall become effective, which shall be a date not less than three (3) Business Days (or such shorter period as may be agreed to by the Administrative Agent) after the date on which such notice is delivered to the Administrative Agent.</w:t>
      </w:r>
    </w:p>
    <w:p>
      <w:pPr>
        <w:spacing w:after="0" w:line="191" w:lineRule="exact"/>
        <w:rPr>
          <w:rFonts w:ascii="Arial" w:cs="Arial" w:eastAsia="Arial" w:hAnsi="Arial"/>
          <w:sz w:val="20"/>
          <w:szCs w:val="20"/>
          <w:color w:val="auto"/>
        </w:rPr>
      </w:pPr>
    </w:p>
    <w:p>
      <w:pPr>
        <w:jc w:val="both"/>
        <w:ind w:firstLine="656"/>
        <w:spacing w:after="0" w:line="243" w:lineRule="auto"/>
        <w:tabs>
          <w:tab w:leader="none" w:pos="1286"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The Borrowers may approach any Lender or any other Person that would be an Eligible Assignee of the applicable Class of Loans or Commitments pursuant to </w:t>
      </w:r>
      <w:r>
        <w:rPr>
          <w:rFonts w:ascii="Arial" w:cs="Arial" w:eastAsia="Arial" w:hAnsi="Arial"/>
          <w:sz w:val="20"/>
          <w:szCs w:val="20"/>
          <w:u w:val="single" w:color="auto"/>
          <w:color w:val="auto"/>
        </w:rPr>
        <w:t>Section 12.9(b)</w:t>
      </w:r>
      <w:r>
        <w:rPr>
          <w:rFonts w:ascii="Arial" w:cs="Arial" w:eastAsia="Arial" w:hAnsi="Arial"/>
          <w:sz w:val="20"/>
          <w:szCs w:val="20"/>
          <w:color w:val="auto"/>
        </w:rPr>
        <w:t xml:space="preserve"> to provide all or a portion of the Refinancing Term Loans or Refinancing Revolving Credit Commitments (a “</w:t>
      </w:r>
      <w:r>
        <w:rPr>
          <w:rFonts w:ascii="Arial" w:cs="Arial" w:eastAsia="Arial" w:hAnsi="Arial"/>
          <w:sz w:val="20"/>
          <w:szCs w:val="20"/>
          <w:u w:val="single" w:color="auto"/>
          <w:color w:val="auto"/>
        </w:rPr>
        <w:t>Refinancing Lender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Lender offered or approached to provide all or a portion of the Refinancing Term Loans may elect or decline, in its sole discretion, to provide a Refinancing Term Loan or Refinancing Revolving Credit Commitment, as applicable. Any Refinancing Term Loans or Refinancing Revolving Credit Commitment made on any Refinancing Effective Date shall be designated a 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4" w:name="page165"/>
    <w:bookmarkEnd w:id="164"/>
    <w:p>
      <w:pPr>
        <w:jc w:val="both"/>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Series</w:t>
      </w:r>
      <w:r>
        <w:rPr>
          <w:rFonts w:ascii="Arial" w:cs="Arial" w:eastAsia="Arial" w:hAnsi="Arial"/>
          <w:sz w:val="19"/>
          <w:szCs w:val="19"/>
          <w:color w:val="auto"/>
        </w:rPr>
        <w:t xml:space="preserve">”) of Refinancing Term Loans or Refinancing Revolving Credit Commitments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Refinancing Term Loans may, to the extent provided in the applicable Refinancing Amendment, be designated as an increase in any previously established Refinancing Series of Refinancing Term Loans made to the applicable Borrower and (ii) any Refinancing Revolving Credit Commitments may, to the extent provided in the applicable Refinancing Amendment, be designated as an increase in any previously established Refinancing Series of Refinancing Revolving Credit Commitments.</w:t>
      </w:r>
    </w:p>
    <w:p>
      <w:pPr>
        <w:spacing w:after="0" w:line="180" w:lineRule="exact"/>
        <w:rPr>
          <w:sz w:val="20"/>
          <w:szCs w:val="20"/>
          <w:color w:val="auto"/>
        </w:rPr>
      </w:pPr>
    </w:p>
    <w:p>
      <w:pPr>
        <w:jc w:val="both"/>
        <w:ind w:firstLine="656"/>
        <w:spacing w:after="0" w:line="268" w:lineRule="auto"/>
        <w:tabs>
          <w:tab w:leader="none" w:pos="128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Lenders hereby consent to the transactions contemplated by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(including, for the avoidance of doubt, the payment of interest, fees, amortization or premium in respect of the Refinancing Term Loans and Refinancing Revolving Credit Commitments, and Refinancing Revolving Loans on the terms specified by the Borrowers) and hereby waive the requirements of this Agreement (including, but not limited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or any other Loan Document that may otherwise prohibit such Refinance or any other transaction contemplated by this </w:t>
      </w:r>
      <w:r>
        <w:rPr>
          <w:rFonts w:ascii="Arial" w:cs="Arial" w:eastAsia="Arial" w:hAnsi="Arial"/>
          <w:sz w:val="18"/>
          <w:szCs w:val="18"/>
          <w:u w:val="single" w:color="auto"/>
          <w:color w:val="auto"/>
        </w:rPr>
        <w:t>Section 5.18</w:t>
      </w:r>
      <w:r>
        <w:rPr>
          <w:rFonts w:ascii="Arial" w:cs="Arial" w:eastAsia="Arial" w:hAnsi="Arial"/>
          <w:sz w:val="18"/>
          <w:szCs w:val="18"/>
          <w:color w:val="auto"/>
        </w:rPr>
        <w:t>. The Refinancing Term Loans and Refinancing Revolving Credit Commitments shall be established pursuant to an amendment to this Agreement among the applicable Borrower and the applicable Refinancing Lenders providing such Refinancing Term Loans or Refinancing Revolving Credit Commitments (a “</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which shall be consistent with the provisions set forth in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The Refinancing Notes shall be established pursuant to documentation which shall be consistent with the provisions set forth in </w:t>
      </w:r>
      <w:r>
        <w:rPr>
          <w:rFonts w:ascii="Arial" w:cs="Arial" w:eastAsia="Arial" w:hAnsi="Arial"/>
          <w:sz w:val="18"/>
          <w:szCs w:val="18"/>
          <w:u w:val="single" w:color="auto"/>
          <w:color w:val="auto"/>
        </w:rPr>
        <w:t>Section 5.18(a)</w:t>
      </w:r>
      <w:r>
        <w:rPr>
          <w:rFonts w:ascii="Arial" w:cs="Arial" w:eastAsia="Arial" w:hAnsi="Arial"/>
          <w:sz w:val="18"/>
          <w:szCs w:val="18"/>
          <w:color w:val="auto"/>
        </w:rPr>
        <w:t xml:space="preserve">. Each Refinancing Amendment shall be binding on the Lenders, the Administrative Agent, the Credit Parties party thereto and the other parties hereto without the consent of any other Lender (except with respect to Refinancing Revolving Credit Commitments as provided above) and the Lenders hereby irrevocably authorize the Administrative Agent to enter into amendments to this Agreement and the other Loan Documents as may be necessary or appropriate in the reasonable opinion of the Administrative Agent and the Borrowers, to effect the provisions of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including in order to establish new tranches or sub-tranches in respect of the Refinancing Term Loans or Refinancing Revolving Credit Commitments and Refinancing Revolving Loans and such technical amendments as may be necessary or appropriate in connection therewith and to adjust the amortization schedule in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(insofar as such schedule relates to payments due to Lenders, the Term Loans of which are Refinanced;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shall reduce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any such payment that would have otherwise been payable to the Lenders, the Term Loans of which are not Refinanced). The Administrative Agent shall be permitted, and is hereby authorized, to enter into such Refinancing Amendments with the Borrowers to effect the foregoing. The effectiveness of any Refinancing Amendment shall be subject to the satisfaction on the date thereof of conditions as may be required by the Refinancing Lenders providing such Refinancing Amendment.</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jc w:val="both"/>
        <w:ind w:firstLine="656"/>
        <w:spacing w:after="0" w:line="272" w:lineRule="auto"/>
        <w:tabs>
          <w:tab w:leader="none" w:pos="128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any Refinancing Revolving Credit Commitment is designated as an increase in any previously established Refinancing Revolving Credit Commitment, on the Refinancing Effective Date, subject to the satisfaction of the foregoing terms and conditions, each of the Refinancing Lenders with Refinancing Revolving Credit Commitments of such Refinancing Series shall purchase from each of the other Lenders with Refinancing Revolving Credit Commitments of such Refinancing Series, at the principal amount thereof and in the applicable currencies, such interests in the Revolving Credit Loans under such Refinancing Revolving Credit Commitments outstanding immediately prior to such Refinancing as shall be necessary in order that, after giving effect to all such assignments and purchases, the Refinancing Revolving Loans of such Refinancing Series will be held by Refinancing Lenders thereunder ratably in accordance with the percentage of the total Refinancing Revolving Credit Commitments of all Refinancing Lenders represented by each such Refinancing Lender’s Refinancing Revolving Credit Commitment. After giving effect to any Refinancing Revolving Credit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5" w:name="page166"/>
    <w:bookmarkEnd w:id="165"/>
    <w:p>
      <w:pPr>
        <w:ind w:right="20"/>
        <w:spacing w:after="0" w:line="260" w:lineRule="auto"/>
        <w:rPr>
          <w:sz w:val="20"/>
          <w:szCs w:val="20"/>
          <w:color w:val="auto"/>
        </w:rPr>
      </w:pPr>
      <w:r>
        <w:rPr>
          <w:rFonts w:ascii="Arial" w:cs="Arial" w:eastAsia="Arial" w:hAnsi="Arial"/>
          <w:sz w:val="20"/>
          <w:szCs w:val="20"/>
          <w:color w:val="auto"/>
        </w:rPr>
        <w:t>all outstanding Swingline Loans and Letters of Credit shall be participated on a pro rata basis by all Lenders with a Revolving Credit Commitment in accordance with their revised Revolving Credit Commitment Percentages.</w:t>
      </w:r>
    </w:p>
    <w:p>
      <w:pPr>
        <w:spacing w:after="0" w:line="177" w:lineRule="exact"/>
        <w:rPr>
          <w:sz w:val="20"/>
          <w:szCs w:val="20"/>
          <w:color w:val="auto"/>
        </w:rPr>
      </w:pPr>
    </w:p>
    <w:p>
      <w:pPr>
        <w:jc w:val="both"/>
        <w:ind w:firstLine="656"/>
        <w:spacing w:after="0" w:line="271" w:lineRule="auto"/>
        <w:tabs>
          <w:tab w:leader="none" w:pos="12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Administrative Agent is authorized to enter into any Acceptable Intercreditor Agreement (and any amendments, amendments and restatements, restatements or waivers of or supplements to or other modifications to, such agreements) and to take all actions (and execute all documents) required (or otherwise deemed advisable by the Administrative Agent) in connection with the incurrence by any Credit Party of any Refinancing Debt, in order to permit such Refinancing Debt to be secured by a valid, perfected lien and the parties hereto acknowledge that any Acceptable Intercreditor Agreement will be binding upon them. Each Lender (i) hereby agrees that it will be bound by and will take no actions contrary to the provisions of any Acceptable Intercreditor Agreement and (ii) hereby authorizes and instructs the Administrative Agent to enter into any Acceptable Intercreditor Agreement (and any amendments, amendments and restatements, restatements or waivers of or supplements to or other modifications to, such agreements) in connection with the incurrence by any Credit Party of any Refinancing Debt, in order to permit such Refinancing Debt to be secured by a valid, perfected lien and to subject the Liens on the Collateral securing the Secured Obligations to the provisions thereof.</w:t>
      </w:r>
    </w:p>
    <w:p>
      <w:pPr>
        <w:spacing w:after="0" w:line="173" w:lineRule="exact"/>
        <w:rPr>
          <w:rFonts w:ascii="Arial" w:cs="Arial" w:eastAsia="Arial" w:hAnsi="Arial"/>
          <w:sz w:val="18"/>
          <w:szCs w:val="18"/>
          <w:color w:val="auto"/>
        </w:rPr>
      </w:pPr>
    </w:p>
    <w:p>
      <w:pPr>
        <w:jc w:val="both"/>
        <w:ind w:firstLine="656"/>
        <w:spacing w:after="0" w:line="282" w:lineRule="auto"/>
        <w:tabs>
          <w:tab w:leader="none" w:pos="128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Notwithstanding the terms of </w:t>
      </w:r>
      <w:r>
        <w:rPr>
          <w:rFonts w:ascii="Arial" w:cs="Arial" w:eastAsia="Arial" w:hAnsi="Arial"/>
          <w:sz w:val="18"/>
          <w:szCs w:val="18"/>
          <w:u w:val="single" w:color="auto"/>
          <w:color w:val="auto"/>
        </w:rPr>
        <w:t>Sections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w:t>
      </w:r>
      <w:r>
        <w:rPr>
          <w:rFonts w:ascii="Arial" w:cs="Arial" w:eastAsia="Arial" w:hAnsi="Arial"/>
          <w:sz w:val="18"/>
          <w:szCs w:val="18"/>
          <w:color w:val="auto"/>
        </w:rPr>
        <w:t>,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V.19</w:t>
      </w:r>
      <w:r>
        <w:rPr>
          <w:rFonts w:ascii="Arial" w:cs="Arial" w:eastAsia="Arial" w:hAnsi="Arial"/>
          <w:sz w:val="20"/>
          <w:szCs w:val="20"/>
          <w:u w:val="single" w:color="auto"/>
          <w:color w:val="auto"/>
        </w:rPr>
        <w:t>Amend and Extend Transactions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9" w:lineRule="auto"/>
        <w:tabs>
          <w:tab w:leader="none" w:pos="128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Borrowers may, by written notice to the Administrative Agent from time to time, request an extension (each, an “</w:t>
      </w:r>
      <w:r>
        <w:rPr>
          <w:rFonts w:ascii="Arial" w:cs="Arial" w:eastAsia="Arial" w:hAnsi="Arial"/>
          <w:sz w:val="18"/>
          <w:szCs w:val="18"/>
          <w:u w:val="single" w:color="auto"/>
          <w:color w:val="auto"/>
        </w:rPr>
        <w:t>Extension</w:t>
      </w:r>
      <w:r>
        <w:rPr>
          <w:rFonts w:ascii="Arial" w:cs="Arial" w:eastAsia="Arial" w:hAnsi="Arial"/>
          <w:sz w:val="18"/>
          <w:szCs w:val="18"/>
          <w:color w:val="auto"/>
        </w:rPr>
        <w:t>”) of the maturity date of any Class of Term Loans with a like maturity date or Revolving Credit Commitments with a like maturity date. Such notice shall (i) set forth the amount of the applicable Class of Revolving Credit Commitments and/or Term Loans that will be subject to the Extension (which shall be in a minimum amount of $25,000,000 and minimum increments of $5,000,000), (ii) set forth the date on which such Extension is requested to become effective (which shall be not less than ten (10) Business Days nor more than sixty</w:t>
      </w:r>
    </w:p>
    <w:p>
      <w:pPr>
        <w:spacing w:after="0" w:line="3" w:lineRule="exact"/>
        <w:rPr>
          <w:rFonts w:ascii="Arial" w:cs="Arial" w:eastAsia="Arial" w:hAnsi="Arial"/>
          <w:sz w:val="18"/>
          <w:szCs w:val="18"/>
          <w:color w:val="auto"/>
        </w:rPr>
      </w:pPr>
    </w:p>
    <w:p>
      <w:pPr>
        <w:jc w:val="both"/>
        <w:ind w:firstLine="8"/>
        <w:spacing w:after="0" w:line="269" w:lineRule="auto"/>
        <w:tabs>
          <w:tab w:leader="none" w:pos="4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days after the date of such Extension notice (or such longer or shorter periods as the Administrative Agent shall agree in its sole discretion)) and (iii) identify the relevant Class of Revolving Credit Commitments and/or Term Loans to which such Extension relates. Each Lender of the applicable Class shall be offered (an “</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an opportunity to participate in such Extension on a pro rata basis and on the same terms and conditions as each other Lender of such Class pursuant to procedures established by, or reasonably acceptable to, the Administrative Agent and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will be required or otherwise obligated to participate in such Extension. If the aggregate principal amount of Revolving Credit Commitments or Term Loans in respect of which Lenders shall have accepted the relevant Extension Offer shall exceed the maximum aggregate principal amount of Revolving Credit Commitments or Term Loans, as applicable, subject to the Extension Offer as set forth in the Extension notice, then the Revolving Credit Commitments or Term Loans, as applicable, of Lenders of the applicable Class shall be extended ratably up to such maximum amount based on the respective principal amounts with respect to which such Lenders have accepted such Extension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6" w:name="page167"/>
    <w:bookmarkEnd w:id="166"/>
    <w:p>
      <w:pPr>
        <w:jc w:val="both"/>
        <w:ind w:firstLine="656"/>
        <w:spacing w:after="0" w:line="257" w:lineRule="auto"/>
        <w:tabs>
          <w:tab w:leader="none" w:pos="128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in each other Loan Document shall be deemed to be made and shall be true and correct in all material respects on and as of the effective date of such Extension, (iii) the Issuing Lenders and the Swingline Lender shall have consented to any Extension of the Revolving Credit Commitments, to the extent that such Extension provides for the issuance or extension of Letters of Credit or making of Swingline Loans at any time during the extended period and (iv) the terms of such Extended Revolving Credit Commitments and Extended Term Loans shall comply with paragraph (c) of this Section.</w:t>
      </w:r>
    </w:p>
    <w:p>
      <w:pPr>
        <w:spacing w:after="0" w:line="184" w:lineRule="exact"/>
        <w:rPr>
          <w:rFonts w:ascii="Arial" w:cs="Arial" w:eastAsia="Arial" w:hAnsi="Arial"/>
          <w:sz w:val="19"/>
          <w:szCs w:val="19"/>
          <w:color w:val="auto"/>
        </w:rPr>
      </w:pPr>
    </w:p>
    <w:p>
      <w:pPr>
        <w:jc w:val="both"/>
        <w:ind w:firstLine="656"/>
        <w:spacing w:after="0" w:line="269" w:lineRule="auto"/>
        <w:tabs>
          <w:tab w:leader="none" w:pos="128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terms of each Extension shall be determined by the Borrowers and the applicable extending Lenders and set forth in an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final maturity date of any Extended Revolving Credit Commitment or Extended Term Loan shall be no earlier than the Revolving Credit Maturity Date or the Term Loan Maturity Date, respectively, (ii)(A) there shall be no scheduled amortization of the loans or reductions of commitments under any Extended Revolving Credit Commitments and (B) the Weighted Average Life to Maturity of the Extended Term Loans shall be no shorter than the remaining Weighted Average Life to Maturity of the existing Term Loans, (iii) the Extended Revolving Credit Loans and the Extended Term Loans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with respect to security with the existing Revolving Credit Loans and the existing Term Loans and the borrower and guarantors of the Extended Revolving Credit Commitments or Extended Term Loans, as applicable, shall be the same as the Borrowers and Subsidiary Guarantors with respect to the existing Revolving Credit Loans or Term Loans, as applicable, (iv) the interest rate margin, rate floors, fees, original issue discount and premium applicable to any Extended Revolving Credit Commitment (and the Extended Revolving Credit Loans thereunder) and Extended Term Loans shall be determined by the Borrowers and the applicable extending Lenders, (v)(A) the Extended Term Loans may participate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or less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(but not greater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in mandatory prepayments with the other Term Loans and (B) borrowing and prepayment of Extended Revolving Credit Loans, or reductions of Extended Revolving Credit Commitments, and participation in Letters of Credit and Swingline Loans, shall be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with the other Revolving Credit Loans or Revolving Credit Commitments (other than upon the maturity of the non-extended Revolving Credit Loans and Revolving Credit Commitments) and (vi) the terms of the Extended Revolving Credit Commitments or Extended Term Loans, as applicable, shall be substantially identical to the terms set forth herein (except as set forth in clauses (i) through (v) above).</w:t>
      </w:r>
    </w:p>
    <w:p>
      <w:pPr>
        <w:spacing w:after="0" w:line="173" w:lineRule="exact"/>
        <w:rPr>
          <w:rFonts w:ascii="Arial" w:cs="Arial" w:eastAsia="Arial" w:hAnsi="Arial"/>
          <w:sz w:val="18"/>
          <w:szCs w:val="18"/>
          <w:color w:val="auto"/>
        </w:rPr>
      </w:pPr>
    </w:p>
    <w:p>
      <w:pPr>
        <w:jc w:val="both"/>
        <w:ind w:firstLine="656"/>
        <w:spacing w:after="0" w:line="271" w:lineRule="auto"/>
        <w:tabs>
          <w:tab w:leader="none" w:pos="128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connection with any Extension, the Borrowers,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Revolving Credit Commitments or Extended Term Loans as a new Class or tranche of Revolving Credit Commitments or Term Loans, as applicable, and such other technical amendments as may be necessary or appropriate in the reasonable opinion of the Administrative Agent and the Borrowers in connection with the establishment of such new Class or tranche (including to preserve the pro rata treatment of the extended and non-extended Classes or tranches and to provide for the reallocation of Revolving Credit Exposure upon the expiration or termination of the commitments under any Class or tranche), in each case on terms consistent with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7" w:name="page168"/>
    <w:bookmarkEnd w:id="167"/>
    <w:p>
      <w:pPr>
        <w:jc w:val="both"/>
        <w:ind w:firstLine="656"/>
        <w:spacing w:after="0" w:line="282" w:lineRule="auto"/>
        <w:tabs>
          <w:tab w:leader="none" w:pos="128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Notwithstanding the terms of </w:t>
      </w:r>
      <w:r>
        <w:rPr>
          <w:rFonts w:ascii="Arial" w:cs="Arial" w:eastAsia="Arial" w:hAnsi="Arial"/>
          <w:sz w:val="18"/>
          <w:szCs w:val="18"/>
          <w:u w:val="single" w:color="auto"/>
          <w:color w:val="auto"/>
        </w:rPr>
        <w:t>Sections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w:t>
      </w:r>
      <w:r>
        <w:rPr>
          <w:rFonts w:ascii="Arial" w:cs="Arial" w:eastAsia="Arial" w:hAnsi="Arial"/>
          <w:sz w:val="18"/>
          <w:szCs w:val="18"/>
          <w:color w:val="auto"/>
        </w:rPr>
        <w:t>,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OF CLOSING AND BORROWING</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VI.1 </w:t>
      </w:r>
      <w:r>
        <w:rPr>
          <w:rFonts w:ascii="Arial" w:cs="Arial" w:eastAsia="Arial" w:hAnsi="Arial"/>
          <w:sz w:val="20"/>
          <w:szCs w:val="20"/>
          <w:u w:val="single" w:color="auto"/>
          <w:color w:val="auto"/>
        </w:rPr>
        <w:t>Conditions to Closing and Initial Extensions of Credit</w:t>
      </w:r>
      <w:r>
        <w:rPr>
          <w:rFonts w:ascii="Arial" w:cs="Arial" w:eastAsia="Arial" w:hAnsi="Arial"/>
          <w:sz w:val="20"/>
          <w:szCs w:val="20"/>
          <w:color w:val="auto"/>
        </w:rPr>
        <w:t>. The obligation of the Lenders to close this Agreement and to make the initial Loans or issue or participate in the initial Letter of Credit, if any, on the Closing Date is subject to the satisfaction of each of the following conditions:</w:t>
      </w:r>
    </w:p>
    <w:p>
      <w:pPr>
        <w:spacing w:after="0" w:line="186" w:lineRule="exact"/>
        <w:rPr>
          <w:sz w:val="20"/>
          <w:szCs w:val="20"/>
          <w:color w:val="auto"/>
        </w:rPr>
      </w:pPr>
    </w:p>
    <w:p>
      <w:pPr>
        <w:jc w:val="both"/>
        <w:ind w:firstLine="656"/>
        <w:spacing w:after="0" w:line="259" w:lineRule="auto"/>
        <w:tabs>
          <w:tab w:leader="none" w:pos="1286"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Executed Loan Documents</w:t>
      </w:r>
      <w:r>
        <w:rPr>
          <w:rFonts w:ascii="Arial" w:cs="Arial" w:eastAsia="Arial" w:hAnsi="Arial"/>
          <w:sz w:val="19"/>
          <w:szCs w:val="19"/>
          <w:color w:val="auto"/>
        </w:rPr>
        <w:t>. This Agreement, a US Revolving Credit Note and a Canadian Revolving Credit Note in favor of each Revolving Credit Lender requesting a US Revolving Credit Note and a Canadian Revolving Credit Note, a US Term Loan Note and a Canadian Term Loan Note in favor of each Term Loan Lender requesting a US Term Loan Note, a US Swingline Note in favor of the Swingline Lender and a Canadian Swingline Note in favor of the Swingline Lender (in each case, if requested thereby), the Security Documents and the Guaranty Agreements, together with any other applicable Loan Documents, shall have been duly authorized, executed and delivered to the Administrative Agent by the parties thereto, shall be in full force and effect.</w:t>
      </w:r>
    </w:p>
    <w:p>
      <w:pPr>
        <w:spacing w:after="0" w:line="178" w:lineRule="exact"/>
        <w:rPr>
          <w:rFonts w:ascii="Arial" w:cs="Arial" w:eastAsia="Arial" w:hAnsi="Arial"/>
          <w:sz w:val="19"/>
          <w:szCs w:val="19"/>
          <w:color w:val="auto"/>
        </w:rPr>
      </w:pPr>
    </w:p>
    <w:p>
      <w:pPr>
        <w:ind w:firstLine="656"/>
        <w:spacing w:after="0" w:line="260" w:lineRule="auto"/>
        <w:tabs>
          <w:tab w:leader="none" w:pos="1284"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Closing Certificates; Etc.</w:t>
      </w:r>
      <w:r>
        <w:rPr>
          <w:rFonts w:ascii="Arial" w:cs="Arial" w:eastAsia="Arial" w:hAnsi="Arial"/>
          <w:sz w:val="20"/>
          <w:szCs w:val="20"/>
          <w:color w:val="auto"/>
        </w:rPr>
        <w:t xml:space="preserve"> The Administrative Agent shall have received each of the following in form and substance reasonably satisfactory to the Administrative Agent:</w:t>
      </w:r>
    </w:p>
    <w:p>
      <w:pPr>
        <w:spacing w:after="0" w:line="176" w:lineRule="exact"/>
        <w:rPr>
          <w:rFonts w:ascii="Arial" w:cs="Arial" w:eastAsia="Arial" w:hAnsi="Arial"/>
          <w:sz w:val="20"/>
          <w:szCs w:val="20"/>
          <w:color w:val="auto"/>
        </w:rPr>
      </w:pPr>
    </w:p>
    <w:p>
      <w:pPr>
        <w:jc w:val="both"/>
        <w:ind w:left="660" w:firstLine="644"/>
        <w:spacing w:after="0" w:line="256" w:lineRule="auto"/>
        <w:tabs>
          <w:tab w:leader="none" w:pos="1954"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xml:space="preserve">. A certificate from a Responsible Officer of Centuri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only representations and warranties under this Agreement or any other Loan Document the accuracy of which shall be a condition to the availability of the initial Extensions of Credit on the Closing Date shall be the Specified Representations; (B) the condition set forth in </w:t>
      </w:r>
      <w:r>
        <w:rPr>
          <w:rFonts w:ascii="Arial" w:cs="Arial" w:eastAsia="Arial" w:hAnsi="Arial"/>
          <w:sz w:val="19"/>
          <w:szCs w:val="19"/>
          <w:u w:val="single" w:color="auto"/>
          <w:color w:val="auto"/>
        </w:rPr>
        <w:t>Section 6.1(f)(iv)</w:t>
      </w:r>
      <w:r>
        <w:rPr>
          <w:rFonts w:ascii="Arial" w:cs="Arial" w:eastAsia="Arial" w:hAnsi="Arial"/>
          <w:sz w:val="19"/>
          <w:szCs w:val="19"/>
          <w:color w:val="auto"/>
        </w:rPr>
        <w:t xml:space="preserve"> is satisfied; (C) attached thereto is a true and correct copy of the Drum Merger Agreement as in effect on the Closing Date; and (D) each of the Credit Parties, as applicable, has satisfied each of the conditions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left="660" w:firstLine="644"/>
        <w:spacing w:after="0" w:line="257" w:lineRule="auto"/>
        <w:tabs>
          <w:tab w:leader="none" w:pos="1955"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Officer’s Certificate of each Credit Party</w:t>
      </w:r>
      <w:r>
        <w:rPr>
          <w:rFonts w:ascii="Arial" w:cs="Arial" w:eastAsia="Arial" w:hAnsi="Arial"/>
          <w:sz w:val="19"/>
          <w:szCs w:val="19"/>
          <w:color w:val="auto"/>
        </w:rPr>
        <w:t>.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and in the case of the US Credit Parties only, certified as of a recent date by the appropriate Governmental Authority in its jurisdiction of incorporation, organization or formation (or equivalent), as applicable, (B) the bylaws or other governing document of such Credit Party as in effect on the Closing Date, (C) resolutions duly adopted by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8" w:name="page169"/>
    <w:bookmarkEnd w:id="168"/>
    <w:p>
      <w:pPr>
        <w:jc w:val="both"/>
        <w:ind w:left="660"/>
        <w:spacing w:after="0" w:line="269" w:lineRule="auto"/>
        <w:rPr>
          <w:sz w:val="20"/>
          <w:szCs w:val="20"/>
          <w:color w:val="auto"/>
        </w:rPr>
      </w:pPr>
      <w:r>
        <w:rPr>
          <w:rFonts w:ascii="Arial" w:cs="Arial" w:eastAsia="Arial" w:hAnsi="Arial"/>
          <w:sz w:val="19"/>
          <w:szCs w:val="19"/>
          <w:color w:val="auto"/>
        </w:rPr>
        <w:t xml:space="preserve">directors (or other governing body) of such Credit Party authorizing and approving the transactions contemplated hereunder and the execution, delivery and performance of this Agreement and the other Loan Documents to which it is a party, and (D) with respect to the US Credit Parties only, each certificate required to be delivered pursuant to </w:t>
      </w:r>
      <w:r>
        <w:rPr>
          <w:rFonts w:ascii="Arial" w:cs="Arial" w:eastAsia="Arial" w:hAnsi="Arial"/>
          <w:sz w:val="19"/>
          <w:szCs w:val="19"/>
          <w:u w:val="single" w:color="auto"/>
          <w:color w:val="auto"/>
        </w:rPr>
        <w:t>Section 6.1(b)(iii)</w:t>
      </w:r>
      <w:r>
        <w:rPr>
          <w:rFonts w:ascii="Arial" w:cs="Arial" w:eastAsia="Arial" w:hAnsi="Arial"/>
          <w:sz w:val="19"/>
          <w:szCs w:val="19"/>
          <w:color w:val="auto"/>
        </w:rPr>
        <w:t>.</w:t>
      </w:r>
    </w:p>
    <w:p>
      <w:pPr>
        <w:spacing w:after="0" w:line="170" w:lineRule="exact"/>
        <w:rPr>
          <w:sz w:val="20"/>
          <w:szCs w:val="20"/>
          <w:color w:val="auto"/>
        </w:rPr>
      </w:pPr>
    </w:p>
    <w:p>
      <w:pPr>
        <w:ind w:left="660" w:firstLine="644"/>
        <w:spacing w:after="0" w:line="260" w:lineRule="auto"/>
        <w:tabs>
          <w:tab w:leader="none" w:pos="1956"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Certificates of Good Standing</w:t>
      </w:r>
      <w:r>
        <w:rPr>
          <w:rFonts w:ascii="Arial" w:cs="Arial" w:eastAsia="Arial" w:hAnsi="Arial"/>
          <w:sz w:val="20"/>
          <w:szCs w:val="20"/>
          <w:color w:val="auto"/>
        </w:rPr>
        <w:t>. Certificates as of a recent date of the good standing of each Credit Party under the laws of its jurisdiction of incorporation, organization or formation (or equivalent), as applicable.</w:t>
      </w:r>
    </w:p>
    <w:p>
      <w:pPr>
        <w:spacing w:after="0" w:line="176" w:lineRule="exact"/>
        <w:rPr>
          <w:rFonts w:ascii="Arial" w:cs="Arial" w:eastAsia="Arial" w:hAnsi="Arial"/>
          <w:sz w:val="20"/>
          <w:szCs w:val="20"/>
          <w:color w:val="auto"/>
        </w:rPr>
      </w:pPr>
    </w:p>
    <w:p>
      <w:pPr>
        <w:jc w:val="both"/>
        <w:ind w:left="660" w:firstLine="644"/>
        <w:spacing w:after="0" w:line="291" w:lineRule="auto"/>
        <w:tabs>
          <w:tab w:leader="none" w:pos="1945"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Opinions of counsel to the Credit Parties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addressees thereof).</w:t>
      </w:r>
    </w:p>
    <w:p>
      <w:pPr>
        <w:spacing w:after="0" w:line="151" w:lineRule="exact"/>
        <w:rPr>
          <w:rFonts w:ascii="Arial" w:cs="Arial" w:eastAsia="Arial" w:hAnsi="Arial"/>
          <w:sz w:val="18"/>
          <w:szCs w:val="18"/>
          <w:color w:val="auto"/>
        </w:rPr>
      </w:pPr>
    </w:p>
    <w:p>
      <w:pPr>
        <w:ind w:left="1300" w:hanging="644"/>
        <w:spacing w:after="0"/>
        <w:tabs>
          <w:tab w:leader="none" w:pos="130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44" w:lineRule="auto"/>
        <w:tabs>
          <w:tab w:leader="none" w:pos="1954"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Filings and Recordings</w:t>
      </w:r>
      <w:r>
        <w:rPr>
          <w:rFonts w:ascii="Arial" w:cs="Arial" w:eastAsia="Arial" w:hAnsi="Arial"/>
          <w:sz w:val="20"/>
          <w:szCs w:val="20"/>
          <w:color w:val="auto"/>
        </w:rPr>
        <w:t>. The Administrative Agent shall have received all filings and recordations that are necessary to perfect the security interests of the Administrative Agent, on behalf of the US Secured Parties and the Canadian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94" w:lineRule="exact"/>
        <w:rPr>
          <w:rFonts w:ascii="Arial" w:cs="Arial" w:eastAsia="Arial" w:hAnsi="Arial"/>
          <w:sz w:val="20"/>
          <w:szCs w:val="20"/>
          <w:color w:val="auto"/>
        </w:rPr>
      </w:pPr>
    </w:p>
    <w:p>
      <w:pPr>
        <w:jc w:val="both"/>
        <w:ind w:left="660" w:firstLine="644"/>
        <w:spacing w:after="0" w:line="244" w:lineRule="auto"/>
        <w:tabs>
          <w:tab w:leader="none" w:pos="1955"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Pledged Collateral</w:t>
      </w:r>
      <w:r>
        <w:rPr>
          <w:rFonts w:ascii="Arial" w:cs="Arial" w:eastAsia="Arial" w:hAnsi="Arial"/>
          <w:sz w:val="20"/>
          <w:szCs w:val="20"/>
          <w:color w:val="auto"/>
        </w:rPr>
        <w:t xml:space="preserve">. The Administrative Agent shall have received, subject to </w:t>
      </w:r>
      <w:r>
        <w:rPr>
          <w:rFonts w:ascii="Arial" w:cs="Arial" w:eastAsia="Arial" w:hAnsi="Arial"/>
          <w:sz w:val="20"/>
          <w:szCs w:val="20"/>
          <w:u w:val="single" w:color="auto"/>
          <w:color w:val="auto"/>
        </w:rPr>
        <w:t>Section 8.19</w:t>
      </w:r>
      <w:r>
        <w:rPr>
          <w:rFonts w:ascii="Arial" w:cs="Arial" w:eastAsia="Arial" w:hAnsi="Arial"/>
          <w:sz w:val="20"/>
          <w:szCs w:val="20"/>
          <w:color w:val="auto"/>
        </w:rPr>
        <w:t>,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pledged pursuant to the Security Documents together with an undated allonge for each such promissory note duly executed in blank by the holder thereof.</w:t>
      </w:r>
    </w:p>
    <w:p>
      <w:pPr>
        <w:spacing w:after="0" w:line="194"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Lien Search</w:t>
      </w:r>
      <w:r>
        <w:rPr>
          <w:rFonts w:ascii="Arial" w:cs="Arial" w:eastAsia="Arial" w:hAnsi="Arial"/>
          <w:sz w:val="20"/>
          <w:szCs w:val="20"/>
          <w:color w:val="auto"/>
        </w:rPr>
        <w:t>. The Administrative Agent shall have received the results of customary Lien searches (including UCC and PPSA searches and a search as to bankruptcy, tax and intellectual property matters as applicable), in form and substance reasonably satisfactory thereto, made against the Credit Parties, indicating among other things that the assets of each such Credit Party are free and clear of any Lien (except for Permitted Liens).</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Financial Matters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42" w:lineRule="auto"/>
        <w:tabs>
          <w:tab w:leader="none" w:pos="1954"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Agents shall have received (A) the audited Consolidated balance sheet of Centuri and its Subsidiaries for the Fiscal Year ended on December 31, 2020 and the related audited statements of income and retained earnings and cash flows for each such Fiscal Year, (B) an unaudited Consolidated balance sheet of Centuri and its Subsidiaries for the fiscal quarter ended on June 30, 2021 and related statements of operations for the six-month period then ended and such financial statements described in this clause (B) are publicly available, (C) unaudited Consolidated balance sheets and the related Consolidated statements of income and cash flows of Centuri and its Subsidiaries for each interim fiscal quarter ended after June 30, 2021 and at least 45 days prior to the Closing Date, (D) the audited Consolidated balance sheet of Drum and its Subsidiaries for the fiscal years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69" w:name="page170"/>
    <w:bookmarkEnd w:id="169"/>
    <w:p>
      <w:pPr>
        <w:jc w:val="both"/>
        <w:ind w:left="660"/>
        <w:spacing w:after="0" w:line="244" w:lineRule="auto"/>
        <w:rPr>
          <w:sz w:val="20"/>
          <w:szCs w:val="20"/>
          <w:color w:val="auto"/>
        </w:rPr>
      </w:pPr>
      <w:r>
        <w:rPr>
          <w:rFonts w:ascii="Arial" w:cs="Arial" w:eastAsia="Arial" w:hAnsi="Arial"/>
          <w:sz w:val="20"/>
          <w:szCs w:val="20"/>
          <w:color w:val="auto"/>
        </w:rPr>
        <w:t>2020 and December 31, 2019 and the related audited statements of income and retained earnings and cash flows for each such fiscal year, (E) an unaudited Consolidated balance sheet of Drum and its Subsidiaries for the fiscal quarter ended on June 30, 2021 and related statements of operations for the six-month period then ended and (F) unaudited Consolidated balance sheets and the related Consolidated statements of income and cash flows of Drum and its Subsidiaries for each interim fiscal quarter ended after June 30, 2021 and at least 45 days prior to the Closing Date.</w:t>
      </w:r>
    </w:p>
    <w:p>
      <w:pPr>
        <w:spacing w:after="0" w:line="194" w:lineRule="exact"/>
        <w:rPr>
          <w:sz w:val="20"/>
          <w:szCs w:val="20"/>
          <w:color w:val="auto"/>
        </w:rPr>
      </w:pPr>
    </w:p>
    <w:p>
      <w:pPr>
        <w:jc w:val="both"/>
        <w:ind w:left="660" w:firstLine="644"/>
        <w:spacing w:after="0" w:line="275" w:lineRule="auto"/>
        <w:tabs>
          <w:tab w:leader="none" w:pos="1955"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Financial Condition/Solvency Certificate</w:t>
      </w:r>
      <w:r>
        <w:rPr>
          <w:rFonts w:ascii="Arial" w:cs="Arial" w:eastAsia="Arial" w:hAnsi="Arial"/>
          <w:sz w:val="18"/>
          <w:szCs w:val="18"/>
          <w:color w:val="auto"/>
        </w:rPr>
        <w:t>. Centuri shall have delivered to the Administrative Agent a certificate, in form and substance satisfactory to the Administrative Agent, and certified as accurate by the chief financial officer of Centuri, that</w:t>
      </w:r>
    </w:p>
    <w:p>
      <w:pPr>
        <w:jc w:val="both"/>
        <w:ind w:left="660" w:hanging="4"/>
        <w:spacing w:after="0" w:line="241" w:lineRule="auto"/>
        <w:tabs>
          <w:tab w:leader="none" w:pos="100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after giving effect to the Transactions, Centuri and its Subsidiaries, on a Consolidated basis, are Solvent and (B) the financial projections previously delivered to the Agents represent the good faith estimates (utilizing reasonable assumptions) of the financial condition and operations of the Consolidated Companies.</w:t>
      </w:r>
    </w:p>
    <w:p>
      <w:pPr>
        <w:spacing w:after="0" w:line="195" w:lineRule="exact"/>
        <w:rPr>
          <w:rFonts w:ascii="Arial" w:cs="Arial" w:eastAsia="Arial" w:hAnsi="Arial"/>
          <w:sz w:val="20"/>
          <w:szCs w:val="20"/>
          <w:color w:val="auto"/>
        </w:rPr>
      </w:pPr>
    </w:p>
    <w:p>
      <w:pPr>
        <w:jc w:val="both"/>
        <w:ind w:left="660" w:firstLine="644"/>
        <w:spacing w:after="0" w:line="271" w:lineRule="auto"/>
        <w:tabs>
          <w:tab w:leader="none" w:pos="1956"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Payment at Closing</w:t>
      </w:r>
      <w:r>
        <w:rPr>
          <w:rFonts w:ascii="Arial" w:cs="Arial" w:eastAsia="Arial" w:hAnsi="Arial"/>
          <w:sz w:val="18"/>
          <w:szCs w:val="18"/>
          <w:color w:val="auto"/>
        </w:rPr>
        <w:t xml:space="preserve">. If an invoice has been provided to Centuri not less than two (2) Business Days prior to the Closing Date, the Borrowers shall have paid or made arrangements to pay contemporaneously with closing (A) to the Administrative Agent, the Arrangers and the Lenders the fees set forth or referenced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Centuri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74"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Drum Acquisition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44" w:lineRule="auto"/>
        <w:tabs>
          <w:tab w:leader="none" w:pos="1954" w:val="left"/>
        </w:tabs>
        <w:numPr>
          <w:ilvl w:val="1"/>
          <w:numId w:val="133"/>
        </w:numPr>
        <w:rPr>
          <w:rFonts w:ascii="Arial" w:cs="Arial" w:eastAsia="Arial" w:hAnsi="Arial"/>
          <w:sz w:val="20"/>
          <w:szCs w:val="20"/>
          <w:color w:val="auto"/>
        </w:rPr>
      </w:pPr>
      <w:r>
        <w:rPr>
          <w:rFonts w:ascii="Arial" w:cs="Arial" w:eastAsia="Arial" w:hAnsi="Arial"/>
          <w:sz w:val="20"/>
          <w:szCs w:val="20"/>
          <w:u w:val="single" w:color="auto"/>
          <w:color w:val="auto"/>
        </w:rPr>
        <w:t>Consummation of the Drum Acquisition</w:t>
      </w:r>
      <w:r>
        <w:rPr>
          <w:rFonts w:ascii="Arial" w:cs="Arial" w:eastAsia="Arial" w:hAnsi="Arial"/>
          <w:sz w:val="20"/>
          <w:szCs w:val="20"/>
          <w:color w:val="auto"/>
        </w:rPr>
        <w:t>. The Drum Acquisition (including the payment of all amounts due and payable in connection with the consummation of the Drum Acquisition) shall be, or shall have been, consummated in accordance with the Drum Merger Agreement without giving effect to any waivers, modifications, or consents thereof that are materially adverse to the Lenders (as reasonably determined by the Agents) unless such waivers, modifications, or consents are approved in writing by the Agents.</w:t>
      </w:r>
    </w:p>
    <w:p>
      <w:pPr>
        <w:spacing w:after="0" w:line="194" w:lineRule="exact"/>
        <w:rPr>
          <w:rFonts w:ascii="Arial" w:cs="Arial" w:eastAsia="Arial" w:hAnsi="Arial"/>
          <w:sz w:val="20"/>
          <w:szCs w:val="20"/>
          <w:color w:val="auto"/>
        </w:rPr>
      </w:pPr>
    </w:p>
    <w:p>
      <w:pPr>
        <w:ind w:left="660" w:firstLine="644"/>
        <w:spacing w:after="0" w:line="260" w:lineRule="auto"/>
        <w:tabs>
          <w:tab w:leader="none" w:pos="1955" w:val="left"/>
        </w:tabs>
        <w:numPr>
          <w:ilvl w:val="1"/>
          <w:numId w:val="133"/>
        </w:numPr>
        <w:rPr>
          <w:rFonts w:ascii="Arial" w:cs="Arial" w:eastAsia="Arial" w:hAnsi="Arial"/>
          <w:sz w:val="20"/>
          <w:szCs w:val="20"/>
          <w:color w:val="auto"/>
        </w:rPr>
      </w:pPr>
      <w:r>
        <w:rPr>
          <w:rFonts w:ascii="Arial" w:cs="Arial" w:eastAsia="Arial" w:hAnsi="Arial"/>
          <w:sz w:val="20"/>
          <w:szCs w:val="20"/>
          <w:u w:val="single" w:color="auto"/>
          <w:color w:val="auto"/>
        </w:rPr>
        <w:t>Drum Merger Agreement</w:t>
      </w:r>
      <w:r>
        <w:rPr>
          <w:rFonts w:ascii="Arial" w:cs="Arial" w:eastAsia="Arial" w:hAnsi="Arial"/>
          <w:sz w:val="20"/>
          <w:szCs w:val="20"/>
          <w:color w:val="auto"/>
        </w:rPr>
        <w:t>. The Arrangers shall have received true, correct and fully executed copies of the Drum Merger Agreement.</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56" w:val="left"/>
        </w:tabs>
        <w:numPr>
          <w:ilvl w:val="1"/>
          <w:numId w:val="133"/>
        </w:numPr>
        <w:rPr>
          <w:rFonts w:ascii="Arial" w:cs="Arial" w:eastAsia="Arial" w:hAnsi="Arial"/>
          <w:sz w:val="20"/>
          <w:szCs w:val="20"/>
          <w:color w:val="auto"/>
        </w:rPr>
      </w:pPr>
      <w:r>
        <w:rPr>
          <w:rFonts w:ascii="Arial" w:cs="Arial" w:eastAsia="Arial" w:hAnsi="Arial"/>
          <w:sz w:val="20"/>
          <w:szCs w:val="20"/>
          <w:u w:val="single" w:color="auto"/>
          <w:color w:val="auto"/>
        </w:rPr>
        <w:t>Drum Acquisition Representations and Warranties</w:t>
      </w:r>
      <w:r>
        <w:rPr>
          <w:rFonts w:ascii="Arial" w:cs="Arial" w:eastAsia="Arial" w:hAnsi="Arial"/>
          <w:sz w:val="20"/>
          <w:szCs w:val="20"/>
          <w:color w:val="auto"/>
        </w:rPr>
        <w:t>. Each of the representations made by Drum or any of its Subsidiaries or Affiliates or with respect to Drum or its Subsidiaries or its business in the Drum Merger Agreement that are material to the interests of the Lenders are accurate in all material respects (or if qualified by materiality or reference to material adverse effect, in all respects), but only to the extent that in the event of an inaccuracy with respect to, or a breach of, such representations Centuri or its Affiliates have the right to terminate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0" w:name="page171"/>
    <w:bookmarkEnd w:id="170"/>
    <w:p>
      <w:pPr>
        <w:ind w:left="660"/>
        <w:spacing w:after="0"/>
        <w:rPr>
          <w:sz w:val="20"/>
          <w:szCs w:val="20"/>
          <w:color w:val="auto"/>
        </w:rPr>
      </w:pPr>
      <w:r>
        <w:rPr>
          <w:rFonts w:ascii="Arial" w:cs="Arial" w:eastAsia="Arial" w:hAnsi="Arial"/>
          <w:sz w:val="20"/>
          <w:szCs w:val="20"/>
          <w:color w:val="auto"/>
        </w:rPr>
        <w:t>obligations under the Drum Merger Agreement or otherwise decline to close the Drum Acquisition.</w:t>
      </w:r>
    </w:p>
    <w:p>
      <w:pPr>
        <w:spacing w:after="0" w:line="216" w:lineRule="exact"/>
        <w:rPr>
          <w:sz w:val="20"/>
          <w:szCs w:val="20"/>
          <w:color w:val="auto"/>
        </w:rPr>
      </w:pPr>
    </w:p>
    <w:p>
      <w:pPr>
        <w:ind w:left="660" w:firstLine="644"/>
        <w:spacing w:after="0" w:line="316" w:lineRule="auto"/>
        <w:tabs>
          <w:tab w:leader="none" w:pos="1945"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No Drum Material Adverse Effect</w:t>
      </w:r>
      <w:r>
        <w:rPr>
          <w:rFonts w:ascii="Arial" w:cs="Arial" w:eastAsia="Arial" w:hAnsi="Arial"/>
          <w:sz w:val="18"/>
          <w:szCs w:val="18"/>
          <w:color w:val="auto"/>
        </w:rPr>
        <w:t>. Since the date of the Drum Merger Agreement, there shall not have occurred a Drum Material Adverse Effect or any event or condition that could reasonably be expected to have a Drum Material Adverse Effect.</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4"/>
        <w:spacing w:after="0" w:line="316" w:lineRule="auto"/>
        <w:tabs>
          <w:tab w:leader="none" w:pos="1954"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The Administrative Agent shall have received a Notice of Account Designation specifying the account or accounts to which the proceeds of any Loans made on or after the Closing Date are to be disbursed.</w:t>
      </w:r>
    </w:p>
    <w:p>
      <w:pPr>
        <w:spacing w:after="0" w:line="129" w:lineRule="exact"/>
        <w:rPr>
          <w:rFonts w:ascii="Arial" w:cs="Arial" w:eastAsia="Arial" w:hAnsi="Arial"/>
          <w:sz w:val="18"/>
          <w:szCs w:val="18"/>
          <w:color w:val="auto"/>
        </w:rPr>
      </w:pPr>
    </w:p>
    <w:p>
      <w:pPr>
        <w:jc w:val="both"/>
        <w:ind w:left="660" w:firstLine="644"/>
        <w:spacing w:after="0" w:line="257" w:lineRule="auto"/>
        <w:tabs>
          <w:tab w:leader="none" w:pos="1955"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Existing Indebtedness</w:t>
      </w:r>
      <w:r>
        <w:rPr>
          <w:rFonts w:ascii="Arial" w:cs="Arial" w:eastAsia="Arial" w:hAnsi="Arial"/>
          <w:sz w:val="19"/>
          <w:szCs w:val="19"/>
          <w:color w:val="auto"/>
        </w:rPr>
        <w:t xml:space="preserve">. (A) All amounts due or outstanding in respect of the Existing Credit Agreement shall have been (or substantially simultaneously with the Closing Date shall be) refinanced in full and (B) all existing Indebtedness of Drum and its Subsidiaries (other than such Indebtedness that is expressly permitted to remain outstanding pursuant to the Drum Merger Agreement and permitted by </w:t>
      </w:r>
      <w:r>
        <w:rPr>
          <w:rFonts w:ascii="Arial" w:cs="Arial" w:eastAsia="Arial" w:hAnsi="Arial"/>
          <w:sz w:val="19"/>
          <w:szCs w:val="19"/>
          <w:u w:val="single" w:color="auto"/>
          <w:color w:val="auto"/>
        </w:rPr>
        <w:t>Section 9.1(c)</w:t>
      </w:r>
      <w:r>
        <w:rPr>
          <w:rFonts w:ascii="Arial" w:cs="Arial" w:eastAsia="Arial" w:hAnsi="Arial"/>
          <w:sz w:val="19"/>
          <w:szCs w:val="19"/>
          <w:color w:val="auto"/>
        </w:rPr>
        <w:t>) shall be repaid in full, all commitments (if any) in respect thereof shall have been terminated and all guarantees therefor and security therefor shall be released, in each case prior to or substantially concurrently with the initial Extensions of Credit hereunder and the Administrative Agent shall have received pay-off letters in form and substance satisfactory to it evidencing such repayment, termination and release.</w:t>
      </w:r>
    </w:p>
    <w:p>
      <w:pPr>
        <w:spacing w:after="0" w:line="184" w:lineRule="exact"/>
        <w:rPr>
          <w:rFonts w:ascii="Arial" w:cs="Arial" w:eastAsia="Arial" w:hAnsi="Arial"/>
          <w:sz w:val="19"/>
          <w:szCs w:val="19"/>
          <w:color w:val="auto"/>
        </w:rPr>
      </w:pPr>
    </w:p>
    <w:p>
      <w:pPr>
        <w:jc w:val="both"/>
        <w:ind w:left="660" w:firstLine="644"/>
        <w:spacing w:after="0" w:line="257" w:lineRule="auto"/>
        <w:tabs>
          <w:tab w:leader="none" w:pos="1956"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PATRIOT Act, etc</w:t>
      </w:r>
      <w:r>
        <w:rPr>
          <w:rFonts w:ascii="Arial" w:cs="Arial" w:eastAsia="Arial" w:hAnsi="Arial"/>
          <w:sz w:val="19"/>
          <w:szCs w:val="19"/>
          <w:color w:val="auto"/>
        </w:rPr>
        <w:t>. To the extent requested by the Agents or any Lender at least ten (10) Business Days prior to the Closing Date, (A) the Agents and the Lenders shall have received, at least five Business Days prior to the Closing Date (or such shorter period as the Administrative Agent may agree), all documentation and other information requested by the Agents or any Lender in order to comply with requirements of any Anti-Money Laundering Laws including, without limitation, the PATRIOT Act and any applicable “know your customer” rules and regulations and (B) the Borrowers shall have delivered to the Agents,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spacing w:after="0" w:line="180" w:lineRule="exact"/>
        <w:rPr>
          <w:rFonts w:ascii="Arial" w:cs="Arial" w:eastAsia="Arial" w:hAnsi="Arial"/>
          <w:sz w:val="19"/>
          <w:szCs w:val="19"/>
          <w:color w:val="auto"/>
        </w:rPr>
      </w:pPr>
    </w:p>
    <w:p>
      <w:pPr>
        <w:jc w:val="both"/>
        <w:ind w:left="660" w:firstLine="644"/>
        <w:spacing w:after="0" w:line="246" w:lineRule="auto"/>
        <w:tabs>
          <w:tab w:leader="none" w:pos="1945" w:val="left"/>
        </w:tabs>
        <w:numPr>
          <w:ilvl w:val="1"/>
          <w:numId w:val="135"/>
        </w:numPr>
        <w:rPr>
          <w:rFonts w:ascii="Arial" w:cs="Arial" w:eastAsia="Arial" w:hAnsi="Arial"/>
          <w:sz w:val="20"/>
          <w:szCs w:val="20"/>
          <w:color w:val="auto"/>
        </w:rPr>
      </w:pPr>
      <w:r>
        <w:rPr>
          <w:rFonts w:ascii="Arial" w:cs="Arial" w:eastAsia="Arial" w:hAnsi="Arial"/>
          <w:sz w:val="20"/>
          <w:szCs w:val="20"/>
          <w:u w:val="single" w:color="auto"/>
          <w:color w:val="auto"/>
        </w:rPr>
        <w:t>Other Documents</w:t>
      </w:r>
      <w:r>
        <w:rPr>
          <w:rFonts w:ascii="Arial" w:cs="Arial" w:eastAsia="Arial" w:hAnsi="Arial"/>
          <w:sz w:val="20"/>
          <w:szCs w:val="20"/>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11.3(c)</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6.1</w:t>
      </w:r>
      <w:r>
        <w:rPr>
          <w:rFonts w:ascii="Arial" w:cs="Arial" w:eastAsia="Arial" w:hAnsi="Arial"/>
          <w:sz w:val="20"/>
          <w:szCs w:val="20"/>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VI.2 </w:t>
      </w:r>
      <w:r>
        <w:rPr>
          <w:rFonts w:ascii="Arial" w:cs="Arial" w:eastAsia="Arial" w:hAnsi="Arial"/>
          <w:sz w:val="20"/>
          <w:szCs w:val="20"/>
          <w:u w:val="single" w:color="auto"/>
          <w:color w:val="auto"/>
        </w:rPr>
        <w:t>Conditions to All Extensions of Credit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solely with respect to any Incremental Term Loan incurred to finance a substantially concurrent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1" w:name="page172"/>
    <w:bookmarkEnd w:id="171"/>
    <w:p>
      <w:pPr>
        <w:jc w:val="both"/>
        <w:spacing w:after="0" w:line="269" w:lineRule="auto"/>
        <w:rPr>
          <w:sz w:val="20"/>
          <w:szCs w:val="20"/>
          <w:color w:val="auto"/>
        </w:rPr>
      </w:pPr>
      <w:r>
        <w:rPr>
          <w:rFonts w:ascii="Arial" w:cs="Arial" w:eastAsia="Arial" w:hAnsi="Arial"/>
          <w:sz w:val="19"/>
          <w:szCs w:val="19"/>
          <w:color w:val="auto"/>
        </w:rPr>
        <w:t>Condition Acquisition, the obligations of the Lenders to make or participate in any Extensions of Credit (including the initial Extension of Credit), convert or continue any Loan and/or any Issuing Lender to issue or extend any Letter of Credit are subject to the satisfaction of the following conditions precedent on the relevant borrowing, continuation, conversion, issuance or extension date:</w:t>
      </w:r>
    </w:p>
    <w:p>
      <w:pPr>
        <w:spacing w:after="0" w:line="170" w:lineRule="exact"/>
        <w:rPr>
          <w:sz w:val="20"/>
          <w:szCs w:val="20"/>
          <w:color w:val="auto"/>
        </w:rPr>
      </w:pPr>
    </w:p>
    <w:p>
      <w:pPr>
        <w:jc w:val="both"/>
        <w:ind w:firstLine="656"/>
        <w:spacing w:after="0" w:line="272" w:lineRule="auto"/>
        <w:tabs>
          <w:tab w:leader="none" w:pos="128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Continuation of Representations and Warranties</w:t>
      </w:r>
      <w:r>
        <w:rPr>
          <w:rFonts w:ascii="Arial" w:cs="Arial" w:eastAsia="Arial" w:hAnsi="Arial"/>
          <w:sz w:val="18"/>
          <w:szCs w:val="18"/>
          <w:color w:val="auto"/>
        </w:rPr>
        <w:t xml:space="preserve">.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that the only representations and warranties the accuracy of which shall be a condition to the availability of the initial Extensions of Credit on the Closing Date shall be the Specified Representations.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84"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No Existing Default</w:t>
      </w:r>
      <w:r>
        <w:rPr>
          <w:rFonts w:ascii="Arial" w:cs="Arial" w:eastAsia="Arial" w:hAnsi="Arial"/>
          <w:sz w:val="19"/>
          <w:szCs w:val="19"/>
          <w:color w:val="auto"/>
        </w:rPr>
        <w:t>. Except with respect to the initial Extensions of Credit on the Closing Date,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286"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The Administrative Agent shall have received a Notice of Borrowing, Letter of Credit Application, or Notice of Conversion/Continuation, as applicable, from the applicable Borrower in accordance with </w:t>
      </w:r>
      <w:r>
        <w:rPr>
          <w:rFonts w:ascii="Arial" w:cs="Arial" w:eastAsia="Arial" w:hAnsi="Arial"/>
          <w:sz w:val="20"/>
          <w:szCs w:val="20"/>
          <w:u w:val="single" w:color="auto"/>
          <w:color w:val="auto"/>
        </w:rPr>
        <w:t>Section 2.3(a)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5.2</w:t>
      </w:r>
      <w:r>
        <w:rPr>
          <w:rFonts w:ascii="Arial" w:cs="Arial" w:eastAsia="Arial" w:hAnsi="Arial"/>
          <w:sz w:val="20"/>
          <w:szCs w:val="20"/>
          <w:color w:val="auto"/>
        </w:rPr>
        <w:t>, as applicable.</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no Swingline Lender shall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Each Notice of Borrowing, Letter of Credit Application, as applicable, submitted by the Borrowers shall be deemed to be a representation and warranty that the conditions specified in </w:t>
      </w:r>
      <w:r>
        <w:rPr>
          <w:rFonts w:ascii="Arial" w:cs="Arial" w:eastAsia="Arial" w:hAnsi="Arial"/>
          <w:sz w:val="20"/>
          <w:szCs w:val="20"/>
          <w:u w:val="single" w:color="auto"/>
          <w:color w:val="auto"/>
        </w:rPr>
        <w:t>Sections 6.2(a)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Extension of Credit.</w:t>
      </w: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 OF THE CREDIT PARTIES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To induce the Administrative Agent and Lenders to enter into this Agreement and to induce the Lenders to make Extensions of Credit, the Credit Parties hereby represent and warrant to the Administrative Agent and the Lenders both immediately before and after giving effect to the transactions contemplated hereunder, which representations and warranties shall be deemed made on the Closing Date and as otherwise set forth in </w:t>
      </w:r>
      <w:r>
        <w:rPr>
          <w:rFonts w:ascii="Arial" w:cs="Arial" w:eastAsia="Arial" w:hAnsi="Arial"/>
          <w:sz w:val="20"/>
          <w:szCs w:val="20"/>
          <w:u w:val="single" w:color="auto"/>
          <w:color w:val="auto"/>
        </w:rPr>
        <w:t>Section 6.2</w:t>
      </w:r>
      <w:r>
        <w:rPr>
          <w:rFonts w:ascii="Arial" w:cs="Arial" w:eastAsia="Arial" w:hAnsi="Arial"/>
          <w:sz w:val="20"/>
          <w:szCs w:val="20"/>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2" w:name="page173"/>
    <w:bookmarkEnd w:id="172"/>
    <w:p>
      <w:pPr>
        <w:jc w:val="both"/>
        <w:ind w:firstLine="648"/>
        <w:spacing w:after="0" w:line="257" w:lineRule="auto"/>
        <w:rPr>
          <w:sz w:val="20"/>
          <w:szCs w:val="20"/>
          <w:color w:val="auto"/>
        </w:rPr>
      </w:pPr>
      <w:r>
        <w:rPr>
          <w:rFonts w:ascii="Arial" w:cs="Arial" w:eastAsia="Arial" w:hAnsi="Arial"/>
          <w:sz w:val="19"/>
          <w:szCs w:val="19"/>
          <w:color w:val="auto"/>
        </w:rPr>
        <w:t xml:space="preserve">SECTION VII.1 </w:t>
      </w:r>
      <w:r>
        <w:rPr>
          <w:rFonts w:ascii="Arial" w:cs="Arial" w:eastAsia="Arial" w:hAnsi="Arial"/>
          <w:sz w:val="19"/>
          <w:szCs w:val="19"/>
          <w:u w:val="single" w:color="auto"/>
          <w:color w:val="auto"/>
        </w:rPr>
        <w:t>Organization; Power; Qualification</w:t>
      </w:r>
      <w:r>
        <w:rPr>
          <w:rFonts w:ascii="Arial" w:cs="Arial" w:eastAsia="Arial" w:hAnsi="Arial"/>
          <w:sz w:val="19"/>
          <w:szCs w:val="19"/>
          <w:color w:val="auto"/>
        </w:rPr>
        <w:t xml:space="preserve">. Each Credit Party and each Subsidiary thereof (a) is duly organized, validly existing and in good standing under the laws of the jurisdiction of its incorporation or formation, (b) has the power and authority to own its Properties and to carry on its business as now being conducted and (c) is duly qualified and authorized to do business in each jurisdiction in which the character of its Properties or the nature of its business requires such qualification and authorization, in the case of this clause (c), except to the extent failure to do so would not reasonably be expected to have a Material Adverse Effect. The jurisdictions in which each Credit Party and each Subsidiary thereof are organized and qualified to do business as of the Closing Date are described on </w:t>
      </w:r>
      <w:r>
        <w:rPr>
          <w:rFonts w:ascii="Arial" w:cs="Arial" w:eastAsia="Arial" w:hAnsi="Arial"/>
          <w:sz w:val="19"/>
          <w:szCs w:val="19"/>
          <w:u w:val="single" w:color="auto"/>
          <w:color w:val="auto"/>
        </w:rPr>
        <w:t>Schedule 7.1</w:t>
      </w:r>
      <w:r>
        <w:rPr>
          <w:rFonts w:ascii="Arial" w:cs="Arial" w:eastAsia="Arial" w:hAnsi="Arial"/>
          <w:sz w:val="19"/>
          <w:szCs w:val="19"/>
          <w:color w:val="auto"/>
        </w:rPr>
        <w:t>. No Credit Party nor any Subsidiary thereof is an Affected Financial Institution.</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VII.2 </w:t>
      </w:r>
      <w:r>
        <w:rPr>
          <w:rFonts w:ascii="Arial" w:cs="Arial" w:eastAsia="Arial" w:hAnsi="Arial"/>
          <w:sz w:val="18"/>
          <w:szCs w:val="18"/>
          <w:u w:val="single" w:color="auto"/>
          <w:color w:val="auto"/>
        </w:rPr>
        <w:t>Ownership</w:t>
      </w:r>
      <w:r>
        <w:rPr>
          <w:rFonts w:ascii="Arial" w:cs="Arial" w:eastAsia="Arial" w:hAnsi="Arial"/>
          <w:sz w:val="18"/>
          <w:szCs w:val="18"/>
          <w:color w:val="auto"/>
        </w:rPr>
        <w:t xml:space="preserve">. Each Subsidiary of each Credit Party as of the Closing Date is listed on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As of the Closing Date, the capitalization of each Credit Party and its Subsidiaries consists of the number of shares, authorized, issued and outstanding, of such classes and series, with or without par value, described on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All outstanding shares have been duly authorized and validly issued and are fully paid and nonassessable and not subject to any preemptive or similar rights, except as described in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w:t>
      </w:r>
      <w:r>
        <w:rPr>
          <w:rFonts w:ascii="Arial" w:cs="Arial" w:eastAsia="Arial" w:hAnsi="Arial"/>
          <w:sz w:val="18"/>
          <w:szCs w:val="18"/>
          <w:u w:val="single" w:color="auto"/>
          <w:color w:val="auto"/>
        </w:rPr>
        <w:t>Schedule 7.2</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VII.3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Each Credit Party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of each Credit Party that is a party thereto, enforceable in accordance with its terms, except as such enforceability may be limited by bankruptcy, insolvency, reorganization, moratorium or similar state, provincial, or federal Debtor Relief Laws from time to time in effect which affect the enforcement of creditors’ rights in general and the availability of equitable remedies.</w:t>
      </w:r>
    </w:p>
    <w:p>
      <w:pPr>
        <w:spacing w:after="0" w:line="168"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20"/>
          <w:szCs w:val="20"/>
          <w:color w:val="auto"/>
        </w:rPr>
        <w:t>SECTION VII.4</w:t>
      </w:r>
      <w:r>
        <w:rPr>
          <w:sz w:val="20"/>
          <w:szCs w:val="20"/>
          <w:color w:val="auto"/>
        </w:rPr>
        <w:tab/>
      </w:r>
      <w:r>
        <w:rPr>
          <w:rFonts w:ascii="Arial" w:cs="Arial" w:eastAsia="Arial" w:hAnsi="Arial"/>
          <w:sz w:val="18"/>
          <w:szCs w:val="18"/>
          <w:u w:val="single" w:color="auto"/>
          <w:color w:val="auto"/>
        </w:rPr>
        <w:t xml:space="preserve">Compliance of Agreement, Loan Documents and Borrowing with Laws, Etc. </w:t>
      </w:r>
      <w:r>
        <w:rPr>
          <w:rFonts w:ascii="Arial" w:cs="Arial" w:eastAsia="Arial" w:hAnsi="Arial"/>
          <w:sz w:val="18"/>
          <w:szCs w:val="18"/>
          <w:color w:val="auto"/>
        </w:rPr>
        <w:t>The execution, delivery and</w:t>
      </w:r>
    </w:p>
    <w:p>
      <w:pPr>
        <w:spacing w:after="0" w:line="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performance by each Credit Party of the Loan Documents to which each such Credit Party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(d) result in or require the creation or imposition of any Lien upon or with respect to any property now owned or hereafter acquired by such Person other than Permitted Liens or (e) other than filings or consents which have been obtained and remain in effect, require any consent or authorization of, filing with, or other act in respect of, an arbitrator or Governmental Authority and no consent of any other Person is required in connection with the execution, delivery, performance, validity or enforceability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3" w:name="page174"/>
    <w:bookmarkEnd w:id="173"/>
    <w:p>
      <w:pPr>
        <w:jc w:val="both"/>
        <w:spacing w:after="0" w:line="260" w:lineRule="auto"/>
        <w:rPr>
          <w:sz w:val="20"/>
          <w:szCs w:val="20"/>
          <w:color w:val="auto"/>
        </w:rPr>
      </w:pPr>
      <w:r>
        <w:rPr>
          <w:rFonts w:ascii="Arial" w:cs="Arial" w:eastAsia="Arial" w:hAnsi="Arial"/>
          <w:sz w:val="20"/>
          <w:szCs w:val="20"/>
          <w:color w:val="auto"/>
        </w:rPr>
        <w:t>this Agreement other than consents, authorizations, filings or other acts or consents for which the failure to obtain or make could not, individually or in the aggregate, reasonably be expected to have a Material Adverse Effect.</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VII.5 </w:t>
      </w:r>
      <w:r>
        <w:rPr>
          <w:rFonts w:ascii="Arial" w:cs="Arial" w:eastAsia="Arial" w:hAnsi="Arial"/>
          <w:sz w:val="20"/>
          <w:szCs w:val="20"/>
          <w:u w:val="single" w:color="auto"/>
          <w:color w:val="auto"/>
        </w:rPr>
        <w:t>Compliance with Law; Governmental Approvals</w:t>
      </w:r>
      <w:r>
        <w:rPr>
          <w:rFonts w:ascii="Arial" w:cs="Arial" w:eastAsia="Arial" w:hAnsi="Arial"/>
          <w:sz w:val="20"/>
          <w:szCs w:val="20"/>
          <w:color w:val="auto"/>
        </w:rPr>
        <w:t>. 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in writing attack by direct or collateral proceeding, (b) is in compliance with each Governmental Approval applicable to it and in compliance with all other Applicable Laws relating to it or any of its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(a), (b) or (c) where the failure to have, comply or file could not reasonably be expected to have a Material Adverse Effect.</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VII.6 </w:t>
      </w:r>
      <w:r>
        <w:rPr>
          <w:rFonts w:ascii="Arial" w:cs="Arial" w:eastAsia="Arial" w:hAnsi="Arial"/>
          <w:sz w:val="18"/>
          <w:szCs w:val="18"/>
          <w:u w:val="single" w:color="auto"/>
          <w:color w:val="auto"/>
        </w:rPr>
        <w:t>Tax Returns and Payments</w:t>
      </w:r>
      <w:r>
        <w:rPr>
          <w:rFonts w:ascii="Arial" w:cs="Arial" w:eastAsia="Arial" w:hAnsi="Arial"/>
          <w:sz w:val="18"/>
          <w:szCs w:val="18"/>
          <w:color w:val="auto"/>
        </w:rPr>
        <w:t xml:space="preserve">. Each Credit Party and each Subsidiary thereof has duly filed or caused to be filed all federal, state, provincial, local and other tax returns required by Applicable Law to be filed, and has paid, or made adequate provision for the payment of, all federal, state, provincial, local and other taxes, assessments and governmental charges or levies upon it and its property, income, profits and assets which are due and payable (other than (a) where the failure to file, pay, or make provision could not, individually or in the aggregate, reasonably be expected to have a Material Adverse Effect, or (b) any amount the validity of which is currently being contested in good faith by appropriate proceedings and with respect to which reserves in conformity with GAAP have been provided for on the books of the relevant Credit Party). Such returns accurately reflect in all material respects all liability for taxes of any Credit Party or any Subsidiary thereof for the periods covered thereby. As of the Closing Date, except as set forth on </w:t>
      </w:r>
      <w:r>
        <w:rPr>
          <w:rFonts w:ascii="Arial" w:cs="Arial" w:eastAsia="Arial" w:hAnsi="Arial"/>
          <w:sz w:val="18"/>
          <w:szCs w:val="18"/>
          <w:u w:val="single" w:color="auto"/>
          <w:color w:val="auto"/>
        </w:rPr>
        <w:t>Schedule 7.6</w:t>
      </w:r>
      <w:r>
        <w:rPr>
          <w:rFonts w:ascii="Arial" w:cs="Arial" w:eastAsia="Arial" w:hAnsi="Arial"/>
          <w:sz w:val="18"/>
          <w:szCs w:val="18"/>
          <w:color w:val="auto"/>
        </w:rPr>
        <w:t>, there is no ongoing audit or examination or, to its knowledge,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or (b) Permitted Liens). The charges, accruals and reserves on the books of each Credit Party and each Subsidiary thereof in respect of federal, state, provincial, local and other taxes for all Fiscal Years and portions thereof since the organization of any Credit Party or any Subsidiary thereof are in the judgment of the Borrowers adequate, and the Borrowers do not anticipate any additional taxes or assessments for any of such years.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VII.7 </w:t>
      </w:r>
      <w:r>
        <w:rPr>
          <w:rFonts w:ascii="Arial" w:cs="Arial" w:eastAsia="Arial" w:hAnsi="Arial"/>
          <w:sz w:val="19"/>
          <w:szCs w:val="19"/>
          <w:u w:val="single" w:color="auto"/>
          <w:color w:val="auto"/>
        </w:rPr>
        <w:t>Intellectual Property Matters</w:t>
      </w:r>
      <w:r>
        <w:rPr>
          <w:rFonts w:ascii="Arial" w:cs="Arial" w:eastAsia="Arial" w:hAnsi="Arial"/>
          <w:sz w:val="19"/>
          <w:szCs w:val="19"/>
          <w:color w:val="auto"/>
        </w:rPr>
        <w:t>. Each Credit Party and each Subsidiary thereof owns or possesses rights to use all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except where the failure to own or possess such rights could not, individually or in the aggregate, reasonably be expected to have a Material Adverse Effect. 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 except as could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4" w:name="page175"/>
    <w:bookmarkEnd w:id="174"/>
    <w:p>
      <w:pPr>
        <w:ind w:firstLine="648"/>
        <w:spacing w:after="0" w:line="260" w:lineRule="auto"/>
        <w:rPr>
          <w:sz w:val="20"/>
          <w:szCs w:val="20"/>
          <w:color w:val="auto"/>
        </w:rPr>
      </w:pPr>
      <w:r>
        <w:rPr>
          <w:rFonts w:ascii="Arial" w:cs="Arial" w:eastAsia="Arial" w:hAnsi="Arial"/>
          <w:sz w:val="20"/>
          <w:szCs w:val="20"/>
          <w:color w:val="auto"/>
        </w:rPr>
        <w:t xml:space="preserve">SECTION VII.8 </w:t>
      </w:r>
      <w:r>
        <w:rPr>
          <w:rFonts w:ascii="Arial" w:cs="Arial" w:eastAsia="Arial" w:hAnsi="Arial"/>
          <w:sz w:val="20"/>
          <w:szCs w:val="20"/>
          <w:u w:val="single" w:color="auto"/>
          <w:color w:val="auto"/>
        </w:rPr>
        <w:t>Environmental Matters</w:t>
      </w:r>
      <w:r>
        <w:rPr>
          <w:rFonts w:ascii="Arial" w:cs="Arial" w:eastAsia="Arial" w:hAnsi="Arial"/>
          <w:sz w:val="20"/>
          <w:szCs w:val="20"/>
          <w:color w:val="auto"/>
        </w:rPr>
        <w:t>. Except where the failure of any of the following representations to be correct could not, individually or in the aggregate, reasonably be expected to have a Material Adverse Effect:</w:t>
      </w:r>
    </w:p>
    <w:p>
      <w:pPr>
        <w:spacing w:after="0" w:line="177" w:lineRule="exact"/>
        <w:rPr>
          <w:sz w:val="20"/>
          <w:szCs w:val="20"/>
          <w:color w:val="auto"/>
        </w:rPr>
      </w:pPr>
    </w:p>
    <w:p>
      <w:pPr>
        <w:jc w:val="both"/>
        <w:ind w:firstLine="656"/>
        <w:spacing w:after="0" w:line="244" w:lineRule="auto"/>
        <w:tabs>
          <w:tab w:leader="none" w:pos="128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properties owned, leased or operated by each Credit Party and each Subsidiary thereof do not contain, and to their knowledge have not previously contained, any Hazardous Materials in amounts or concentrations which constitute or constituted a violation of applicable Environmental Laws and, to their knowledge, the properties owned, leased or operated by each Credit Party and each Subsidiary thereof in the past do not contain and have not previously contained any Hazardous Materials in amounts or concentrations which constituted a violation of applicable Environmental Laws;</w:t>
      </w:r>
    </w:p>
    <w:p>
      <w:pPr>
        <w:spacing w:after="0" w:line="194"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each Credit Party and each Subsidiary thereof and such properties owned, leased or operated by such Credit Party or such Subsidiary and all operations conducted in connection therewith are in compliance, and have been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91" w:lineRule="exact"/>
        <w:rPr>
          <w:rFonts w:ascii="Arial" w:cs="Arial" w:eastAsia="Arial" w:hAnsi="Arial"/>
          <w:sz w:val="20"/>
          <w:szCs w:val="20"/>
          <w:color w:val="auto"/>
        </w:rPr>
      </w:pPr>
    </w:p>
    <w:p>
      <w:pPr>
        <w:jc w:val="both"/>
        <w:ind w:firstLine="656"/>
        <w:spacing w:after="0" w:line="291" w:lineRule="auto"/>
        <w:tabs>
          <w:tab w:leader="none" w:pos="128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will be received or is being threatened;</w:t>
      </w:r>
    </w:p>
    <w:p>
      <w:pPr>
        <w:spacing w:after="0" w:line="151" w:lineRule="exact"/>
        <w:rPr>
          <w:rFonts w:ascii="Arial" w:cs="Arial" w:eastAsia="Arial" w:hAnsi="Arial"/>
          <w:sz w:val="18"/>
          <w:szCs w:val="18"/>
          <w:color w:val="auto"/>
        </w:rPr>
      </w:pPr>
    </w:p>
    <w:p>
      <w:pPr>
        <w:jc w:val="both"/>
        <w:ind w:firstLine="656"/>
        <w:spacing w:after="0" w:line="244" w:lineRule="auto"/>
        <w:tabs>
          <w:tab w:leader="none" w:pos="128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to the knowledge of each Credit Party and each Subsidiary thereof, Hazardous Materials have not been transported or disposed of to or from the properties owned, leased or operated by any Credit Party or any Subsidiary thereof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spacing w:after="0" w:line="194" w:lineRule="exact"/>
        <w:rPr>
          <w:rFonts w:ascii="Arial" w:cs="Arial" w:eastAsia="Arial" w:hAnsi="Arial"/>
          <w:sz w:val="20"/>
          <w:szCs w:val="20"/>
          <w:color w:val="auto"/>
        </w:rPr>
      </w:pPr>
    </w:p>
    <w:p>
      <w:pPr>
        <w:jc w:val="both"/>
        <w:ind w:firstLine="656"/>
        <w:spacing w:after="0" w:line="278" w:lineRule="auto"/>
        <w:tabs>
          <w:tab w:leader="none" w:pos="128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judicial proceedings or governmental or administrative action is pending, or, to the knowledge of the Borrowers, threatened in writing, under any Environmental Law to which any Credit Party or any Subsidiary thereof is or will be named as a potentially responsible party with respect to such properties or operations conducted in connection therewith, nor are there any consent decrees or other decrees, consent orders, administrative orders or other orders, or other administrative or judicial requirements outstanding under any applicable Environmental Law with respect to any Credit Party, any Subsidiary thereof or such properties or such operations; and</w:t>
      </w:r>
    </w:p>
    <w:p>
      <w:pPr>
        <w:spacing w:after="0" w:line="164" w:lineRule="exact"/>
        <w:rPr>
          <w:rFonts w:ascii="Arial" w:cs="Arial" w:eastAsia="Arial" w:hAnsi="Arial"/>
          <w:sz w:val="18"/>
          <w:szCs w:val="18"/>
          <w:color w:val="auto"/>
        </w:rPr>
      </w:pPr>
    </w:p>
    <w:p>
      <w:pPr>
        <w:jc w:val="both"/>
        <w:ind w:right="20" w:firstLine="656"/>
        <w:spacing w:after="0" w:line="250" w:lineRule="auto"/>
        <w:tabs>
          <w:tab w:leader="none" w:pos="129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there has been no release, or to the best of each Borrower’s knowledge, threat of release, of Hazardous Materials at or from properties owned, leased or operated by any Credit Party or any Subsidiary, now or in the past five (5) years, in violation of or in amounts or in a manner that could give rise to liability under applicable Environmental Laws.</w:t>
      </w:r>
    </w:p>
    <w:p>
      <w:pPr>
        <w:spacing w:after="0" w:line="18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VII.9</w:t>
      </w:r>
      <w:r>
        <w:rPr>
          <w:sz w:val="20"/>
          <w:szCs w:val="20"/>
          <w:color w:val="auto"/>
        </w:rPr>
        <w:tab/>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p>
    <w:p>
      <w:pPr>
        <w:spacing w:after="0" w:line="216" w:lineRule="exact"/>
        <w:rPr>
          <w:sz w:val="20"/>
          <w:szCs w:val="20"/>
          <w:color w:val="auto"/>
        </w:rPr>
      </w:pPr>
    </w:p>
    <w:p>
      <w:pPr>
        <w:ind w:firstLine="656"/>
        <w:spacing w:after="0" w:line="260" w:lineRule="auto"/>
        <w:tabs>
          <w:tab w:leader="none" w:pos="128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As of the Closing Date, no Credit Party nor any ERISA Affiliate maintains or contributes to, or has any obligation under, any Employee Benefit Plans or Canadian Employee Benefit Plans other than those identified on </w:t>
      </w:r>
      <w:r>
        <w:rPr>
          <w:rFonts w:ascii="Arial" w:cs="Arial" w:eastAsia="Arial" w:hAnsi="Arial"/>
          <w:sz w:val="20"/>
          <w:szCs w:val="20"/>
          <w:u w:val="single" w:color="auto"/>
          <w:color w:val="auto"/>
        </w:rPr>
        <w:t>Schedule 7.9</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5" w:name="page176"/>
    <w:bookmarkEnd w:id="175"/>
    <w:p>
      <w:pPr>
        <w:jc w:val="both"/>
        <w:ind w:firstLine="656"/>
        <w:spacing w:after="0" w:line="270" w:lineRule="auto"/>
        <w:tabs>
          <w:tab w:leader="none" w:pos="128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Credit Party and each ERISA Affiliate is in compliance with all applicable provisions of ERISA, the Code and the regulations and published interpretations thereunder with respect to all Employee Benefit Plans (and with all Canadian Pension Laws with respect to all Canadian Employee Benefit Plans) except for any required amendments for which the remedial amendment period as defined in Section 401(b) of the Code has not yet expired and except where a failure to so comply could not, individually or in the aggregate,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Each Canadian Employee Benefit Plan that is intended to be registered under Canadian Pension Laws has been so registered and such registration has not been revoked nor has any notice of intent to revoke such registration been received. No liability has been incurred by any Credit Party or any ERISA Affiliate which remains unsatisfied for any taxes or penalties assessed with respect to any Employee Benefit Plan, Canadian Employee Benefit Plan or any Multiemployer Plan except for a liability that could not reasonably be expected to have a Material Adverse Effect;</w:t>
      </w:r>
    </w:p>
    <w:p>
      <w:pPr>
        <w:spacing w:after="0" w:line="175" w:lineRule="exact"/>
        <w:rPr>
          <w:rFonts w:ascii="Arial" w:cs="Arial" w:eastAsia="Arial" w:hAnsi="Arial"/>
          <w:sz w:val="18"/>
          <w:szCs w:val="18"/>
          <w:color w:val="auto"/>
        </w:rPr>
      </w:pPr>
    </w:p>
    <w:p>
      <w:pPr>
        <w:jc w:val="both"/>
        <w:ind w:firstLine="656"/>
        <w:spacing w:after="0" w:line="257" w:lineRule="auto"/>
        <w:tabs>
          <w:tab w:leader="none" w:pos="128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As of the Closing Date, no Pension Plan has been terminated,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 nor has any Credit Party nor any Subsidiary thereof failed to make or remit any required contributions when due to any Canadian Employee Benefit Plan, nor has any solvency funding relief been elected or exercised with respect to any Canadian Pension Plan;</w:t>
      </w:r>
    </w:p>
    <w:p>
      <w:pPr>
        <w:spacing w:after="0" w:line="180" w:lineRule="exact"/>
        <w:rPr>
          <w:rFonts w:ascii="Arial" w:cs="Arial" w:eastAsia="Arial" w:hAnsi="Arial"/>
          <w:sz w:val="19"/>
          <w:szCs w:val="19"/>
          <w:color w:val="auto"/>
        </w:rPr>
      </w:pPr>
    </w:p>
    <w:p>
      <w:pPr>
        <w:jc w:val="both"/>
        <w:ind w:firstLine="656"/>
        <w:spacing w:after="0" w:line="257" w:lineRule="auto"/>
        <w:tabs>
          <w:tab w:leader="none" w:pos="128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Canadian Multiemployer Plan, or (iv) failed to make a required installment or other required payment under Sections 412 or 430 of the Code or Canadian Pension Laws or to make a required contribution or payment under the terms of any Canadian Employee Benefit Plan;</w:t>
      </w:r>
    </w:p>
    <w:p>
      <w:pPr>
        <w:spacing w:after="0" w:line="184" w:lineRule="exact"/>
        <w:rPr>
          <w:rFonts w:ascii="Arial" w:cs="Arial" w:eastAsia="Arial" w:hAnsi="Arial"/>
          <w:sz w:val="19"/>
          <w:szCs w:val="19"/>
          <w:color w:val="auto"/>
        </w:rPr>
      </w:pPr>
    </w:p>
    <w:p>
      <w:pPr>
        <w:ind w:left="1300" w:hanging="644"/>
        <w:spacing w:after="0"/>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No Termination Event or Canadian Termination Event has occurred or is reasonably expected to occur;</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291"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the best of the knowledge of each Borrower after due inquiry, threatened in writing concerning or involving (i) any employee welfare benefit plan (as defined in Section 3(1) of ERISA) currently maintained or contributed to by any Credit Party or any ERISA Affiliate, (ii) any Pension Plan or Canadian Pension Plan, or (iii) any Multiemployer Plan or Canadian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6" w:name="page177"/>
    <w:bookmarkEnd w:id="176"/>
    <w:p>
      <w:pPr>
        <w:jc w:val="both"/>
        <w:ind w:firstLine="656"/>
        <w:spacing w:after="0" w:line="250" w:lineRule="auto"/>
        <w:tabs>
          <w:tab w:leader="none" w:pos="1284" w:val="left"/>
        </w:tabs>
        <w:numPr>
          <w:ilvl w:val="0"/>
          <w:numId w:val="140"/>
        </w:numPr>
        <w:rPr>
          <w:rFonts w:ascii="Arial" w:cs="Arial" w:eastAsia="Arial" w:hAnsi="Arial"/>
          <w:sz w:val="20"/>
          <w:szCs w:val="20"/>
          <w:color w:val="auto"/>
        </w:rPr>
      </w:pPr>
      <w:r>
        <w:rPr>
          <w:rFonts w:ascii="Arial" w:cs="Arial" w:eastAsia="Arial" w:hAnsi="Arial"/>
          <w:sz w:val="20"/>
          <w:szCs w:val="20"/>
          <w:color w:val="auto"/>
        </w:rPr>
        <w:t>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spacing w:after="0" w:line="185"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As of the Closing Date, no Credit Party nor any Subsidiary thereof has established, or commenced participation in, any Canadian Employee Benefit Plan containing a defined benefit provision.</w:t>
      </w:r>
    </w:p>
    <w:p>
      <w:pPr>
        <w:spacing w:after="0" w:line="176" w:lineRule="exact"/>
        <w:rPr>
          <w:rFonts w:ascii="Arial" w:cs="Arial" w:eastAsia="Arial" w:hAnsi="Arial"/>
          <w:sz w:val="20"/>
          <w:szCs w:val="20"/>
          <w:color w:val="auto"/>
        </w:rPr>
      </w:pPr>
    </w:p>
    <w:p>
      <w:pPr>
        <w:ind w:firstLine="656"/>
        <w:spacing w:after="0" w:line="316" w:lineRule="auto"/>
        <w:tabs>
          <w:tab w:leader="none" w:pos="129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the Closing Date no Borrower is nor will be using “plan assets” (within the meaning of 29 CFR § 2510.3-101, as modified by Section 3(42) of ERISA) of one or more Benefit Plans in connection with the Loans, the Letters of Credit or the Commitments.</w:t>
      </w:r>
    </w:p>
    <w:p>
      <w:pPr>
        <w:spacing w:after="0" w:line="13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VII.10 </w:t>
      </w:r>
      <w:r>
        <w:rPr>
          <w:rFonts w:ascii="Arial" w:cs="Arial" w:eastAsia="Arial" w:hAnsi="Arial"/>
          <w:sz w:val="20"/>
          <w:szCs w:val="20"/>
          <w:u w:val="single" w:color="auto"/>
          <w:color w:val="auto"/>
        </w:rPr>
        <w:t>Margin Stock</w:t>
      </w:r>
      <w:r>
        <w:rPr>
          <w:rFonts w:ascii="Arial" w:cs="Arial" w:eastAsia="Arial" w:hAnsi="Arial"/>
          <w:sz w:val="20"/>
          <w:szCs w:val="20"/>
          <w:color w:val="auto"/>
        </w:rPr>
        <w:t xml:space="preserve">. 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 Following the application of the proceeds of each Extension of Credit, not more than twenty-five percent (25%) of the value of the assets (either of each Borrower only or of the Consolidated Companies on a Consolidated basis) subject to the provisions of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or subject to any restriction contained in any agreement or instrument between any Borrower and any Lender or any Affiliate of any Lender relating to Indebtedness in excess of the Threshold Amount will be “margin stock”.</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VII.11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No Credit Party nor any Subsidiary thereof is an “investment company” or a company “controlled” by an “investment company” (as each such term is defined or used in the Investment Company Act)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20"/>
                <w:szCs w:val="20"/>
                <w:color w:val="auto"/>
              </w:rPr>
              <w:t>SECTION VII.12</w:t>
            </w:r>
          </w:p>
        </w:tc>
        <w:tc>
          <w:tcPr>
            <w:tcW w:w="280" w:type="dxa"/>
            <w:vAlign w:val="bottom"/>
          </w:tcPr>
          <w:p>
            <w:pPr>
              <w:spacing w:after="0"/>
              <w:rPr>
                <w:sz w:val="19"/>
                <w:szCs w:val="19"/>
                <w:color w:val="auto"/>
              </w:rPr>
            </w:pPr>
          </w:p>
        </w:tc>
        <w:tc>
          <w:tcPr>
            <w:tcW w:w="8620" w:type="dxa"/>
            <w:vAlign w:val="bottom"/>
            <w:gridSpan w:val="3"/>
          </w:tcPr>
          <w:p>
            <w:pPr>
              <w:spacing w:after="0"/>
              <w:rPr>
                <w:sz w:val="20"/>
                <w:szCs w:val="20"/>
                <w:color w:val="auto"/>
              </w:rPr>
            </w:pPr>
            <w:r>
              <w:rPr>
                <w:rFonts w:ascii="Arial" w:cs="Arial" w:eastAsia="Arial" w:hAnsi="Arial"/>
                <w:sz w:val="20"/>
                <w:szCs w:val="20"/>
                <w:color w:val="auto"/>
              </w:rPr>
              <w:t>[Intentionally Omitted].</w:t>
            </w:r>
          </w:p>
        </w:tc>
      </w:tr>
      <w:tr>
        <w:trPr>
          <w:trHeight w:val="20"/>
        </w:trPr>
        <w:tc>
          <w:tcPr>
            <w:tcW w:w="16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425"/>
        </w:trPr>
        <w:tc>
          <w:tcPr>
            <w:tcW w:w="1680" w:type="dxa"/>
            <w:vAlign w:val="bottom"/>
          </w:tcPr>
          <w:p>
            <w:pPr>
              <w:spacing w:after="0"/>
              <w:rPr>
                <w:sz w:val="20"/>
                <w:szCs w:val="20"/>
                <w:color w:val="auto"/>
              </w:rPr>
            </w:pPr>
            <w:r>
              <w:rPr>
                <w:rFonts w:ascii="Arial" w:cs="Arial" w:eastAsia="Arial" w:hAnsi="Arial"/>
                <w:sz w:val="20"/>
                <w:szCs w:val="20"/>
                <w:color w:val="auto"/>
              </w:rPr>
              <w:t>SECTION VII.13</w:t>
            </w:r>
          </w:p>
        </w:tc>
        <w:tc>
          <w:tcPr>
            <w:tcW w:w="280" w:type="dxa"/>
            <w:vAlign w:val="bottom"/>
          </w:tcPr>
          <w:p>
            <w:pPr>
              <w:spacing w:after="0"/>
              <w:rPr>
                <w:sz w:val="24"/>
                <w:szCs w:val="24"/>
                <w:color w:val="auto"/>
              </w:rPr>
            </w:pPr>
          </w:p>
        </w:tc>
        <w:tc>
          <w:tcPr>
            <w:tcW w:w="8620" w:type="dxa"/>
            <w:vAlign w:val="bottom"/>
            <w:gridSpan w:val="3"/>
          </w:tcPr>
          <w:p>
            <w:pPr>
              <w:spacing w:after="0"/>
              <w:rPr>
                <w:sz w:val="20"/>
                <w:szCs w:val="20"/>
                <w:color w:val="auto"/>
              </w:rPr>
            </w:pPr>
            <w:r>
              <w:rPr>
                <w:rFonts w:ascii="Arial" w:cs="Arial" w:eastAsia="Arial" w:hAnsi="Arial"/>
                <w:sz w:val="20"/>
                <w:szCs w:val="20"/>
                <w:color w:val="auto"/>
                <w:w w:val="95"/>
              </w:rPr>
              <w:t>Employee Relations. As of the Closing Date, no Credit Party nor any Subsidiary thereof is party to any</w:t>
            </w:r>
          </w:p>
        </w:tc>
      </w:tr>
      <w:tr>
        <w:trPr>
          <w:trHeight w:val="20"/>
        </w:trPr>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collective bargaining agreement, nor has any labor union been recognized as the representative of its employees except as set forth on </w:t>
      </w:r>
      <w:r>
        <w:rPr>
          <w:rFonts w:ascii="Arial" w:cs="Arial" w:eastAsia="Arial" w:hAnsi="Arial"/>
          <w:sz w:val="20"/>
          <w:szCs w:val="20"/>
          <w:u w:val="single" w:color="auto"/>
          <w:color w:val="auto"/>
        </w:rPr>
        <w:t>Schedule 7.13</w:t>
      </w:r>
      <w:r>
        <w:rPr>
          <w:rFonts w:ascii="Arial" w:cs="Arial" w:eastAsia="Arial" w:hAnsi="Arial"/>
          <w:sz w:val="20"/>
          <w:szCs w:val="20"/>
          <w:color w:val="auto"/>
        </w:rPr>
        <w:t>. No Borrower knows of any pending, threatened in writing or contemplated strikes, work stoppage or other collective labor disputes involving its employees or those of its Subsidiaries that, individually or in the aggregate, could reasonably be expected to have a Material Adverse Effect.</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VII.14 </w:t>
      </w:r>
      <w:r>
        <w:rPr>
          <w:rFonts w:ascii="Arial" w:cs="Arial" w:eastAsia="Arial" w:hAnsi="Arial"/>
          <w:sz w:val="20"/>
          <w:szCs w:val="20"/>
          <w:u w:val="single" w:color="auto"/>
          <w:color w:val="auto"/>
        </w:rPr>
        <w:t>Burdensome Provisions</w:t>
      </w:r>
      <w:r>
        <w:rPr>
          <w:rFonts w:ascii="Arial" w:cs="Arial" w:eastAsia="Arial" w:hAnsi="Arial"/>
          <w:sz w:val="20"/>
          <w:szCs w:val="20"/>
          <w:color w:val="auto"/>
        </w:rPr>
        <w:t>. No Subsidiary is party to any agreement or instrument or otherwise subject to any restriction or encumbrance that restricts or limits its ability to make dividend payments or other distributions in respect of its Equity Interests to any Consolidated Company or to transfer any of its assets or properties to any Consolidated Company in each case other than existing under or by reason of the Loan Documents or Applicable Law.</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VII.15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The audited and unaudited financial statements delivered pursuant to </w:t>
      </w:r>
      <w:r>
        <w:rPr>
          <w:rFonts w:ascii="Arial" w:cs="Arial" w:eastAsia="Arial" w:hAnsi="Arial"/>
          <w:sz w:val="20"/>
          <w:szCs w:val="20"/>
          <w:u w:val="single" w:color="auto"/>
          <w:color w:val="auto"/>
        </w:rPr>
        <w:t>Section 6.1(e)(i)</w:t>
      </w:r>
      <w:r>
        <w:rPr>
          <w:rFonts w:ascii="Arial" w:cs="Arial" w:eastAsia="Arial" w:hAnsi="Arial"/>
          <w:sz w:val="20"/>
          <w:szCs w:val="20"/>
          <w:color w:val="auto"/>
        </w:rPr>
        <w:t xml:space="preserve"> are complete and correct and fairly present on a Consolidated basis the assets, liabilities and financial position of the Consolidated Companies as at such dates, and the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7" w:name="page178"/>
    <w:bookmarkEnd w:id="177"/>
    <w:p>
      <w:pPr>
        <w:jc w:val="both"/>
        <w:spacing w:after="0" w:line="311" w:lineRule="auto"/>
        <w:rPr>
          <w:sz w:val="20"/>
          <w:szCs w:val="20"/>
          <w:color w:val="auto"/>
        </w:rPr>
      </w:pPr>
      <w:r>
        <w:rPr>
          <w:rFonts w:ascii="Arial" w:cs="Arial" w:eastAsia="Arial" w:hAnsi="Arial"/>
          <w:sz w:val="16"/>
          <w:szCs w:val="16"/>
          <w:color w:val="auto"/>
        </w:rPr>
        <w:t>of the operations and changes of financial position for the periods then ended (other than customary year-end adjustments for unaudited financial statements and the absence of footnote disclosures for unaudited financial statements). All such financial statements, including the related schedules and notes thereto, have been prepared in accordance with GAAP. Such financial statements show all material indebtedness and other material liabilities, direct or contingent, of the Consolidated Companies as of the date thereof, including material liabilities for taxes, material commitments, and Indebtedness, in each case, to the extent required to be disclosed under GAAP. The projections delivered to the Administrative Agent and the Arrangers prior to the Closing Date were prepared in good faith on the basis of the assumptions stated therein, which assumptions are believed to be reasonable in light of then existing 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from such projections).</w:t>
      </w:r>
    </w:p>
    <w:p>
      <w:pPr>
        <w:spacing w:after="0" w:line="3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VII.16 </w:t>
      </w: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December 31, 2020, there has been no material adverse change in the properties, business, operations, or financial condition of the Consolidated Companies and no event has occurred or condition arisen, either individually or in the aggregate, that could reasonably be expected to have a Material Adverse Effect.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20"/>
                <w:szCs w:val="20"/>
                <w:color w:val="auto"/>
              </w:rPr>
              <w:t>SECTION VII.17</w:t>
            </w:r>
          </w:p>
        </w:tc>
        <w:tc>
          <w:tcPr>
            <w:tcW w:w="8660" w:type="dxa"/>
            <w:vAlign w:val="bottom"/>
            <w:gridSpan w:val="5"/>
          </w:tcPr>
          <w:p>
            <w:pPr>
              <w:spacing w:after="0"/>
              <w:rPr>
                <w:sz w:val="20"/>
                <w:szCs w:val="20"/>
                <w:color w:val="auto"/>
              </w:rPr>
            </w:pPr>
            <w:r>
              <w:rPr>
                <w:rFonts w:ascii="Arial" w:cs="Arial" w:eastAsia="Arial" w:hAnsi="Arial"/>
                <w:sz w:val="20"/>
                <w:szCs w:val="20"/>
                <w:color w:val="auto"/>
              </w:rPr>
              <w:t>Solvency. The Borrowers and their respective Subsidiaries, on a Consolidated basis, are Solvent.</w:t>
            </w:r>
          </w:p>
        </w:tc>
      </w:tr>
      <w:tr>
        <w:trPr>
          <w:trHeight w:val="20"/>
        </w:trPr>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25"/>
        </w:trPr>
        <w:tc>
          <w:tcPr>
            <w:tcW w:w="1920" w:type="dxa"/>
            <w:vAlign w:val="bottom"/>
          </w:tcPr>
          <w:p>
            <w:pPr>
              <w:spacing w:after="0"/>
              <w:rPr>
                <w:sz w:val="20"/>
                <w:szCs w:val="20"/>
                <w:color w:val="auto"/>
              </w:rPr>
            </w:pPr>
            <w:r>
              <w:rPr>
                <w:rFonts w:ascii="Arial" w:cs="Arial" w:eastAsia="Arial" w:hAnsi="Arial"/>
                <w:sz w:val="20"/>
                <w:szCs w:val="20"/>
                <w:color w:val="auto"/>
              </w:rPr>
              <w:t>SECTION VII.18</w:t>
            </w:r>
          </w:p>
        </w:tc>
        <w:tc>
          <w:tcPr>
            <w:tcW w:w="8660" w:type="dxa"/>
            <w:vAlign w:val="bottom"/>
            <w:gridSpan w:val="5"/>
          </w:tcPr>
          <w:p>
            <w:pPr>
              <w:spacing w:after="0"/>
              <w:rPr>
                <w:sz w:val="20"/>
                <w:szCs w:val="20"/>
                <w:color w:val="auto"/>
              </w:rPr>
            </w:pPr>
            <w:r>
              <w:rPr>
                <w:rFonts w:ascii="Arial" w:cs="Arial" w:eastAsia="Arial" w:hAnsi="Arial"/>
                <w:sz w:val="20"/>
                <w:szCs w:val="20"/>
                <w:color w:val="auto"/>
                <w:w w:val="90"/>
              </w:rPr>
              <w:t>Title to Properties. As of the Closing Date, the real property listed on Schedule 7.18 constitutes all of the real</w:t>
            </w:r>
          </w:p>
        </w:tc>
      </w:tr>
      <w:tr>
        <w:trPr>
          <w:trHeight w:val="20"/>
        </w:trPr>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property that is owned, leased, or subleased by any Credit Party or any of its Subsidiaries. Each Credit Party and each Subsidiary thereof has such title to the real property owned or leased by it as is necessary or desirable to the conduct of its business and valid and legal title to all of its personal property and assets, except those which have been disposed of by such Credit Party or such Subsidiary subsequent to such date which dispositions have been in the ordinary course of business or as otherwise expressly permitted hereunder.</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VII.19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or proceedings pending nor, to the knowledge of any Borrower, threatened in writing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191"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VII.20</w:t>
      </w:r>
      <w:r>
        <w:rPr>
          <w:sz w:val="20"/>
          <w:szCs w:val="20"/>
          <w:color w:val="auto"/>
        </w:rPr>
        <w:tab/>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3" w:lineRule="auto"/>
        <w:tabs>
          <w:tab w:leader="none" w:pos="128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None of (i) the Borrowers, any Subsidiary of any Borrower or, to the knowledge of any Borrower or any such Subsidiary, any of their respective directors, officers or employees, or (ii) to the knowledge of any Borrower, any agent of any Borrower or any Subsidiary of any Borrower that will act in any capacity in connection with or benefit from the credit facilities established hereby, (A) is a Sanctioned Person or currently the subject or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8" w:name="page179"/>
    <w:bookmarkEnd w:id="178"/>
    <w:p>
      <w:pPr>
        <w:jc w:val="both"/>
        <w:ind w:firstLine="656"/>
        <w:spacing w:after="0" w:line="250" w:lineRule="auto"/>
        <w:tabs>
          <w:tab w:leader="none" w:pos="128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Each Borrower and its Subsidiaries has implemented and maintains in effect policies and procedures designed to ensure compliance by such Borrower and its Subsidiaries and their respective directors, officers, employees, agents and Controlled Affiliates with all Anti-Corruption Laws, Anti-Money Laundering Laws and applicable Sanctions.</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34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Each Borrower and its Subsidiaries, each director, officer, and to the knowledge of such Borrower, employee, agent and Affiliate of such Borrower and each such Subsidiary, is in compliance with all Anti-Corruption Laws, Anti-Money Laundering Laws in all material respects and applicable Sanctions.</w:t>
      </w:r>
    </w:p>
    <w:p>
      <w:pPr>
        <w:spacing w:after="0" w:line="185"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No proceeds of any Extension of Credit have been used, directly or indirectly, by any Borrower, any of its Subsidiaries or any of its or their respective directors, officers, employees and agents in violation of </w:t>
      </w:r>
      <w:r>
        <w:rPr>
          <w:rFonts w:ascii="Arial" w:cs="Arial" w:eastAsia="Arial" w:hAnsi="Arial"/>
          <w:sz w:val="20"/>
          <w:szCs w:val="20"/>
          <w:u w:val="single" w:color="auto"/>
          <w:color w:val="auto"/>
        </w:rPr>
        <w:t>Section 8.15</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VII.21 </w:t>
      </w:r>
      <w:r>
        <w:rPr>
          <w:rFonts w:ascii="Arial" w:cs="Arial" w:eastAsia="Arial" w:hAnsi="Arial"/>
          <w:sz w:val="18"/>
          <w:szCs w:val="18"/>
          <w:u w:val="single" w:color="auto"/>
          <w:color w:val="auto"/>
        </w:rPr>
        <w:t>Absence of Defaults</w:t>
      </w:r>
      <w:r>
        <w:rPr>
          <w:rFonts w:ascii="Arial" w:cs="Arial" w:eastAsia="Arial" w:hAnsi="Arial"/>
          <w:sz w:val="18"/>
          <w:szCs w:val="18"/>
          <w:color w:val="auto"/>
        </w:rPr>
        <w:t>. No event has occurred or is continuing (a) which constitutes a Default or an Event of Default, or (b) which constitutes, or which with the passage of time or giving of notice or both would constitute, a default or event of default by any Credit Party or any Subsidiary thereof under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(b), could, either individually or in the aggregate, reasonably be expected to have a Material Adverse Effect.</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VII.22 </w:t>
      </w:r>
      <w:r>
        <w:rPr>
          <w:rFonts w:ascii="Arial" w:cs="Arial" w:eastAsia="Arial" w:hAnsi="Arial"/>
          <w:sz w:val="20"/>
          <w:szCs w:val="20"/>
          <w:u w:val="single" w:color="auto"/>
          <w:color w:val="auto"/>
        </w:rPr>
        <w:t>Senior Indebtedness Status</w:t>
      </w:r>
      <w:r>
        <w:rPr>
          <w:rFonts w:ascii="Arial" w:cs="Arial" w:eastAsia="Arial" w:hAnsi="Arial"/>
          <w:sz w:val="20"/>
          <w:szCs w:val="20"/>
          <w:color w:val="auto"/>
        </w:rPr>
        <w:t>. The Obligations of each Credit Party and each Subsidiary thereof under this Agreement and each of the other Loan Documents ranks and shall continue to rank at least senior in priority of payment to all Subordinated Indebtedness and pari passu in priority of payment with all senior unsecured Indebtedness of each such Person and, to the extent required to be so designated to constitute “Senior Indebtedness” (or the equivalent), has been so designated as “Senior Indebtedness” (or the equivalent) under all instruments and documents, now or in the future, relating to all Subordinated Indebtedness and all senior unsecured Indebtedness of such Person.</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VII.23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Each Credit Party and each Subsidiary thereof has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 financial statement, material report, material certificate or other material information furnished (whether in writing or orally)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pro forma financial information, estimated financial information and other projected or estimated information, such information was prepared in good faith based upon assumptions believed to be reasonable at the time (it being recognized by the Lenders that projections are not to be viewed as facts and that the actual results during the period or periods covered by such projections may vary from such projections). As of the Closing Date, all of the information included in the Beneficial Ownership Certification, if applicable, is true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79" w:name="page180"/>
    <w:bookmarkEnd w:id="179"/>
    <w:p>
      <w:pPr>
        <w:jc w:val="both"/>
        <w:ind w:firstLine="648"/>
        <w:spacing w:after="0" w:line="269" w:lineRule="auto"/>
        <w:rPr>
          <w:sz w:val="20"/>
          <w:szCs w:val="20"/>
          <w:color w:val="auto"/>
        </w:rPr>
      </w:pPr>
      <w:r>
        <w:rPr>
          <w:rFonts w:ascii="Arial" w:cs="Arial" w:eastAsia="Arial" w:hAnsi="Arial"/>
          <w:sz w:val="19"/>
          <w:szCs w:val="19"/>
          <w:color w:val="auto"/>
        </w:rPr>
        <w:t xml:space="preserve">SECTION VII.24 </w:t>
      </w:r>
      <w:r>
        <w:rPr>
          <w:rFonts w:ascii="Arial" w:cs="Arial" w:eastAsia="Arial" w:hAnsi="Arial"/>
          <w:sz w:val="19"/>
          <w:szCs w:val="19"/>
          <w:u w:val="single" w:color="auto"/>
          <w:color w:val="auto"/>
        </w:rPr>
        <w:t>Insurance</w:t>
      </w:r>
      <w:r>
        <w:rPr>
          <w:rFonts w:ascii="Arial" w:cs="Arial" w:eastAsia="Arial" w:hAnsi="Arial"/>
          <w:sz w:val="19"/>
          <w:szCs w:val="19"/>
          <w:color w:val="auto"/>
        </w:rPr>
        <w:t>. The Credit Parties and their Subsidiaries are insured by financially sound and reputable insurance companies against at least such risks and in at least such amounts as are customarily maintained by similar businesses and as may be required by Applicable Law (including, without limitation, hazard and business interruption insurance).</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 Party will, and will cause each of its Subsidiaries to:</w:t>
      </w:r>
    </w:p>
    <w:p>
      <w:pPr>
        <w:spacing w:after="0" w:line="18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VIII.1</w:t>
      </w:r>
      <w:r>
        <w:rPr>
          <w:sz w:val="20"/>
          <w:szCs w:val="20"/>
          <w:color w:val="auto"/>
        </w:rPr>
        <w:tab/>
      </w:r>
      <w:r>
        <w:rPr>
          <w:rFonts w:ascii="Arial" w:cs="Arial" w:eastAsia="Arial" w:hAnsi="Arial"/>
          <w:sz w:val="18"/>
          <w:szCs w:val="18"/>
          <w:u w:val="single" w:color="auto"/>
          <w:color w:val="auto"/>
        </w:rPr>
        <w:t>Financial Statements and Budgets</w:t>
      </w:r>
      <w:r>
        <w:rPr>
          <w:rFonts w:ascii="Arial" w:cs="Arial" w:eastAsia="Arial" w:hAnsi="Arial"/>
          <w:sz w:val="18"/>
          <w:szCs w:val="18"/>
          <w:color w:val="auto"/>
        </w:rPr>
        <w:t>. Deliver to the Administrative Agent, in form and detail satisfactory to the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(which shall promptly make such information available to the Lenders in accordance with its customary practice):</w:t>
      </w:r>
    </w:p>
    <w:p>
      <w:pPr>
        <w:spacing w:after="0" w:line="211" w:lineRule="exact"/>
        <w:rPr>
          <w:sz w:val="20"/>
          <w:szCs w:val="20"/>
          <w:color w:val="auto"/>
        </w:rPr>
      </w:pPr>
    </w:p>
    <w:p>
      <w:pPr>
        <w:jc w:val="both"/>
        <w:ind w:firstLine="656"/>
        <w:spacing w:after="0" w:line="271" w:lineRule="auto"/>
        <w:tabs>
          <w:tab w:leader="none" w:pos="128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practicable and in any event within ninety (90) days (or, if earlier, on the date of any required public filing thereof) after the end of each Fiscal Year (commencing with the Fiscal Year ending December 31, 2021), an audited Consolidated balance sheet of the Consolidated Companies as of the close of such Fiscal Year and audited Consolidated statements of income, retained earnings and cash flows including the notes thereto and a report containing management’s discussion and analysis of such financial statements,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Consolidated Companies not in accordance with GAAP.</w:t>
      </w:r>
    </w:p>
    <w:p>
      <w:pPr>
        <w:spacing w:after="0" w:line="169" w:lineRule="exact"/>
        <w:rPr>
          <w:rFonts w:ascii="Arial" w:cs="Arial" w:eastAsia="Arial" w:hAnsi="Arial"/>
          <w:sz w:val="18"/>
          <w:szCs w:val="18"/>
          <w:color w:val="auto"/>
        </w:rPr>
      </w:pPr>
    </w:p>
    <w:p>
      <w:pPr>
        <w:jc w:val="both"/>
        <w:ind w:firstLine="656"/>
        <w:spacing w:after="0" w:line="271" w:lineRule="auto"/>
        <w:tabs>
          <w:tab w:leader="none" w:pos="128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practicable and in any event within forty-five (45) days (or, if earlier, on the date of any required public filing thereof) after the end of the first three fiscal quarters of each Fiscal Year (commencing with the fiscal quarter ended September 30, 2021), an unaudited Consolidated balance sheet of the Consolidated Companies as of the close of such fiscal quarter and unaudited Consolidated statements of income, retained earnings and cash flows and a report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Centuri in accordance with GAAP and, if applicable, containing disclosure of the effect on the financial position or results of operations of any change in the application of accounting principles and practices during the period, and certified by the chief financial officer of Centuri to present fairly in all material respects the financial condition of the Consolidated Companies on a Consolidated basis as of their respective dates and the results of operations of the Consolidated Companies for the respective periods then ended, subject to normal year-end adjustments and the absence of 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0" w:name="page181"/>
    <w:bookmarkEnd w:id="180"/>
    <w:p>
      <w:pPr>
        <w:jc w:val="both"/>
        <w:ind w:firstLine="656"/>
        <w:spacing w:after="0" w:line="273" w:lineRule="auto"/>
        <w:tabs>
          <w:tab w:leader="none" w:pos="128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Annual Budget</w:t>
      </w:r>
      <w:r>
        <w:rPr>
          <w:rFonts w:ascii="Arial" w:cs="Arial" w:eastAsia="Arial" w:hAnsi="Arial"/>
          <w:sz w:val="18"/>
          <w:szCs w:val="18"/>
          <w:color w:val="auto"/>
        </w:rPr>
        <w:t xml:space="preserve">. As soon as practicable and in any event within sixty (60) days after the end of each Fiscal Year (commencing with the Fiscal Year ending December 31, 2021), an operating and capital budget of the Consolidated Companies for the ensuing four (4) fiscal quarters, such budget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and a report containing management’s discussion and analysis of such budget with a reasonable disclosure of the key assumptions and drivers with respect to such budget, accompanied by a certificate from a Responsible Officer of Centuri to the effect that such budget contains good faith estimates (utilizing assumptions believed to be reasonable at the time of delivery of such budget) of the financial condition and operations of the Consolidated Companies for such period.</w:t>
      </w:r>
    </w:p>
    <w:p>
      <w:pPr>
        <w:spacing w:after="0" w:line="16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VIII.2 </w:t>
      </w:r>
      <w:r>
        <w:rPr>
          <w:rFonts w:ascii="Arial" w:cs="Arial" w:eastAsia="Arial" w:hAnsi="Arial"/>
          <w:sz w:val="20"/>
          <w:szCs w:val="20"/>
          <w:u w:val="single" w:color="auto"/>
          <w:color w:val="auto"/>
        </w:rPr>
        <w:t>Certificates; Other Reports</w:t>
      </w:r>
      <w:r>
        <w:rPr>
          <w:rFonts w:ascii="Arial" w:cs="Arial" w:eastAsia="Arial" w:hAnsi="Arial"/>
          <w:sz w:val="20"/>
          <w:szCs w:val="20"/>
          <w:color w:val="auto"/>
        </w:rPr>
        <w:t>. Deliver to the Administrative Agent (which shall promptly make such information available to the Lenders in accordance with its customary practice):</w:t>
      </w:r>
    </w:p>
    <w:p>
      <w:pPr>
        <w:spacing w:after="0" w:line="177" w:lineRule="exact"/>
        <w:rPr>
          <w:sz w:val="20"/>
          <w:szCs w:val="20"/>
          <w:color w:val="auto"/>
        </w:rPr>
      </w:pPr>
    </w:p>
    <w:p>
      <w:pPr>
        <w:jc w:val="both"/>
        <w:ind w:firstLine="656"/>
        <w:spacing w:after="0" w:line="276" w:lineRule="auto"/>
        <w:tabs>
          <w:tab w:leader="none" w:pos="12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at each time financial statements are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at such other times as the Administrative Agent shall reasonably request, a duly completed Officer’s Compliance Certificate signed by the chief executive officer, chief financial officer, treasurer or controller of Centuri, which will include, as of the date of such financial statements, (i) calculations showing compliance with the financial covenants set forth in Section 9.13, (ii) determination of the “Applicable Margin”, (iii) calculations of Immaterial Subsidiaries and (iv) a reasonably detailed calculation of the Available Amount; and, if requested by the Administrative Agent, work-in-progress reports in a form consistent with that provided by Centuri in connection with the Existing Credit Agreement;</w:t>
      </w:r>
    </w:p>
    <w:p>
      <w:pPr>
        <w:spacing w:after="0" w:line="164" w:lineRule="exact"/>
        <w:rPr>
          <w:rFonts w:ascii="Arial" w:cs="Arial" w:eastAsia="Arial" w:hAnsi="Arial"/>
          <w:sz w:val="18"/>
          <w:szCs w:val="18"/>
          <w:color w:val="auto"/>
        </w:rPr>
      </w:pPr>
    </w:p>
    <w:p>
      <w:pPr>
        <w:ind w:left="1300" w:hanging="644"/>
        <w:spacing w:after="0"/>
        <w:tabs>
          <w:tab w:leader="none" w:pos="13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28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right="20" w:firstLine="656"/>
        <w:spacing w:after="0" w:line="316" w:lineRule="auto"/>
        <w:tabs>
          <w:tab w:leader="none" w:pos="12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any Credit Party or any Subsidiary thereof with any Environmental Law that could reasonably be expected to have a Material Adverse Effect;</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after receipt thereof by any Consolidated Company, copies of each notice or other correspondence received from the SEC (or comparable agency in any applicable non-U.S. jurisdiction) concerning any investigation or possible investigation or other inquiry by such agency regarding financial or other operational results of such Consolidated Company;</w:t>
      </w:r>
    </w:p>
    <w:p>
      <w:pPr>
        <w:spacing w:after="0" w:line="191" w:lineRule="exact"/>
        <w:rPr>
          <w:rFonts w:ascii="Arial" w:cs="Arial" w:eastAsia="Arial" w:hAnsi="Arial"/>
          <w:sz w:val="20"/>
          <w:szCs w:val="20"/>
          <w:color w:val="auto"/>
        </w:rPr>
      </w:pPr>
    </w:p>
    <w:p>
      <w:pPr>
        <w:jc w:val="both"/>
        <w:ind w:firstLine="656"/>
        <w:spacing w:after="0" w:line="291" w:lineRule="auto"/>
        <w:tabs>
          <w:tab w:leader="none" w:pos="128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Anti-Money Laundering Laws (including, without limitation, any applicable “know your customer” rules and regulations, the PATRIOT Act and Canadian AML Laws), as from time to time reasonably requested by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1" w:name="page182"/>
    <w:bookmarkEnd w:id="181"/>
    <w:p>
      <w:pPr>
        <w:jc w:val="both"/>
        <w:ind w:firstLine="656"/>
        <w:spacing w:after="0" w:line="246" w:lineRule="auto"/>
        <w:tabs>
          <w:tab w:leader="none" w:pos="1294" w:val="left"/>
        </w:tabs>
        <w:numPr>
          <w:ilvl w:val="0"/>
          <w:numId w:val="146"/>
        </w:numPr>
        <w:rPr>
          <w:rFonts w:ascii="Arial" w:cs="Arial" w:eastAsia="Arial" w:hAnsi="Arial"/>
          <w:sz w:val="20"/>
          <w:szCs w:val="20"/>
          <w:color w:val="auto"/>
        </w:rPr>
      </w:pPr>
      <w:r>
        <w:rPr>
          <w:rFonts w:ascii="Arial" w:cs="Arial" w:eastAsia="Arial" w:hAnsi="Arial"/>
          <w:sz w:val="20"/>
          <w:szCs w:val="20"/>
          <w:color w:val="auto"/>
        </w:rPr>
        <w:t>promptly: (i) notice of the establishment, or intent to establish, a new Canadian Employee Benefit Plan that contains a defined benefit provision, or any change to an existing Canadian Employee Benefit Plan to include a defined benefit provision, or (ii) notice of the acquisition of an interest in any Person if such Person sponsors, administers, participates in, or has any liability in respect of any Canadian Employee Benefit Plan that contains a defined benefit provision;</w:t>
      </w:r>
    </w:p>
    <w:p>
      <w:pPr>
        <w:spacing w:after="0" w:line="191" w:lineRule="exact"/>
        <w:rPr>
          <w:rFonts w:ascii="Arial" w:cs="Arial" w:eastAsia="Arial" w:hAnsi="Arial"/>
          <w:sz w:val="20"/>
          <w:szCs w:val="20"/>
          <w:color w:val="auto"/>
        </w:rPr>
      </w:pPr>
    </w:p>
    <w:p>
      <w:pPr>
        <w:jc w:val="both"/>
        <w:ind w:firstLine="656"/>
        <w:spacing w:after="0" w:line="256" w:lineRule="auto"/>
        <w:tabs>
          <w:tab w:leader="none" w:pos="129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promptly: (i) copies of all actuarial reports and any other material reports with respect to each Canadian Employee Benefit Plan as filed by a Credit Party with any applicable Governmental Authority, (ii) a current calculation of the Credit Parties’ aggregate Canadian Pension Plan Unfunded Liabilities pursuant to a valuation or report in a form and substance reasonably satisfactory to the Administrative Agent, when available on an annual basis or upon the reasonable request of the Administrative Agent (such additional request not to be made more than one time per calendar year), (iii) promptly after receipt thereof, a copy of any material direction, order, notice or ruling that any Credit Party receives from any applicable Governmental Authority with respect to any Canadian Employee Benefit Plan, (iv) notification within thirty (30) days of any increases having a cost to one or more of the Credit Parties in excess of the Threshold Amount per annum in the aggregate in the benefits of any Canadian Employee Benefit Plan, and (v) notification of the existence of any report which discloses a Canadian Pension Plan Unfunded Liability; and</w:t>
      </w:r>
    </w:p>
    <w:p>
      <w:pPr>
        <w:spacing w:after="0" w:line="184" w:lineRule="exact"/>
        <w:rPr>
          <w:rFonts w:ascii="Arial" w:cs="Arial" w:eastAsia="Arial" w:hAnsi="Arial"/>
          <w:sz w:val="19"/>
          <w:szCs w:val="19"/>
          <w:color w:val="auto"/>
        </w:rPr>
      </w:pPr>
    </w:p>
    <w:p>
      <w:pPr>
        <w:ind w:firstLine="656"/>
        <w:spacing w:after="0" w:line="260" w:lineRule="auto"/>
        <w:tabs>
          <w:tab w:leader="none" w:pos="1284"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such other information regarding the operations, business affairs and financial condition of any Credit Party or any Subsidiary thereof as the Administrative Agent or any Lender may reasonably request.</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Each Borrower hereby acknowledges that (a) the Administrative Agent and/or the Arrangers will make available to the Lenders and the Issuing Lenders materials and/or information provided by or on behalf of the Borrowers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Debt Domain, IntraLinks, SyndTrak Online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w:t>
      </w:r>
    </w:p>
    <w:p>
      <w:pPr>
        <w:spacing w:after="0" w:line="1" w:lineRule="exact"/>
        <w:rPr>
          <w:sz w:val="20"/>
          <w:szCs w:val="20"/>
          <w:color w:val="auto"/>
        </w:rPr>
      </w:pPr>
    </w:p>
    <w:p>
      <w:pPr>
        <w:jc w:val="both"/>
        <w:ind w:firstLine="8"/>
        <w:spacing w:after="0" w:line="253" w:lineRule="auto"/>
        <w:tabs>
          <w:tab w:leader="none" w:pos="30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certain of the Lenders may be “public-side” Lenders (</w:t>
      </w:r>
      <w:r>
        <w:rPr>
          <w:rFonts w:ascii="Arial" w:cs="Arial" w:eastAsia="Arial" w:hAnsi="Arial"/>
          <w:sz w:val="19"/>
          <w:szCs w:val="19"/>
          <w:u w:val="single" w:color="auto"/>
          <w:color w:val="auto"/>
        </w:rPr>
        <w:t>i.e.</w:t>
      </w:r>
      <w:r>
        <w:rPr>
          <w:rFonts w:ascii="Arial" w:cs="Arial" w:eastAsia="Arial" w:hAnsi="Arial"/>
          <w:sz w:val="19"/>
          <w:szCs w:val="19"/>
          <w:color w:val="auto"/>
        </w:rPr>
        <w:t>, Lenders that do not wish to receive material non-public information with respect to the Borrowers or their respective securities)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each Borrower shall be deemed to have authorized the Administrative Agent, the Arrangers, the Issuing Lenders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12.10</w:t>
      </w:r>
      <w:r>
        <w:rPr>
          <w:rFonts w:ascii="Arial" w:cs="Arial" w:eastAsia="Arial" w:hAnsi="Arial"/>
          <w:sz w:val="19"/>
          <w:szCs w:val="19"/>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VIII.3 </w:t>
      </w:r>
      <w:r>
        <w:rPr>
          <w:rFonts w:ascii="Arial" w:cs="Arial" w:eastAsia="Arial" w:hAnsi="Arial"/>
          <w:sz w:val="20"/>
          <w:szCs w:val="20"/>
          <w:u w:val="single" w:color="auto"/>
          <w:color w:val="auto"/>
        </w:rPr>
        <w:t>Notice of Litigation and Other Matters</w:t>
      </w:r>
      <w:r>
        <w:rPr>
          <w:rFonts w:ascii="Arial" w:cs="Arial" w:eastAsia="Arial" w:hAnsi="Arial"/>
          <w:sz w:val="20"/>
          <w:szCs w:val="20"/>
          <w:color w:val="auto"/>
        </w:rPr>
        <w:t>. Promptly (but in no event later than ten (10) Business Days after any Responsible Officer of any Credit Party obtains knowledge thereof) notify the Administrative Agent in writing of (which shall promptly make such information available to the Lenders in accordance with its customary practice):</w:t>
      </w:r>
    </w:p>
    <w:p>
      <w:pPr>
        <w:spacing w:after="0" w:line="186" w:lineRule="exact"/>
        <w:rPr>
          <w:sz w:val="20"/>
          <w:szCs w:val="20"/>
          <w:color w:val="auto"/>
        </w:rPr>
      </w:pPr>
    </w:p>
    <w:p>
      <w:pPr>
        <w:ind w:left="1300" w:hanging="644"/>
        <w:spacing w:after="0"/>
        <w:tabs>
          <w:tab w:leader="none" w:pos="130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2" w:name="page183"/>
    <w:bookmarkEnd w:id="182"/>
    <w:p>
      <w:pPr>
        <w:jc w:val="both"/>
        <w:ind w:firstLine="656"/>
        <w:spacing w:after="0" w:line="342" w:lineRule="auto"/>
        <w:tabs>
          <w:tab w:leader="none" w:pos="128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result in a Material Adverse Effect;</w:t>
      </w:r>
    </w:p>
    <w:p>
      <w:pPr>
        <w:spacing w:after="0" w:line="117" w:lineRule="exact"/>
        <w:rPr>
          <w:rFonts w:ascii="Arial" w:cs="Arial" w:eastAsia="Arial" w:hAnsi="Arial"/>
          <w:sz w:val="16"/>
          <w:szCs w:val="16"/>
          <w:color w:val="auto"/>
        </w:rPr>
      </w:pPr>
    </w:p>
    <w:p>
      <w:pPr>
        <w:jc w:val="both"/>
        <w:ind w:firstLine="656"/>
        <w:spacing w:after="0" w:line="250" w:lineRule="auto"/>
        <w:tabs>
          <w:tab w:leader="none" w:pos="128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pacing w:after="0" w:line="185"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any labor controversy that has resulted in, or threatens to result in, a strike or other work action against any Credit Party or any Subsidiary thereof which could reasonably be expected to have a Material Adverse Effect;</w:t>
      </w:r>
    </w:p>
    <w:p>
      <w:pPr>
        <w:spacing w:after="0" w:line="176" w:lineRule="exact"/>
        <w:rPr>
          <w:rFonts w:ascii="Arial" w:cs="Arial" w:eastAsia="Arial" w:hAnsi="Arial"/>
          <w:sz w:val="20"/>
          <w:szCs w:val="20"/>
          <w:color w:val="auto"/>
        </w:rPr>
      </w:pPr>
    </w:p>
    <w:p>
      <w:pPr>
        <w:ind w:right="20" w:firstLine="656"/>
        <w:spacing w:after="0" w:line="260" w:lineRule="auto"/>
        <w:tabs>
          <w:tab w:leader="none" w:pos="128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any attachment, judgment, lien (other than Permitted Liens), levy or order exceeding the Threshold Amount that may be assessed against or threatened in writing against any Credit Party or any Subsidiary thereof;</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any event which constitutes or which with the passage of time or giving of notice or both would constitute a default or event of default under any contract or other agreement, written or oral, of any Credit Party or any of its Subsidiaries involving monetary liability of or to any such Person in an amount in excess of $35,000,000 per annum;</w:t>
      </w:r>
    </w:p>
    <w:p>
      <w:pPr>
        <w:spacing w:after="0" w:line="185" w:lineRule="exact"/>
        <w:rPr>
          <w:rFonts w:ascii="Arial" w:cs="Arial" w:eastAsia="Arial" w:hAnsi="Arial"/>
          <w:sz w:val="20"/>
          <w:szCs w:val="20"/>
          <w:color w:val="auto"/>
        </w:rPr>
      </w:pPr>
    </w:p>
    <w:p>
      <w:pPr>
        <w:jc w:val="both"/>
        <w:ind w:firstLine="656"/>
        <w:spacing w:after="0" w:line="272" w:lineRule="auto"/>
        <w:tabs>
          <w:tab w:leader="none" w:pos="12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the Borrowers obtaining knowledge or reason to know that any Credit Party or any ERISA Affiliate has filed or intends to file a notice of intent to terminate any Pension Plan under a distress termination within the meaning of Section 4041(c) of ERISA, or any notice of intent to terminate in whole or in part any Canadian Employee Benefit Plan under Canadian Pension Laws or otherwise that, in each case, is filed with or by the PBGC or other Governmental Authority applicable to Canadian Employee Benefit Plans by any Credit Party or any ERISA Affiliate or otherwise received by any Credit Party or any ERISA Affiliate; and</w:t>
      </w:r>
    </w:p>
    <w:p>
      <w:pPr>
        <w:spacing w:after="0" w:line="170" w:lineRule="exact"/>
        <w:rPr>
          <w:rFonts w:ascii="Arial" w:cs="Arial" w:eastAsia="Arial" w:hAnsi="Arial"/>
          <w:sz w:val="18"/>
          <w:szCs w:val="18"/>
          <w:color w:val="auto"/>
        </w:rPr>
      </w:pPr>
    </w:p>
    <w:p>
      <w:pPr>
        <w:jc w:val="both"/>
        <w:ind w:firstLine="656"/>
        <w:spacing w:after="0" w:line="250" w:lineRule="auto"/>
        <w:tabs>
          <w:tab w:leader="none" w:pos="128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any event which makes any of the representations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that is subject to materiality or Material Adverse Effect qualifications inaccurate in any respect or any event which makes any of the representations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that is not subject to materiality or Material Adverse Effect qualifications inaccurate in any material respect.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Each notice pursuant to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shall be accompanied by a statement of a Responsible Officer of Centuri setting forth details of the occurrence referred to therein and stating what action Centuri has taken and proposes to take with respect thereto. Each notice pursuant to </w:t>
      </w:r>
      <w:r>
        <w:rPr>
          <w:rFonts w:ascii="Arial" w:cs="Arial" w:eastAsia="Arial" w:hAnsi="Arial"/>
          <w:sz w:val="20"/>
          <w:szCs w:val="20"/>
          <w:u w:val="single" w:color="auto"/>
          <w:color w:val="auto"/>
        </w:rPr>
        <w:t>Section 8.3(a)</w:t>
      </w:r>
      <w:r>
        <w:rPr>
          <w:rFonts w:ascii="Arial" w:cs="Arial" w:eastAsia="Arial" w:hAnsi="Arial"/>
          <w:sz w:val="20"/>
          <w:szCs w:val="20"/>
          <w:color w:val="auto"/>
        </w:rPr>
        <w:t xml:space="preserve"> shall describe with particularity any and all provisions of this Agreement and any other Loan Document that have been breached.</w:t>
      </w:r>
    </w:p>
    <w:p>
      <w:pPr>
        <w:spacing w:after="0" w:line="191"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VIII.4</w:t>
      </w:r>
      <w:r>
        <w:rPr>
          <w:sz w:val="20"/>
          <w:szCs w:val="20"/>
          <w:color w:val="auto"/>
        </w:rPr>
        <w:tab/>
      </w:r>
      <w:r>
        <w:rPr>
          <w:rFonts w:ascii="Arial" w:cs="Arial" w:eastAsia="Arial" w:hAnsi="Arial"/>
          <w:sz w:val="18"/>
          <w:szCs w:val="18"/>
          <w:u w:val="single" w:color="auto"/>
          <w:color w:val="auto"/>
        </w:rPr>
        <w:t>Preservation of Corporate Existence and Related Matters</w:t>
      </w:r>
      <w:r>
        <w:rPr>
          <w:rFonts w:ascii="Arial" w:cs="Arial" w:eastAsia="Arial" w:hAnsi="Arial"/>
          <w:sz w:val="18"/>
          <w:szCs w:val="18"/>
          <w:color w:val="auto"/>
        </w:rPr>
        <w:t>. Except as permitted by</w:t>
      </w:r>
      <w:r>
        <w:rPr>
          <w:rFonts w:ascii="Arial" w:cs="Arial" w:eastAsia="Arial" w:hAnsi="Arial"/>
          <w:sz w:val="18"/>
          <w:szCs w:val="18"/>
          <w:u w:val="single" w:color="auto"/>
          <w:color w:val="auto"/>
        </w:rPr>
        <w:t xml:space="preserve"> Section 9.4</w:t>
      </w:r>
      <w:r>
        <w:rPr>
          <w:rFonts w:ascii="Arial" w:cs="Arial" w:eastAsia="Arial" w:hAnsi="Arial"/>
          <w:sz w:val="18"/>
          <w:szCs w:val="18"/>
          <w:color w:val="auto"/>
        </w:rPr>
        <w:t>, preserve and</w:t>
      </w:r>
    </w:p>
    <w:p>
      <w:pPr>
        <w:spacing w:after="0" w:line="16"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maintain its separate corporate existence and all rights, franchises, licenses and privileges necessary to the conduct of its business, and qualify and remain qualified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3" w:name="page184"/>
    <w:bookmarkEnd w:id="183"/>
    <w:p>
      <w:pPr>
        <w:ind w:right="20"/>
        <w:spacing w:after="0" w:line="260" w:lineRule="auto"/>
        <w:rPr>
          <w:sz w:val="20"/>
          <w:szCs w:val="20"/>
          <w:color w:val="auto"/>
        </w:rPr>
      </w:pPr>
      <w:r>
        <w:rPr>
          <w:rFonts w:ascii="Arial" w:cs="Arial" w:eastAsia="Arial" w:hAnsi="Arial"/>
          <w:sz w:val="20"/>
          <w:szCs w:val="20"/>
          <w:color w:val="auto"/>
        </w:rPr>
        <w:t>foreign corporation or other entity and authorized to do business in each jurisdiction in which the failure to so qualify could reasonably be expected to have a Material Adverse Effect.</w:t>
      </w:r>
    </w:p>
    <w:p>
      <w:pPr>
        <w:spacing w:after="0" w:line="177"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VIII.5</w:t>
      </w:r>
      <w:r>
        <w:rPr>
          <w:sz w:val="20"/>
          <w:szCs w:val="20"/>
          <w:color w:val="auto"/>
        </w:rPr>
        <w:tab/>
      </w:r>
      <w:r>
        <w:rPr>
          <w:rFonts w:ascii="Arial" w:cs="Arial" w:eastAsia="Arial" w:hAnsi="Arial"/>
          <w:sz w:val="16"/>
          <w:szCs w:val="16"/>
          <w:u w:val="single" w:color="auto"/>
          <w:color w:val="auto"/>
        </w:rPr>
        <w:t>Maintenance of Property and Licenses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3" w:lineRule="auto"/>
        <w:tabs>
          <w:tab w:leader="none" w:pos="128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could not reasonably be expected to result in a Material Adverse Effect.</w:t>
      </w:r>
    </w:p>
    <w:p>
      <w:pPr>
        <w:spacing w:after="0" w:line="195" w:lineRule="exact"/>
        <w:rPr>
          <w:rFonts w:ascii="Arial" w:cs="Arial" w:eastAsia="Arial" w:hAnsi="Arial"/>
          <w:sz w:val="20"/>
          <w:szCs w:val="20"/>
          <w:color w:val="auto"/>
        </w:rPr>
      </w:pPr>
    </w:p>
    <w:p>
      <w:pPr>
        <w:jc w:val="both"/>
        <w:ind w:firstLine="656"/>
        <w:spacing w:after="0" w:line="291" w:lineRule="auto"/>
        <w:tabs>
          <w:tab w:leader="none" w:pos="128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Maintain, in full force and effect in all material respects, each and every material license, permit, certification, qualification, approval or franchise issued by any Governmental Authority (each a “</w:t>
      </w:r>
      <w:r>
        <w:rPr>
          <w:rFonts w:ascii="Arial" w:cs="Arial" w:eastAsia="Arial" w:hAnsi="Arial"/>
          <w:sz w:val="18"/>
          <w:szCs w:val="18"/>
          <w:u w:val="single" w:color="auto"/>
          <w:color w:val="auto"/>
        </w:rPr>
        <w:t>License</w:t>
      </w:r>
      <w:r>
        <w:rPr>
          <w:rFonts w:ascii="Arial" w:cs="Arial" w:eastAsia="Arial" w:hAnsi="Arial"/>
          <w:sz w:val="18"/>
          <w:szCs w:val="18"/>
          <w:color w:val="auto"/>
        </w:rPr>
        <w:t>”) required for each of them to conduct their respective businesses as presently conducted, except where the failure to do so could not reasonably be expected to have a Material Adverse Effect.</w:t>
      </w:r>
    </w:p>
    <w:p>
      <w:pPr>
        <w:spacing w:after="0" w:line="1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VIII.6 </w:t>
      </w:r>
      <w:r>
        <w:rPr>
          <w:rFonts w:ascii="Arial" w:cs="Arial" w:eastAsia="Arial" w:hAnsi="Arial"/>
          <w:sz w:val="18"/>
          <w:szCs w:val="18"/>
          <w:u w:val="single" w:color="auto"/>
          <w:color w:val="auto"/>
        </w:rPr>
        <w:t>Insurance</w:t>
      </w:r>
      <w:r>
        <w:rPr>
          <w:rFonts w:ascii="Arial" w:cs="Arial" w:eastAsia="Arial" w:hAnsi="Arial"/>
          <w:sz w:val="18"/>
          <w:szCs w:val="18"/>
          <w:color w:val="auto"/>
        </w:rPr>
        <w:t>. Maintain insurance with financially sound and reputable insurance companies against at least such risks and in at least such amounts as are customarily maintained by similar businesses and as may be required by Applicable Law (including, without limitation, hazard and business interruption insurance). All such insurance shall, (a) provide that no cancellation or material modification thereof shall be effective until at least 30 days after receipt by the Administrative Agent of written notice thereof (except as a result of non-payment of premium in which case only 10 days’ prior written notice shall be required) and (b) name the Administrative Agent as an additional insured party (or in the case of each casualty insurance policy, name the Administrative Agent as lender’s loss payee) thereunder.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VIII.7 </w:t>
      </w:r>
      <w:r>
        <w:rPr>
          <w:rFonts w:ascii="Arial" w:cs="Arial" w:eastAsia="Arial" w:hAnsi="Arial"/>
          <w:sz w:val="20"/>
          <w:szCs w:val="20"/>
          <w:u w:val="single" w:color="auto"/>
          <w:color w:val="auto"/>
        </w:rPr>
        <w:t>Accounting Methods and Financial Records</w:t>
      </w:r>
      <w:r>
        <w:rPr>
          <w:rFonts w:ascii="Arial" w:cs="Arial" w:eastAsia="Arial" w:hAnsi="Arial"/>
          <w:sz w:val="20"/>
          <w:szCs w:val="20"/>
          <w:color w:val="auto"/>
        </w:rPr>
        <w:t>. Maintain a system of accounting, and keep proper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VIII.8 </w:t>
      </w:r>
      <w:r>
        <w:rPr>
          <w:rFonts w:ascii="Arial" w:cs="Arial" w:eastAsia="Arial" w:hAnsi="Arial"/>
          <w:sz w:val="20"/>
          <w:szCs w:val="20"/>
          <w:u w:val="single" w:color="auto"/>
          <w:color w:val="auto"/>
        </w:rPr>
        <w:t>Payment of Taxes and Other Obligations</w:t>
      </w:r>
      <w:r>
        <w:rPr>
          <w:rFonts w:ascii="Arial" w:cs="Arial" w:eastAsia="Arial" w:hAnsi="Arial"/>
          <w:sz w:val="20"/>
          <w:szCs w:val="20"/>
          <w:color w:val="auto"/>
        </w:rPr>
        <w:t>. 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or (b) of this Section could not reasonably be expected to have a Material Adverse Effect.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VIII.9 </w:t>
      </w:r>
      <w:r>
        <w:rPr>
          <w:rFonts w:ascii="Arial" w:cs="Arial" w:eastAsia="Arial" w:hAnsi="Arial"/>
          <w:sz w:val="20"/>
          <w:szCs w:val="20"/>
          <w:u w:val="single" w:color="auto"/>
          <w:color w:val="auto"/>
        </w:rPr>
        <w:t>Compliance with Laws and Approvals</w:t>
      </w:r>
      <w:r>
        <w:rPr>
          <w:rFonts w:ascii="Arial" w:cs="Arial" w:eastAsia="Arial" w:hAnsi="Arial"/>
          <w:sz w:val="20"/>
          <w:szCs w:val="20"/>
          <w:color w:val="auto"/>
        </w:rPr>
        <w:t>. Observe and remain in compliance in all material respects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VIII.10 </w:t>
      </w:r>
      <w:r>
        <w:rPr>
          <w:rFonts w:ascii="Arial" w:cs="Arial" w:eastAsia="Arial" w:hAnsi="Arial"/>
          <w:sz w:val="20"/>
          <w:szCs w:val="20"/>
          <w:u w:val="single" w:color="auto"/>
          <w:color w:val="auto"/>
        </w:rPr>
        <w:t>Environmental Laws</w:t>
      </w:r>
      <w:r>
        <w:rPr>
          <w:rFonts w:ascii="Arial" w:cs="Arial" w:eastAsia="Arial" w:hAnsi="Arial"/>
          <w:sz w:val="20"/>
          <w:szCs w:val="20"/>
          <w:color w:val="auto"/>
        </w:rPr>
        <w:t xml:space="preserve">. In addition to and without limiting the generality of </w:t>
      </w:r>
      <w:r>
        <w:rPr>
          <w:rFonts w:ascii="Arial" w:cs="Arial" w:eastAsia="Arial" w:hAnsi="Arial"/>
          <w:sz w:val="20"/>
          <w:szCs w:val="20"/>
          <w:u w:val="single" w:color="auto"/>
          <w:color w:val="auto"/>
        </w:rPr>
        <w:t>Section 8.9</w:t>
      </w:r>
      <w:r>
        <w:rPr>
          <w:rFonts w:ascii="Arial" w:cs="Arial" w:eastAsia="Arial" w:hAnsi="Arial"/>
          <w:sz w:val="20"/>
          <w:szCs w:val="20"/>
          <w:color w:val="auto"/>
        </w:rPr>
        <w:t>, (a) comply with, and take commercially reasonable efforts to ensure such compliance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4" w:name="page185"/>
    <w:bookmarkEnd w:id="184"/>
    <w:p>
      <w:pPr>
        <w:jc w:val="both"/>
        <w:spacing w:after="0" w:line="269" w:lineRule="auto"/>
        <w:rPr>
          <w:sz w:val="20"/>
          <w:szCs w:val="20"/>
          <w:color w:val="auto"/>
        </w:rPr>
      </w:pPr>
      <w:r>
        <w:rPr>
          <w:rFonts w:ascii="Arial" w:cs="Arial" w:eastAsia="Arial" w:hAnsi="Arial"/>
          <w:sz w:val="18"/>
          <w:szCs w:val="18"/>
          <w:color w:val="auto"/>
        </w:rPr>
        <w:t>all tenants and subtenants with all applicable Environmental Laws and obtain and comply with and maintain, and take commercially reasonable efforts to ensure that all tenants and subtenants, if any, obtain and comply with and maintain, any and all licenses, approvals, notifications, registrations or permits required by applicable Environmental Laws, except with respect to any matters that could not reasonably be expected to result in a Material Adverse Effect,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the Consolidated Companies,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willful misconduct or breach in bad faith of obligations of the party seeking indemnification therefor, as determined by a court of competent jurisdiction by final nonappealable judgment.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VIII.11 </w:t>
      </w:r>
      <w:r>
        <w:rPr>
          <w:rFonts w:ascii="Arial" w:cs="Arial" w:eastAsia="Arial" w:hAnsi="Arial"/>
          <w:sz w:val="18"/>
          <w:szCs w:val="18"/>
          <w:u w:val="single" w:color="auto"/>
          <w:color w:val="auto"/>
        </w:rPr>
        <w:t>Compliance with ERISA and Canadian Pension Laws</w:t>
      </w:r>
      <w:r>
        <w:rPr>
          <w:rFonts w:ascii="Arial" w:cs="Arial" w:eastAsia="Arial" w:hAnsi="Arial"/>
          <w:sz w:val="18"/>
          <w:szCs w:val="18"/>
          <w:color w:val="auto"/>
        </w:rPr>
        <w:t xml:space="preserve">. In addition to and without limiting the generality of </w:t>
      </w:r>
      <w:r>
        <w:rPr>
          <w:rFonts w:ascii="Arial" w:cs="Arial" w:eastAsia="Arial" w:hAnsi="Arial"/>
          <w:sz w:val="18"/>
          <w:szCs w:val="18"/>
          <w:u w:val="single" w:color="auto"/>
          <w:color w:val="auto"/>
        </w:rPr>
        <w:t>Section 8.9</w:t>
      </w:r>
      <w:r>
        <w:rPr>
          <w:rFonts w:ascii="Arial" w:cs="Arial" w:eastAsia="Arial" w:hAnsi="Arial"/>
          <w:sz w:val="18"/>
          <w:szCs w:val="18"/>
          <w:color w:val="auto"/>
        </w:rPr>
        <w:t>,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and with Canadian Pension Laws with respect to all Canadian Employee Benefit Plans, (ii) not take any action or fail to take action the result of which could reasonably be expected to result in a liability to the PBGC or to a Multiemployer Plan or to a Canadian Multiemployer Plan, (iii) not participate in any prohibited transaction that could result in any civil penalty under ERISA or tax under the Code or any penalty or tax under Canadian Pension Laws and (iv) operate each Employee Benefit Plan in such a manner that will not incur any tax liability under Section 4980B of the Code or any liability to any qualified beneficiary as defined in Section 4980B of the Code, (b) comply with and perform in all material respects all of their obligations, including any fiduciary, funding, investment and administration obligations, under and in respect of each Canadian Employee Benefit Plan under the terms thereof, any funding agreements, and all Applicable Laws, and (c) furnish to the Administrative Agent upon the Administrative Agent’s request such additional information about any Employee Benefit Plan or Canadian Employee Benefit Plan as may be reasonably requested by the Administrative Agent. No Credit Party nor any Subsidiary shall at any time terminate or wind-up a Canadian Employee Benefit Plan unless there are no Canadian Pension Plan Unfunded Liabilities in excess of the Threshold Amount.</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20"/>
                <w:szCs w:val="20"/>
                <w:color w:val="auto"/>
              </w:rPr>
              <w:t>SECTION VIII.12</w:t>
            </w:r>
          </w:p>
        </w:tc>
        <w:tc>
          <w:tcPr>
            <w:tcW w:w="8660" w:type="dxa"/>
            <w:vAlign w:val="bottom"/>
            <w:gridSpan w:val="3"/>
          </w:tcPr>
          <w:p>
            <w:pPr>
              <w:spacing w:after="0"/>
              <w:rPr>
                <w:sz w:val="20"/>
                <w:szCs w:val="20"/>
                <w:color w:val="auto"/>
              </w:rPr>
            </w:pPr>
            <w:r>
              <w:rPr>
                <w:rFonts w:ascii="Arial" w:cs="Arial" w:eastAsia="Arial" w:hAnsi="Arial"/>
                <w:sz w:val="20"/>
                <w:szCs w:val="20"/>
                <w:color w:val="auto"/>
              </w:rPr>
              <w:t>Maintenance of Debt Ratings. Use commercially reasonable efforts to maintain all Debt Ratings.</w:t>
            </w:r>
          </w:p>
        </w:tc>
      </w:tr>
      <w:tr>
        <w:trPr>
          <w:trHeight w:val="20"/>
        </w:trPr>
        <w:tc>
          <w:tcPr>
            <w:tcW w:w="19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425"/>
        </w:trPr>
        <w:tc>
          <w:tcPr>
            <w:tcW w:w="1920" w:type="dxa"/>
            <w:vAlign w:val="bottom"/>
          </w:tcPr>
          <w:p>
            <w:pPr>
              <w:spacing w:after="0"/>
              <w:rPr>
                <w:sz w:val="20"/>
                <w:szCs w:val="20"/>
                <w:color w:val="auto"/>
              </w:rPr>
            </w:pPr>
            <w:r>
              <w:rPr>
                <w:rFonts w:ascii="Arial" w:cs="Arial" w:eastAsia="Arial" w:hAnsi="Arial"/>
                <w:sz w:val="20"/>
                <w:szCs w:val="20"/>
                <w:color w:val="auto"/>
              </w:rPr>
              <w:t>SECTION VIII.13</w:t>
            </w:r>
          </w:p>
        </w:tc>
        <w:tc>
          <w:tcPr>
            <w:tcW w:w="8660" w:type="dxa"/>
            <w:vAlign w:val="bottom"/>
            <w:gridSpan w:val="3"/>
          </w:tcPr>
          <w:p>
            <w:pPr>
              <w:spacing w:after="0"/>
              <w:rPr>
                <w:sz w:val="20"/>
                <w:szCs w:val="20"/>
                <w:color w:val="auto"/>
              </w:rPr>
            </w:pPr>
            <w:r>
              <w:rPr>
                <w:rFonts w:ascii="Arial" w:cs="Arial" w:eastAsia="Arial" w:hAnsi="Arial"/>
                <w:sz w:val="20"/>
                <w:szCs w:val="20"/>
                <w:color w:val="auto"/>
                <w:w w:val="92"/>
              </w:rPr>
              <w:t>Visits and Inspections. Permit representatives of the Administrative Agent or any Lender, from time to time</w:t>
            </w:r>
          </w:p>
        </w:tc>
      </w:tr>
      <w:tr>
        <w:trPr>
          <w:trHeight w:val="20"/>
        </w:trPr>
        <w:tc>
          <w:tcPr>
            <w:tcW w:w="19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upon prior reasonable notice and at such times during normal business hours, all at the expense of the Borrowers,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5" w:name="page186"/>
    <w:bookmarkEnd w:id="185"/>
    <w:p>
      <w:pPr>
        <w:jc w:val="both"/>
        <w:spacing w:after="0" w:line="243" w:lineRule="auto"/>
        <w:rPr>
          <w:sz w:val="20"/>
          <w:szCs w:val="20"/>
          <w:color w:val="auto"/>
        </w:rPr>
      </w:pPr>
      <w:r>
        <w:rPr>
          <w:rFonts w:ascii="Arial" w:cs="Arial" w:eastAsia="Arial" w:hAnsi="Arial"/>
          <w:sz w:val="20"/>
          <w:szCs w:val="20"/>
          <w:color w:val="auto"/>
        </w:rPr>
        <w:t xml:space="preserve">excluding any such visits and inspections during the continuation of an Event of Default, the Administrative Agent shall not exercise such rights more often than one (1) time during any calendar year at the Borrowers’ expense;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further that upon the occurrence and during the continuance of an Event of Default, the Administrative Agent or any Lender may do any of the foregoing at the expense of the Borrowers at any time without advance notice. Upon the request of the Administrative Agent or the Required Lenders, participate in a meeting of the Administrative Agent and Lenders once during each Fiscal Year, which meeting will be held at Centuri’s corporate offices (or such other location as may be agreed to by Centuri and the Administrative Agent) at such time as may be agreed by Centuri and the Administrative Agent.</w:t>
      </w:r>
    </w:p>
    <w:p>
      <w:pPr>
        <w:spacing w:after="0" w:line="193"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VIII.14</w:t>
      </w:r>
      <w:r>
        <w:rPr>
          <w:sz w:val="20"/>
          <w:szCs w:val="20"/>
          <w:color w:val="auto"/>
        </w:rPr>
        <w:tab/>
      </w:r>
      <w:r>
        <w:rPr>
          <w:rFonts w:ascii="Arial" w:cs="Arial" w:eastAsia="Arial" w:hAnsi="Arial"/>
          <w:sz w:val="18"/>
          <w:szCs w:val="18"/>
          <w:u w:val="single" w:color="auto"/>
          <w:color w:val="auto"/>
        </w:rPr>
        <w:t>Additional Subsidiaries and Collateral</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28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Additional US Subsidiaries</w:t>
      </w:r>
      <w:r>
        <w:rPr>
          <w:rFonts w:ascii="Arial" w:cs="Arial" w:eastAsia="Arial" w:hAnsi="Arial"/>
          <w:sz w:val="18"/>
          <w:szCs w:val="18"/>
          <w:color w:val="auto"/>
        </w:rPr>
        <w:t xml:space="preserve">. Promptly after (x) the creation or acquisition (including by statutory division) of any US Subsidiary (other than an Excluded Subsidiary), (y) any US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Person to (i) either (A) become a US Subsidiary Guarantor by delivering to the Administrative Agent a duly executed supplement to the US Credit Party Guaranty Agreement or such other document as the Administrative Agent shall deem appropriate for such purpose, or (B) become an Additional Borrower in compliance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(ii) grant a security interest, to secure all Secured Obligations, in all Collateral (subject to the exceptions specified in the US Collateral Agreement) owned by such US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78" w:lineRule="exact"/>
        <w:rPr>
          <w:rFonts w:ascii="Arial" w:cs="Arial" w:eastAsia="Arial" w:hAnsi="Arial"/>
          <w:sz w:val="18"/>
          <w:szCs w:val="18"/>
          <w:color w:val="auto"/>
        </w:rPr>
      </w:pPr>
    </w:p>
    <w:p>
      <w:pPr>
        <w:jc w:val="both"/>
        <w:ind w:firstLine="656"/>
        <w:spacing w:after="0" w:line="270" w:lineRule="auto"/>
        <w:tabs>
          <w:tab w:leader="none" w:pos="128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Additional Canadian Subsidiaries</w:t>
      </w:r>
      <w:r>
        <w:rPr>
          <w:rFonts w:ascii="Arial" w:cs="Arial" w:eastAsia="Arial" w:hAnsi="Arial"/>
          <w:sz w:val="18"/>
          <w:szCs w:val="18"/>
          <w:color w:val="auto"/>
        </w:rPr>
        <w:t xml:space="preserve">. Promptly after (x) the creation or acquisition of any Canadian Subsidiary (other than an Excluded Subsidiary), (y) any Canadian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Canadian Subsidiary to (i) either (A) become a Canadian Subsidiary Guarantor by delivering to the Administrative Agent a duly executed supplement to the Canadian Credit Party Guarantee Agreement or such other document as the Administrative Agent shall deem appropriate for such purpose, or (B) become an Additional Borrower in compliance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(ii) grant a security interest, to secure all Canadian Secured Obligations, in all Collateral (subject to the exceptions specified in the Canadian Collateral Agreement) owned by such Canadian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as may be reasonably requested by the Administrative Agent, (iv) deliver to the Administrative Agent such original certificated Equity Interests or other certificates and stock or other transfer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6" w:name="page187"/>
    <w:bookmarkEnd w:id="186"/>
    <w:p>
      <w:pPr>
        <w:jc w:val="both"/>
        <w:spacing w:after="0" w:line="291" w:lineRule="auto"/>
        <w:rPr>
          <w:sz w:val="20"/>
          <w:szCs w:val="20"/>
          <w:color w:val="auto"/>
        </w:rPr>
      </w:pPr>
      <w:r>
        <w:rPr>
          <w:rFonts w:ascii="Arial" w:cs="Arial" w:eastAsia="Arial" w:hAnsi="Arial"/>
          <w:sz w:val="18"/>
          <w:szCs w:val="18"/>
          <w:color w:val="auto"/>
        </w:rPr>
        <w:t>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52" w:lineRule="exact"/>
        <w:rPr>
          <w:sz w:val="20"/>
          <w:szCs w:val="20"/>
          <w:color w:val="auto"/>
        </w:rPr>
      </w:pPr>
    </w:p>
    <w:p>
      <w:pPr>
        <w:jc w:val="both"/>
        <w:ind w:firstLine="656"/>
        <w:spacing w:after="0" w:line="269" w:lineRule="auto"/>
        <w:tabs>
          <w:tab w:leader="none" w:pos="128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Additional First Tier Foreign Subsidiaries</w:t>
      </w:r>
      <w:r>
        <w:rPr>
          <w:rFonts w:ascii="Arial" w:cs="Arial" w:eastAsia="Arial" w:hAnsi="Arial"/>
          <w:sz w:val="18"/>
          <w:szCs w:val="18"/>
          <w:color w:val="auto"/>
        </w:rPr>
        <w:t xml:space="preserve">. Notify the Administrative Agent promptly after any Person becomes a First Tier Foreign Subsidiary, and at the request of the Administrative Agent, promptly thereafter (and, in any event, within forty-five (45) days after such request, as such time period may be extended by the Administrative Agent in its sole discretion), cause (i) the applicable US Credit Party to deliver to the Administrative Agent Security Documents pledging (A) as security for the US Secured Obligations, sixty-six percent (66%) of the total outstanding voting Equity Interests (and one hundred percent (100%) of the non-voting Equity Interests) of any such new First Tier Foreign Subsidiary and (B) as security for the Canadian Secured Obligations, one hundred percent (100%) of the Equity Interests of any such new First Tier Foreign Subsidiary and, in each case, a consent thereto executed by such new First Tier Foreign Subsidiary (including, without limitation, if applicable, original stock certificates (or the equivalent thereof pursuant to the Applicable Laws and practices of any relevant foreign jurisdiction) evidencing the Equity Interests of such new First Tier Foreign Subsidiary, together with an appropriate undated stock power for each certificate duly executed in blank by the registered owner thereof), (ii) such Person to deliver to the Administrative Agent such opinions, documents and certificates referred to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81" w:lineRule="exact"/>
        <w:rPr>
          <w:rFonts w:ascii="Arial" w:cs="Arial" w:eastAsia="Arial" w:hAnsi="Arial"/>
          <w:sz w:val="18"/>
          <w:szCs w:val="18"/>
          <w:color w:val="auto"/>
        </w:rPr>
      </w:pPr>
    </w:p>
    <w:p>
      <w:pPr>
        <w:jc w:val="both"/>
        <w:ind w:firstLine="656"/>
        <w:spacing w:after="0" w:line="269" w:lineRule="auto"/>
        <w:tabs>
          <w:tab w:leader="none" w:pos="128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Merger Subsidiaries</w:t>
      </w:r>
      <w:r>
        <w:rPr>
          <w:rFonts w:ascii="Arial" w:cs="Arial" w:eastAsia="Arial" w:hAnsi="Arial"/>
          <w:sz w:val="18"/>
          <w:szCs w:val="18"/>
          <w:color w:val="auto"/>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set forth in </w:t>
      </w:r>
      <w:r>
        <w:rPr>
          <w:rFonts w:ascii="Arial" w:cs="Arial" w:eastAsia="Arial" w:hAnsi="Arial"/>
          <w:sz w:val="18"/>
          <w:szCs w:val="18"/>
          <w:u w:val="single" w:color="auto"/>
          <w:color w:val="auto"/>
        </w:rPr>
        <w:t>Section 8.14(a)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until the consummation of such Permitted Acquisition (at which time, the surviving entity of the respective merger transaction shall be required to so comply with </w:t>
      </w:r>
      <w:r>
        <w:rPr>
          <w:rFonts w:ascii="Arial" w:cs="Arial" w:eastAsia="Arial" w:hAnsi="Arial"/>
          <w:sz w:val="18"/>
          <w:szCs w:val="18"/>
          <w:u w:val="single" w:color="auto"/>
          <w:color w:val="auto"/>
        </w:rPr>
        <w:t>Section 8.14(a)</w:t>
      </w:r>
      <w:r>
        <w:rPr>
          <w:rFonts w:ascii="Arial" w:cs="Arial" w:eastAsia="Arial" w:hAnsi="Arial"/>
          <w:sz w:val="18"/>
          <w:szCs w:val="18"/>
          <w:color w:val="auto"/>
        </w:rPr>
        <w:t xml:space="preserve"> or</w:t>
      </w:r>
    </w:p>
    <w:p>
      <w:pPr>
        <w:spacing w:after="0" w:line="3" w:lineRule="exact"/>
        <w:rPr>
          <w:rFonts w:ascii="Arial" w:cs="Arial" w:eastAsia="Arial" w:hAnsi="Arial"/>
          <w:sz w:val="18"/>
          <w:szCs w:val="18"/>
          <w:color w:val="auto"/>
        </w:rPr>
      </w:pPr>
    </w:p>
    <w:p>
      <w:pPr>
        <w:spacing w:after="0" w:line="244" w:lineRule="auto"/>
        <w:rPr>
          <w:rFonts w:ascii="Arial" w:cs="Arial" w:eastAsia="Arial" w:hAnsi="Arial"/>
          <w:sz w:val="18"/>
          <w:szCs w:val="18"/>
          <w:color w:val="auto"/>
        </w:rPr>
      </w:pPr>
      <w:r>
        <w:rPr>
          <w:rFonts w:ascii="Arial" w:cs="Arial" w:eastAsia="Arial" w:hAnsi="Arial"/>
          <w:sz w:val="20"/>
          <w:szCs w:val="20"/>
          <w:u w:val="single" w:color="auto"/>
          <w:color w:val="auto"/>
        </w:rPr>
        <w:t>(b)</w:t>
      </w:r>
      <w:r>
        <w:rPr>
          <w:rFonts w:ascii="Arial" w:cs="Arial" w:eastAsia="Arial" w:hAnsi="Arial"/>
          <w:sz w:val="20"/>
          <w:szCs w:val="20"/>
          <w:color w:val="auto"/>
        </w:rPr>
        <w:t>, as applicable, within ten (10) Business Days of the consummation of such Permitted Acquisition, as such time period may be extended by the Administrative Agent in its sole discretion).</w:t>
      </w:r>
    </w:p>
    <w:p>
      <w:pPr>
        <w:spacing w:after="0" w:line="191" w:lineRule="exact"/>
        <w:rPr>
          <w:rFonts w:ascii="Arial" w:cs="Arial" w:eastAsia="Arial" w:hAnsi="Arial"/>
          <w:sz w:val="18"/>
          <w:szCs w:val="18"/>
          <w:color w:val="auto"/>
        </w:rPr>
      </w:pPr>
    </w:p>
    <w:p>
      <w:pPr>
        <w:jc w:val="both"/>
        <w:ind w:firstLine="656"/>
        <w:spacing w:after="0" w:line="255" w:lineRule="auto"/>
        <w:tabs>
          <w:tab w:leader="none" w:pos="128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Additional Collateral</w:t>
      </w:r>
      <w:r>
        <w:rPr>
          <w:rFonts w:ascii="Arial" w:cs="Arial" w:eastAsia="Arial" w:hAnsi="Arial"/>
          <w:sz w:val="19"/>
          <w:szCs w:val="19"/>
          <w:color w:val="auto"/>
        </w:rPr>
        <w:t>. After the Closing Date, Centuri will notify the Administrative Agent in writing promptly upon any Credit Party’s acquisition (including any acquisition by statutory division) or ownership of any Collateral not already covered by the US Collateral Agreement or Canadian Collateral Agreement, as applicable (such acquisition or ownership being herein called an “</w:t>
      </w:r>
      <w:r>
        <w:rPr>
          <w:rFonts w:ascii="Arial" w:cs="Arial" w:eastAsia="Arial" w:hAnsi="Arial"/>
          <w:sz w:val="19"/>
          <w:szCs w:val="19"/>
          <w:u w:val="single" w:color="auto"/>
          <w:color w:val="auto"/>
        </w:rPr>
        <w:t>Additional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Event</w:t>
      </w:r>
      <w:r>
        <w:rPr>
          <w:rFonts w:ascii="Arial" w:cs="Arial" w:eastAsia="Arial" w:hAnsi="Arial"/>
          <w:sz w:val="19"/>
          <w:szCs w:val="19"/>
          <w:color w:val="auto"/>
        </w:rPr>
        <w:t>” and the property so acquired or owned being herein called “</w:t>
      </w:r>
      <w:r>
        <w:rPr>
          <w:rFonts w:ascii="Arial" w:cs="Arial" w:eastAsia="Arial" w:hAnsi="Arial"/>
          <w:sz w:val="19"/>
          <w:szCs w:val="19"/>
          <w:u w:val="single" w:color="auto"/>
          <w:color w:val="auto"/>
        </w:rPr>
        <w:t>Additional Collateral</w:t>
      </w:r>
      <w:r>
        <w:rPr>
          <w:rFonts w:ascii="Arial" w:cs="Arial" w:eastAsia="Arial" w:hAnsi="Arial"/>
          <w:sz w:val="19"/>
          <w:szCs w:val="19"/>
          <w:color w:val="auto"/>
        </w:rPr>
        <w:t>”). As soon as practicable and in any event within thirty (30) days (or such longer period as the Administrative Agent shall agree) after an Additional Collateral Event, the applicable Credit Party shall (i) execute and deliver or cause to be executed and delivered Security Documents, in form and substance reasonably satisfactory to Administrative Agent, in favor of Administrative Agent and duly executed by the applicable Credit Party, covering and effecting and granting a first-priority Lien (subject to Permitted Liens) upon the applicable Additional Collateral, and such other documents (including, without limitation, certificates and legal opinions, all in form and substance reasonably satisfactory to Administrative Agent) as may be reasonably required by Administrative Agent in connection with the execution and delivery of such Security Documents and (ii) deliver or cause to be delivered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7" w:name="page188"/>
    <w:bookmarkEnd w:id="187"/>
    <w:p>
      <w:pPr>
        <w:jc w:val="both"/>
        <w:ind w:right="20"/>
        <w:spacing w:after="0" w:line="260" w:lineRule="auto"/>
        <w:rPr>
          <w:sz w:val="20"/>
          <w:szCs w:val="20"/>
          <w:color w:val="auto"/>
        </w:rPr>
      </w:pPr>
      <w:r>
        <w:rPr>
          <w:rFonts w:ascii="Arial" w:cs="Arial" w:eastAsia="Arial" w:hAnsi="Arial"/>
          <w:sz w:val="20"/>
          <w:szCs w:val="20"/>
          <w:color w:val="auto"/>
        </w:rPr>
        <w:t>Consolidated Companies such other documents or certificates consistent with the terms of this Agreement and relating to the transactions contemplated hereby as Administrative Agent may reasonably request.</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VIII.15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Borrowers shall use the proceeds of the Extensions of Credit (a) to finance the Transactions, (b) pay fees, commissions and expenses in connection with the Transactions, and (c) for working capital and general corporate purposes of the Consolidated Companies, including the payment of certain fees and expenses incurred in connection with the Transactions and this Agreement. No Borrower will request any Extension of Credit, nor shall any Borrower use, and each Borrower shall ensure that its Subsidiaries and its or their respective directors, officers, employees and agents shall not use,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VIII.16 </w:t>
      </w:r>
      <w:r>
        <w:rPr>
          <w:rFonts w:ascii="Arial" w:cs="Arial" w:eastAsia="Arial" w:hAnsi="Arial"/>
          <w:sz w:val="19"/>
          <w:szCs w:val="19"/>
          <w:u w:val="single" w:color="auto"/>
          <w:color w:val="auto"/>
        </w:rPr>
        <w:t>Corporate Governance</w:t>
      </w:r>
      <w:r>
        <w:rPr>
          <w:rFonts w:ascii="Arial" w:cs="Arial" w:eastAsia="Arial" w:hAnsi="Arial"/>
          <w:sz w:val="19"/>
          <w:szCs w:val="19"/>
          <w:color w:val="auto"/>
        </w:rPr>
        <w:t xml:space="preserve">. (a)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or act by unanimous written consent, to authorize and approve such entity’s actions, which meetings will be separate from those of any other entity which is an Affiliate of such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Centuri and Southwest Administrators, Inc. shall be permitted, at the request of Centuri, to (x) maintain entity records and books of account that are not separate and (y) commingle their funds and assets on an as needed basis to conduct the Consolidated Companies’ business in its ordinary course consistent with past practices.</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VIII.17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w:t>
      </w:r>
    </w:p>
    <w:p>
      <w:pPr>
        <w:spacing w:after="0" w:line="180"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VIII.18</w:t>
      </w:r>
      <w:r>
        <w:rPr>
          <w:sz w:val="20"/>
          <w:szCs w:val="20"/>
          <w:color w:val="auto"/>
        </w:rPr>
        <w:tab/>
      </w:r>
      <w:r>
        <w:rPr>
          <w:rFonts w:ascii="Arial" w:cs="Arial" w:eastAsia="Arial" w:hAnsi="Arial"/>
          <w:sz w:val="19"/>
          <w:szCs w:val="19"/>
          <w:u w:val="single" w:color="auto"/>
          <w:color w:val="auto"/>
        </w:rPr>
        <w:t>Compliance with Anti-Corruption Laws; Beneficial Ownership Regulation, Anti-Money Laundering Laws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and Sanctions</w:t>
      </w:r>
      <w:r>
        <w:rPr>
          <w:rFonts w:ascii="Arial" w:cs="Arial" w:eastAsia="Arial" w:hAnsi="Arial"/>
          <w:sz w:val="20"/>
          <w:szCs w:val="20"/>
          <w:color w:val="auto"/>
        </w:rPr>
        <w:t>. Each Borrower will maintain in effect and enforce policies and procedures designed to ensure compliance by such Borrower, its Subsidiaries and their respective directors, officers, employees and agents (a) in all material respects with Anti-Corruption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w:t>
      </w:r>
    </w:p>
    <w:p>
      <w:pPr>
        <w:spacing w:after="0" w:line="19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VIII.19 </w:t>
      </w:r>
      <w:r>
        <w:rPr>
          <w:rFonts w:ascii="Arial" w:cs="Arial" w:eastAsia="Arial" w:hAnsi="Arial"/>
          <w:sz w:val="20"/>
          <w:szCs w:val="20"/>
          <w:u w:val="single" w:color="auto"/>
          <w:color w:val="auto"/>
        </w:rPr>
        <w:t>Post-Closing Matters</w:t>
      </w:r>
      <w:r>
        <w:rPr>
          <w:rFonts w:ascii="Arial" w:cs="Arial" w:eastAsia="Arial" w:hAnsi="Arial"/>
          <w:sz w:val="20"/>
          <w:szCs w:val="20"/>
          <w:color w:val="auto"/>
        </w:rPr>
        <w:t xml:space="preserve">. Execute and deliver the documents and complete the tasks set forth on </w:t>
      </w:r>
      <w:r>
        <w:rPr>
          <w:rFonts w:ascii="Arial" w:cs="Arial" w:eastAsia="Arial" w:hAnsi="Arial"/>
          <w:sz w:val="20"/>
          <w:szCs w:val="20"/>
          <w:u w:val="single" w:color="auto"/>
          <w:color w:val="auto"/>
        </w:rPr>
        <w:t>Schedule 8.19</w:t>
      </w:r>
      <w:r>
        <w:rPr>
          <w:rFonts w:ascii="Arial" w:cs="Arial" w:eastAsia="Arial" w:hAnsi="Arial"/>
          <w:sz w:val="20"/>
          <w:szCs w:val="20"/>
          <w:color w:val="auto"/>
        </w:rPr>
        <w:t>, in each case within the time limits specified on such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8" w:name="page189"/>
    <w:bookmarkEnd w:id="188"/>
    <w:p>
      <w:pPr>
        <w:jc w:val="center"/>
        <w:ind w:right="200"/>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Subsidiaries 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IX.1 </w:t>
      </w:r>
      <w:r>
        <w:rPr>
          <w:rFonts w:ascii="Arial" w:cs="Arial" w:eastAsia="Arial" w:hAnsi="Arial"/>
          <w:sz w:val="20"/>
          <w:szCs w:val="20"/>
          <w:u w:val="single" w:color="auto"/>
          <w:color w:val="auto"/>
        </w:rPr>
        <w:t>Indebtedness</w:t>
      </w:r>
      <w:r>
        <w:rPr>
          <w:rFonts w:ascii="Arial" w:cs="Arial" w:eastAsia="Arial" w:hAnsi="Arial"/>
          <w:sz w:val="20"/>
          <w:szCs w:val="20"/>
          <w:color w:val="auto"/>
        </w:rPr>
        <w:t>. Create, incur, assume or suffer to exist any Indebtedness except:</w:t>
      </w:r>
    </w:p>
    <w:p>
      <w:pPr>
        <w:spacing w:after="0" w:line="216"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Obligations;</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Indebtedness and obligations owing (i) under Hedge Agreements entered into in order to manage existing or anticipated interest rate, exchange rate or commodity price risks and not for speculative purposes, or (ii) to Cash Management Banks pursuant to Cash Management Agreements entered into in the ordinary course of business;</w:t>
      </w:r>
    </w:p>
    <w:p>
      <w:pPr>
        <w:spacing w:after="0" w:line="185" w:lineRule="exact"/>
        <w:rPr>
          <w:rFonts w:ascii="Arial" w:cs="Arial" w:eastAsia="Arial" w:hAnsi="Arial"/>
          <w:sz w:val="20"/>
          <w:szCs w:val="20"/>
          <w:color w:val="auto"/>
        </w:rPr>
      </w:pPr>
    </w:p>
    <w:p>
      <w:pPr>
        <w:jc w:val="both"/>
        <w:ind w:firstLine="656"/>
        <w:spacing w:after="0" w:line="272" w:lineRule="auto"/>
        <w:tabs>
          <w:tab w:leader="none" w:pos="128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listed on </w:t>
      </w:r>
      <w:r>
        <w:rPr>
          <w:rFonts w:ascii="Arial" w:cs="Arial" w:eastAsia="Arial" w:hAnsi="Arial"/>
          <w:sz w:val="18"/>
          <w:szCs w:val="18"/>
          <w:u w:val="single" w:color="auto"/>
          <w:color w:val="auto"/>
        </w:rPr>
        <w:t>Schedule 9.1</w:t>
      </w:r>
      <w:r>
        <w:rPr>
          <w:rFonts w:ascii="Arial" w:cs="Arial" w:eastAsia="Arial" w:hAnsi="Arial"/>
          <w:sz w:val="18"/>
          <w:szCs w:val="18"/>
          <w:color w:val="auto"/>
        </w:rPr>
        <w:t xml:space="preserve">, and any refinancings, refundings,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principal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final maturity date and Weighted Average Life to Maturity of such refinancing, refunding, renewal or extension shall not be prior to or shorter than that applicable to the Indebtedness prior to such refinancing, refunding, renewal or extension and (iii) any refinancing, refunding, renewal or extension of any Subordinated Indebtedness shall be (A) on subordination terms at least as favorable to the Lenders, (B) no more restrictive on the Consolidated Companies than the Subordinated Indebtedness being refinanced, refunded, renewed or extended and (C) in an amount not less than the amount outstanding at the time of such refinancing, refunding, renewal or extension;</w:t>
      </w:r>
    </w:p>
    <w:p>
      <w:pPr>
        <w:spacing w:after="0" w:line="170" w:lineRule="exact"/>
        <w:rPr>
          <w:rFonts w:ascii="Arial" w:cs="Arial" w:eastAsia="Arial" w:hAnsi="Arial"/>
          <w:sz w:val="18"/>
          <w:szCs w:val="18"/>
          <w:color w:val="auto"/>
        </w:rPr>
      </w:pPr>
    </w:p>
    <w:p>
      <w:pPr>
        <w:jc w:val="both"/>
        <w:ind w:firstLine="656"/>
        <w:spacing w:after="0" w:line="250" w:lineRule="auto"/>
        <w:tabs>
          <w:tab w:leader="none" w:pos="128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Capital Lease Obligations and purchase money Indebtedness, in each case incurred in the ordinary course of business of the Consolidated Companies in an aggregate amount not to exceed at any time outstanding the greater of (i) $200,000,000 and (ii) 7.5% of Consolidated Total Assets;</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Guaranty Obligations with respect to Indebtedness permitted pursuant to subsections (a) through (d), (g), (j) and (k) of this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w:t>
      </w:r>
    </w:p>
    <w:p>
      <w:pPr>
        <w:spacing w:after="0" w:line="199" w:lineRule="exact"/>
        <w:rPr>
          <w:rFonts w:ascii="Arial" w:cs="Arial" w:eastAsia="Arial" w:hAnsi="Arial"/>
          <w:sz w:val="18"/>
          <w:szCs w:val="18"/>
          <w:color w:val="auto"/>
        </w:rPr>
      </w:pPr>
    </w:p>
    <w:p>
      <w:pPr>
        <w:ind w:firstLine="656"/>
        <w:spacing w:after="0" w:line="260" w:lineRule="auto"/>
        <w:tabs>
          <w:tab w:leader="none" w:pos="1291"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Indebtedness arising from the honoring by a bank or other financial institution of a check, draft or other similar instrument drawn against insufficient funds in the ordinary course of business;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85" w:lineRule="exact"/>
        <w:rPr>
          <w:rFonts w:ascii="Arial" w:cs="Arial" w:eastAsia="Arial" w:hAnsi="Arial"/>
          <w:sz w:val="20"/>
          <w:szCs w:val="20"/>
          <w:color w:val="auto"/>
        </w:rPr>
      </w:pPr>
    </w:p>
    <w:p>
      <w:pPr>
        <w:jc w:val="both"/>
        <w:ind w:firstLine="656"/>
        <w:spacing w:after="0" w:line="263" w:lineRule="auto"/>
        <w:tabs>
          <w:tab w:leader="none" w:pos="128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unsecured intercompany Indebtedness (i) owed by any US Credit Party to another US Credit Party, (ii) owed by any Canadian Credit Party to another Canadian Credit Party, (iii) owed by any US Credit Party to any Canadian Credit Party, (iv) owed by any Canadian Credit Party to any US Credit Party in an aggregate amount not to exceed at any time outstanding the greater of (x) $50,000,000 and (y) 2.0% of Consolidated Total Assets, and (v) owed by or to any Non-Credit Party Subsidiary by 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89" w:name="page190"/>
    <w:bookmarkEnd w:id="189"/>
    <w:p>
      <w:pPr>
        <w:jc w:val="both"/>
        <w:spacing w:after="0" w:line="246" w:lineRule="auto"/>
        <w:rPr>
          <w:sz w:val="20"/>
          <w:szCs w:val="20"/>
          <w:color w:val="auto"/>
        </w:rPr>
      </w:pPr>
      <w:r>
        <w:rPr>
          <w:rFonts w:ascii="Arial" w:cs="Arial" w:eastAsia="Arial" w:hAnsi="Arial"/>
          <w:sz w:val="20"/>
          <w:szCs w:val="20"/>
          <w:color w:val="auto"/>
        </w:rPr>
        <w:t xml:space="preserve">Credit Party or another Non-Credit Party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such Indebtedness owed by a Non-Credit Party Subsidiary to a Credit Party shall not exceed at any time outstanding the greater of (x) $50,000,000 and (y) 2.0% of Consolidated Total Assets,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any such Indebtedness owed by a Credit Party to a Non-Credit Party Subsidiary shall be subordinated to the Obligations on terms reasonably satisfactory to the Administrative Agent;</w:t>
      </w:r>
    </w:p>
    <w:p>
      <w:pPr>
        <w:spacing w:after="0" w:line="191" w:lineRule="exact"/>
        <w:rPr>
          <w:sz w:val="20"/>
          <w:szCs w:val="20"/>
          <w:color w:val="auto"/>
        </w:rPr>
      </w:pPr>
    </w:p>
    <w:p>
      <w:pPr>
        <w:jc w:val="both"/>
        <w:ind w:firstLine="656"/>
        <w:spacing w:after="0" w:line="257" w:lineRule="auto"/>
        <w:tabs>
          <w:tab w:leader="none" w:pos="1294"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Indebtedness of a Person existing at the time such Person became a Subsidiary or assets were acquired from such Person in connection with an Investment permitted pursuant to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to the extent that (i) such Indebtedness was not incurred in connection with, or in contemplation of, such Person becoming a Subsidiary or the acquisition of such assets, (ii) neither Centuri nor any Subsidiary thereof (other than such Person or any other Person that such Person merges with or that acquires the assets of such Person) shall have any liability or other obligation with respect to such Indebtedness and (iii) Centuri is in compliance on a pro forma basis with a Consolidated Net Leverage Ratio at least 0.50 to 1.00 below the then applicable covenant level required pursuant to </w:t>
      </w:r>
      <w:r>
        <w:rPr>
          <w:rFonts w:ascii="Arial" w:cs="Arial" w:eastAsia="Arial" w:hAnsi="Arial"/>
          <w:sz w:val="19"/>
          <w:szCs w:val="19"/>
          <w:u w:val="single" w:color="auto"/>
          <w:color w:val="auto"/>
        </w:rPr>
        <w:t>Section 9.13(b)</w:t>
      </w:r>
      <w:r>
        <w:rPr>
          <w:rFonts w:ascii="Arial" w:cs="Arial" w:eastAsia="Arial" w:hAnsi="Arial"/>
          <w:sz w:val="19"/>
          <w:szCs w:val="19"/>
          <w:color w:val="auto"/>
        </w:rPr>
        <w:t xml:space="preserve">, determined as of the most recently ended four consecutive fiscal quarter period for which financial statements and the related Officer’s Compliance Certificate have been delivered pursuant to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8.2(a)</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left="1300" w:hanging="644"/>
        <w:spacing w:after="0"/>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unsecured Indebtedness of Centuri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each incurrence of such Indebtedness,</w:t>
      </w:r>
    </w:p>
    <w:p>
      <w:pPr>
        <w:spacing w:after="0" w:line="38" w:lineRule="exact"/>
        <w:rPr>
          <w:rFonts w:ascii="Arial" w:cs="Arial" w:eastAsia="Arial" w:hAnsi="Arial"/>
          <w:sz w:val="18"/>
          <w:szCs w:val="18"/>
          <w:color w:val="auto"/>
        </w:rPr>
      </w:pPr>
    </w:p>
    <w:p>
      <w:pPr>
        <w:jc w:val="both"/>
        <w:ind w:firstLine="8"/>
        <w:spacing w:after="0" w:line="269" w:lineRule="auto"/>
        <w:tabs>
          <w:tab w:leader="none" w:pos="24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have occurred and be continuing or would be caused by the incurrence of such Indebtedness, (ii) the Administrative Agent shall have received satisfactory written evidence that, after giving effect to the incurrence of such Indebtedness and the receipt and application of the proceeds thereof, Centuri is in compliance on a pro forma basis with the financial covenants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determined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 (iii) such Indebtedness does not mature prior to the date that is 91 days after the then latest maturity of the Commitments and Loans, (iv) the Weighted Average Life to Maturity of such Indebtedness shall not be shorter than the remaining Weighted Average Life to Maturity of the Term Loans then outstanding and (v) the terms of such Indebtedness reflect market terms (taken as a whole) at the time of issuance and (other than pricing, fees, rate floors, premiums and optional prepayment or redemption provisions (and, if applicable, subordination terms)), taken as a whole, are not materially more restrictive (as determined by Centuri in good faith) on Centuri and its Subsidiaries than the terms and conditions of this Agreement, taken as a whole, other than covenants which do not have effect until after the then latest maturity date of the Commitments and Loans;</w:t>
      </w:r>
    </w:p>
    <w:p>
      <w:pPr>
        <w:spacing w:after="0" w:line="172" w:lineRule="exact"/>
        <w:rPr>
          <w:rFonts w:ascii="Arial" w:cs="Arial" w:eastAsia="Arial" w:hAnsi="Arial"/>
          <w:sz w:val="18"/>
          <w:szCs w:val="18"/>
          <w:color w:val="auto"/>
        </w:rPr>
      </w:pPr>
    </w:p>
    <w:p>
      <w:pPr>
        <w:ind w:firstLine="656"/>
        <w:spacing w:after="0" w:line="260" w:lineRule="auto"/>
        <w:tabs>
          <w:tab w:leader="none" w:pos="1284" w:val="left"/>
        </w:tabs>
        <w:numPr>
          <w:ilvl w:val="1"/>
          <w:numId w:val="155"/>
        </w:numPr>
        <w:rPr>
          <w:rFonts w:ascii="Arial" w:cs="Arial" w:eastAsia="Arial" w:hAnsi="Arial"/>
          <w:sz w:val="20"/>
          <w:szCs w:val="20"/>
          <w:color w:val="auto"/>
        </w:rPr>
      </w:pPr>
      <w:r>
        <w:rPr>
          <w:rFonts w:ascii="Arial" w:cs="Arial" w:eastAsia="Arial" w:hAnsi="Arial"/>
          <w:sz w:val="20"/>
          <w:szCs w:val="20"/>
          <w:color w:val="auto"/>
        </w:rPr>
        <w:t>Attributable Indebtedness incurred pursuant to Permitted Receivables Transactions in an aggregate amount not to exceed at any time outstanding the greater of (i) $150,000,000 and (ii) 6.0% of Consolidated Total Assets;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4" w:val="left"/>
        </w:tabs>
        <w:numPr>
          <w:ilvl w:val="1"/>
          <w:numId w:val="155"/>
        </w:numPr>
        <w:rPr>
          <w:rFonts w:ascii="Arial" w:cs="Arial" w:eastAsia="Arial" w:hAnsi="Arial"/>
          <w:sz w:val="20"/>
          <w:szCs w:val="20"/>
          <w:color w:val="auto"/>
        </w:rPr>
      </w:pPr>
      <w:r>
        <w:rPr>
          <w:rFonts w:ascii="Arial" w:cs="Arial" w:eastAsia="Arial" w:hAnsi="Arial"/>
          <w:sz w:val="20"/>
          <w:szCs w:val="20"/>
          <w:color w:val="auto"/>
        </w:rPr>
        <w:t>other Indebtedness of any Credit Party or any Subsidiary thereof not otherwise permitted pursuant to this Section in an aggregate principal amount not to exceed at any time outstanding the greater of (i) $100,000,000 and (ii) 4.0% of Consolidated Total Assets; and</w:t>
      </w:r>
    </w:p>
    <w:p>
      <w:pPr>
        <w:spacing w:after="0" w:line="185" w:lineRule="exact"/>
        <w:rPr>
          <w:rFonts w:ascii="Arial" w:cs="Arial" w:eastAsia="Arial" w:hAnsi="Arial"/>
          <w:sz w:val="20"/>
          <w:szCs w:val="20"/>
          <w:color w:val="auto"/>
        </w:rPr>
      </w:pPr>
    </w:p>
    <w:p>
      <w:pPr>
        <w:jc w:val="both"/>
        <w:ind w:firstLine="656"/>
        <w:spacing w:after="0" w:line="282" w:lineRule="auto"/>
        <w:tabs>
          <w:tab w:leader="none" w:pos="128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Indebtedness of the Credit Parties in respect of one or more series of senior secured first lien notes that are issued in a public offering, Rule 144A or other private placement under the Securities Act, or a bridge financing in lieu of the foregoing that otherwise converts into permanent Incremental Equivalent Indebtedness (as defined below), that are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issued by the Credit Parties in lieu of Incremental Term Loans (“</w:t>
      </w:r>
      <w:r>
        <w:rPr>
          <w:rFonts w:ascii="Arial" w:cs="Arial" w:eastAsia="Arial" w:hAnsi="Arial"/>
          <w:sz w:val="18"/>
          <w:szCs w:val="18"/>
          <w:u w:val="single" w:color="auto"/>
          <w:color w:val="auto"/>
        </w:rPr>
        <w:t>Incremental Equivalent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0" w:name="page191"/>
    <w:bookmarkEnd w:id="190"/>
    <w:p>
      <w:pPr>
        <w:jc w:val="both"/>
        <w:ind w:left="820" w:firstLine="484"/>
        <w:spacing w:after="0" w:line="250" w:lineRule="auto"/>
        <w:tabs>
          <w:tab w:leader="none" w:pos="1952" w:val="left"/>
        </w:tabs>
        <w:numPr>
          <w:ilvl w:val="1"/>
          <w:numId w:val="156"/>
        </w:numPr>
        <w:rPr>
          <w:rFonts w:ascii="Arial" w:cs="Arial" w:eastAsia="Arial" w:hAnsi="Arial"/>
          <w:sz w:val="20"/>
          <w:szCs w:val="20"/>
          <w:color w:val="auto"/>
        </w:rPr>
      </w:pPr>
      <w:r>
        <w:rPr>
          <w:rFonts w:ascii="Arial" w:cs="Arial" w:eastAsia="Arial" w:hAnsi="Arial"/>
          <w:sz w:val="20"/>
          <w:szCs w:val="20"/>
          <w:color w:val="auto"/>
        </w:rPr>
        <w:t xml:space="preserve">the aggregate principal amount of such Indebtedness incurred under this clause (m) shall not, together with the aggregate principal amount of all Incremental Increases incurred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exceed the amount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5.13(a)</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20" w:firstLine="484"/>
        <w:spacing w:after="0" w:line="291" w:lineRule="auto"/>
        <w:tabs>
          <w:tab w:leader="none" w:pos="195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in the case of any Incremental Equivalent Indebtedness incurred to finance a substantially concurrent Limited Condition Acquisition, immediately after giving effect to the incurrence of such Indebtedness and the use of proceeds thereof, no Default or Event of Default shall have occurred and be continuing or would result therefrom;</w:t>
      </w:r>
    </w:p>
    <w:p>
      <w:pPr>
        <w:spacing w:after="0" w:line="151" w:lineRule="exact"/>
        <w:rPr>
          <w:rFonts w:ascii="Arial" w:cs="Arial" w:eastAsia="Arial" w:hAnsi="Arial"/>
          <w:sz w:val="18"/>
          <w:szCs w:val="18"/>
          <w:color w:val="auto"/>
        </w:rPr>
      </w:pPr>
    </w:p>
    <w:p>
      <w:pPr>
        <w:jc w:val="both"/>
        <w:ind w:left="820" w:firstLine="484"/>
        <w:spacing w:after="0" w:line="270" w:lineRule="auto"/>
        <w:tabs>
          <w:tab w:leader="none" w:pos="195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the stated maturity date of such Indebtedness shall be no earlier than, and the terms of such Indebtedness shall not provide for any scheduled payment, mandatory repayment or redemption or sinking fund or similar obligations at any time prior to the latest maturity date of the Loans and Commitments in effect at the time of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may have scheduled payments, mandatory repayments or redemptions or similar obligations prior to its stated maturity so long as</w:t>
      </w:r>
    </w:p>
    <w:p>
      <w:pPr>
        <w:spacing w:after="0" w:line="2" w:lineRule="exact"/>
        <w:rPr>
          <w:rFonts w:ascii="Arial" w:cs="Arial" w:eastAsia="Arial" w:hAnsi="Arial"/>
          <w:sz w:val="18"/>
          <w:szCs w:val="18"/>
          <w:color w:val="auto"/>
        </w:rPr>
      </w:pPr>
    </w:p>
    <w:p>
      <w:pPr>
        <w:jc w:val="both"/>
        <w:ind w:left="820" w:hanging="2"/>
        <w:spacing w:after="0" w:line="299" w:lineRule="auto"/>
        <w:tabs>
          <w:tab w:leader="none" w:pos="111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such Indebtedness does not have a shorter Weighted Average Life to Maturity than the remaining Weighted Average Life to Maturity of any Class of Term Loans then outstanding at the time of incurrence, (y) any mandatory prepayment (other than scheduled amortization payments which shall be determined by the applicable Borrower and the lenders of such Indebtedness) of such Indebtedness shall be made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with all then existing Term Loans, except that the applicable Borrower and the lenders of such Indebtedness may, in their sole discretion, elect to prepay or receive, as applicable, any prepayments on a less than pro rata basis (but not on a greater than pro rata basis) and (z) such mandatory repayments or redemptions or similar obligations are no more restrictive on the applicable Borrower or its Subsidiaries than the provisions of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of this clause (iii) shall not apply to the extent such Indebtedness constitutes a customary bridge or similar facility that is to be automatically converted or exchanged into notes or other permitted Indebtedness that otherwise would satisfy this clause</w:t>
      </w:r>
    </w:p>
    <w:p>
      <w:pPr>
        <w:spacing w:after="0" w:line="2" w:lineRule="exact"/>
        <w:rPr>
          <w:rFonts w:ascii="Arial" w:cs="Arial" w:eastAsia="Arial" w:hAnsi="Arial"/>
          <w:sz w:val="16"/>
          <w:szCs w:val="16"/>
          <w:color w:val="auto"/>
        </w:rPr>
      </w:pPr>
    </w:p>
    <w:p>
      <w:pPr>
        <w:jc w:val="both"/>
        <w:ind w:left="820" w:hanging="2"/>
        <w:spacing w:after="0" w:line="241" w:lineRule="auto"/>
        <w:tabs>
          <w:tab w:leader="none" w:pos="117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so long as such conversion or exchange is subject only to conditions customary for similar conversions and exchanges and the applicable Credit Party irrevocably agrees at the time of incurrence thereof to take all actions necessary to convert or exchange such Indebtedness);</w:t>
      </w:r>
    </w:p>
    <w:p>
      <w:pPr>
        <w:spacing w:after="0" w:line="195" w:lineRule="exact"/>
        <w:rPr>
          <w:rFonts w:ascii="Arial" w:cs="Arial" w:eastAsia="Arial" w:hAnsi="Arial"/>
          <w:sz w:val="20"/>
          <w:szCs w:val="20"/>
          <w:color w:val="auto"/>
        </w:rPr>
      </w:pPr>
    </w:p>
    <w:p>
      <w:pPr>
        <w:ind w:left="1940" w:hanging="636"/>
        <w:spacing w:after="0"/>
        <w:tabs>
          <w:tab w:leader="none" w:pos="19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such Indebtedness shall have pricing (including interest rates, fees and premiums), amortization (subject to clause</w:t>
      </w:r>
    </w:p>
    <w:p>
      <w:pPr>
        <w:spacing w:after="0" w:line="38" w:lineRule="exact"/>
        <w:rPr>
          <w:rFonts w:ascii="Arial" w:cs="Arial" w:eastAsia="Arial" w:hAnsi="Arial"/>
          <w:sz w:val="18"/>
          <w:szCs w:val="18"/>
          <w:color w:val="auto"/>
        </w:rPr>
      </w:pPr>
    </w:p>
    <w:p>
      <w:pPr>
        <w:ind w:left="820" w:hanging="2"/>
        <w:spacing w:after="0" w:line="244" w:lineRule="auto"/>
        <w:tabs>
          <w:tab w:leader="none" w:pos="117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above), optional prepayment and redemption terms as may be agreed to by the applicable Borrower and the lenders or holders of such Indebtedness;</w:t>
      </w:r>
    </w:p>
    <w:p>
      <w:pPr>
        <w:spacing w:after="0" w:line="191" w:lineRule="exact"/>
        <w:rPr>
          <w:rFonts w:ascii="Arial" w:cs="Arial" w:eastAsia="Arial" w:hAnsi="Arial"/>
          <w:sz w:val="20"/>
          <w:szCs w:val="20"/>
          <w:color w:val="auto"/>
        </w:rPr>
      </w:pPr>
    </w:p>
    <w:p>
      <w:pPr>
        <w:ind w:left="1940" w:hanging="636"/>
        <w:spacing w:after="0"/>
        <w:tabs>
          <w:tab w:leader="none" w:pos="194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such Indebtedness is not recourse to or guaranteed by any Subsidiary that is not a Credit Party;</w:t>
      </w:r>
    </w:p>
    <w:p>
      <w:pPr>
        <w:spacing w:after="0" w:line="215" w:lineRule="exact"/>
        <w:rPr>
          <w:rFonts w:ascii="Arial" w:cs="Arial" w:eastAsia="Arial" w:hAnsi="Arial"/>
          <w:sz w:val="20"/>
          <w:szCs w:val="20"/>
          <w:color w:val="auto"/>
        </w:rPr>
      </w:pPr>
    </w:p>
    <w:p>
      <w:pPr>
        <w:jc w:val="both"/>
        <w:ind w:left="820" w:firstLine="484"/>
        <w:spacing w:after="0" w:line="246" w:lineRule="auto"/>
        <w:tabs>
          <w:tab w:leader="none" w:pos="1943" w:val="left"/>
        </w:tabs>
        <w:numPr>
          <w:ilvl w:val="1"/>
          <w:numId w:val="159"/>
        </w:numPr>
        <w:rPr>
          <w:rFonts w:ascii="Arial" w:cs="Arial" w:eastAsia="Arial" w:hAnsi="Arial"/>
          <w:sz w:val="20"/>
          <w:szCs w:val="20"/>
          <w:color w:val="auto"/>
        </w:rPr>
      </w:pPr>
      <w:r>
        <w:rPr>
          <w:rFonts w:ascii="Arial" w:cs="Arial" w:eastAsia="Arial" w:hAnsi="Arial"/>
          <w:sz w:val="20"/>
          <w:szCs w:val="20"/>
          <w:color w:val="auto"/>
        </w:rPr>
        <w:t>(x) the obligations in respect thereof shall not be secured by any Lien on any asset of any Borrower or any Subsidiary other than any asset constituting Collateral, (y) the security agreements relating to such Indebtedness shall be substantially the same as the Security Documents (with such differences as are reasonably satisfactory to the Administrative Agent) and (z) such Indebtedness shall be subject to an Acceptable Intercreditor Agreement;</w:t>
      </w:r>
    </w:p>
    <w:p>
      <w:pPr>
        <w:spacing w:after="0" w:line="191" w:lineRule="exact"/>
        <w:rPr>
          <w:rFonts w:ascii="Arial" w:cs="Arial" w:eastAsia="Arial" w:hAnsi="Arial"/>
          <w:sz w:val="20"/>
          <w:szCs w:val="20"/>
          <w:color w:val="auto"/>
        </w:rPr>
      </w:pPr>
    </w:p>
    <w:p>
      <w:pPr>
        <w:jc w:val="both"/>
        <w:ind w:left="820" w:firstLine="484"/>
        <w:spacing w:after="0" w:line="291" w:lineRule="auto"/>
        <w:tabs>
          <w:tab w:leader="none" w:pos="194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except as otherwise set forth in this clause (m), the terms, covenants and conditions with respect to such Indebtedness, when taken as a whole, shall not be materially more restrictive on the applicable Borrower and its Subsidiaries than the terms and conditions of this Agreement, taken as a whole (except for (x) terms, covenants and conditions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1" w:name="page192"/>
    <w:bookmarkEnd w:id="191"/>
    <w:p>
      <w:pPr>
        <w:jc w:val="both"/>
        <w:ind w:left="820"/>
        <w:spacing w:after="0" w:line="271" w:lineRule="auto"/>
        <w:rPr>
          <w:sz w:val="20"/>
          <w:szCs w:val="20"/>
          <w:color w:val="auto"/>
        </w:rPr>
      </w:pPr>
      <w:r>
        <w:rPr>
          <w:rFonts w:ascii="Arial" w:cs="Arial" w:eastAsia="Arial" w:hAnsi="Arial"/>
          <w:sz w:val="18"/>
          <w:szCs w:val="18"/>
          <w:color w:val="auto"/>
        </w:rPr>
        <w:t xml:space="preserve">respect to such Indebtedness that are applicable only to the periods after the latest maturity date of the Loans and Commitments in effect at the time of incurrence or assumption of such Indebtedness and (y) any materially more restrictive terms added for the benefit of any such Indebtedness, if such materially more restrictive terms are also added for the benefit of the Lenders hereunder with respect to any Term Loans or Term Loan Commitments remaining outstanding after giving effect to the incurrence or assumption of such Indebtedness and the application of the proceeds thereof) and such Indebtedness shall not include any financial maintenance covenants;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 Responsible Officer of the applicable Borrower delivered to the Administrative Agent prior to the incurrence or assumption of such Indebtedness, together with a reasonably detailed description of the material terms and conditions of such Indebtedness or substantially final drafts of the documentation related thereto, stating that the applicable Borrower has determined in good faith that such terms and conditions satisfy the foregoing requirement shall be conclusive evidence that such terms and conditions satisfy the foregoing requirement;</w:t>
      </w:r>
    </w:p>
    <w:p>
      <w:pPr>
        <w:spacing w:after="0" w:line="174" w:lineRule="exact"/>
        <w:rPr>
          <w:sz w:val="20"/>
          <w:szCs w:val="20"/>
          <w:color w:val="auto"/>
        </w:rPr>
      </w:pPr>
    </w:p>
    <w:p>
      <w:pPr>
        <w:jc w:val="both"/>
        <w:ind w:left="820" w:firstLine="484"/>
        <w:spacing w:after="0" w:line="278" w:lineRule="auto"/>
        <w:tabs>
          <w:tab w:leader="none" w:pos="194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in the case of any such Indebtedness incurred to finance a substantially concurrent Limited Condition Acquisition, the Administrative Agent shall have received from Centuri, an Officer’s Compliance Certificate demonstrating that the Consolidated Companies are in pro forma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(based on the financial statements most recently delivered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after giving effect to such Indebtedness (assuming that the entire amount is fully funded on the effective date thereof) and the use of proceeds thereof; and</w:t>
      </w:r>
    </w:p>
    <w:p>
      <w:pPr>
        <w:spacing w:after="0" w:line="165" w:lineRule="exact"/>
        <w:rPr>
          <w:sz w:val="20"/>
          <w:szCs w:val="20"/>
          <w:color w:val="auto"/>
        </w:rPr>
      </w:pPr>
    </w:p>
    <w:p>
      <w:pPr>
        <w:jc w:val="both"/>
        <w:ind w:left="660" w:firstLine="644"/>
        <w:spacing w:after="0" w:line="250" w:lineRule="auto"/>
        <w:tabs>
          <w:tab w:leader="none" w:pos="195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prior to the incurrence of such Indebtedness, the applicable Borrower shall have delivered to the Administrative Agent a certificate from a Responsible Officer of such Borrower certifying as to compliance with the requirements of the preceding clauses (i) through (viii) above.</w:t>
      </w:r>
    </w:p>
    <w:p>
      <w:pPr>
        <w:spacing w:after="0" w:line="18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SECTION IX.2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on or with respect to any of its Property, whether now owned or hereafter acquired, except:</w:t>
      </w:r>
    </w:p>
    <w:p>
      <w:pPr>
        <w:spacing w:after="0" w:line="177" w:lineRule="exact"/>
        <w:rPr>
          <w:sz w:val="20"/>
          <w:szCs w:val="20"/>
          <w:color w:val="auto"/>
        </w:rPr>
      </w:pPr>
    </w:p>
    <w:p>
      <w:pPr>
        <w:ind w:firstLine="656"/>
        <w:spacing w:after="0" w:line="260" w:lineRule="auto"/>
        <w:tabs>
          <w:tab w:leader="none" w:pos="128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Liens created pursuant to the Loan Documents (including, without limitation, Liens in favor of the Swingline Lenders and/or the Issuing Lenders, as applicable, on Cash Collateral granted pursuant to the Loan Documents);</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28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Liens in existence on the Closing Date and described on </w:t>
      </w:r>
      <w:r>
        <w:rPr>
          <w:rFonts w:ascii="Arial" w:cs="Arial" w:eastAsia="Arial" w:hAnsi="Arial"/>
          <w:sz w:val="19"/>
          <w:szCs w:val="19"/>
          <w:u w:val="single" w:color="auto"/>
          <w:color w:val="auto"/>
        </w:rPr>
        <w:t>Schedule 9.2</w:t>
      </w:r>
      <w:r>
        <w:rPr>
          <w:rFonts w:ascii="Arial" w:cs="Arial" w:eastAsia="Arial" w:hAnsi="Arial"/>
          <w:sz w:val="19"/>
          <w:szCs w:val="19"/>
          <w:color w:val="auto"/>
        </w:rPr>
        <w:t xml:space="preserve">, and the replacement, renewal or extension thereof (including Liens incurred in connection with any refinancing, refunding, renewal or extension of Indebtedness pursuant to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(solely to the extent that such Liens were in existence on the Closing Date and described on </w:t>
      </w:r>
      <w:r>
        <w:rPr>
          <w:rFonts w:ascii="Arial" w:cs="Arial" w:eastAsia="Arial" w:hAnsi="Arial"/>
          <w:sz w:val="19"/>
          <w:szCs w:val="19"/>
          <w:u w:val="single" w:color="auto"/>
          <w:color w:val="auto"/>
        </w:rPr>
        <w:t>Schedule 9.2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80" w:lineRule="exact"/>
        <w:rPr>
          <w:rFonts w:ascii="Arial" w:cs="Arial" w:eastAsia="Arial" w:hAnsi="Arial"/>
          <w:sz w:val="19"/>
          <w:szCs w:val="19"/>
          <w:color w:val="auto"/>
        </w:rPr>
      </w:pPr>
    </w:p>
    <w:p>
      <w:pPr>
        <w:jc w:val="both"/>
        <w:ind w:firstLine="656"/>
        <w:spacing w:after="0" w:line="246" w:lineRule="auto"/>
        <w:tabs>
          <w:tab w:leader="none" w:pos="128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Liens for taxes, assessments and other governmental charges or levies (excluding any Lien imposed pursuant to any of the provisions of ERISA, any Canadian Pension Laws or Environmental Laws) (i) not past due or as to which the period of grace (not to exceed thirty (30) days), if any, related thereto has not expired or (ii) which are being contested in good faith and by appropriate proceedings if adequate reserves are maintained to the extent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2" w:name="page193"/>
    <w:bookmarkEnd w:id="192"/>
    <w:p>
      <w:pPr>
        <w:jc w:val="both"/>
        <w:ind w:firstLine="656"/>
        <w:spacing w:after="0" w:line="275" w:lineRule="auto"/>
        <w:tabs>
          <w:tab w:leader="none" w:pos="128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claims of materialmen, mechanics, carriers, warehousemen, processors or landlords for labor, materials, supplies or rentals incurred in the ordinary course of business, which (i) are not overdue for a period of more than thirty (30) days, or if more than thirty</w:t>
      </w:r>
    </w:p>
    <w:p>
      <w:pPr>
        <w:jc w:val="both"/>
        <w:ind w:firstLine="8"/>
        <w:spacing w:after="0" w:line="260" w:lineRule="auto"/>
        <w:tabs>
          <w:tab w:leader="none" w:pos="40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days overdue, no action has been taken to enforce such Liens and such Liens are being contested in good faith and by appropriate proceedings if adequate reserves are maintained to the extent required by GAAP and (ii) do not, individually or in the aggregate, materially impair the use thereof in the operation of the business of the Consolidated Companies taken as a whole;</w:t>
      </w:r>
    </w:p>
    <w:p>
      <w:pPr>
        <w:spacing w:after="0" w:line="178" w:lineRule="exact"/>
        <w:rPr>
          <w:rFonts w:ascii="Arial" w:cs="Arial" w:eastAsia="Arial" w:hAnsi="Arial"/>
          <w:sz w:val="19"/>
          <w:szCs w:val="19"/>
          <w:color w:val="auto"/>
        </w:rPr>
      </w:pPr>
    </w:p>
    <w:p>
      <w:pPr>
        <w:jc w:val="both"/>
        <w:ind w:firstLine="656"/>
        <w:spacing w:after="0" w:line="276" w:lineRule="auto"/>
        <w:tabs>
          <w:tab w:leader="none" w:pos="128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deposits or pledges made in the ordinary course of business in connection with, or to secure payment of, obligations under workers’ compensation, unemployment or employment insurance and other types of social security or similar legislation (other than Liens imposed pursuant to any of the provisions of ERISA or any Canadian Pension Laws), or to secure the performance of bids, trade contracts and leases (other than Indebtedness) or subleases,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64" w:lineRule="exact"/>
        <w:rPr>
          <w:rFonts w:ascii="Arial" w:cs="Arial" w:eastAsia="Arial" w:hAnsi="Arial"/>
          <w:sz w:val="18"/>
          <w:szCs w:val="18"/>
          <w:color w:val="auto"/>
        </w:rPr>
      </w:pPr>
    </w:p>
    <w:p>
      <w:pPr>
        <w:jc w:val="both"/>
        <w:ind w:firstLine="656"/>
        <w:spacing w:after="0" w:line="250" w:lineRule="auto"/>
        <w:tabs>
          <w:tab w:leader="none" w:pos="1291" w:val="left"/>
        </w:tabs>
        <w:numPr>
          <w:ilvl w:val="1"/>
          <w:numId w:val="164"/>
        </w:numPr>
        <w:rPr>
          <w:rFonts w:ascii="Arial" w:cs="Arial" w:eastAsia="Arial" w:hAnsi="Arial"/>
          <w:sz w:val="20"/>
          <w:szCs w:val="20"/>
          <w:color w:val="auto"/>
        </w:rPr>
      </w:pPr>
      <w:r>
        <w:rPr>
          <w:rFonts w:ascii="Arial" w:cs="Arial" w:eastAsia="Arial" w:hAnsi="Arial"/>
          <w:sz w:val="20"/>
          <w:szCs w:val="20"/>
          <w:color w:val="auto"/>
        </w:rPr>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185" w:lineRule="exact"/>
        <w:rPr>
          <w:rFonts w:ascii="Arial" w:cs="Arial" w:eastAsia="Arial" w:hAnsi="Arial"/>
          <w:sz w:val="20"/>
          <w:szCs w:val="20"/>
          <w:color w:val="auto"/>
        </w:rPr>
      </w:pPr>
    </w:p>
    <w:p>
      <w:pPr>
        <w:ind w:firstLine="656"/>
        <w:spacing w:after="0" w:line="260" w:lineRule="auto"/>
        <w:tabs>
          <w:tab w:leader="none" w:pos="1284" w:val="left"/>
        </w:tabs>
        <w:numPr>
          <w:ilvl w:val="1"/>
          <w:numId w:val="164"/>
        </w:numPr>
        <w:rPr>
          <w:rFonts w:ascii="Arial" w:cs="Arial" w:eastAsia="Arial" w:hAnsi="Arial"/>
          <w:sz w:val="20"/>
          <w:szCs w:val="20"/>
          <w:color w:val="auto"/>
        </w:rPr>
      </w:pPr>
      <w:r>
        <w:rPr>
          <w:rFonts w:ascii="Arial" w:cs="Arial" w:eastAsia="Arial" w:hAnsi="Arial"/>
          <w:sz w:val="20"/>
          <w:szCs w:val="20"/>
          <w:color w:val="auto"/>
        </w:rPr>
        <w:t>Liens arising from the filing of precautionary UCC financing statements relating solely to personal property leased pursuant to operating leases entered into in the ordinary course of business of the Consolidated Companies;</w:t>
      </w:r>
    </w:p>
    <w:p>
      <w:pPr>
        <w:spacing w:after="0" w:line="176" w:lineRule="exact"/>
        <w:rPr>
          <w:rFonts w:ascii="Arial" w:cs="Arial" w:eastAsia="Arial" w:hAnsi="Arial"/>
          <w:sz w:val="20"/>
          <w:szCs w:val="20"/>
          <w:color w:val="auto"/>
        </w:rPr>
      </w:pPr>
    </w:p>
    <w:p>
      <w:pPr>
        <w:jc w:val="both"/>
        <w:ind w:firstLine="656"/>
        <w:spacing w:after="0" w:line="259" w:lineRule="auto"/>
        <w:tabs>
          <w:tab w:leader="none" w:pos="1284"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shall be created concurrently with or within twenty four (24) months of the acquisition, repair, improvement or lease, as applicable, of the related Property, (ii) such Liens do not at any time encumber any property other than the Property financed by such Indebtedness and the proceeds thereof, (iii) the amount of Indebtedness secured thereby is not increased and (iv) the principal amount of Indebtedness secured by any such Lien shall at no time exceed one hundred percent (100%) of the original price for the purchase, repair improvement or lease amount (as applicable) of such Property at the time of purchase, repair, improvement or lease (as applicable);</w:t>
      </w:r>
    </w:p>
    <w:p>
      <w:pPr>
        <w:spacing w:after="0" w:line="178" w:lineRule="exact"/>
        <w:rPr>
          <w:rFonts w:ascii="Arial" w:cs="Arial" w:eastAsia="Arial" w:hAnsi="Arial"/>
          <w:sz w:val="19"/>
          <w:szCs w:val="19"/>
          <w:color w:val="auto"/>
        </w:rPr>
      </w:pPr>
    </w:p>
    <w:p>
      <w:pPr>
        <w:ind w:firstLine="656"/>
        <w:spacing w:after="0" w:line="260" w:lineRule="auto"/>
        <w:tabs>
          <w:tab w:leader="none" w:pos="1294" w:val="left"/>
        </w:tabs>
        <w:numPr>
          <w:ilvl w:val="1"/>
          <w:numId w:val="164"/>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Section 10.1(m)</w:t>
      </w:r>
      <w:r>
        <w:rPr>
          <w:rFonts w:ascii="Arial" w:cs="Arial" w:eastAsia="Arial" w:hAnsi="Arial"/>
          <w:sz w:val="20"/>
          <w:szCs w:val="20"/>
          <w:color w:val="auto"/>
        </w:rPr>
        <w:t xml:space="preserve"> or securing appeal or other surety bonds relating to such judgments;</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294" w:val="left"/>
        </w:tabs>
        <w:numPr>
          <w:ilvl w:val="1"/>
          <w:numId w:val="164"/>
        </w:numPr>
        <w:rPr>
          <w:rFonts w:ascii="Arial" w:cs="Arial" w:eastAsia="Arial" w:hAnsi="Arial"/>
          <w:sz w:val="19"/>
          <w:szCs w:val="19"/>
          <w:color w:val="auto"/>
        </w:rPr>
      </w:pPr>
      <w:r>
        <w:rPr>
          <w:rFonts w:ascii="Arial" w:cs="Arial" w:eastAsia="Arial" w:hAnsi="Arial"/>
          <w:sz w:val="19"/>
          <w:szCs w:val="19"/>
          <w:color w:val="auto"/>
        </w:rPr>
        <w:t>(i) Liens of a collecting bank arising in the ordinary course of business under Section 4-210 of the UCC and/or the PPSA, as applicable,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69" w:lineRule="exact"/>
        <w:rPr>
          <w:rFonts w:ascii="Arial" w:cs="Arial" w:eastAsia="Arial" w:hAnsi="Arial"/>
          <w:sz w:val="19"/>
          <w:szCs w:val="19"/>
          <w:color w:val="auto"/>
        </w:rPr>
      </w:pPr>
    </w:p>
    <w:p>
      <w:pPr>
        <w:jc w:val="both"/>
        <w:ind w:firstLine="656"/>
        <w:spacing w:after="0" w:line="250" w:lineRule="auto"/>
        <w:tabs>
          <w:tab w:leader="none" w:pos="1284" w:val="left"/>
        </w:tabs>
        <w:numPr>
          <w:ilvl w:val="1"/>
          <w:numId w:val="164"/>
        </w:numPr>
        <w:rPr>
          <w:rFonts w:ascii="Arial" w:cs="Arial" w:eastAsia="Arial" w:hAnsi="Arial"/>
          <w:sz w:val="20"/>
          <w:szCs w:val="20"/>
          <w:color w:val="auto"/>
        </w:rPr>
      </w:pPr>
      <w:r>
        <w:rPr>
          <w:rFonts w:ascii="Arial" w:cs="Arial" w:eastAsia="Arial" w:hAnsi="Arial"/>
          <w:sz w:val="20"/>
          <w:szCs w:val="20"/>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85" w:lineRule="exact"/>
        <w:rPr>
          <w:rFonts w:ascii="Arial" w:cs="Arial" w:eastAsia="Arial" w:hAnsi="Arial"/>
          <w:sz w:val="20"/>
          <w:szCs w:val="20"/>
          <w:color w:val="auto"/>
        </w:rPr>
      </w:pPr>
    </w:p>
    <w:p>
      <w:pPr>
        <w:ind w:firstLine="656"/>
        <w:spacing w:after="0" w:line="260" w:lineRule="auto"/>
        <w:tabs>
          <w:tab w:leader="none" w:pos="1294" w:val="left"/>
        </w:tabs>
        <w:numPr>
          <w:ilvl w:val="1"/>
          <w:numId w:val="164"/>
        </w:numPr>
        <w:rPr>
          <w:rFonts w:ascii="Arial" w:cs="Arial" w:eastAsia="Arial" w:hAnsi="Arial"/>
          <w:sz w:val="20"/>
          <w:szCs w:val="20"/>
          <w:color w:val="auto"/>
        </w:rPr>
      </w:pPr>
      <w:r>
        <w:rPr>
          <w:rFonts w:ascii="Arial" w:cs="Arial" w:eastAsia="Arial" w:hAnsi="Arial"/>
          <w:sz w:val="20"/>
          <w:szCs w:val="20"/>
          <w:color w:val="auto"/>
        </w:rPr>
        <w:t>Liens on Property (i) of any Subsidiary which are in existence at the time that such Subsidiary is acquired pursuant to a Permitted Acquisition and (ii) of Centuri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3" w:name="page194"/>
    <w:bookmarkEnd w:id="193"/>
    <w:p>
      <w:pPr>
        <w:jc w:val="both"/>
        <w:spacing w:after="0" w:line="275" w:lineRule="auto"/>
        <w:rPr>
          <w:sz w:val="20"/>
          <w:szCs w:val="20"/>
          <w:color w:val="auto"/>
        </w:rPr>
      </w:pPr>
      <w:r>
        <w:rPr>
          <w:rFonts w:ascii="Arial" w:cs="Arial" w:eastAsia="Arial" w:hAnsi="Arial"/>
          <w:sz w:val="18"/>
          <w:szCs w:val="18"/>
          <w:color w:val="auto"/>
        </w:rPr>
        <w:t xml:space="preserve">existing at the time such tangible property or tangible assets are purchased or otherwise acquired by Centuri or such Subsidiary thereof pursuant to a transaction permitted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of the foregoing clauses (i) and (ii),</w:t>
      </w:r>
    </w:p>
    <w:p>
      <w:pPr>
        <w:spacing w:after="0" w:line="1" w:lineRule="exact"/>
        <w:rPr>
          <w:sz w:val="20"/>
          <w:szCs w:val="20"/>
          <w:color w:val="auto"/>
        </w:rPr>
      </w:pPr>
    </w:p>
    <w:p>
      <w:pPr>
        <w:jc w:val="both"/>
        <w:ind w:firstLine="8"/>
        <w:spacing w:after="0" w:line="241" w:lineRule="auto"/>
        <w:tabs>
          <w:tab w:leader="none" w:pos="33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such Liens are not incurred in connection with, or in anticipation of, such Permitted Acquisition, purchase or other acquisition, (B) such Liens are applicable only to specific Property, (C) such Liens are not “blanket” or all asset Liens, (D) such Liens do not attach to any other Property of Centuri or any of its Subsidiaries and (E) the Indebtedness secured by such Liens is permitted under </w:t>
      </w:r>
      <w:r>
        <w:rPr>
          <w:rFonts w:ascii="Arial" w:cs="Arial" w:eastAsia="Arial" w:hAnsi="Arial"/>
          <w:sz w:val="20"/>
          <w:szCs w:val="20"/>
          <w:u w:val="single" w:color="auto"/>
          <w:color w:val="auto"/>
        </w:rPr>
        <w:t>Section 9.1(i)</w:t>
      </w:r>
      <w:r>
        <w:rPr>
          <w:rFonts w:ascii="Arial" w:cs="Arial" w:eastAsia="Arial" w:hAnsi="Arial"/>
          <w:sz w:val="20"/>
          <w:szCs w:val="20"/>
          <w:color w:val="auto"/>
        </w:rPr>
        <w:t xml:space="preserve"> of this Agreement);</w:t>
      </w:r>
    </w:p>
    <w:p>
      <w:pPr>
        <w:spacing w:after="0" w:line="194" w:lineRule="exact"/>
        <w:rPr>
          <w:rFonts w:ascii="Arial" w:cs="Arial" w:eastAsia="Arial" w:hAnsi="Arial"/>
          <w:sz w:val="20"/>
          <w:szCs w:val="20"/>
          <w:color w:val="auto"/>
        </w:rPr>
      </w:pPr>
    </w:p>
    <w:p>
      <w:pPr>
        <w:jc w:val="both"/>
        <w:ind w:firstLine="656"/>
        <w:spacing w:after="0" w:line="246" w:lineRule="auto"/>
        <w:tabs>
          <w:tab w:leader="none" w:pos="1285" w:val="left"/>
        </w:tabs>
        <w:numPr>
          <w:ilvl w:val="1"/>
          <w:numId w:val="165"/>
        </w:numPr>
        <w:rPr>
          <w:rFonts w:ascii="Arial" w:cs="Arial" w:eastAsia="Arial" w:hAnsi="Arial"/>
          <w:sz w:val="20"/>
          <w:szCs w:val="20"/>
          <w:color w:val="auto"/>
        </w:rPr>
      </w:pPr>
      <w:r>
        <w:rPr>
          <w:rFonts w:ascii="Arial" w:cs="Arial" w:eastAsia="Arial" w:hAnsi="Arial"/>
          <w:sz w:val="20"/>
          <w:szCs w:val="20"/>
          <w:color w:val="auto"/>
        </w:rPr>
        <w:t>any interest or title of a licensor, sublicensor, lessor or sublessor with respect to any assets under any license or lease agreement entered into in the ordinary course of business which do not (i) interfere in any material respect with the business of the Consolidated Companies taken as a whole or materially detract from the value of the relevant assets of the Consolidated Companies taken as a whole or (ii) secure any Indebtedness;</w:t>
      </w:r>
    </w:p>
    <w:p>
      <w:pPr>
        <w:spacing w:after="0" w:line="191" w:lineRule="exact"/>
        <w:rPr>
          <w:rFonts w:ascii="Arial" w:cs="Arial" w:eastAsia="Arial" w:hAnsi="Arial"/>
          <w:sz w:val="20"/>
          <w:szCs w:val="20"/>
          <w:color w:val="auto"/>
        </w:rPr>
      </w:pPr>
    </w:p>
    <w:p>
      <w:pPr>
        <w:ind w:firstLine="656"/>
        <w:spacing w:after="0" w:line="316" w:lineRule="auto"/>
        <w:tabs>
          <w:tab w:leader="none" w:pos="128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Liens on Receivables Assets that have been transferred to a Person other than Centuri and its Subsidiaries (other than a Receivables Subsidiary) in connection with such Permitted Receivables Transaction securing Permitted Receivables Transactions;</w:t>
      </w:r>
    </w:p>
    <w:p>
      <w:pPr>
        <w:spacing w:after="0" w:line="129" w:lineRule="exact"/>
        <w:rPr>
          <w:rFonts w:ascii="Arial" w:cs="Arial" w:eastAsia="Arial" w:hAnsi="Arial"/>
          <w:sz w:val="18"/>
          <w:szCs w:val="18"/>
          <w:color w:val="auto"/>
        </w:rPr>
      </w:pPr>
    </w:p>
    <w:p>
      <w:pPr>
        <w:ind w:firstLine="656"/>
        <w:spacing w:after="0" w:line="260" w:lineRule="auto"/>
        <w:tabs>
          <w:tab w:leader="none" w:pos="1284" w:val="left"/>
        </w:tabs>
        <w:numPr>
          <w:ilvl w:val="1"/>
          <w:numId w:val="165"/>
        </w:numPr>
        <w:rPr>
          <w:rFonts w:ascii="Arial" w:cs="Arial" w:eastAsia="Arial" w:hAnsi="Arial"/>
          <w:sz w:val="20"/>
          <w:szCs w:val="20"/>
          <w:color w:val="auto"/>
        </w:rPr>
      </w:pPr>
      <w:r>
        <w:rPr>
          <w:rFonts w:ascii="Arial" w:cs="Arial" w:eastAsia="Arial" w:hAnsi="Arial"/>
          <w:sz w:val="20"/>
          <w:szCs w:val="20"/>
          <w:color w:val="auto"/>
        </w:rPr>
        <w:t>Liens not otherwise permitted hereunder securing Indebtedness or other obligations in the aggregate principal amount not to exceed at any time outstanding the greater of (i) $100,000,000 and (ii) 4.0% of Consolidated Total Assets; and</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Liens on Collateral securing Incremental Equivalent Indebtedness.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the foregoing, in no event shall this Section permit any consensual Liens on real property except pursuant to clauses (a), (b), (c), (d), (f), (h), (k), (l) and (p) above.</w:t>
      </w:r>
    </w:p>
    <w:p>
      <w:pPr>
        <w:spacing w:after="0" w:line="20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IX.3 </w:t>
      </w:r>
      <w:r>
        <w:rPr>
          <w:rFonts w:ascii="Arial" w:cs="Arial" w:eastAsia="Arial" w:hAnsi="Arial"/>
          <w:sz w:val="18"/>
          <w:szCs w:val="18"/>
          <w:u w:val="single" w:color="auto"/>
          <w:color w:val="auto"/>
        </w:rPr>
        <w:t>Investments</w:t>
      </w:r>
      <w:r>
        <w:rPr>
          <w:rFonts w:ascii="Arial" w:cs="Arial" w:eastAsia="Arial" w:hAnsi="Arial"/>
          <w:sz w:val="18"/>
          <w:szCs w:val="18"/>
          <w:color w:val="auto"/>
        </w:rPr>
        <w:t>. Purchase,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directly or indirectly, any loans, advances or extensions of credit to, or any investment in cash or by delivery of Property in, any Person (all the foregoing, “</w:t>
      </w:r>
      <w:r>
        <w:rPr>
          <w:rFonts w:ascii="Arial" w:cs="Arial" w:eastAsia="Arial" w:hAnsi="Arial"/>
          <w:sz w:val="18"/>
          <w:szCs w:val="18"/>
          <w:u w:val="single" w:color="auto"/>
          <w:color w:val="auto"/>
        </w:rPr>
        <w:t>Investments</w:t>
      </w:r>
      <w:r>
        <w:rPr>
          <w:rFonts w:ascii="Arial" w:cs="Arial" w:eastAsia="Arial" w:hAnsi="Arial"/>
          <w:sz w:val="18"/>
          <w:szCs w:val="18"/>
          <w:color w:val="auto"/>
        </w:rPr>
        <w:t>”) except:</w:t>
      </w:r>
    </w:p>
    <w:p>
      <w:pPr>
        <w:spacing w:after="0" w:line="165" w:lineRule="exact"/>
        <w:rPr>
          <w:sz w:val="20"/>
          <w:szCs w:val="20"/>
          <w:color w:val="auto"/>
        </w:rPr>
      </w:pPr>
    </w:p>
    <w:p>
      <w:pPr>
        <w:ind w:left="1300" w:hanging="644"/>
        <w:spacing w:after="0"/>
        <w:tabs>
          <w:tab w:leader="none" w:pos="130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(i)   Investments existing on the Closing Date and described on </w:t>
      </w:r>
      <w:r>
        <w:rPr>
          <w:rFonts w:ascii="Arial" w:cs="Arial" w:eastAsia="Arial" w:hAnsi="Arial"/>
          <w:sz w:val="20"/>
          <w:szCs w:val="20"/>
          <w:u w:val="single" w:color="auto"/>
          <w:color w:val="auto"/>
        </w:rPr>
        <w:t>Schedule 9.3</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800" w:hanging="496"/>
        <w:spacing w:after="0"/>
        <w:tabs>
          <w:tab w:leader="none" w:pos="180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Investments made after the Closing Date by any US Credit Party in any other US Credit Party;</w:t>
      </w:r>
    </w:p>
    <w:p>
      <w:pPr>
        <w:spacing w:after="0" w:line="215" w:lineRule="exact"/>
        <w:rPr>
          <w:rFonts w:ascii="Arial" w:cs="Arial" w:eastAsia="Arial" w:hAnsi="Arial"/>
          <w:sz w:val="20"/>
          <w:szCs w:val="20"/>
          <w:color w:val="auto"/>
        </w:rPr>
      </w:pPr>
    </w:p>
    <w:p>
      <w:pPr>
        <w:ind w:left="1840" w:hanging="536"/>
        <w:spacing w:after="0"/>
        <w:tabs>
          <w:tab w:leader="none" w:pos="184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Investments made after the Closing Date by any Canadian Credit Party in any other Canadian Credit Party;</w:t>
      </w:r>
    </w:p>
    <w:p>
      <w:pPr>
        <w:spacing w:after="0" w:line="227" w:lineRule="exact"/>
        <w:rPr>
          <w:rFonts w:ascii="Arial" w:cs="Arial" w:eastAsia="Arial" w:hAnsi="Arial"/>
          <w:sz w:val="19"/>
          <w:szCs w:val="19"/>
          <w:color w:val="auto"/>
        </w:rPr>
      </w:pPr>
    </w:p>
    <w:p>
      <w:pPr>
        <w:ind w:left="660" w:firstLine="644"/>
        <w:spacing w:after="0" w:line="260" w:lineRule="auto"/>
        <w:tabs>
          <w:tab w:leader="none" w:pos="1848" w:val="left"/>
        </w:tabs>
        <w:numPr>
          <w:ilvl w:val="1"/>
          <w:numId w:val="166"/>
        </w:numPr>
        <w:rPr>
          <w:rFonts w:ascii="Arial" w:cs="Arial" w:eastAsia="Arial" w:hAnsi="Arial"/>
          <w:sz w:val="20"/>
          <w:szCs w:val="20"/>
          <w:color w:val="auto"/>
        </w:rPr>
      </w:pPr>
      <w:r>
        <w:rPr>
          <w:rFonts w:ascii="Arial" w:cs="Arial" w:eastAsia="Arial" w:hAnsi="Arial"/>
          <w:sz w:val="20"/>
          <w:szCs w:val="20"/>
          <w:color w:val="auto"/>
        </w:rPr>
        <w:t>Investments made after the Closing Date by any Non-Credit Party Subsidiary in any Credit Party or any other Non-Credit Party Subsidiary;</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Investments made after the Closing Date by any Canadian Credit Party in any US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4" w:name="page195"/>
    <w:bookmarkEnd w:id="194"/>
    <w:p>
      <w:pPr>
        <w:ind w:left="660" w:firstLine="644"/>
        <w:spacing w:after="0" w:line="287" w:lineRule="auto"/>
        <w:tabs>
          <w:tab w:leader="none" w:pos="1847" w:val="left"/>
        </w:tabs>
        <w:numPr>
          <w:ilvl w:val="1"/>
          <w:numId w:val="167"/>
        </w:numPr>
        <w:rPr>
          <w:rFonts w:ascii="Arial" w:cs="Arial" w:eastAsia="Arial" w:hAnsi="Arial"/>
          <w:sz w:val="19"/>
          <w:szCs w:val="19"/>
          <w:color w:val="auto"/>
        </w:rPr>
      </w:pPr>
      <w:r>
        <w:rPr>
          <w:rFonts w:ascii="Arial" w:cs="Arial" w:eastAsia="Arial" w:hAnsi="Arial"/>
          <w:sz w:val="19"/>
          <w:szCs w:val="19"/>
          <w:color w:val="auto"/>
        </w:rPr>
        <w:t>Investments made after the Closing Date by any US Credit Party in any Canadian Credit Party in an aggregate amount not to exceed at any time outstanding the greater of (x) $50,000,000 and (y) 2.0% of Consolidated Total Assets; and</w:t>
      </w:r>
    </w:p>
    <w:p>
      <w:pPr>
        <w:spacing w:after="0" w:line="152" w:lineRule="exact"/>
        <w:rPr>
          <w:rFonts w:ascii="Arial" w:cs="Arial" w:eastAsia="Arial" w:hAnsi="Arial"/>
          <w:sz w:val="19"/>
          <w:szCs w:val="19"/>
          <w:color w:val="auto"/>
        </w:rPr>
      </w:pPr>
    </w:p>
    <w:p>
      <w:pPr>
        <w:ind w:left="660" w:firstLine="644"/>
        <w:spacing w:after="0" w:line="316" w:lineRule="auto"/>
        <w:tabs>
          <w:tab w:leader="none" w:pos="193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Investments made after the Closing Date by any Credit Party in any Non-Credit Party Subsidiary in an aggregate amount at any time outstanding not to exceed the greater of (x) $50,000,000 and (y) 2.0% of Consolidated Total Assets.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deposits made in the ordinary course of business to secure the performance of leases or other obligations as permitted 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left="1300" w:hanging="644"/>
        <w:spacing w:after="0"/>
        <w:tabs>
          <w:tab w:leader="none" w:pos="13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Hedge Agreements permitted pursuant to </w:t>
      </w:r>
      <w:r>
        <w:rPr>
          <w:rFonts w:ascii="Arial" w:cs="Arial" w:eastAsia="Arial" w:hAnsi="Arial"/>
          <w:sz w:val="20"/>
          <w:szCs w:val="20"/>
          <w:u w:val="single" w:color="auto"/>
          <w:color w:val="auto"/>
        </w:rPr>
        <w:t>Section 9.1(b)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28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 purchases of assets in the ordinary course of business and (ii)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91"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Investments by any Credit Party in the form of Permitted Acquisitions to the extent that any Person or Property acquired in such Acquisition becomes a part of such Credit Party or becomes (whether or not such Person is a Wholly-Owned Subsidiary) a Subsidiary Guarantor in the manner and at the time contemplated by </w:t>
      </w:r>
      <w:r>
        <w:rPr>
          <w:rFonts w:ascii="Arial" w:cs="Arial" w:eastAsia="Arial" w:hAnsi="Arial"/>
          <w:sz w:val="20"/>
          <w:szCs w:val="20"/>
          <w:u w:val="single" w:color="auto"/>
          <w:color w:val="auto"/>
        </w:rPr>
        <w:t>Section 8.14</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656"/>
        <w:spacing w:after="0" w:line="282" w:lineRule="auto"/>
        <w:tabs>
          <w:tab w:leader="none" w:pos="128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Investments (i) in the form of loans and advances to officers, directors and employees in the ordinary course of business (including, without limitation, loans and advances for the relocation of such Person’s residence) in an aggregate amount not to exceed at any time outstanding $10,000,000 (determined without regard to any write-downs or write-offs of such loans or advances) and (ii) in the form of loans and advances to officers, directors and employees in connection with the purchase of the Permitted Drum Equity;</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Investments in the form of intercompany Indebtedness permitted pursuant to </w:t>
      </w:r>
      <w:r>
        <w:rPr>
          <w:rFonts w:ascii="Arial" w:cs="Arial" w:eastAsia="Arial" w:hAnsi="Arial"/>
          <w:sz w:val="20"/>
          <w:szCs w:val="20"/>
          <w:u w:val="single" w:color="auto"/>
          <w:color w:val="auto"/>
        </w:rPr>
        <w:t>Section 9.1(h)</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260" w:lineRule="auto"/>
        <w:tabs>
          <w:tab w:leader="none" w:pos="129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acquisition by a US Subsidiary Guarantor of the remaining Equity Interests of Linetec pursuant to the LLC Agreement (as defined in the Linetec Purchase Agreement);</w:t>
      </w:r>
    </w:p>
    <w:p>
      <w:pPr>
        <w:spacing w:after="0" w:line="176" w:lineRule="exact"/>
        <w:rPr>
          <w:rFonts w:ascii="Arial" w:cs="Arial" w:eastAsia="Arial" w:hAnsi="Arial"/>
          <w:sz w:val="20"/>
          <w:szCs w:val="20"/>
          <w:color w:val="auto"/>
        </w:rPr>
      </w:pPr>
    </w:p>
    <w:p>
      <w:pPr>
        <w:jc w:val="both"/>
        <w:ind w:firstLine="656"/>
        <w:spacing w:after="0" w:line="278" w:lineRule="auto"/>
        <w:tabs>
          <w:tab w:leader="none" w:pos="129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Investments in an amount not to exceed the Available Amount at the time such Investment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Investment, or LCA Test Date, as applicable, (i) no Default or Event of Default has occurred and is continuing or would result therefrom and (ii)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Investment and any Indebtedness incurred in connection therewith, Centuri is in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1300" w:hanging="644"/>
        <w:spacing w:after="0"/>
        <w:tabs>
          <w:tab w:leader="none" w:pos="13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Guaranty Obligations permitted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Drum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5" w:name="page196"/>
    <w:bookmarkEnd w:id="195"/>
    <w:p>
      <w:pPr>
        <w:jc w:val="both"/>
        <w:ind w:firstLine="656"/>
        <w:spacing w:after="0" w:line="250" w:lineRule="auto"/>
        <w:tabs>
          <w:tab w:leader="none" w:pos="128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 Investments in any Receivables Subsidiary that, in the good faith determination of Centuri, are prudent and reasonably necessary to effect or maintain any Permitted Receivables Transaction or any repurchase obligation in connection therewith and (ii) contributions or sales of Receivables Assets in connection with any Permitted Receivables Transaction;</w:t>
      </w:r>
    </w:p>
    <w:p>
      <w:pPr>
        <w:spacing w:after="0" w:line="185" w:lineRule="exact"/>
        <w:rPr>
          <w:rFonts w:ascii="Arial" w:cs="Arial" w:eastAsia="Arial" w:hAnsi="Arial"/>
          <w:sz w:val="20"/>
          <w:szCs w:val="20"/>
          <w:color w:val="auto"/>
        </w:rPr>
      </w:pPr>
    </w:p>
    <w:p>
      <w:pPr>
        <w:jc w:val="both"/>
        <w:ind w:firstLine="656"/>
        <w:spacing w:after="0" w:line="291" w:lineRule="auto"/>
        <w:tabs>
          <w:tab w:leader="none" w:pos="12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Investments not otherwise permitted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in an aggregate amount not to exceed at any time outstanding the greater of (i) $50,000,000 and (ii) 2.0% of Consolidated Total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before and immediately after giving pro forma effect to any such Investments, no Default or Event of Default shall have occurred and be continuing; and</w:t>
      </w:r>
    </w:p>
    <w:p>
      <w:pPr>
        <w:spacing w:after="0" w:line="151" w:lineRule="exact"/>
        <w:rPr>
          <w:rFonts w:ascii="Arial" w:cs="Arial" w:eastAsia="Arial" w:hAnsi="Arial"/>
          <w:sz w:val="18"/>
          <w:szCs w:val="18"/>
          <w:color w:val="auto"/>
        </w:rPr>
      </w:pPr>
    </w:p>
    <w:p>
      <w:pPr>
        <w:jc w:val="both"/>
        <w:ind w:firstLine="656"/>
        <w:spacing w:after="0" w:line="278" w:lineRule="auto"/>
        <w:tabs>
          <w:tab w:leader="none" w:pos="12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Investments not otherwise permitted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pro forma effect to the making of any such Investment and any Indebtedness incurred in connection therewith, 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in connection with a Limited Condition Acquisition,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For purposes of determining the amount of any Investment outstanding for purposes of this </w:t>
      </w:r>
      <w:r>
        <w:rPr>
          <w:rFonts w:ascii="Arial" w:cs="Arial" w:eastAsia="Arial" w:hAnsi="Arial"/>
          <w:sz w:val="20"/>
          <w:szCs w:val="20"/>
          <w:u w:val="single" w:color="auto"/>
          <w:color w:val="auto"/>
        </w:rPr>
        <w:t>Section 9.3</w:t>
      </w:r>
      <w:r>
        <w:rPr>
          <w:rFonts w:ascii="Arial" w:cs="Arial" w:eastAsia="Arial" w:hAnsi="Arial"/>
          <w:sz w:val="20"/>
          <w:szCs w:val="20"/>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any amount realized in respect of such Investment upon the sale, collection or return of capital (not to exceed the original amount invested).</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IX.4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amalgamate, consolidate or enter into any similar combination with, or enter into any Asset Disposition of all or substantially all of its assets (whether in a single transaction or a series of transactions) with, any other Person or liquidate, wind-up or dissolve itself (or suffer any liquidation or dissolution) (including, in each case, pursuant to statutory division), except:</w:t>
      </w:r>
    </w:p>
    <w:p>
      <w:pPr>
        <w:spacing w:after="0" w:line="152" w:lineRule="exact"/>
        <w:rPr>
          <w:sz w:val="20"/>
          <w:szCs w:val="20"/>
          <w:color w:val="auto"/>
        </w:rPr>
      </w:pPr>
    </w:p>
    <w:p>
      <w:pPr>
        <w:ind w:right="20" w:firstLine="656"/>
        <w:spacing w:after="0" w:line="260" w:lineRule="auto"/>
        <w:tabs>
          <w:tab w:leader="none" w:pos="128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Subsidiary of the US Borrower may merge into the US Borrower in a transaction in which the US Borrower is the surviving Person;</w:t>
      </w:r>
    </w:p>
    <w:p>
      <w:pPr>
        <w:spacing w:after="0" w:line="176" w:lineRule="exact"/>
        <w:rPr>
          <w:rFonts w:ascii="Arial" w:cs="Arial" w:eastAsia="Arial" w:hAnsi="Arial"/>
          <w:sz w:val="20"/>
          <w:szCs w:val="20"/>
          <w:color w:val="auto"/>
        </w:rPr>
      </w:pPr>
    </w:p>
    <w:p>
      <w:pPr>
        <w:ind w:firstLine="656"/>
        <w:spacing w:after="0" w:line="260" w:lineRule="auto"/>
        <w:tabs>
          <w:tab w:leader="none" w:pos="128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 any Subsidiary (other than a Borrower) may merge into any other Subsidiary in a transaction in which the surviving entity is a US Credit Party and (ii) any US Borrower may merge into another US Borrower;</w:t>
      </w:r>
    </w:p>
    <w:p>
      <w:pPr>
        <w:spacing w:after="0" w:line="176" w:lineRule="exact"/>
        <w:rPr>
          <w:rFonts w:ascii="Arial" w:cs="Arial" w:eastAsia="Arial" w:hAnsi="Arial"/>
          <w:sz w:val="20"/>
          <w:szCs w:val="20"/>
          <w:color w:val="auto"/>
        </w:rPr>
      </w:pPr>
    </w:p>
    <w:p>
      <w:pPr>
        <w:ind w:right="20" w:firstLine="656"/>
        <w:spacing w:after="0" w:line="260" w:lineRule="auto"/>
        <w:tabs>
          <w:tab w:leader="none" w:pos="128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Canadian Subsidiary (other than the Canadian Borrowers) may be merged, amalgamated or consolidated with or into any other Subsidiary in a transaction in which the surviving or resulting entity is a Canadian Credit Party;</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Subsidiary of the US Borrower may liquidate or dissolve if the US Borrower determines in good faith that such liquidation or dissolution is in the best interests of the US Borrower and is not materially disadvantageous to the Lenders, provided that, to the extent such Subsidiary is a (A) US Credit Party, its assets are transferred to a US Credit Party, and (B) Canadian Credit Party, its assets are transferred to a Canadian Credit Party;</w:t>
      </w:r>
    </w:p>
    <w:p>
      <w:pPr>
        <w:spacing w:after="0" w:line="191" w:lineRule="exact"/>
        <w:rPr>
          <w:rFonts w:ascii="Arial" w:cs="Arial" w:eastAsia="Arial" w:hAnsi="Arial"/>
          <w:sz w:val="20"/>
          <w:szCs w:val="20"/>
          <w:color w:val="auto"/>
        </w:rPr>
      </w:pPr>
    </w:p>
    <w:p>
      <w:pPr>
        <w:jc w:val="both"/>
        <w:ind w:firstLine="656"/>
        <w:spacing w:after="0" w:line="291" w:lineRule="auto"/>
        <w:tabs>
          <w:tab w:leader="none" w:pos="128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any Consolidated Company may give effect to a merger, amalgamation or consolidation the purpose of which is to effect an Investment or Asset Disposition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so long as, in the case of any such merger, amalgamation or consolidation to which a Credit Party is a party, (i) such Credit Party is the surviving Person, or (ii) if such Credit Party is not the surviving Person,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6" w:name="page197"/>
    <w:bookmarkEnd w:id="196"/>
    <w:p>
      <w:pPr>
        <w:jc w:val="both"/>
        <w:spacing w:after="0" w:line="269" w:lineRule="auto"/>
        <w:rPr>
          <w:sz w:val="20"/>
          <w:szCs w:val="20"/>
          <w:color w:val="auto"/>
        </w:rPr>
      </w:pPr>
      <w:r>
        <w:rPr>
          <w:rFonts w:ascii="Arial" w:cs="Arial" w:eastAsia="Arial" w:hAnsi="Arial"/>
          <w:sz w:val="19"/>
          <w:szCs w:val="19"/>
          <w:color w:val="auto"/>
        </w:rPr>
        <w:t>surviving Person becomes a Credit Party by executing, upon consummation of such merger, amalgamation or consolidation, such documents (including guaranties and security agreements) as are satisfactory to the Agent to render such surviving Person a Credit Party provided that if a Borrower is party to such merger, amalgamation or consolidation such Borrower shall be the surviving Person;</w:t>
      </w:r>
    </w:p>
    <w:p>
      <w:pPr>
        <w:spacing w:after="0" w:line="170" w:lineRule="exact"/>
        <w:rPr>
          <w:sz w:val="20"/>
          <w:szCs w:val="20"/>
          <w:color w:val="auto"/>
        </w:rPr>
      </w:pPr>
    </w:p>
    <w:p>
      <w:pPr>
        <w:ind w:right="20" w:firstLine="656"/>
        <w:spacing w:after="0" w:line="260" w:lineRule="auto"/>
        <w:tabs>
          <w:tab w:leader="none" w:pos="1291"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any Subsidiary may dispose of all or substantially all of its assets (upon voluntary liquidation, dissolution, winding up or otherwise) to any Borrower;</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28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any Subsidiary may dispose of all or substantially all of its assets (upon voluntary liquidation, dissolution, winding up or otherwise) to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disposal by (i) a US Credit Party shall be permitted to be made only to another US Credit Party and (ii) a Canadian Credit Party shall be permitted to be made only to another Canadian Credit Party; and</w:t>
      </w:r>
    </w:p>
    <w:p>
      <w:pPr>
        <w:spacing w:after="0" w:line="169" w:lineRule="exact"/>
        <w:rPr>
          <w:rFonts w:ascii="Arial" w:cs="Arial" w:eastAsia="Arial" w:hAnsi="Arial"/>
          <w:sz w:val="19"/>
          <w:szCs w:val="19"/>
          <w:color w:val="auto"/>
        </w:rPr>
      </w:pPr>
    </w:p>
    <w:p>
      <w:pPr>
        <w:ind w:left="1300" w:hanging="644"/>
        <w:spacing w:after="0"/>
        <w:tabs>
          <w:tab w:leader="none" w:pos="13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Asset Dispositions permitted by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IX.5 </w:t>
      </w:r>
      <w:r>
        <w:rPr>
          <w:rFonts w:ascii="Arial" w:cs="Arial" w:eastAsia="Arial" w:hAnsi="Arial"/>
          <w:sz w:val="20"/>
          <w:szCs w:val="20"/>
          <w:u w:val="single" w:color="auto"/>
          <w:color w:val="auto"/>
        </w:rPr>
        <w:t>Asset Dispositions</w:t>
      </w:r>
      <w:r>
        <w:rPr>
          <w:rFonts w:ascii="Arial" w:cs="Arial" w:eastAsia="Arial" w:hAnsi="Arial"/>
          <w:sz w:val="20"/>
          <w:szCs w:val="20"/>
          <w:color w:val="auto"/>
        </w:rPr>
        <w:t>. Make any Asset Disposition except:</w:t>
      </w:r>
    </w:p>
    <w:p>
      <w:pPr>
        <w:spacing w:after="0" w:line="216"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sale of inventory or assets in the ordinary course of business;</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transfer of assets to a Borrower or any Subsidiary Guarantor pursuant to any other transaction permitted pursuant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9.4</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right="20" w:firstLine="656"/>
        <w:spacing w:after="0" w:line="260" w:lineRule="auto"/>
        <w:tabs>
          <w:tab w:leader="none" w:pos="1286"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write-off, discount, sale or other disposition of defaulted or past-due receivables and similar obligations in the ordinary course of business and not undertaken as part of an accounts receivable financing transaction;</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disposition of any Hedge Agreement or close out of any position thereunder;</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dispositions of Investments in cash and Cash Equivalents;</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transfer by any Credit Party of its assets to any other Credit Party;</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transfer by any Non-Credit Party Subsidiary of its assets to any Credit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connection with any new transfer, such Credit Party shall not pay more than an amount equal to the fair market value of such assets as determined in good faith at the time of such transfer);</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transfer by any Non-Credit Party Subsidiary of its assets to any other Non-Credit Party Subsidiary;</w:t>
      </w:r>
    </w:p>
    <w:p>
      <w:pPr>
        <w:spacing w:after="0" w:line="215" w:lineRule="exact"/>
        <w:rPr>
          <w:rFonts w:ascii="Arial" w:cs="Arial" w:eastAsia="Arial" w:hAnsi="Arial"/>
          <w:sz w:val="20"/>
          <w:szCs w:val="20"/>
          <w:color w:val="auto"/>
        </w:rPr>
      </w:pPr>
    </w:p>
    <w:p>
      <w:pPr>
        <w:ind w:right="20" w:firstLine="656"/>
        <w:spacing w:after="0" w:line="260" w:lineRule="auto"/>
        <w:tabs>
          <w:tab w:leader="none" w:pos="129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sale, abandonment or other disposition of obsolete, worn-out or surplus assets no longer needed or necessary in the business of the Consolidated Company effecting such Asset Disposition or any of its Subsidiaries;</w:t>
      </w:r>
    </w:p>
    <w:p>
      <w:pPr>
        <w:spacing w:after="0" w:line="176" w:lineRule="exact"/>
        <w:rPr>
          <w:rFonts w:ascii="Arial" w:cs="Arial" w:eastAsia="Arial" w:hAnsi="Arial"/>
          <w:sz w:val="20"/>
          <w:szCs w:val="20"/>
          <w:color w:val="auto"/>
        </w:rPr>
      </w:pPr>
    </w:p>
    <w:p>
      <w:pPr>
        <w:ind w:firstLine="656"/>
        <w:spacing w:after="0" w:line="287" w:lineRule="auto"/>
        <w:tabs>
          <w:tab w:leader="none" w:pos="129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non-exclusive licenses and sublicenses of intellectual property rights in the ordinary course of business not interfering, individually or in the aggregate, in any material respect with the conduct of the business of the Consolidated Companies;</w:t>
      </w:r>
    </w:p>
    <w:p>
      <w:pPr>
        <w:spacing w:after="0" w:line="152" w:lineRule="exact"/>
        <w:rPr>
          <w:rFonts w:ascii="Arial" w:cs="Arial" w:eastAsia="Arial" w:hAnsi="Arial"/>
          <w:sz w:val="19"/>
          <w:szCs w:val="19"/>
          <w:color w:val="auto"/>
        </w:rPr>
      </w:pPr>
    </w:p>
    <w:p>
      <w:pPr>
        <w:ind w:firstLine="656"/>
        <w:spacing w:after="0" w:line="287" w:lineRule="auto"/>
        <w:tabs>
          <w:tab w:leader="none" w:pos="128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leases, subleases, licenses or sublicenses of real or personal property granted by Centuri or any of its Subsidiaries to others in the ordinary course of business not interfering in any material respect with the business of the Consolidated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7" w:name="page198"/>
    <w:bookmarkEnd w:id="197"/>
    <w:p>
      <w:pPr>
        <w:ind w:firstLine="656"/>
        <w:spacing w:after="0" w:line="260" w:lineRule="auto"/>
        <w:tabs>
          <w:tab w:leader="none" w:pos="129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Asset Dispositions in connection with Insurance and Condemnation Events;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requirements of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are complied with in connection therewith;</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Asset Dispositions in connection with transactions permitted by </w:t>
      </w:r>
      <w:r>
        <w:rPr>
          <w:rFonts w:ascii="Arial" w:cs="Arial" w:eastAsia="Arial" w:hAnsi="Arial"/>
          <w:sz w:val="20"/>
          <w:szCs w:val="20"/>
          <w:u w:val="single" w:color="auto"/>
          <w:color w:val="auto"/>
        </w:rPr>
        <w:t>Section 9.4</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9.4(h)</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sale of the Permitted Drum Equity to officers, directors or employees;</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Asset Dispositions not otherwise pursuant to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at the time of such transaction, no Default or Event of Default shall exist or would result from such Asset Disposition and (ii) the aggregate book value of all property disposed of in reliance on this clause (o) shall not exceed $50,000,000 during the term of this Agreement;</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sale, discount or other transfer of Receivables Assets pursuant to a Permitted Receivables Transaction; and</w:t>
      </w:r>
    </w:p>
    <w:p>
      <w:pPr>
        <w:spacing w:after="0" w:line="215" w:lineRule="exact"/>
        <w:rPr>
          <w:rFonts w:ascii="Arial" w:cs="Arial" w:eastAsia="Arial" w:hAnsi="Arial"/>
          <w:sz w:val="20"/>
          <w:szCs w:val="20"/>
          <w:color w:val="auto"/>
        </w:rPr>
      </w:pPr>
    </w:p>
    <w:p>
      <w:pPr>
        <w:jc w:val="both"/>
        <w:ind w:right="20" w:firstLine="656"/>
        <w:spacing w:after="0" w:line="269" w:lineRule="auto"/>
        <w:tabs>
          <w:tab w:leader="none" w:pos="128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Asset Dispositions not otherwise permitted pursuant to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at the time of such Asset Disposition, no Default or Event of Default shall exist or would result from such Asset Disposition and (ii) such Asset Disposition is made for fair market value and the consideration received shall be no less than seventy-five percent (75%) in cash.</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IX.6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(all of the foregoing, the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4" w:lineRule="exact"/>
        <w:rPr>
          <w:sz w:val="20"/>
          <w:szCs w:val="20"/>
          <w:color w:val="auto"/>
        </w:rPr>
      </w:pPr>
    </w:p>
    <w:p>
      <w:pPr>
        <w:ind w:right="20" w:firstLine="656"/>
        <w:spacing w:after="0" w:line="260" w:lineRule="auto"/>
        <w:tabs>
          <w:tab w:leader="none" w:pos="128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so long as no Default or Event of Default has occurred and is continuing or would result therefrom, any Consolidated Company may pay dividends in shares of its own Qualified Equity Interests;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any Subsidiary of a Consolidated Company may pay cash dividends to any Credit Party;</w:t>
      </w:r>
    </w:p>
    <w:p>
      <w:pPr>
        <w:spacing w:after="0" w:line="215" w:lineRule="exact"/>
        <w:rPr>
          <w:rFonts w:ascii="Arial" w:cs="Arial" w:eastAsia="Arial" w:hAnsi="Arial"/>
          <w:sz w:val="20"/>
          <w:szCs w:val="20"/>
          <w:color w:val="auto"/>
        </w:rPr>
      </w:pPr>
    </w:p>
    <w:p>
      <w:pPr>
        <w:ind w:firstLine="656"/>
        <w:spacing w:after="0" w:line="260" w:lineRule="auto"/>
        <w:tabs>
          <w:tab w:leader="none" w:pos="128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any Non-Credit Party Subsidiary may make Restricted Payments to any other Non-Credit Party Subsidiary (and, if applicable, to other holders of its outstanding Equity Interests on a ratable basis);</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28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any Consolidated Company may declare and make Restricted Payments in an amount not to exceed the Available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has occurred and is continuing or would result therefrom and (ii) after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to such usage and any Indebtedness incurred in connection therewith, Centuri is in compliance with the financial covenants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as of the most recently ended four consecutive fiscal quarter period for which financial statements and the related Officer’s Compliance Certificate have been delivered pursuant to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8.2(a)</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656"/>
        <w:spacing w:after="0" w:line="263" w:lineRule="auto"/>
        <w:tabs>
          <w:tab w:leader="none" w:pos="128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any Consolidated Company may declare and make Restricted Payments in an amount not to exceed $25,000,000 per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after giving pro forma effect to the making of any such Restricted Payment and any Indebtedness incurred in connection therewith, (i) no Default or Event of Default has occurred and is continuing or would result therefrom and (ii) the Consolidated Net Leverage Ratio is greater than 3.50 to 1.00 as of the most recently ended four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8" w:name="page199"/>
    <w:bookmarkEnd w:id="198"/>
    <w:p>
      <w:pPr>
        <w:spacing w:after="0" w:line="260" w:lineRule="auto"/>
        <w:rPr>
          <w:sz w:val="20"/>
          <w:szCs w:val="20"/>
          <w:color w:val="auto"/>
        </w:rPr>
      </w:pPr>
      <w:r>
        <w:rPr>
          <w:rFonts w:ascii="Arial" w:cs="Arial" w:eastAsia="Arial" w:hAnsi="Arial"/>
          <w:sz w:val="20"/>
          <w:szCs w:val="20"/>
          <w:color w:val="auto"/>
        </w:rPr>
        <w:t xml:space="preserve">consecutive fiscal quarter period for which financial statements and the related Officer’s Compliance Certificate have been delivered pursuant to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8.2(a)</w:t>
      </w:r>
      <w:r>
        <w:rPr>
          <w:rFonts w:ascii="Arial" w:cs="Arial" w:eastAsia="Arial" w:hAnsi="Arial"/>
          <w:sz w:val="20"/>
          <w:szCs w:val="20"/>
          <w:color w:val="auto"/>
        </w:rPr>
        <w:t>;</w:t>
      </w:r>
    </w:p>
    <w:p>
      <w:pPr>
        <w:spacing w:after="0" w:line="177" w:lineRule="exact"/>
        <w:rPr>
          <w:sz w:val="20"/>
          <w:szCs w:val="20"/>
          <w:color w:val="auto"/>
        </w:rPr>
      </w:pPr>
    </w:p>
    <w:p>
      <w:pPr>
        <w:ind w:firstLine="656"/>
        <w:spacing w:after="0" w:line="260" w:lineRule="auto"/>
        <w:tabs>
          <w:tab w:leader="none" w:pos="129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any Consolidated Company may declare and make Restricted Payments in an aggregate amount not to exceed during the term of this Agreement the greater of (i) $50,000,000 and (ii) 2.0% of Consolidated Total Assets; and</w:t>
      </w:r>
    </w:p>
    <w:p>
      <w:pPr>
        <w:spacing w:after="0" w:line="176" w:lineRule="exact"/>
        <w:rPr>
          <w:rFonts w:ascii="Arial" w:cs="Arial" w:eastAsia="Arial" w:hAnsi="Arial"/>
          <w:sz w:val="20"/>
          <w:szCs w:val="20"/>
          <w:color w:val="auto"/>
        </w:rPr>
      </w:pPr>
    </w:p>
    <w:p>
      <w:pPr>
        <w:jc w:val="both"/>
        <w:ind w:firstLine="656"/>
        <w:spacing w:after="0" w:line="278" w:lineRule="auto"/>
        <w:tabs>
          <w:tab w:leader="none" w:pos="128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any Consolidated Company may declare and make Restricted Payments not otherwise permitted pursuant to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pro forma effect to the making of any such Restricted Payment and any Indebtedness incurred in connection therewith,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65"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 xml:space="preserve">SECTION IX.7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Directly or indirectly enter into any transaction, including, without limitation, any purchase, sale, lease or exchange of Property, the rendering of any service or the payment of any management, advisory or similar fees, with</w:t>
      </w:r>
    </w:p>
    <w:p>
      <w:pPr>
        <w:spacing w:after="0" w:line="1" w:lineRule="exact"/>
        <w:rPr>
          <w:sz w:val="20"/>
          <w:szCs w:val="20"/>
          <w:color w:val="auto"/>
        </w:rPr>
      </w:pPr>
    </w:p>
    <w:p>
      <w:pPr>
        <w:ind w:firstLine="8"/>
        <w:spacing w:after="0" w:line="244" w:lineRule="auto"/>
        <w:tabs>
          <w:tab w:leader="none" w:pos="28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officer, director, holder of any Equity Interests in, or other Affiliate of Centuri or any of its Subsidiaries or (b) any Affiliate of any such officer, director or holder, other than:</w:t>
      </w:r>
    </w:p>
    <w:p>
      <w:pPr>
        <w:spacing w:after="0" w:line="191" w:lineRule="exact"/>
        <w:rPr>
          <w:rFonts w:ascii="Arial" w:cs="Arial" w:eastAsia="Arial" w:hAnsi="Arial"/>
          <w:sz w:val="20"/>
          <w:szCs w:val="20"/>
          <w:color w:val="auto"/>
        </w:rPr>
      </w:pPr>
    </w:p>
    <w:p>
      <w:pPr>
        <w:ind w:left="1940" w:hanging="636"/>
        <w:spacing w:after="0"/>
        <w:tabs>
          <w:tab w:leader="none" w:pos="1940" w:val="left"/>
        </w:tabs>
        <w:numPr>
          <w:ilvl w:val="1"/>
          <w:numId w:val="176"/>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Sections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9.3</w:t>
      </w:r>
      <w:r>
        <w:rPr>
          <w:rFonts w:ascii="Arial" w:cs="Arial" w:eastAsia="Arial" w:hAnsi="Arial"/>
          <w:sz w:val="20"/>
          <w:szCs w:val="20"/>
          <w:color w:val="auto"/>
        </w:rPr>
        <w:t xml:space="preserve">, </w:t>
      </w:r>
      <w:r>
        <w:rPr>
          <w:rFonts w:ascii="Arial" w:cs="Arial" w:eastAsia="Arial" w:hAnsi="Arial"/>
          <w:sz w:val="20"/>
          <w:szCs w:val="20"/>
          <w:u w:val="single" w:color="auto"/>
          <w:color w:val="auto"/>
        </w:rPr>
        <w:t>9.4</w:t>
      </w:r>
      <w:r>
        <w:rPr>
          <w:rFonts w:ascii="Arial" w:cs="Arial" w:eastAsia="Arial" w:hAnsi="Arial"/>
          <w:sz w:val="20"/>
          <w:szCs w:val="20"/>
          <w:color w:val="auto"/>
        </w:rPr>
        <w:t xml:space="preserve">, </w:t>
      </w:r>
      <w:r>
        <w:rPr>
          <w:rFonts w:ascii="Arial" w:cs="Arial" w:eastAsia="Arial" w:hAnsi="Arial"/>
          <w:sz w:val="20"/>
          <w:szCs w:val="20"/>
          <w:u w:val="single" w:color="auto"/>
          <w:color w:val="auto"/>
        </w:rPr>
        <w:t>9.5</w:t>
      </w:r>
      <w:r>
        <w:rPr>
          <w:rFonts w:ascii="Arial" w:cs="Arial" w:eastAsia="Arial" w:hAnsi="Arial"/>
          <w:sz w:val="20"/>
          <w:szCs w:val="20"/>
          <w:color w:val="auto"/>
        </w:rPr>
        <w:t xml:space="preserve">, </w:t>
      </w:r>
      <w:r>
        <w:rPr>
          <w:rFonts w:ascii="Arial" w:cs="Arial" w:eastAsia="Arial" w:hAnsi="Arial"/>
          <w:sz w:val="20"/>
          <w:szCs w:val="20"/>
          <w:u w:val="single" w:color="auto"/>
          <w:color w:val="auto"/>
        </w:rPr>
        <w:t>9.6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9.9</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176"/>
        </w:numPr>
        <w:rPr>
          <w:rFonts w:ascii="Arial" w:cs="Arial" w:eastAsia="Arial" w:hAnsi="Arial"/>
          <w:sz w:val="20"/>
          <w:szCs w:val="20"/>
          <w:color w:val="auto"/>
        </w:rPr>
      </w:pPr>
      <w:r>
        <w:rPr>
          <w:rFonts w:ascii="Arial" w:cs="Arial" w:eastAsia="Arial" w:hAnsi="Arial"/>
          <w:sz w:val="20"/>
          <w:szCs w:val="20"/>
          <w:color w:val="auto"/>
        </w:rPr>
        <w:t xml:space="preserve">transactions existing on the Closing Date and described on </w:t>
      </w:r>
      <w:r>
        <w:rPr>
          <w:rFonts w:ascii="Arial" w:cs="Arial" w:eastAsia="Arial" w:hAnsi="Arial"/>
          <w:sz w:val="20"/>
          <w:szCs w:val="20"/>
          <w:u w:val="single" w:color="auto"/>
          <w:color w:val="auto"/>
        </w:rPr>
        <w:t>Schedule 9.7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transactions (i) between or among US Credit Parties not involving any other Affiliate and (ii) between or among Canadian Credit Parties not involving any other Affiliate;</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45" w:val="left"/>
        </w:tabs>
        <w:numPr>
          <w:ilvl w:val="1"/>
          <w:numId w:val="176"/>
        </w:numPr>
        <w:rPr>
          <w:rFonts w:ascii="Arial" w:cs="Arial" w:eastAsia="Arial" w:hAnsi="Arial"/>
          <w:sz w:val="20"/>
          <w:szCs w:val="20"/>
          <w:color w:val="auto"/>
        </w:rPr>
      </w:pPr>
      <w:r>
        <w:rPr>
          <w:rFonts w:ascii="Arial" w:cs="Arial" w:eastAsia="Arial" w:hAnsi="Arial"/>
          <w:sz w:val="20"/>
          <w:szCs w:val="20"/>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Centuri;</w:t>
      </w:r>
    </w:p>
    <w:p>
      <w:pPr>
        <w:spacing w:after="0" w:line="185" w:lineRule="exact"/>
        <w:rPr>
          <w:rFonts w:ascii="Arial" w:cs="Arial" w:eastAsia="Arial" w:hAnsi="Arial"/>
          <w:sz w:val="20"/>
          <w:szCs w:val="20"/>
          <w:color w:val="auto"/>
        </w:rPr>
      </w:pPr>
    </w:p>
    <w:p>
      <w:pPr>
        <w:ind w:left="660" w:firstLine="644"/>
        <w:spacing w:after="0" w:line="260" w:lineRule="auto"/>
        <w:tabs>
          <w:tab w:leader="none" w:pos="1944" w:val="left"/>
        </w:tabs>
        <w:numPr>
          <w:ilvl w:val="1"/>
          <w:numId w:val="176"/>
        </w:numPr>
        <w:rPr>
          <w:rFonts w:ascii="Arial" w:cs="Arial" w:eastAsia="Arial" w:hAnsi="Arial"/>
          <w:sz w:val="20"/>
          <w:szCs w:val="20"/>
          <w:color w:val="auto"/>
        </w:rPr>
      </w:pPr>
      <w:r>
        <w:rPr>
          <w:rFonts w:ascii="Arial" w:cs="Arial" w:eastAsia="Arial" w:hAnsi="Arial"/>
          <w:sz w:val="20"/>
          <w:szCs w:val="20"/>
          <w:color w:val="auto"/>
        </w:rPr>
        <w:t>employment and severance arrangements (including equity incentive plans and employee benefit plans and arrangements) with their respective officers and employees in the ordinary course of business;</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45" w:val="left"/>
        </w:tabs>
        <w:numPr>
          <w:ilvl w:val="1"/>
          <w:numId w:val="176"/>
        </w:numPr>
        <w:rPr>
          <w:rFonts w:ascii="Arial" w:cs="Arial" w:eastAsia="Arial" w:hAnsi="Arial"/>
          <w:sz w:val="20"/>
          <w:szCs w:val="20"/>
          <w:color w:val="auto"/>
        </w:rPr>
      </w:pPr>
      <w:r>
        <w:rPr>
          <w:rFonts w:ascii="Arial" w:cs="Arial" w:eastAsia="Arial" w:hAnsi="Arial"/>
          <w:sz w:val="20"/>
          <w:szCs w:val="20"/>
          <w:color w:val="auto"/>
        </w:rPr>
        <w:t>payment of customary compensation, fees and reasonable out of pocket costs to, and indemnities for the benefit of, directors, officers and employees of the Consolidated Companies in the ordinary course of business to the extent attributable to the ownership or operation of the Consolidated Companies;</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945" w:val="left"/>
        </w:tabs>
        <w:numPr>
          <w:ilvl w:val="1"/>
          <w:numId w:val="176"/>
        </w:numPr>
        <w:rPr>
          <w:rFonts w:ascii="Arial" w:cs="Arial" w:eastAsia="Arial" w:hAnsi="Arial"/>
          <w:sz w:val="20"/>
          <w:szCs w:val="20"/>
          <w:color w:val="auto"/>
        </w:rPr>
      </w:pPr>
      <w:r>
        <w:rPr>
          <w:rFonts w:ascii="Arial" w:cs="Arial" w:eastAsia="Arial" w:hAnsi="Arial"/>
          <w:sz w:val="20"/>
          <w:szCs w:val="20"/>
          <w:color w:val="auto"/>
        </w:rPr>
        <w:t>conveyances of assets to joint ventures pursuant to terms negotiated and agreed to on an arms-length basis with one or more third-parties that were not Affiliates of a Credit Party immediately prior to the execution and delivery of the written agreement setting forth such terms; and</w:t>
      </w:r>
    </w:p>
    <w:p>
      <w:pPr>
        <w:spacing w:after="0" w:line="185" w:lineRule="exact"/>
        <w:rPr>
          <w:rFonts w:ascii="Arial" w:cs="Arial" w:eastAsia="Arial" w:hAnsi="Arial"/>
          <w:sz w:val="20"/>
          <w:szCs w:val="20"/>
          <w:color w:val="auto"/>
        </w:rPr>
      </w:pPr>
    </w:p>
    <w:p>
      <w:pPr>
        <w:ind w:left="660" w:firstLine="644"/>
        <w:spacing w:after="0" w:line="260" w:lineRule="auto"/>
        <w:tabs>
          <w:tab w:leader="none" w:pos="206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customary overhead allocations and intercompany charges applied by Centuri on a consistent basis to its Subsidiaries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199" w:name="page200"/>
    <w:bookmarkEnd w:id="199"/>
    <w:p>
      <w:pPr>
        <w:ind w:left="660"/>
        <w:spacing w:after="0"/>
        <w:rPr>
          <w:sz w:val="20"/>
          <w:szCs w:val="20"/>
          <w:color w:val="auto"/>
        </w:rPr>
      </w:pPr>
      <w:r>
        <w:rPr>
          <w:rFonts w:ascii="Arial" w:cs="Arial" w:eastAsia="Arial" w:hAnsi="Arial"/>
          <w:sz w:val="20"/>
          <w:szCs w:val="20"/>
          <w:color w:val="auto"/>
        </w:rPr>
        <w:t xml:space="preserve">SECTION IX.8 </w:t>
      </w:r>
      <w:r>
        <w:rPr>
          <w:rFonts w:ascii="Arial" w:cs="Arial" w:eastAsia="Arial" w:hAnsi="Arial"/>
          <w:sz w:val="20"/>
          <w:szCs w:val="20"/>
          <w:u w:val="single" w:color="auto"/>
          <w:color w:val="auto"/>
        </w:rPr>
        <w:t>Accounting Changes; Organizational Documents</w:t>
      </w:r>
      <w:r>
        <w:rPr>
          <w:rFonts w:ascii="Arial" w:cs="Arial" w:eastAsia="Arial" w:hAnsi="Arial"/>
          <w:sz w:val="20"/>
          <w:szCs w:val="20"/>
          <w:color w:val="auto"/>
        </w:rPr>
        <w:t>.</w:t>
      </w:r>
    </w:p>
    <w:p>
      <w:pPr>
        <w:spacing w:after="0" w:line="216" w:lineRule="exact"/>
        <w:rPr>
          <w:sz w:val="20"/>
          <w:szCs w:val="20"/>
          <w:color w:val="auto"/>
        </w:rPr>
      </w:pPr>
    </w:p>
    <w:p>
      <w:pPr>
        <w:ind w:firstLine="656"/>
        <w:spacing w:after="0" w:line="260" w:lineRule="auto"/>
        <w:tabs>
          <w:tab w:leader="none" w:pos="128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Change its Fiscal Year end, or make (without the consent of the Administrative Agent) any material change in its accounting treatment and reporting practices except as required by GAAP.</w:t>
      </w:r>
    </w:p>
    <w:p>
      <w:pPr>
        <w:spacing w:after="0" w:line="176" w:lineRule="exact"/>
        <w:rPr>
          <w:rFonts w:ascii="Arial" w:cs="Arial" w:eastAsia="Arial" w:hAnsi="Arial"/>
          <w:sz w:val="20"/>
          <w:szCs w:val="20"/>
          <w:color w:val="auto"/>
        </w:rPr>
      </w:pPr>
    </w:p>
    <w:p>
      <w:pPr>
        <w:ind w:firstLine="656"/>
        <w:spacing w:after="0" w:line="316" w:lineRule="auto"/>
        <w:tabs>
          <w:tab w:leader="none" w:pos="128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IX.9 </w:t>
      </w:r>
      <w:r>
        <w:rPr>
          <w:rFonts w:ascii="Arial" w:cs="Arial" w:eastAsia="Arial" w:hAnsi="Arial"/>
          <w:sz w:val="20"/>
          <w:szCs w:val="20"/>
          <w:u w:val="single" w:color="auto"/>
          <w:color w:val="auto"/>
        </w:rPr>
        <w:t>Payments and Modifications of Junior Indebtedness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0" w:lineRule="auto"/>
        <w:tabs>
          <w:tab w:leader="none" w:pos="128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Amend, modify, waive or supplement (or permit the modification, amendment, waiver or supplement of) any of the terms or provisions of any Junior Indebtedness in any respect which would materially and adversely affect the rights or interests of the Administrative Agent and Lenders hereunder.</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178"/>
        </w:numPr>
        <w:rPr>
          <w:rFonts w:ascii="Arial" w:cs="Arial" w:eastAsia="Arial" w:hAnsi="Arial"/>
          <w:sz w:val="20"/>
          <w:szCs w:val="20"/>
          <w:color w:val="auto"/>
        </w:rPr>
      </w:pPr>
      <w:r>
        <w:rPr>
          <w:rFonts w:ascii="Arial" w:cs="Arial" w:eastAsia="Arial" w:hAnsi="Arial"/>
          <w:sz w:val="20"/>
          <w:szCs w:val="20"/>
          <w:color w:val="auto"/>
        </w:rPr>
        <w:t>Cancel, forgive, make any payment or prepayment on, or redeem or acquire for value (including, without limitation, (i) by way of depositing with any trustee with respect thereto money or securities before due for the purpose of paying when due and (ii) at the maturity thereof) any Junior Indebtedness, except:</w:t>
      </w:r>
    </w:p>
    <w:p>
      <w:pPr>
        <w:spacing w:after="0" w:line="185" w:lineRule="exact"/>
        <w:rPr>
          <w:rFonts w:ascii="Arial" w:cs="Arial" w:eastAsia="Arial" w:hAnsi="Arial"/>
          <w:sz w:val="20"/>
          <w:szCs w:val="20"/>
          <w:color w:val="auto"/>
        </w:rPr>
      </w:pPr>
    </w:p>
    <w:p>
      <w:pPr>
        <w:ind w:left="660" w:firstLine="644"/>
        <w:spacing w:after="0" w:line="260" w:lineRule="auto"/>
        <w:tabs>
          <w:tab w:leader="none" w:pos="1954"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refinancings, refundings, renewals, extensions or exchange of any Junior Indebtedness permitted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w:t>
      </w:r>
      <w:r>
        <w:rPr>
          <w:rFonts w:ascii="Arial" w:cs="Arial" w:eastAsia="Arial" w:hAnsi="Arial"/>
          <w:sz w:val="20"/>
          <w:szCs w:val="20"/>
          <w:color w:val="auto"/>
        </w:rPr>
        <w:t xml:space="preserve"> and by any subordination agreement applicable thereto; and</w:t>
      </w:r>
    </w:p>
    <w:p>
      <w:pPr>
        <w:spacing w:after="0" w:line="176" w:lineRule="exact"/>
        <w:rPr>
          <w:rFonts w:ascii="Arial" w:cs="Arial" w:eastAsia="Arial" w:hAnsi="Arial"/>
          <w:sz w:val="20"/>
          <w:szCs w:val="20"/>
          <w:color w:val="auto"/>
        </w:rPr>
      </w:pPr>
    </w:p>
    <w:p>
      <w:pPr>
        <w:ind w:left="660" w:right="20" w:firstLine="644"/>
        <w:spacing w:after="0" w:line="260" w:lineRule="auto"/>
        <w:tabs>
          <w:tab w:leader="none" w:pos="1955"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the payment of interest, expenses and indemnities in respect of Junior Indebtedness (other than any such payments prohibited by the subordination provisions thereof);</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28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payments and prepayments of any Junior Indebtedness in an amount not to exceed the Available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or Event of Default has occurred and is continuing or would result therefrom and (ii) after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to such usage and any Indebtedness incurred in connection therewith, Centuri is in compliance with the financial covenants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as of the most recently ended four consecutive fiscal quarter period for which financial statements and the related Officer’s Compliance Certificate have been delivered pursuant to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8.2(a)</w:t>
      </w:r>
      <w:r>
        <w:rPr>
          <w:rFonts w:ascii="Arial" w:cs="Arial" w:eastAsia="Arial" w:hAnsi="Arial"/>
          <w:sz w:val="19"/>
          <w:szCs w:val="19"/>
          <w:color w:val="auto"/>
        </w:rPr>
        <w:t>; and</w:t>
      </w:r>
    </w:p>
    <w:p>
      <w:pPr>
        <w:spacing w:after="0" w:line="180" w:lineRule="exact"/>
        <w:rPr>
          <w:rFonts w:ascii="Arial" w:cs="Arial" w:eastAsia="Arial" w:hAnsi="Arial"/>
          <w:sz w:val="19"/>
          <w:szCs w:val="19"/>
          <w:color w:val="auto"/>
        </w:rPr>
      </w:pPr>
    </w:p>
    <w:p>
      <w:pPr>
        <w:jc w:val="both"/>
        <w:ind w:firstLine="656"/>
        <w:spacing w:after="0" w:line="278" w:lineRule="auto"/>
        <w:tabs>
          <w:tab w:leader="none" w:pos="128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payments and prepayments of any Junior Indebtedness not otherwise permitted pursuant to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before and immediately after giving pro forma effect to the making of any such payment and any Indebtedness incurred in connection therewith, (A) no Default or Event of Default shall have occurred and be continuing and (B)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6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IX.10</w:t>
      </w:r>
      <w:r>
        <w:rPr>
          <w:sz w:val="20"/>
          <w:szCs w:val="20"/>
          <w:color w:val="auto"/>
        </w:rPr>
        <w:tab/>
      </w:r>
      <w:r>
        <w:rPr>
          <w:rFonts w:ascii="Arial" w:cs="Arial" w:eastAsia="Arial" w:hAnsi="Arial"/>
          <w:sz w:val="16"/>
          <w:szCs w:val="16"/>
          <w:u w:val="single" w:color="auto"/>
          <w:color w:val="auto"/>
        </w:rPr>
        <w:t>No Further Negative Pledges; Restrictive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3" w:lineRule="auto"/>
        <w:tabs>
          <w:tab w:leader="none" w:pos="128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0" w:name="page201"/>
    <w:bookmarkEnd w:id="200"/>
    <w:p>
      <w:pPr>
        <w:jc w:val="both"/>
        <w:spacing w:after="0" w:line="260" w:lineRule="auto"/>
        <w:rPr>
          <w:sz w:val="20"/>
          <w:szCs w:val="20"/>
          <w:color w:val="auto"/>
        </w:rPr>
      </w:pPr>
      <w:r>
        <w:rPr>
          <w:rFonts w:ascii="Arial" w:cs="Arial" w:eastAsia="Arial" w:hAnsi="Arial"/>
          <w:sz w:val="19"/>
          <w:szCs w:val="19"/>
          <w:color w:val="auto"/>
        </w:rPr>
        <w:t>that any such restriction contained therein relates only to the asset or assets acquired in connection therewith and proceeds thereof), (iii) restrictions contained in the organizational documents of any Subsidiary that is not a Subsidiary Guarantor as of the Closing Date,</w:t>
      </w:r>
    </w:p>
    <w:p>
      <w:pPr>
        <w:spacing w:after="0" w:line="2" w:lineRule="exact"/>
        <w:rPr>
          <w:sz w:val="20"/>
          <w:szCs w:val="20"/>
          <w:color w:val="auto"/>
        </w:rPr>
      </w:pPr>
    </w:p>
    <w:p>
      <w:pPr>
        <w:jc w:val="both"/>
        <w:ind w:firstLine="8"/>
        <w:spacing w:after="0" w:line="276" w:lineRule="auto"/>
        <w:tabs>
          <w:tab w:leader="none" w:pos="35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customary restrictions in connection with any Permitted Lien or any document or instrument governing any 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subject to such Permitted Lien and proceeds thereof) and (v) restrictions contained in Permitted Receivables Transaction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solely to (A) Receivables Assets involved in such Permitted Receivables Transaction and (B) any applicable Receivables Subsidiary).</w:t>
      </w:r>
    </w:p>
    <w:p>
      <w:pPr>
        <w:spacing w:after="0" w:line="165" w:lineRule="exact"/>
        <w:rPr>
          <w:rFonts w:ascii="Arial" w:cs="Arial" w:eastAsia="Arial" w:hAnsi="Arial"/>
          <w:sz w:val="18"/>
          <w:szCs w:val="18"/>
          <w:color w:val="auto"/>
        </w:rPr>
      </w:pPr>
    </w:p>
    <w:p>
      <w:pPr>
        <w:jc w:val="both"/>
        <w:ind w:firstLine="656"/>
        <w:spacing w:after="0" w:line="267" w:lineRule="auto"/>
        <w:tabs>
          <w:tab w:leader="none" w:pos="128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(iii) make loans or advances to any Credit Party, (iv) sell, lease or transfer any of its properties or assets to any Credit Party or (v) act as a Credit Party pursuant to the Loan Documents or any renewals, refinancings, exchanges, refundings or extension thereof, except (in respect of any of the matters referred to in clauses (i) through (v) above) for such encumbrances or restrictions existing under or by reason of (A) this Agreement and the other Loan Documents, (B) Applicable Law, (C) any document or instrument governing Indebtedness incurred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restriction contained therein relates only to the asset or assets acquired in connection therewith and proceeds thereof), (D) any Permitted Lien or any document or instrument governing any 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restriction contained therein relates only to the asset or assets subject to such Permitted Lien),</w:t>
      </w:r>
    </w:p>
    <w:p>
      <w:pPr>
        <w:spacing w:after="0" w:line="8" w:lineRule="exact"/>
        <w:rPr>
          <w:rFonts w:ascii="Arial" w:cs="Arial" w:eastAsia="Arial" w:hAnsi="Arial"/>
          <w:sz w:val="18"/>
          <w:szCs w:val="18"/>
          <w:color w:val="auto"/>
        </w:rPr>
      </w:pPr>
    </w:p>
    <w:p>
      <w:pPr>
        <w:jc w:val="both"/>
        <w:spacing w:after="0" w:line="299" w:lineRule="auto"/>
        <w:rPr>
          <w:rFonts w:ascii="Arial" w:cs="Arial" w:eastAsia="Arial" w:hAnsi="Arial"/>
          <w:sz w:val="18"/>
          <w:szCs w:val="18"/>
          <w:color w:val="auto"/>
        </w:rPr>
      </w:pPr>
      <w:r>
        <w:rPr>
          <w:rFonts w:ascii="Arial" w:cs="Arial" w:eastAsia="Arial" w:hAnsi="Arial"/>
          <w:sz w:val="16"/>
          <w:szCs w:val="16"/>
          <w:color w:val="auto"/>
        </w:rPr>
        <w:t xml:space="preserve">(E) obligations that are binding on a Subsidiary at the time such Subsidiary first becomes a Subsidiary of Centuri, so long as such obligations are not entered into in contemplation of such Person becoming a Subsidiary, (F) customary restrictions contained in an agreement related to the sale of Property or the Equity Interests of a Subsidiary (to the extent such sale is permitted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 that limit the transfer of such Property or Equity Interests of such Subsidiary pending the consummation of such sale, (G) customary restrictions in leases, subleases, licenses and sublicenses or asset sale agreements otherwise permitted by this Agreement so long as such restrictions relate only to the assets subject thereto, (H) customary provisions restricting assignment of any agreement entered into in the ordinary course of business and (I) restrictions contained in Permitted Receivables Transaction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solely to</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Receivables Assets involved in such Permitted Receivables Transaction and (y) any applicable Receivables Subsidiary).</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IX.11 </w:t>
      </w:r>
      <w:r>
        <w:rPr>
          <w:rFonts w:ascii="Arial" w:cs="Arial" w:eastAsia="Arial" w:hAnsi="Arial"/>
          <w:sz w:val="20"/>
          <w:szCs w:val="20"/>
          <w:u w:val="single" w:color="auto"/>
          <w:color w:val="auto"/>
        </w:rPr>
        <w:t>Nature of Business</w:t>
      </w:r>
      <w:r>
        <w:rPr>
          <w:rFonts w:ascii="Arial" w:cs="Arial" w:eastAsia="Arial" w:hAnsi="Arial"/>
          <w:sz w:val="20"/>
          <w:szCs w:val="20"/>
          <w:color w:val="auto"/>
        </w:rPr>
        <w:t>. Engage in any business other than the business conducted by the Consolidated Companies as of the Closing Date and business activities reasonably related or ancillary thereto.</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IX.12 </w:t>
      </w:r>
      <w:r>
        <w:rPr>
          <w:rFonts w:ascii="Arial" w:cs="Arial" w:eastAsia="Arial" w:hAnsi="Arial"/>
          <w:sz w:val="18"/>
          <w:szCs w:val="18"/>
          <w:u w:val="single" w:color="auto"/>
          <w:color w:val="auto"/>
        </w:rPr>
        <w:t>Sale Leasebacks</w:t>
      </w:r>
      <w:r>
        <w:rPr>
          <w:rFonts w:ascii="Arial" w:cs="Arial" w:eastAsia="Arial" w:hAnsi="Arial"/>
          <w:sz w:val="18"/>
          <w:szCs w:val="18"/>
          <w:color w:val="auto"/>
        </w:rPr>
        <w:t>. Directly or indirectly become or remain liable as lessee or as guarantor or other surety with respect to any lease, whether an operating lease or a Capital Lease Obligation, of any Property (whether real, personal or mixed), whether now owned or hereafter acquired, (a) 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 except</w:t>
      </w:r>
    </w:p>
    <w:p>
      <w:pPr>
        <w:spacing w:after="0" w:line="1" w:lineRule="exact"/>
        <w:rPr>
          <w:sz w:val="20"/>
          <w:szCs w:val="20"/>
          <w:color w:val="auto"/>
        </w:rPr>
      </w:pPr>
    </w:p>
    <w:p>
      <w:pPr>
        <w:ind w:firstLine="8"/>
        <w:spacing w:after="0" w:line="244" w:lineRule="auto"/>
        <w:tabs>
          <w:tab w:leader="none" w:pos="25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any transaction with respect to Property that is not Collateral, and (ii) any transaction pursuant to which any Indebtedness incurred in connection therewith, the Liens securing such Indebtedness and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1" w:name="page202"/>
    <w:bookmarkEnd w:id="201"/>
    <w:p>
      <w:pPr>
        <w:spacing w:after="0"/>
        <w:rPr>
          <w:sz w:val="20"/>
          <w:szCs w:val="20"/>
          <w:color w:val="auto"/>
        </w:rPr>
      </w:pPr>
      <w:r>
        <w:rPr>
          <w:rFonts w:ascii="Arial" w:cs="Arial" w:eastAsia="Arial" w:hAnsi="Arial"/>
          <w:sz w:val="20"/>
          <w:szCs w:val="20"/>
          <w:color w:val="auto"/>
        </w:rPr>
        <w:t xml:space="preserve">Disposition related thereto are otherwise expressly permitted pursuant to </w:t>
      </w:r>
      <w:r>
        <w:rPr>
          <w:rFonts w:ascii="Arial" w:cs="Arial" w:eastAsia="Arial" w:hAnsi="Arial"/>
          <w:sz w:val="20"/>
          <w:szCs w:val="20"/>
          <w:u w:val="single" w:color="auto"/>
          <w:color w:val="auto"/>
        </w:rPr>
        <w:t>Sections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9.2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9.5</w:t>
      </w:r>
      <w:r>
        <w:rPr>
          <w:rFonts w:ascii="Arial" w:cs="Arial" w:eastAsia="Arial" w:hAnsi="Arial"/>
          <w:sz w:val="20"/>
          <w:szCs w:val="20"/>
          <w:color w:val="auto"/>
        </w:rPr>
        <w:t>, respectively.</w:t>
      </w:r>
    </w:p>
    <w:p>
      <w:pPr>
        <w:spacing w:after="0" w:line="21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IX.13</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ind w:firstLine="656"/>
        <w:spacing w:after="0" w:line="260" w:lineRule="auto"/>
        <w:tabs>
          <w:tab w:leader="none" w:pos="1286"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As of the last day of any fiscal quarter, permit the Consolidated Interest Coverage Ratio to be less than 2.50 to 1.00.</w:t>
      </w:r>
    </w:p>
    <w:p>
      <w:pPr>
        <w:spacing w:after="0" w:line="176"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As of the last day of any fiscal quarter during the periods set forth below, permit the Consolidated Net Leverage Ratio to be greater than the corresponding ratio set forth below:</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56"/>
        </w:trPr>
        <w:tc>
          <w:tcPr>
            <w:tcW w:w="1200" w:type="dxa"/>
            <w:vAlign w:val="bottom"/>
          </w:tcPr>
          <w:p>
            <w:pPr>
              <w:spacing w:after="0"/>
              <w:rPr>
                <w:sz w:val="22"/>
                <w:szCs w:val="22"/>
                <w:color w:val="auto"/>
              </w:rPr>
            </w:pPr>
          </w:p>
        </w:tc>
        <w:tc>
          <w:tcPr>
            <w:tcW w:w="3740" w:type="dxa"/>
            <w:vAlign w:val="bottom"/>
          </w:tcPr>
          <w:p>
            <w:pPr>
              <w:ind w:left="1380"/>
              <w:spacing w:after="0"/>
              <w:rPr>
                <w:sz w:val="20"/>
                <w:szCs w:val="20"/>
                <w:color w:val="auto"/>
              </w:rPr>
            </w:pPr>
            <w:r>
              <w:rPr>
                <w:rFonts w:ascii="Arial" w:cs="Arial" w:eastAsia="Arial" w:hAnsi="Arial"/>
                <w:sz w:val="20"/>
                <w:szCs w:val="20"/>
                <w:b w:val="1"/>
                <w:bCs w:val="1"/>
                <w:color w:val="auto"/>
              </w:rPr>
              <w:t>Period</w:t>
            </w:r>
          </w:p>
        </w:tc>
        <w:tc>
          <w:tcPr>
            <w:tcW w:w="4980" w:type="dxa"/>
            <w:vAlign w:val="bottom"/>
          </w:tcPr>
          <w:p>
            <w:pPr>
              <w:jc w:val="center"/>
              <w:ind w:left="681"/>
              <w:spacing w:after="0"/>
              <w:rPr>
                <w:sz w:val="20"/>
                <w:szCs w:val="20"/>
                <w:color w:val="auto"/>
              </w:rPr>
            </w:pPr>
            <w:r>
              <w:rPr>
                <w:rFonts w:ascii="Arial" w:cs="Arial" w:eastAsia="Arial" w:hAnsi="Arial"/>
                <w:sz w:val="20"/>
                <w:szCs w:val="20"/>
                <w:b w:val="1"/>
                <w:bCs w:val="1"/>
                <w:color w:val="auto"/>
                <w:w w:val="90"/>
              </w:rPr>
              <w:t>Maximum Consolidated Net Leverage Ratio</w:t>
            </w:r>
          </w:p>
        </w:tc>
      </w:tr>
      <w:tr>
        <w:trPr>
          <w:trHeight w:val="23"/>
        </w:trPr>
        <w:tc>
          <w:tcPr>
            <w:tcW w:w="4940" w:type="dxa"/>
            <w:vAlign w:val="bottom"/>
            <w:tcBorders>
              <w:bottom w:val="single" w:sz="8" w:color="auto"/>
            </w:tcBorders>
            <w:gridSpan w:val="2"/>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54"/>
        </w:trPr>
        <w:tc>
          <w:tcPr>
            <w:tcW w:w="4940" w:type="dxa"/>
            <w:vAlign w:val="bottom"/>
            <w:gridSpan w:val="2"/>
          </w:tcPr>
          <w:p>
            <w:pPr>
              <w:ind w:left="60"/>
              <w:spacing w:after="0"/>
              <w:rPr>
                <w:sz w:val="20"/>
                <w:szCs w:val="20"/>
                <w:color w:val="auto"/>
              </w:rPr>
            </w:pPr>
            <w:r>
              <w:rPr>
                <w:rFonts w:ascii="Arial" w:cs="Arial" w:eastAsia="Arial" w:hAnsi="Arial"/>
                <w:sz w:val="20"/>
                <w:szCs w:val="20"/>
                <w:color w:val="auto"/>
              </w:rPr>
              <w:t>Closing Date through September 30, 2022</w:t>
            </w:r>
          </w:p>
        </w:tc>
        <w:tc>
          <w:tcPr>
            <w:tcW w:w="4980" w:type="dxa"/>
            <w:vAlign w:val="bottom"/>
          </w:tcPr>
          <w:p>
            <w:pPr>
              <w:jc w:val="center"/>
              <w:ind w:left="681"/>
              <w:spacing w:after="0"/>
              <w:rPr>
                <w:sz w:val="20"/>
                <w:szCs w:val="20"/>
                <w:color w:val="auto"/>
              </w:rPr>
            </w:pPr>
            <w:r>
              <w:rPr>
                <w:rFonts w:ascii="Arial" w:cs="Arial" w:eastAsia="Arial" w:hAnsi="Arial"/>
                <w:sz w:val="20"/>
                <w:szCs w:val="20"/>
                <w:color w:val="auto"/>
                <w:w w:val="90"/>
              </w:rPr>
              <w:t>5.50 to 1.00</w:t>
            </w:r>
          </w:p>
        </w:tc>
      </w:tr>
      <w:tr>
        <w:trPr>
          <w:trHeight w:val="284"/>
        </w:trPr>
        <w:tc>
          <w:tcPr>
            <w:tcW w:w="1200" w:type="dxa"/>
            <w:vAlign w:val="bottom"/>
          </w:tcPr>
          <w:p>
            <w:pPr>
              <w:ind w:left="60"/>
              <w:spacing w:after="0"/>
              <w:rPr>
                <w:sz w:val="20"/>
                <w:szCs w:val="20"/>
                <w:color w:val="auto"/>
              </w:rPr>
            </w:pPr>
            <w:r>
              <w:rPr>
                <w:rFonts w:ascii="Arial" w:cs="Arial" w:eastAsia="Arial" w:hAnsi="Arial"/>
                <w:sz w:val="20"/>
                <w:szCs w:val="20"/>
                <w:color w:val="auto"/>
                <w:w w:val="89"/>
              </w:rPr>
              <w:t>December 31,</w:t>
            </w:r>
          </w:p>
        </w:tc>
        <w:tc>
          <w:tcPr>
            <w:tcW w:w="3740" w:type="dxa"/>
            <w:vAlign w:val="bottom"/>
          </w:tcPr>
          <w:p>
            <w:pPr>
              <w:ind w:left="20"/>
              <w:spacing w:after="0"/>
              <w:rPr>
                <w:sz w:val="20"/>
                <w:szCs w:val="20"/>
                <w:color w:val="auto"/>
              </w:rPr>
            </w:pPr>
            <w:r>
              <w:rPr>
                <w:rFonts w:ascii="Arial" w:cs="Arial" w:eastAsia="Arial" w:hAnsi="Arial"/>
                <w:sz w:val="20"/>
                <w:szCs w:val="20"/>
                <w:color w:val="auto"/>
              </w:rPr>
              <w:t>2022 through September 30, 2023</w:t>
            </w:r>
          </w:p>
        </w:tc>
        <w:tc>
          <w:tcPr>
            <w:tcW w:w="4980" w:type="dxa"/>
            <w:vAlign w:val="bottom"/>
          </w:tcPr>
          <w:p>
            <w:pPr>
              <w:jc w:val="center"/>
              <w:ind w:left="681"/>
              <w:spacing w:after="0"/>
              <w:rPr>
                <w:sz w:val="20"/>
                <w:szCs w:val="20"/>
                <w:color w:val="auto"/>
              </w:rPr>
            </w:pPr>
            <w:r>
              <w:rPr>
                <w:rFonts w:ascii="Arial" w:cs="Arial" w:eastAsia="Arial" w:hAnsi="Arial"/>
                <w:sz w:val="20"/>
                <w:szCs w:val="20"/>
                <w:color w:val="auto"/>
                <w:w w:val="90"/>
              </w:rPr>
              <w:t>4.75 to 1.00</w:t>
            </w:r>
          </w:p>
        </w:tc>
      </w:tr>
      <w:tr>
        <w:trPr>
          <w:trHeight w:val="283"/>
        </w:trPr>
        <w:tc>
          <w:tcPr>
            <w:tcW w:w="1200" w:type="dxa"/>
            <w:vAlign w:val="bottom"/>
          </w:tcPr>
          <w:p>
            <w:pPr>
              <w:ind w:left="60"/>
              <w:spacing w:after="0"/>
              <w:rPr>
                <w:sz w:val="20"/>
                <w:szCs w:val="20"/>
                <w:color w:val="auto"/>
              </w:rPr>
            </w:pPr>
            <w:r>
              <w:rPr>
                <w:rFonts w:ascii="Arial" w:cs="Arial" w:eastAsia="Arial" w:hAnsi="Arial"/>
                <w:sz w:val="20"/>
                <w:szCs w:val="20"/>
                <w:color w:val="auto"/>
                <w:w w:val="89"/>
              </w:rPr>
              <w:t>December 31,</w:t>
            </w:r>
          </w:p>
        </w:tc>
        <w:tc>
          <w:tcPr>
            <w:tcW w:w="3740" w:type="dxa"/>
            <w:vAlign w:val="bottom"/>
          </w:tcPr>
          <w:p>
            <w:pPr>
              <w:ind w:left="20"/>
              <w:spacing w:after="0"/>
              <w:rPr>
                <w:sz w:val="20"/>
                <w:szCs w:val="20"/>
                <w:color w:val="auto"/>
              </w:rPr>
            </w:pPr>
            <w:r>
              <w:rPr>
                <w:rFonts w:ascii="Arial" w:cs="Arial" w:eastAsia="Arial" w:hAnsi="Arial"/>
                <w:sz w:val="20"/>
                <w:szCs w:val="20"/>
                <w:color w:val="auto"/>
              </w:rPr>
              <w:t>2023 and thereafter</w:t>
            </w:r>
          </w:p>
        </w:tc>
        <w:tc>
          <w:tcPr>
            <w:tcW w:w="4980" w:type="dxa"/>
            <w:vAlign w:val="bottom"/>
          </w:tcPr>
          <w:p>
            <w:pPr>
              <w:jc w:val="center"/>
              <w:ind w:left="681"/>
              <w:spacing w:after="0"/>
              <w:rPr>
                <w:sz w:val="20"/>
                <w:szCs w:val="20"/>
                <w:color w:val="auto"/>
              </w:rPr>
            </w:pPr>
            <w:r>
              <w:rPr>
                <w:rFonts w:ascii="Arial" w:cs="Arial" w:eastAsia="Arial" w:hAnsi="Arial"/>
                <w:sz w:val="20"/>
                <w:szCs w:val="20"/>
                <w:color w:val="auto"/>
                <w:w w:val="90"/>
              </w:rPr>
              <w:t>4.00 to 1.00</w:t>
            </w:r>
          </w:p>
        </w:tc>
      </w:tr>
    </w:tbl>
    <w:p>
      <w:pPr>
        <w:spacing w:after="0" w:line="200" w:lineRule="exact"/>
        <w:rPr>
          <w:sz w:val="20"/>
          <w:szCs w:val="20"/>
          <w:color w:val="auto"/>
        </w:rPr>
      </w:pP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Notwithstanding the foregoing, for any measurement period ending on or after December 31, 2023, in connection with any Permitted Acquisition having aggregate cash consideration (including cash, Cash Equivalents and other deferred payment obligations) in excess of $150,000,000, Centuri may, at its election, in connection with such Permitted Acquisition and upon prior written notice to the Administrative Agent, increase the required Consolidated Net Leverage Ratio pursuant to this </w:t>
      </w:r>
      <w:r>
        <w:rPr>
          <w:rFonts w:ascii="Arial" w:cs="Arial" w:eastAsia="Arial" w:hAnsi="Arial"/>
          <w:sz w:val="18"/>
          <w:szCs w:val="18"/>
          <w:u w:val="single" w:color="auto"/>
          <w:color w:val="auto"/>
        </w:rPr>
        <w:t>Section 9.13(b)</w:t>
      </w:r>
      <w:r>
        <w:rPr>
          <w:rFonts w:ascii="Arial" w:cs="Arial" w:eastAsia="Arial" w:hAnsi="Arial"/>
          <w:sz w:val="18"/>
          <w:szCs w:val="18"/>
          <w:color w:val="auto"/>
        </w:rPr>
        <w:t xml:space="preserve"> to up to 4.50 to 1.00 (at Centuri’s option), which such increase shall be applicable (i) with respect to a Permitted Acquisition that is not a Limited Condition Acquisition, for the fiscal quarter in which such Permitted Acquisition is consummated and the three (3) consecutive quarterly test periods thereafter or (ii) with respect to a Permitted Acquisition that is a Limited Condition Acquisition, for purposes of determining compliance on a Pro Forma Basis with this </w:t>
      </w:r>
      <w:r>
        <w:rPr>
          <w:rFonts w:ascii="Arial" w:cs="Arial" w:eastAsia="Arial" w:hAnsi="Arial"/>
          <w:sz w:val="18"/>
          <w:szCs w:val="18"/>
          <w:u w:val="single" w:color="auto"/>
          <w:color w:val="auto"/>
        </w:rPr>
        <w:t>Section 9.13(b)</w:t>
      </w:r>
      <w:r>
        <w:rPr>
          <w:rFonts w:ascii="Arial" w:cs="Arial" w:eastAsia="Arial" w:hAnsi="Arial"/>
          <w:sz w:val="18"/>
          <w:szCs w:val="18"/>
          <w:color w:val="auto"/>
        </w:rPr>
        <w:t xml:space="preserve"> on the LCA Test Date, for the fiscal quarter in which such Permitted Acquisition is consummated and for the three (3) consecutive quarterly test periods after which such Permitted Acquisition is consummated (each, a “</w:t>
      </w:r>
      <w:r>
        <w:rPr>
          <w:rFonts w:ascii="Arial" w:cs="Arial" w:eastAsia="Arial" w:hAnsi="Arial"/>
          <w:sz w:val="18"/>
          <w:szCs w:val="18"/>
          <w:u w:val="single" w:color="auto"/>
          <w:color w:val="auto"/>
        </w:rPr>
        <w:t>Leverage Ratio 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sz w:val="20"/>
          <w:szCs w:val="20"/>
          <w:color w:val="auto"/>
        </w:rPr>
      </w:pPr>
    </w:p>
    <w:p>
      <w:pPr>
        <w:jc w:val="both"/>
        <w:ind w:firstLine="8"/>
        <w:spacing w:after="0"/>
        <w:tabs>
          <w:tab w:leader="none" w:pos="30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such increase shall apply solely with respect to compliance with this </w:t>
      </w:r>
      <w:r>
        <w:rPr>
          <w:rFonts w:ascii="Arial" w:cs="Arial" w:eastAsia="Arial" w:hAnsi="Arial"/>
          <w:sz w:val="20"/>
          <w:szCs w:val="20"/>
          <w:u w:val="single" w:color="auto"/>
          <w:color w:val="auto"/>
        </w:rPr>
        <w:t>Section 9.13(b)</w:t>
      </w:r>
      <w:r>
        <w:rPr>
          <w:rFonts w:ascii="Arial" w:cs="Arial" w:eastAsia="Arial" w:hAnsi="Arial"/>
          <w:sz w:val="20"/>
          <w:szCs w:val="20"/>
          <w:color w:val="auto"/>
        </w:rPr>
        <w:t xml:space="preserve"> and any determination of the Consolidated Net Leverage Ratio for purposes of the definition of Permitted Acquisition and any incurrence test with respect to any Indebtedness used to finance a Permitted Acquisition and shall not apply to any other incurrence test set forth in this Agreement and (y) there shall be at least two full fiscal quarters following the cessation of each such Leverage Ratio Increase during which no Leverage Ratio Increase shall then be in effect.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are for the benefit of the Revolving Credit Lenders only and the Required Revolving Credit Lenders may amend, waive or otherwise modify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or the defined terms used for purposes of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or waive any Default or Event of Default resulting from a breach of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in accordance with the provisions of </w:t>
      </w:r>
      <w:r>
        <w:rPr>
          <w:rFonts w:ascii="Arial" w:cs="Arial" w:eastAsia="Arial" w:hAnsi="Arial"/>
          <w:sz w:val="19"/>
          <w:szCs w:val="19"/>
          <w:u w:val="single" w:color="auto"/>
          <w:color w:val="auto"/>
        </w:rPr>
        <w:t>Section 12.2</w:t>
      </w:r>
      <w:r>
        <w:rPr>
          <w:rFonts w:ascii="Arial" w:cs="Arial" w:eastAsia="Arial" w:hAnsi="Arial"/>
          <w:sz w:val="19"/>
          <w:szCs w:val="19"/>
          <w:color w:val="auto"/>
        </w:rPr>
        <w:t>.</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IX.14 </w:t>
      </w:r>
      <w:r>
        <w:rPr>
          <w:rFonts w:ascii="Arial" w:cs="Arial" w:eastAsia="Arial" w:hAnsi="Arial"/>
          <w:sz w:val="19"/>
          <w:szCs w:val="19"/>
          <w:u w:val="single" w:color="auto"/>
          <w:color w:val="auto"/>
        </w:rPr>
        <w:t>Disposal of Subsidiary Interests</w:t>
      </w:r>
      <w:r>
        <w:rPr>
          <w:rFonts w:ascii="Arial" w:cs="Arial" w:eastAsia="Arial" w:hAnsi="Arial"/>
          <w:sz w:val="19"/>
          <w:szCs w:val="19"/>
          <w:color w:val="auto"/>
        </w:rPr>
        <w:t xml:space="preserve">. Permit any US Subsidiary existing as of the date hereof to be a non-Wholly-Owned Subsidiary except as a result of or in connection with a dissolution, merger, amalgamation, consolidation or disposition permitted by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9.5</w:t>
      </w:r>
      <w:r>
        <w:rPr>
          <w:rFonts w:ascii="Arial" w:cs="Arial" w:eastAsia="Arial" w:hAnsi="Arial"/>
          <w:sz w:val="19"/>
          <w:szCs w:val="19"/>
          <w:color w:val="auto"/>
        </w:rPr>
        <w:t>, except in connection with the grant of the Permitted Drum Equity to officers, directors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2" w:name="page203"/>
    <w:bookmarkEnd w:id="202"/>
    <w:p>
      <w:pPr>
        <w:jc w:val="center"/>
        <w:ind w:right="260"/>
        <w:spacing w:after="0"/>
        <w:rPr>
          <w:sz w:val="20"/>
          <w:szCs w:val="20"/>
          <w:color w:val="auto"/>
        </w:rPr>
      </w:pPr>
      <w:r>
        <w:rPr>
          <w:rFonts w:ascii="Arial" w:cs="Arial" w:eastAsia="Arial" w:hAnsi="Arial"/>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DEFAULT AND REMEDIES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X.1 </w:t>
      </w:r>
      <w:r>
        <w:rPr>
          <w:rFonts w:ascii="Arial" w:cs="Arial" w:eastAsia="Arial" w:hAnsi="Arial"/>
          <w:sz w:val="20"/>
          <w:szCs w:val="20"/>
          <w:u w:val="single" w:color="auto"/>
          <w:color w:val="auto"/>
        </w:rPr>
        <w:t>Events of Default</w:t>
      </w:r>
      <w:r>
        <w:rPr>
          <w:rFonts w:ascii="Arial" w:cs="Arial" w:eastAsia="Arial" w:hAnsi="Arial"/>
          <w:sz w:val="20"/>
          <w:szCs w:val="20"/>
          <w:color w:val="auto"/>
        </w:rPr>
        <w:t>. Each of the following shall constitute an Event of Default:</w:t>
      </w:r>
    </w:p>
    <w:p>
      <w:pPr>
        <w:spacing w:after="0" w:line="216" w:lineRule="exact"/>
        <w:rPr>
          <w:sz w:val="20"/>
          <w:szCs w:val="20"/>
          <w:color w:val="auto"/>
        </w:rPr>
      </w:pPr>
    </w:p>
    <w:p>
      <w:pPr>
        <w:ind w:firstLine="656"/>
        <w:spacing w:after="0" w:line="287" w:lineRule="auto"/>
        <w:tabs>
          <w:tab w:leader="none" w:pos="1286"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Default in Payment of Principal of Loans and Reimbursement Obligations</w:t>
      </w:r>
      <w:r>
        <w:rPr>
          <w:rFonts w:ascii="Arial" w:cs="Arial" w:eastAsia="Arial" w:hAnsi="Arial"/>
          <w:sz w:val="19"/>
          <w:szCs w:val="19"/>
          <w:color w:val="auto"/>
        </w:rPr>
        <w:t>. Any Borrower shall default in any payment of principal of any Loan or Reimbursement Obligation when and as due (whether at maturity, by reason of acceleration or otherwise).</w:t>
      </w:r>
    </w:p>
    <w:p>
      <w:pPr>
        <w:spacing w:after="0" w:line="152" w:lineRule="exact"/>
        <w:rPr>
          <w:rFonts w:ascii="Arial" w:cs="Arial" w:eastAsia="Arial" w:hAnsi="Arial"/>
          <w:sz w:val="19"/>
          <w:szCs w:val="19"/>
          <w:color w:val="auto"/>
        </w:rPr>
      </w:pPr>
    </w:p>
    <w:p>
      <w:pPr>
        <w:jc w:val="both"/>
        <w:ind w:firstLine="656"/>
        <w:spacing w:after="0" w:line="250" w:lineRule="auto"/>
        <w:tabs>
          <w:tab w:leader="none" w:pos="1284"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Other Payment Default</w:t>
      </w:r>
      <w:r>
        <w:rPr>
          <w:rFonts w:ascii="Arial" w:cs="Arial" w:eastAsia="Arial" w:hAnsi="Arial"/>
          <w:sz w:val="20"/>
          <w:szCs w:val="20"/>
          <w:color w:val="auto"/>
        </w:rPr>
        <w:t>. Any Borrower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85" w:lineRule="exact"/>
        <w:rPr>
          <w:rFonts w:ascii="Arial" w:cs="Arial" w:eastAsia="Arial" w:hAnsi="Arial"/>
          <w:sz w:val="20"/>
          <w:szCs w:val="20"/>
          <w:color w:val="auto"/>
        </w:rPr>
      </w:pPr>
    </w:p>
    <w:p>
      <w:pPr>
        <w:jc w:val="both"/>
        <w:ind w:firstLine="656"/>
        <w:spacing w:after="0" w:line="243" w:lineRule="auto"/>
        <w:tabs>
          <w:tab w:leader="none" w:pos="1286"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Misrepresentation</w:t>
      </w:r>
      <w:r>
        <w:rPr>
          <w:rFonts w:ascii="Arial" w:cs="Arial" w:eastAsia="Arial" w:hAnsi="Arial"/>
          <w:sz w:val="20"/>
          <w:szCs w:val="20"/>
          <w:color w:val="auto"/>
        </w:rPr>
        <w:t>. Any representation, warranty, certification or statement of fact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92" w:lineRule="exact"/>
        <w:rPr>
          <w:rFonts w:ascii="Arial" w:cs="Arial" w:eastAsia="Arial" w:hAnsi="Arial"/>
          <w:sz w:val="20"/>
          <w:szCs w:val="20"/>
          <w:color w:val="auto"/>
        </w:rPr>
      </w:pPr>
    </w:p>
    <w:p>
      <w:pPr>
        <w:jc w:val="both"/>
        <w:ind w:firstLine="656"/>
        <w:spacing w:after="0" w:line="257" w:lineRule="auto"/>
        <w:tabs>
          <w:tab w:leader="none" w:pos="1284"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Default in Performance of Certain Covenants</w:t>
      </w:r>
      <w:r>
        <w:rPr>
          <w:rFonts w:ascii="Arial" w:cs="Arial" w:eastAsia="Arial" w:hAnsi="Arial"/>
          <w:sz w:val="19"/>
          <w:szCs w:val="19"/>
          <w:color w:val="auto"/>
        </w:rPr>
        <w:t xml:space="preserve">. Any Credit Party or any Subsidiary thereof shall default in the performance or observance of any covenant or agreement contained in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8.2(a)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8.3</w:t>
      </w:r>
      <w:r>
        <w:rPr>
          <w:rFonts w:ascii="Arial" w:cs="Arial" w:eastAsia="Arial" w:hAnsi="Arial"/>
          <w:sz w:val="19"/>
          <w:szCs w:val="19"/>
          <w:color w:val="auto"/>
        </w:rPr>
        <w:t xml:space="preserve">(a), </w:t>
      </w:r>
      <w:r>
        <w:rPr>
          <w:rFonts w:ascii="Arial" w:cs="Arial" w:eastAsia="Arial" w:hAnsi="Arial"/>
          <w:sz w:val="19"/>
          <w:szCs w:val="19"/>
          <w:u w:val="single" w:color="auto"/>
          <w:color w:val="auto"/>
        </w:rPr>
        <w:t>8.4</w:t>
      </w:r>
      <w:r>
        <w:rPr>
          <w:rFonts w:ascii="Arial" w:cs="Arial" w:eastAsia="Arial" w:hAnsi="Arial"/>
          <w:sz w:val="19"/>
          <w:szCs w:val="19"/>
          <w:color w:val="auto"/>
        </w:rPr>
        <w:t xml:space="preserve">, </w:t>
      </w:r>
      <w:r>
        <w:rPr>
          <w:rFonts w:ascii="Arial" w:cs="Arial" w:eastAsia="Arial" w:hAnsi="Arial"/>
          <w:sz w:val="19"/>
          <w:szCs w:val="19"/>
          <w:u w:val="single" w:color="auto"/>
          <w:color w:val="auto"/>
        </w:rPr>
        <w:t>8.13</w:t>
      </w:r>
      <w:r>
        <w:rPr>
          <w:rFonts w:ascii="Arial" w:cs="Arial" w:eastAsia="Arial" w:hAnsi="Arial"/>
          <w:sz w:val="19"/>
          <w:szCs w:val="19"/>
          <w:color w:val="auto"/>
        </w:rPr>
        <w:t xml:space="preserve">, </w:t>
      </w:r>
      <w:r>
        <w:rPr>
          <w:rFonts w:ascii="Arial" w:cs="Arial" w:eastAsia="Arial" w:hAnsi="Arial"/>
          <w:sz w:val="19"/>
          <w:szCs w:val="19"/>
          <w:u w:val="single" w:color="auto"/>
          <w:color w:val="auto"/>
        </w:rPr>
        <w:t>8.15</w:t>
      </w:r>
      <w:r>
        <w:rPr>
          <w:rFonts w:ascii="Arial" w:cs="Arial" w:eastAsia="Arial" w:hAnsi="Arial"/>
          <w:sz w:val="19"/>
          <w:szCs w:val="19"/>
          <w:color w:val="auto"/>
        </w:rPr>
        <w:t xml:space="preserve">, </w:t>
      </w:r>
      <w:r>
        <w:rPr>
          <w:rFonts w:ascii="Arial" w:cs="Arial" w:eastAsia="Arial" w:hAnsi="Arial"/>
          <w:sz w:val="19"/>
          <w:szCs w:val="19"/>
          <w:u w:val="single" w:color="auto"/>
          <w:color w:val="auto"/>
        </w:rPr>
        <w:t>8.16</w:t>
      </w:r>
      <w:r>
        <w:rPr>
          <w:rFonts w:ascii="Arial" w:cs="Arial" w:eastAsia="Arial" w:hAnsi="Arial"/>
          <w:sz w:val="19"/>
          <w:szCs w:val="19"/>
          <w:color w:val="auto"/>
        </w:rPr>
        <w:t xml:space="preserve">, </w:t>
      </w:r>
      <w:r>
        <w:rPr>
          <w:rFonts w:ascii="Arial" w:cs="Arial" w:eastAsia="Arial" w:hAnsi="Arial"/>
          <w:sz w:val="19"/>
          <w:szCs w:val="19"/>
          <w:u w:val="single" w:color="auto"/>
          <w:color w:val="auto"/>
        </w:rPr>
        <w:t>8.17</w:t>
      </w:r>
      <w:r>
        <w:rPr>
          <w:rFonts w:ascii="Arial" w:cs="Arial" w:eastAsia="Arial" w:hAnsi="Arial"/>
          <w:sz w:val="19"/>
          <w:szCs w:val="19"/>
          <w:color w:val="auto"/>
        </w:rPr>
        <w:t xml:space="preserve">, </w:t>
      </w:r>
      <w:r>
        <w:rPr>
          <w:rFonts w:ascii="Arial" w:cs="Arial" w:eastAsia="Arial" w:hAnsi="Arial"/>
          <w:sz w:val="19"/>
          <w:szCs w:val="19"/>
          <w:u w:val="single" w:color="auto"/>
          <w:color w:val="auto"/>
        </w:rPr>
        <w:t>8.18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8.19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breach of the financial covenants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shall not constitute an Event of Default with respect to any Term Loans, and the Term Loan Lenders shall not be permitted to exercise any remedies with respect to a breach of the financial covenants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 unless and until the Required Revolving Credit Lenders have declared all amounts outstanding under the Revolving Credit Facility to be due and payable and all outstanding Revolving Credit Commitments to be terminated, in each case in accordance with this Agreement and such declaration has not been rescinded.</w:t>
      </w:r>
    </w:p>
    <w:p>
      <w:pPr>
        <w:spacing w:after="0" w:line="184" w:lineRule="exact"/>
        <w:rPr>
          <w:rFonts w:ascii="Arial" w:cs="Arial" w:eastAsia="Arial" w:hAnsi="Arial"/>
          <w:sz w:val="19"/>
          <w:szCs w:val="19"/>
          <w:color w:val="auto"/>
        </w:rPr>
      </w:pPr>
    </w:p>
    <w:p>
      <w:pPr>
        <w:jc w:val="both"/>
        <w:ind w:firstLine="656"/>
        <w:spacing w:after="0" w:line="244" w:lineRule="auto"/>
        <w:tabs>
          <w:tab w:leader="none" w:pos="1286"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Default in Performance of Other Covenants and Conditions</w:t>
      </w:r>
      <w:r>
        <w:rPr>
          <w:rFonts w:ascii="Arial" w:cs="Arial" w:eastAsia="Arial" w:hAnsi="Arial"/>
          <w:sz w:val="20"/>
          <w:szCs w:val="20"/>
          <w:color w:val="auto"/>
        </w:rPr>
        <w:t xml:space="preserve">. Any Credit Party or any Subsidiary thereof shall default in the performance or observance of any term, covenant, condition or agreement contained in this Agreement (other than as specifically provided for in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w:t>
      </w:r>
      <w:r>
        <w:rPr>
          <w:rFonts w:ascii="Arial" w:cs="Arial" w:eastAsia="Arial" w:hAnsi="Arial"/>
          <w:sz w:val="20"/>
          <w:szCs w:val="20"/>
          <w:color w:val="auto"/>
        </w:rPr>
        <w:t>) or any other Loan Document and such default shall continue for a period of thirty (30) days after the earlier of (i) the Administrative Agent’s delivery of written notice thereof to Centuri and (ii) a Responsible Officer of any Credit Party having obtained knowledge thereof.</w:t>
      </w:r>
    </w:p>
    <w:p>
      <w:pPr>
        <w:spacing w:after="0" w:line="194" w:lineRule="exact"/>
        <w:rPr>
          <w:rFonts w:ascii="Arial" w:cs="Arial" w:eastAsia="Arial" w:hAnsi="Arial"/>
          <w:sz w:val="20"/>
          <w:szCs w:val="20"/>
          <w:color w:val="auto"/>
        </w:rPr>
      </w:pPr>
    </w:p>
    <w:p>
      <w:pPr>
        <w:jc w:val="both"/>
        <w:ind w:firstLine="656"/>
        <w:spacing w:after="0" w:line="243" w:lineRule="auto"/>
        <w:tabs>
          <w:tab w:leader="none" w:pos="1291"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Indebtedness Cross-Default</w:t>
      </w:r>
      <w:r>
        <w:rPr>
          <w:rFonts w:ascii="Arial" w:cs="Arial" w:eastAsia="Arial" w:hAnsi="Arial"/>
          <w:sz w:val="20"/>
          <w:szCs w:val="20"/>
          <w:color w:val="auto"/>
        </w:rPr>
        <w:t>. Any Credit Party or any Subsidiary thereof shall (i) default in the payment of any Indebtedness (other than the Loans or any Reimbursement Obligation) the aggregate outstanding principal amount,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outstanding principal amount, or with respect to any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3" w:name="page204"/>
    <w:bookmarkEnd w:id="203"/>
    <w:p>
      <w:pPr>
        <w:jc w:val="both"/>
        <w:spacing w:after="0" w:line="244" w:lineRule="auto"/>
        <w:rPr>
          <w:sz w:val="20"/>
          <w:szCs w:val="20"/>
          <w:color w:val="auto"/>
        </w:rPr>
      </w:pPr>
      <w:r>
        <w:rPr>
          <w:rFonts w:ascii="Arial" w:cs="Arial" w:eastAsia="Arial" w:hAnsi="Arial"/>
          <w:sz w:val="20"/>
          <w:szCs w:val="20"/>
          <w:color w:val="auto"/>
        </w:rPr>
        <w:t>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w:t>
      </w:r>
    </w:p>
    <w:p>
      <w:pPr>
        <w:spacing w:after="0" w:line="194"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Any Change in Control shall occur.</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294"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Voluntary Bankruptcy Proceeding</w:t>
      </w:r>
      <w:r>
        <w:rPr>
          <w:rFonts w:ascii="Arial" w:cs="Arial" w:eastAsia="Arial" w:hAnsi="Arial"/>
          <w:sz w:val="20"/>
          <w:szCs w:val="20"/>
          <w:color w:val="auto"/>
        </w:rPr>
        <w:t>. Any Credit Party or any Subsidiary thereof or Southwest Gas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92" w:lineRule="exact"/>
        <w:rPr>
          <w:rFonts w:ascii="Arial" w:cs="Arial" w:eastAsia="Arial" w:hAnsi="Arial"/>
          <w:sz w:val="20"/>
          <w:szCs w:val="20"/>
          <w:color w:val="auto"/>
        </w:rPr>
      </w:pPr>
    </w:p>
    <w:p>
      <w:pPr>
        <w:jc w:val="both"/>
        <w:ind w:firstLine="656"/>
        <w:spacing w:after="0" w:line="243" w:lineRule="auto"/>
        <w:tabs>
          <w:tab w:leader="none" w:pos="1294"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Involuntary Bankruptcy Proceeding</w:t>
      </w:r>
      <w:r>
        <w:rPr>
          <w:rFonts w:ascii="Arial" w:cs="Arial" w:eastAsia="Arial" w:hAnsi="Arial"/>
          <w:sz w:val="20"/>
          <w:szCs w:val="20"/>
          <w:color w:val="auto"/>
        </w:rPr>
        <w:t>. A case or other proceeding shall be commenced against any Credit Party or any Subsidiary thereof or Southwest Gas in any court of competent jurisdiction seeking (i) relief under any Debtor Relief Laws, or (ii) the appointment of a trustee, receiver, custodian, liquidator or the like for any Credit Party or any Subsidiary thereof or Southwest Gas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95" w:lineRule="exact"/>
        <w:rPr>
          <w:rFonts w:ascii="Arial" w:cs="Arial" w:eastAsia="Arial" w:hAnsi="Arial"/>
          <w:sz w:val="20"/>
          <w:szCs w:val="20"/>
          <w:color w:val="auto"/>
        </w:rPr>
      </w:pPr>
    </w:p>
    <w:p>
      <w:pPr>
        <w:jc w:val="both"/>
        <w:ind w:firstLine="656"/>
        <w:spacing w:after="0" w:line="244" w:lineRule="auto"/>
        <w:tabs>
          <w:tab w:leader="none" w:pos="1284"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Failure of Agreements</w:t>
      </w:r>
      <w:r>
        <w:rPr>
          <w:rFonts w:ascii="Arial" w:cs="Arial" w:eastAsia="Arial" w:hAnsi="Arial"/>
          <w:sz w:val="20"/>
          <w:szCs w:val="20"/>
          <w:color w:val="auto"/>
        </w:rPr>
        <w:t>.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94" w:lineRule="exact"/>
        <w:rPr>
          <w:rFonts w:ascii="Arial" w:cs="Arial" w:eastAsia="Arial" w:hAnsi="Arial"/>
          <w:sz w:val="20"/>
          <w:szCs w:val="20"/>
          <w:color w:val="auto"/>
        </w:rPr>
      </w:pPr>
    </w:p>
    <w:p>
      <w:pPr>
        <w:jc w:val="both"/>
        <w:ind w:firstLine="656"/>
        <w:spacing w:after="0" w:line="256" w:lineRule="auto"/>
        <w:tabs>
          <w:tab w:leader="none" w:pos="1294"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Employee Benefit Plan Events</w:t>
      </w:r>
      <w:r>
        <w:rPr>
          <w:rFonts w:ascii="Arial" w:cs="Arial" w:eastAsia="Arial" w:hAnsi="Arial"/>
          <w:sz w:val="19"/>
          <w:szCs w:val="19"/>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any Credit Party fails to make full payment when due of all amounts which, under the provisions of any Canadian Employee Benefit Plan or under Canadian Pension Laws, any Credit Party is required to pay as contributions thereto and such unpaid amounts are in excess of the Threshold Amount, (iii) a Termination Event or Canadian Termination Event or (iv)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4" w:name="page205"/>
    <w:bookmarkEnd w:id="204"/>
    <w:p>
      <w:pPr>
        <w:jc w:val="both"/>
        <w:ind w:firstLine="656"/>
        <w:spacing w:after="0" w:line="244" w:lineRule="auto"/>
        <w:tabs>
          <w:tab w:leader="none" w:pos="1285"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Judgment</w:t>
      </w:r>
      <w:r>
        <w:rPr>
          <w:rFonts w:ascii="Arial" w:cs="Arial" w:eastAsia="Arial" w:hAnsi="Arial"/>
          <w:sz w:val="20"/>
          <w:szCs w:val="20"/>
          <w:color w:val="auto"/>
        </w:rPr>
        <w:t>.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Subsidiary thereof by any court and such judgment or order shall continue without having been discharged, vacated or stayed for a period of thirty (30) consecutive days after the entry thereof.</w:t>
      </w:r>
    </w:p>
    <w:p>
      <w:pPr>
        <w:spacing w:after="0" w:line="194"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 xml:space="preserve">SECTION X.2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during the continuance of an Event of Default, with the consent of the Required Lenders, the Administrative Agent may, or upon the request of the Required Lenders, the Administrative Agent shall, by notice to Centuri:</w:t>
      </w:r>
    </w:p>
    <w:p>
      <w:pPr>
        <w:spacing w:after="0" w:line="130" w:lineRule="exact"/>
        <w:rPr>
          <w:sz w:val="20"/>
          <w:szCs w:val="20"/>
          <w:color w:val="auto"/>
        </w:rPr>
      </w:pPr>
    </w:p>
    <w:p>
      <w:pPr>
        <w:jc w:val="both"/>
        <w:ind w:firstLine="656"/>
        <w:spacing w:after="0" w:line="268" w:lineRule="auto"/>
        <w:tabs>
          <w:tab w:leader="none" w:pos="128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Credit Facility</w:t>
      </w:r>
      <w:r>
        <w:rPr>
          <w:rFonts w:ascii="Arial" w:cs="Arial" w:eastAsia="Arial" w:hAnsi="Arial"/>
          <w:sz w:val="18"/>
          <w:szCs w:val="18"/>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any Borrower to request borrowings or Letters of Credit thereunder; provided, that upon the occurrence of an Event of Default specified in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or</w:t>
      </w:r>
    </w:p>
    <w:p>
      <w:pPr>
        <w:spacing w:after="0" w:line="2"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u w:val="single" w:color="auto"/>
          <w:color w:val="auto"/>
        </w:rPr>
        <w:t>(j)</w:t>
      </w:r>
      <w:r>
        <w:rPr>
          <w:rFonts w:ascii="Arial" w:cs="Arial" w:eastAsia="Arial" w:hAnsi="Arial"/>
          <w:sz w:val="18"/>
          <w:szCs w:val="18"/>
          <w:color w:val="auto"/>
        </w:rPr>
        <w:t xml:space="preserve">,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and during the continuance of any Event of Default attributable to a failure to comply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(which has not become an Event of Default with respect to the Term Loans pursuant to </w:t>
      </w:r>
      <w:r>
        <w:rPr>
          <w:rFonts w:ascii="Arial" w:cs="Arial" w:eastAsia="Arial" w:hAnsi="Arial"/>
          <w:sz w:val="18"/>
          <w:szCs w:val="18"/>
          <w:u w:val="single" w:color="auto"/>
          <w:color w:val="auto"/>
        </w:rPr>
        <w:t>Section 10.1(d)</w:t>
      </w:r>
      <w:r>
        <w:rPr>
          <w:rFonts w:ascii="Arial" w:cs="Arial" w:eastAsia="Arial" w:hAnsi="Arial"/>
          <w:sz w:val="18"/>
          <w:szCs w:val="18"/>
          <w:color w:val="auto"/>
        </w:rPr>
        <w:t>), actions pursuant to this clause (a) may be taken by the Required Revolving Credit Lenders with respect to the Revolving Credit Loans and the Revolving Credit Commitments only (without the requirement for Required Lender action) or by the Administrative Agent at the direction of the Required Revolving Credit Lenders.</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284"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With respect to all Letters of Credit with respect to which presentment for honor shall not have occurred at the time of an acceleration pursuant to the preceding paragraph, the Borrowers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Borrowers.</w:t>
      </w:r>
    </w:p>
    <w:p>
      <w:pPr>
        <w:spacing w:after="0" w:line="168" w:lineRule="exact"/>
        <w:rPr>
          <w:rFonts w:ascii="Arial" w:cs="Arial" w:eastAsia="Arial" w:hAnsi="Arial"/>
          <w:sz w:val="18"/>
          <w:szCs w:val="18"/>
          <w:color w:val="auto"/>
        </w:rPr>
      </w:pPr>
    </w:p>
    <w:p>
      <w:pPr>
        <w:ind w:right="20" w:firstLine="656"/>
        <w:spacing w:after="0" w:line="260" w:lineRule="auto"/>
        <w:tabs>
          <w:tab w:leader="none" w:pos="1286"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General Remedies</w:t>
      </w:r>
      <w:r>
        <w:rPr>
          <w:rFonts w:ascii="Arial" w:cs="Arial" w:eastAsia="Arial" w:hAnsi="Arial"/>
          <w:sz w:val="20"/>
          <w:szCs w:val="20"/>
          <w:color w:val="auto"/>
        </w:rPr>
        <w:t>. Exercise on behalf of the Secured Parties all of its other rights and remedies under this Agreement, the other Loan Documents and Applicable Law, in order to satisfy all of the Secured Obligations.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X.3 </w:t>
      </w:r>
      <w:r>
        <w:rPr>
          <w:rFonts w:ascii="Arial" w:cs="Arial" w:eastAsia="Arial" w:hAnsi="Arial"/>
          <w:sz w:val="20"/>
          <w:szCs w:val="20"/>
          <w:u w:val="single" w:color="auto"/>
          <w:color w:val="auto"/>
        </w:rPr>
        <w:t>Rights and Remedies Cumulative; Non-Waiver;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5" w:name="page206"/>
    <w:bookmarkEnd w:id="205"/>
    <w:p>
      <w:pPr>
        <w:jc w:val="both"/>
        <w:ind w:firstLine="656"/>
        <w:spacing w:after="0" w:line="272" w:lineRule="auto"/>
        <w:tabs>
          <w:tab w:leader="none" w:pos="128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Borrowers,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70" w:lineRule="exact"/>
        <w:rPr>
          <w:rFonts w:ascii="Arial" w:cs="Arial" w:eastAsia="Arial" w:hAnsi="Arial"/>
          <w:sz w:val="18"/>
          <w:szCs w:val="18"/>
          <w:color w:val="auto"/>
        </w:rPr>
      </w:pPr>
    </w:p>
    <w:p>
      <w:pPr>
        <w:jc w:val="both"/>
        <w:ind w:firstLine="656"/>
        <w:spacing w:after="0" w:line="269" w:lineRule="auto"/>
        <w:tabs>
          <w:tab w:leader="none" w:pos="128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for the benefit of all the Lenders and the Issuing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any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X.4 </w:t>
      </w:r>
      <w:r>
        <w:rPr>
          <w:rFonts w:ascii="Arial" w:cs="Arial" w:eastAsia="Arial" w:hAnsi="Arial"/>
          <w:sz w:val="16"/>
          <w:szCs w:val="16"/>
          <w:u w:val="single" w:color="auto"/>
          <w:color w:val="auto"/>
        </w:rPr>
        <w:t>Crediting of Payments and Proceeds</w:t>
      </w:r>
      <w:r>
        <w:rPr>
          <w:rFonts w:ascii="Arial" w:cs="Arial" w:eastAsia="Arial" w:hAnsi="Arial"/>
          <w:sz w:val="16"/>
          <w:szCs w:val="16"/>
          <w:color w:val="auto"/>
        </w:rPr>
        <w:t xml:space="preserve">. In the event that the Obligations have been accelerated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be applied:</w:t>
      </w:r>
    </w:p>
    <w:p>
      <w:pPr>
        <w:spacing w:after="0" w:line="118" w:lineRule="exact"/>
        <w:rPr>
          <w:sz w:val="20"/>
          <w:szCs w:val="20"/>
          <w:color w:val="auto"/>
        </w:rPr>
      </w:pPr>
    </w:p>
    <w:p>
      <w:pPr>
        <w:ind w:firstLine="656"/>
        <w:spacing w:after="0" w:line="287" w:lineRule="auto"/>
        <w:tabs>
          <w:tab w:leader="none" w:pos="128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with respect to any payment received from or on behalf of, or any net proceeds from the enforcement of the Secured Obligations received from or on behalf of, any US Credit Party (or proceeds from any Collateral owned by any US Credit Party):</w:t>
      </w:r>
    </w:p>
    <w:p>
      <w:pPr>
        <w:spacing w:after="0" w:line="152"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of that portion of the US Secured Obligations constituting fees, indemnities, expenses and other amounts, including attorney fees, payable to the Administrative Agent in its capacity as such;</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to payment of that portion of the US Secured Obligations constituting fees (other than Commitment Fees and Letter of Credit fees payable to the Revolving Credit Lenders), indemnities and other amounts (other than principal and interest) payable to the Lenders,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6" w:name="page207"/>
    <w:bookmarkEnd w:id="206"/>
    <w:p>
      <w:pPr>
        <w:jc w:val="both"/>
        <w:ind w:left="660"/>
        <w:spacing w:after="0" w:line="316" w:lineRule="auto"/>
        <w:rPr>
          <w:sz w:val="20"/>
          <w:szCs w:val="20"/>
          <w:color w:val="auto"/>
        </w:rPr>
      </w:pPr>
      <w:r>
        <w:rPr>
          <w:rFonts w:ascii="Arial" w:cs="Arial" w:eastAsia="Arial" w:hAnsi="Arial"/>
          <w:sz w:val="18"/>
          <w:szCs w:val="18"/>
          <w:color w:val="auto"/>
        </w:rPr>
        <w:t xml:space="preserve">Issuing Lenders and the Swingline Lenders under the Loan Documents, including attorney fees, ratably among the Lenders, the Issuing Lenders and the Swingline Lenders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30"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US Secured Obligations constituting accrued and unpaid Commitment Fees, Letter of Credit fees payable to the Revolving Credit Lenders and interest on the Loans and Reimbursement Obligations, ratably among the Lenders, the Issuing Lenders and the Swingline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US Secured Obligations constituting unpaid principal of the Loans, Reimbursement Obligations and payment obligations then owing under Secured Hedge Agreements and Secured Cash Management Agreements and to Cash Collateralize any US L/C Obligations then outstanding, ratably among the Lenders, the Issuing Lenders, Swingline Lenders, the Hedge Banks and the Cash Management Banks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payable to them;</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payment of the Canadian Secured Obligations in the order set forth in clause (b) below; and</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US Secured Obligations and the Canadian Secured Obligations have been indefeasibly paid in full, to the Borrowers or as otherwise required by Applicable Law.</w:t>
      </w:r>
    </w:p>
    <w:p>
      <w:pPr>
        <w:spacing w:after="0" w:line="177" w:lineRule="exact"/>
        <w:rPr>
          <w:sz w:val="20"/>
          <w:szCs w:val="20"/>
          <w:color w:val="auto"/>
        </w:rPr>
      </w:pPr>
    </w:p>
    <w:p>
      <w:pPr>
        <w:jc w:val="both"/>
        <w:ind w:firstLine="656"/>
        <w:spacing w:after="0" w:line="316" w:lineRule="auto"/>
        <w:tabs>
          <w:tab w:leader="none" w:pos="128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with respect to any payment received from or on behalf of, or any net proceeds from the enforcement of the Secured Obligations received from or on behalf of, any Canadian Credit Party (or proceeds from any Collateral owned by any Canadian Credit Party):</w:t>
      </w:r>
    </w:p>
    <w:p>
      <w:pPr>
        <w:spacing w:after="0" w:line="130" w:lineRule="exact"/>
        <w:rPr>
          <w:sz w:val="20"/>
          <w:szCs w:val="20"/>
          <w:color w:val="auto"/>
        </w:rPr>
      </w:pPr>
    </w:p>
    <w:p>
      <w:pPr>
        <w:jc w:val="both"/>
        <w:ind w:left="700" w:firstLine="648"/>
        <w:spacing w:after="0" w:line="26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of that portion of the Canadian Secured Obligations constituting fees, indemnities, expenses and other amounts, including attorney fees, payable to the Administrative Agent in its capacity as such;</w:t>
      </w:r>
    </w:p>
    <w:p>
      <w:pPr>
        <w:spacing w:after="0" w:line="177" w:lineRule="exact"/>
        <w:rPr>
          <w:sz w:val="20"/>
          <w:szCs w:val="20"/>
          <w:color w:val="auto"/>
        </w:rPr>
      </w:pPr>
    </w:p>
    <w:p>
      <w:pPr>
        <w:jc w:val="both"/>
        <w:ind w:left="700" w:firstLine="648"/>
        <w:spacing w:after="0" w:line="244"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Canadian Secured Obligations constituting fees (other than Commitment Fees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94" w:lineRule="exact"/>
        <w:rPr>
          <w:sz w:val="20"/>
          <w:szCs w:val="20"/>
          <w:color w:val="auto"/>
        </w:rPr>
      </w:pPr>
    </w:p>
    <w:p>
      <w:pPr>
        <w:jc w:val="both"/>
        <w:ind w:left="700" w:firstLine="648"/>
        <w:spacing w:after="0" w:line="246"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Canadian Secured Obligations constituting accrued and unpaid Commitment Fees and Letter of Credit fees payable to the Revolving Credit Lenders and interest on the Loans and the Reimbursement Obligations, ratably among the Lenders, the Issuing Lenders and the Swingline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left="700" w:firstLine="648"/>
        <w:spacing w:after="0" w:line="263"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to payment of that portion of the Canadian Secured Obligations constituting unpaid principal of the Loans, Reimbursement Obligations and payment obligations then owing under Secured Hedge Agreements with Canadian Hedge Banks and Secured Cash Management Agreements with Canadian Cash Management Banks and to Cash Collateralize any Canadian L/C Obligations then outstanding, ratably among the Lenders, the Issuing Lenders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7" w:name="page208"/>
    <w:bookmarkEnd w:id="207"/>
    <w:p>
      <w:pPr>
        <w:ind w:left="700"/>
        <w:spacing w:after="0" w:line="260" w:lineRule="auto"/>
        <w:rPr>
          <w:sz w:val="20"/>
          <w:szCs w:val="20"/>
          <w:color w:val="auto"/>
        </w:rPr>
      </w:pPr>
      <w:r>
        <w:rPr>
          <w:rFonts w:ascii="Arial" w:cs="Arial" w:eastAsia="Arial" w:hAnsi="Arial"/>
          <w:sz w:val="20"/>
          <w:szCs w:val="20"/>
          <w:color w:val="auto"/>
        </w:rPr>
        <w:t xml:space="preserve">Swingline Lenders, the Canadian Hedge Banks and the Canadian Cash Management Banks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payable to them; and</w:t>
      </w:r>
    </w:p>
    <w:p>
      <w:pPr>
        <w:spacing w:after="0" w:line="177" w:lineRule="exact"/>
        <w:rPr>
          <w:sz w:val="20"/>
          <w:szCs w:val="20"/>
          <w:color w:val="auto"/>
        </w:rPr>
      </w:pPr>
    </w:p>
    <w:p>
      <w:pPr>
        <w:ind w:left="70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Canadian Secured Obligations have been indefeasibly paid in full, to the Canadian Borrowers or as otherwise required by Applicable Law.</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following such acceleration or exercise of remedies and at least three (3) Business Days prior to the application of the proceeds thereof. Each Cash Management Bank or Hedge Bank that is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for itself and its Affiliates as if a “Lender” party hereto.</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X.5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94" w:lineRule="exact"/>
        <w:rPr>
          <w:sz w:val="20"/>
          <w:szCs w:val="20"/>
          <w:color w:val="auto"/>
        </w:rPr>
      </w:pPr>
    </w:p>
    <w:p>
      <w:pPr>
        <w:jc w:val="both"/>
        <w:ind w:firstLine="656"/>
        <w:spacing w:after="0" w:line="243" w:lineRule="auto"/>
        <w:tabs>
          <w:tab w:leader="none" w:pos="1286"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20"/>
          <w:szCs w:val="20"/>
          <w:u w:val="single" w:color="auto"/>
          <w:color w:val="auto"/>
        </w:rPr>
        <w:t>Sections 3.3</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12.3</w:t>
      </w:r>
      <w:r>
        <w:rPr>
          <w:rFonts w:ascii="Arial" w:cs="Arial" w:eastAsia="Arial" w:hAnsi="Arial"/>
          <w:sz w:val="20"/>
          <w:szCs w:val="20"/>
          <w:color w:val="auto"/>
        </w:rPr>
        <w:t>) allowed in such judicial proceeding; and</w:t>
      </w:r>
    </w:p>
    <w:p>
      <w:pPr>
        <w:spacing w:after="0" w:line="195" w:lineRule="exact"/>
        <w:rPr>
          <w:rFonts w:ascii="Arial" w:cs="Arial" w:eastAsia="Arial" w:hAnsi="Arial"/>
          <w:sz w:val="20"/>
          <w:szCs w:val="20"/>
          <w:color w:val="auto"/>
        </w:rPr>
      </w:pPr>
    </w:p>
    <w:p>
      <w:pPr>
        <w:ind w:left="1300" w:hanging="644"/>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12.3</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8" w:name="page209"/>
    <w:bookmarkEnd w:id="208"/>
    <w:p>
      <w:pPr>
        <w:ind w:left="660"/>
        <w:spacing w:after="0"/>
        <w:rPr>
          <w:sz w:val="20"/>
          <w:szCs w:val="20"/>
          <w:color w:val="auto"/>
        </w:rPr>
      </w:pPr>
      <w:r>
        <w:rPr>
          <w:rFonts w:ascii="Arial" w:cs="Arial" w:eastAsia="Arial" w:hAnsi="Arial"/>
          <w:sz w:val="20"/>
          <w:szCs w:val="20"/>
          <w:color w:val="auto"/>
        </w:rPr>
        <w:t xml:space="preserve">SECTION X.6 </w:t>
      </w:r>
      <w:r>
        <w:rPr>
          <w:rFonts w:ascii="Arial" w:cs="Arial" w:eastAsia="Arial" w:hAnsi="Arial"/>
          <w:sz w:val="20"/>
          <w:szCs w:val="20"/>
          <w:u w:val="single" w:color="auto"/>
          <w:color w:val="auto"/>
        </w:rPr>
        <w:t>Credit Bidding</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4" w:lineRule="auto"/>
        <w:tabs>
          <w:tab w:leader="none" w:pos="128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The Administrative Agent, on behalf of itself and the Secured Parties, shall have the right, exercisable at the discretion of the Required Lenders, to credit bid and purchase for the benefit of the Administrative Agent and the Secured Parties all or any portion of Collateral at any sale thereof conducted by the Administrative Agent under the provisions of the UCC, and/or the PPSA, as applicable, including pursuant to Sections 9-610 or 9-620 of the UCC, at any sale thereof conducted under the provisions of the United States Bankruptcy Code, including Section 363 thereof or any of the applicable Debtor Relief Laws,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9"/>
          <w:szCs w:val="19"/>
          <w:u w:val="single" w:color="auto"/>
          <w:color w:val="auto"/>
        </w:rPr>
        <w:t>Section 12.2</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jc w:val="both"/>
        <w:ind w:firstLine="656"/>
        <w:spacing w:after="0" w:line="282" w:lineRule="auto"/>
        <w:tabs>
          <w:tab w:leader="none" w:pos="128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and/or PPSA sales, as applicable, or other similar dispositions of Collateral.</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X.7 </w:t>
      </w:r>
      <w:r>
        <w:rPr>
          <w:rFonts w:ascii="Arial" w:cs="Arial" w:eastAsia="Arial" w:hAnsi="Arial"/>
          <w:sz w:val="19"/>
          <w:szCs w:val="19"/>
          <w:u w:val="single" w:color="auto"/>
          <w:color w:val="auto"/>
        </w:rPr>
        <w:t>Judgment Currency</w:t>
      </w:r>
      <w:r>
        <w:rPr>
          <w:rFonts w:ascii="Arial" w:cs="Arial" w:eastAsia="Arial" w:hAnsi="Arial"/>
          <w:sz w:val="19"/>
          <w:szCs w:val="19"/>
          <w:color w:val="auto"/>
        </w:rPr>
        <w:t xml:space="preserve">. If, for the purpose of obtaining judgment in any court or obtaining an order enforcing a judgment, it becomes necessary to convert any amount due under this Agreement in Dollars or in any other currency (hereinafter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called the “first currency”) into any other currency (hereinafter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called the “second currency”), then the conversion shall be made at the Administrative Agent’s spot rate of exchange for buying the first currency with the second currency prevailing at the Administrative Agent’s close of business on the Business Day next preceding the day on which the judgment is given or (as the case may be) the order is made. Any payment made by a Credit Party to any Secured Party pursuant to this Agreement in the second currency shall constitute a discharge of the obligations of any applicable Credit Parties to pay to such Secured Party any amount originally due to the Secured Party in the first currency under this Agreement only to the extent of the amount of the first currency which such Secured Party is able, on the date of the receipt by it of such payment in any second currency, to purchase, in accordance with such Secured Party’s normal banking procedures, with the amount of such second currency so received. If the amount of the first currency falls short of the amount originally due to such Secured Party in the first currency under this Agreement, the Credit Parties agree that they will indemnify each Secured Party against and save such Secured Party harmless from any shortfall so arising. If the amount of the first currency exceeds the amount originally due to a Secured Party in the first currency under this Agreement, such Secured Party shall promptly remit such excess to the Credit Parties. The covenants contained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survive the termination of the Loan Documents and payment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09" w:name="page210"/>
    <w:bookmarkEnd w:id="209"/>
    <w:p>
      <w:pPr>
        <w:jc w:val="center"/>
        <w:ind w:right="200"/>
        <w:spacing w:after="0"/>
        <w:rPr>
          <w:sz w:val="20"/>
          <w:szCs w:val="20"/>
          <w:color w:val="auto"/>
        </w:rPr>
      </w:pPr>
      <w:r>
        <w:rPr>
          <w:rFonts w:ascii="Arial" w:cs="Arial" w:eastAsia="Arial" w:hAnsi="Arial"/>
          <w:sz w:val="20"/>
          <w:szCs w:val="20"/>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ADMINISTRATIVE AGENT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XI.1 </w:t>
      </w:r>
      <w:r>
        <w:rPr>
          <w:rFonts w:ascii="Arial" w:cs="Arial" w:eastAsia="Arial" w:hAnsi="Arial"/>
          <w:sz w:val="20"/>
          <w:szCs w:val="20"/>
          <w:u w:val="single" w:color="auto"/>
          <w:color w:val="auto"/>
        </w:rPr>
        <w:t>Appointment and Authority</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5" w:lineRule="auto"/>
        <w:tabs>
          <w:tab w:leader="none" w:pos="128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Each of the Lenders and each Issuing Lender hereby irrevocably appoints, designates and authorizes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Arial" w:cs="Arial" w:eastAsia="Arial" w:hAnsi="Arial"/>
          <w:sz w:val="19"/>
          <w:szCs w:val="19"/>
          <w:u w:val="single" w:color="auto"/>
          <w:color w:val="auto"/>
        </w:rPr>
        <w:t>Sections 11.6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11.9</w:t>
      </w:r>
      <w:r>
        <w:rPr>
          <w:rFonts w:ascii="Arial" w:cs="Arial" w:eastAsia="Arial" w:hAnsi="Arial"/>
          <w:sz w:val="19"/>
          <w:szCs w:val="19"/>
          <w:color w:val="auto"/>
        </w:rPr>
        <w:t xml:space="preserve"> the provisions of this Article are solely for the benefit of the Administrative Agent, the Arrangers, the Lenders, the Issuing Lenders and their respective Related Parties, and no Consolidated Company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rFonts w:ascii="Arial" w:cs="Arial" w:eastAsia="Arial" w:hAnsi="Arial"/>
          <w:sz w:val="19"/>
          <w:szCs w:val="19"/>
          <w:color w:val="auto"/>
        </w:rPr>
      </w:pPr>
    </w:p>
    <w:p>
      <w:pPr>
        <w:jc w:val="both"/>
        <w:ind w:firstLine="656"/>
        <w:spacing w:after="0" w:line="255" w:lineRule="auto"/>
        <w:tabs>
          <w:tab w:leader="none" w:pos="128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Administrative Agent shall also act as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xml:space="preserve">” under the Loan Documents, and each of the Lenders (including each holder of Secured Hedge Obligations and Secured Cash Management Obligations)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Arial" w:cs="Arial" w:eastAsia="Arial" w:hAnsi="Arial"/>
          <w:sz w:val="19"/>
          <w:szCs w:val="19"/>
          <w:u w:val="single" w:color="auto"/>
          <w:color w:val="auto"/>
        </w:rPr>
        <w:t>Articles XI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12.3</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XI.2 </w:t>
      </w:r>
      <w:r>
        <w:rPr>
          <w:rFonts w:ascii="Arial" w:cs="Arial" w:eastAsia="Arial" w:hAnsi="Arial"/>
          <w:sz w:val="19"/>
          <w:szCs w:val="19"/>
          <w:u w:val="single" w:color="auto"/>
          <w:color w:val="auto"/>
        </w:rPr>
        <w:t>Rights as a Lender</w:t>
      </w:r>
      <w:r>
        <w:rPr>
          <w:rFonts w:ascii="Arial" w:cs="Arial" w:eastAsia="Arial" w:hAnsi="Arial"/>
          <w:sz w:val="19"/>
          <w:szCs w:val="19"/>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capital markets or other business with the Consolidated Companies or other Affiliates thereof as if such Person were not the Administrative Agent hereunder and without any duty to account therefor to the Lenders or to provide notice to or consent of the Lenders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0" w:name="page211"/>
    <w:bookmarkEnd w:id="210"/>
    <w:p>
      <w:pPr>
        <w:ind w:left="660"/>
        <w:spacing w:after="0"/>
        <w:rPr>
          <w:sz w:val="20"/>
          <w:szCs w:val="20"/>
          <w:color w:val="auto"/>
        </w:rPr>
      </w:pPr>
      <w:r>
        <w:rPr>
          <w:rFonts w:ascii="Arial" w:cs="Arial" w:eastAsia="Arial" w:hAnsi="Arial"/>
          <w:sz w:val="20"/>
          <w:szCs w:val="20"/>
          <w:color w:val="auto"/>
        </w:rPr>
        <w:t xml:space="preserve">SECTION XI.3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w:t>
      </w:r>
    </w:p>
    <w:p>
      <w:pPr>
        <w:spacing w:after="0" w:line="216" w:lineRule="exact"/>
        <w:rPr>
          <w:sz w:val="20"/>
          <w:szCs w:val="20"/>
          <w:color w:val="auto"/>
        </w:rPr>
      </w:pPr>
    </w:p>
    <w:p>
      <w:pPr>
        <w:jc w:val="both"/>
        <w:ind w:right="20" w:firstLine="656"/>
        <w:spacing w:after="0" w:line="291" w:lineRule="auto"/>
        <w:tabs>
          <w:tab w:leader="none" w:pos="128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Administrative Agent, the Arrangers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Arrangers and their respective Related Parties:</w:t>
      </w:r>
    </w:p>
    <w:p>
      <w:pPr>
        <w:spacing w:after="0" w:line="151" w:lineRule="exact"/>
        <w:rPr>
          <w:rFonts w:ascii="Arial" w:cs="Arial" w:eastAsia="Arial" w:hAnsi="Arial"/>
          <w:sz w:val="18"/>
          <w:szCs w:val="18"/>
          <w:color w:val="auto"/>
        </w:rPr>
      </w:pPr>
    </w:p>
    <w:p>
      <w:pPr>
        <w:ind w:left="660" w:right="20" w:firstLine="644"/>
        <w:spacing w:after="0" w:line="260" w:lineRule="auto"/>
        <w:tabs>
          <w:tab w:leader="none" w:pos="1954" w:val="left"/>
        </w:tabs>
        <w:numPr>
          <w:ilvl w:val="2"/>
          <w:numId w:val="195"/>
        </w:numPr>
        <w:rPr>
          <w:rFonts w:ascii="Arial" w:cs="Arial" w:eastAsia="Arial" w:hAnsi="Arial"/>
          <w:sz w:val="20"/>
          <w:szCs w:val="20"/>
          <w:color w:val="auto"/>
        </w:rPr>
      </w:pPr>
      <w:r>
        <w:rPr>
          <w:rFonts w:ascii="Arial" w:cs="Arial" w:eastAsia="Arial" w:hAnsi="Arial"/>
          <w:sz w:val="20"/>
          <w:szCs w:val="20"/>
          <w:color w:val="auto"/>
        </w:rPr>
        <w:t>shall not be subject to any agency, trust, fiduciary or other implied duties, regardless of whether a Default or Event of Default has occurred and is continuing;</w:t>
      </w:r>
    </w:p>
    <w:p>
      <w:pPr>
        <w:spacing w:after="0" w:line="176" w:lineRule="exact"/>
        <w:rPr>
          <w:rFonts w:ascii="Arial" w:cs="Arial" w:eastAsia="Arial" w:hAnsi="Arial"/>
          <w:sz w:val="20"/>
          <w:szCs w:val="20"/>
          <w:color w:val="auto"/>
        </w:rPr>
      </w:pPr>
    </w:p>
    <w:p>
      <w:pPr>
        <w:jc w:val="both"/>
        <w:ind w:left="660" w:firstLine="644"/>
        <w:spacing w:after="0" w:line="242" w:lineRule="auto"/>
        <w:tabs>
          <w:tab w:leader="none" w:pos="1955" w:val="left"/>
        </w:tabs>
        <w:numPr>
          <w:ilvl w:val="2"/>
          <w:numId w:val="195"/>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6" w:lineRule="exact"/>
        <w:rPr>
          <w:rFonts w:ascii="Arial" w:cs="Arial" w:eastAsia="Arial" w:hAnsi="Arial"/>
          <w:sz w:val="20"/>
          <w:szCs w:val="20"/>
          <w:color w:val="auto"/>
        </w:rPr>
      </w:pPr>
    </w:p>
    <w:p>
      <w:pPr>
        <w:jc w:val="both"/>
        <w:ind w:left="660" w:firstLine="644"/>
        <w:spacing w:after="0" w:line="276" w:lineRule="auto"/>
        <w:tabs>
          <w:tab w:leader="none" w:pos="1956" w:val="left"/>
        </w:tabs>
        <w:numPr>
          <w:ilvl w:val="2"/>
          <w:numId w:val="195"/>
        </w:numPr>
        <w:rPr>
          <w:rFonts w:ascii="Arial" w:cs="Arial" w:eastAsia="Arial" w:hAnsi="Arial"/>
          <w:sz w:val="18"/>
          <w:szCs w:val="18"/>
          <w:color w:val="auto"/>
        </w:rPr>
      </w:pPr>
      <w:r>
        <w:rPr>
          <w:rFonts w:ascii="Arial" w:cs="Arial" w:eastAsia="Arial" w:hAnsi="Arial"/>
          <w:sz w:val="18"/>
          <w:szCs w:val="18"/>
          <w:color w:val="auto"/>
        </w:rPr>
        <w:t>shall not, have any duty to disclose, and shall not be liable for the failure to disclose to any Lender, any Issuing Lender or any other Person, any credit or other information relating concerning the business, prospects, operations, properties, assets, financial or other condition or creditworthiness of the Consolidated Companies or any of their respective Subsidiaries or Affiliates that is communicated to, obtained by or otherwise in the possession of the Person serving as the Administrative Agent, the Arrangers or their respective Related Parties in any capacity, except for notices, reports and other documents that are required to be furnished by the Administrative Agent to the Lenders pursuant to the express provisions of this Agreement; and</w:t>
      </w:r>
    </w:p>
    <w:p>
      <w:pPr>
        <w:spacing w:after="0" w:line="164" w:lineRule="exact"/>
        <w:rPr>
          <w:rFonts w:ascii="Arial" w:cs="Arial" w:eastAsia="Arial" w:hAnsi="Arial"/>
          <w:sz w:val="18"/>
          <w:szCs w:val="18"/>
          <w:color w:val="auto"/>
        </w:rPr>
      </w:pPr>
    </w:p>
    <w:p>
      <w:pPr>
        <w:ind w:left="660" w:firstLine="644"/>
        <w:spacing w:after="0" w:line="260" w:lineRule="auto"/>
        <w:tabs>
          <w:tab w:leader="none" w:pos="1945" w:val="left"/>
        </w:tabs>
        <w:numPr>
          <w:ilvl w:val="2"/>
          <w:numId w:val="195"/>
        </w:numPr>
        <w:rPr>
          <w:rFonts w:ascii="Arial" w:cs="Arial" w:eastAsia="Arial" w:hAnsi="Arial"/>
          <w:sz w:val="20"/>
          <w:szCs w:val="20"/>
          <w:color w:val="auto"/>
        </w:rPr>
      </w:pPr>
      <w:r>
        <w:rPr>
          <w:rFonts w:ascii="Arial" w:cs="Arial" w:eastAsia="Arial" w:hAnsi="Arial"/>
          <w:sz w:val="20"/>
          <w:szCs w:val="20"/>
          <w:color w:val="auto"/>
        </w:rPr>
        <w:t>shall not be required to account to any Lender or any Issuing Lender for any sum or profit received by the Administrative Agent for its own account.</w:t>
      </w:r>
    </w:p>
    <w:p>
      <w:pPr>
        <w:spacing w:after="0" w:line="176" w:lineRule="exact"/>
        <w:rPr>
          <w:rFonts w:ascii="Arial" w:cs="Arial" w:eastAsia="Arial" w:hAnsi="Arial"/>
          <w:sz w:val="20"/>
          <w:szCs w:val="20"/>
          <w:color w:val="auto"/>
        </w:rPr>
      </w:pPr>
    </w:p>
    <w:p>
      <w:pPr>
        <w:jc w:val="both"/>
        <w:ind w:firstLine="656"/>
        <w:spacing w:after="0" w:line="275" w:lineRule="auto"/>
        <w:tabs>
          <w:tab w:leader="none" w:pos="128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Administrative Agent, the Arrangers and their respective Related Parties shall not be liable for any action taken or not taken by it under or in connection with this Agreement or any other Loan Document or the transactions contemplated hereby or thereby</w:t>
      </w:r>
    </w:p>
    <w:p>
      <w:pPr>
        <w:jc w:val="both"/>
        <w:ind w:firstLine="8"/>
        <w:spacing w:after="0" w:line="272" w:lineRule="auto"/>
        <w:tabs>
          <w:tab w:leader="none" w:pos="24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w:t>
      </w:r>
      <w:r>
        <w:rPr>
          <w:rFonts w:ascii="Arial" w:cs="Arial" w:eastAsia="Arial" w:hAnsi="Arial"/>
          <w:sz w:val="18"/>
          <w:szCs w:val="18"/>
          <w:color w:val="auto"/>
        </w:rPr>
        <w:t>) or (ii) in the absence of its own gross negligence, willful misconduct or breach in bad faith of obligations hereunder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a Borrower, a Lender or an Issuing Lender.</w:t>
      </w:r>
    </w:p>
    <w:p>
      <w:pPr>
        <w:spacing w:after="0" w:line="169" w:lineRule="exact"/>
        <w:rPr>
          <w:rFonts w:ascii="Arial" w:cs="Arial" w:eastAsia="Arial" w:hAnsi="Arial"/>
          <w:sz w:val="18"/>
          <w:szCs w:val="18"/>
          <w:color w:val="auto"/>
        </w:rPr>
      </w:pPr>
    </w:p>
    <w:p>
      <w:pPr>
        <w:jc w:val="both"/>
        <w:ind w:right="20" w:firstLine="656"/>
        <w:spacing w:after="0" w:line="250" w:lineRule="auto"/>
        <w:tabs>
          <w:tab w:leader="none" w:pos="1286" w:val="left"/>
        </w:tabs>
        <w:numPr>
          <w:ilvl w:val="1"/>
          <w:numId w:val="196"/>
        </w:numPr>
        <w:rPr>
          <w:rFonts w:ascii="Arial" w:cs="Arial" w:eastAsia="Arial" w:hAnsi="Arial"/>
          <w:sz w:val="20"/>
          <w:szCs w:val="20"/>
          <w:color w:val="auto"/>
        </w:rPr>
      </w:pPr>
      <w:r>
        <w:rPr>
          <w:rFonts w:ascii="Arial" w:cs="Arial" w:eastAsia="Arial" w:hAnsi="Arial"/>
          <w:sz w:val="20"/>
          <w:szCs w:val="20"/>
          <w:color w:val="auto"/>
        </w:rPr>
        <w:t>The Administrative Agent, the Arrangers and their respective Related Parties shall not be responsible for or have any duty or obligations to any Lender or Participant or any other Person to ascertain or inquire into (i) any statement, warranty or representation made in or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1" w:name="page212"/>
    <w:bookmarkEnd w:id="211"/>
    <w:p>
      <w:pPr>
        <w:jc w:val="both"/>
        <w:spacing w:after="0" w:line="256" w:lineRule="auto"/>
        <w:rPr>
          <w:sz w:val="20"/>
          <w:szCs w:val="20"/>
          <w:color w:val="auto"/>
        </w:rPr>
      </w:pPr>
      <w:r>
        <w:rPr>
          <w:rFonts w:ascii="Arial" w:cs="Arial" w:eastAsia="Arial" w:hAnsi="Arial"/>
          <w:sz w:val="19"/>
          <w:szCs w:val="19"/>
          <w:color w:val="auto"/>
        </w:rPr>
        <w:t xml:space="preserve">Agreement or any other Loan Document, (ii) the contents of any certificate, report or other document delivered hereunder or thereunder or in connection herewith or therewith (including any report provided to it by an Issuing Lender pursuant to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the satisfaction of any condition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elsewhere herein, other than to confirm receipt of items expressly required to be delivered to the Administrative Agent or (vii) the utilization of any Issuing Lender’s L/C Commitment (it being understood and agreed that each Issuing Lender shall monitor compliance with its own L/C Commitment without any further action by the Administrative Agent).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XI.4 </w:t>
      </w:r>
      <w:r>
        <w:rPr>
          <w:rFonts w:ascii="Arial" w:cs="Arial" w:eastAsia="Arial" w:hAnsi="Arial"/>
          <w:sz w:val="18"/>
          <w:szCs w:val="18"/>
          <w:u w:val="single" w:color="auto"/>
          <w:color w:val="auto"/>
        </w:rPr>
        <w:t>Reliance by the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Each Lender or Issuing Lender that has signed this Agreement or a signature page to an Assignment and Assumption or any other Loan Document pursuant to which it is to become a Lender or Issuing Lender hereunder shall be deemed to have consented to, approved and accepted and shall deemed satisfied with each document or other matter required thereunder to be consented to, approved or accepted by such Lender or Issuing Lender or that is to be acceptable or satisfactory to such Lender or Issuing Lender.</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XI.5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2" w:name="page213"/>
    <w:bookmarkEnd w:id="212"/>
    <w:p>
      <w:pPr>
        <w:ind w:left="660"/>
        <w:spacing w:after="0"/>
        <w:rPr>
          <w:sz w:val="20"/>
          <w:szCs w:val="20"/>
          <w:color w:val="auto"/>
        </w:rPr>
      </w:pPr>
      <w:r>
        <w:rPr>
          <w:rFonts w:ascii="Arial" w:cs="Arial" w:eastAsia="Arial" w:hAnsi="Arial"/>
          <w:sz w:val="20"/>
          <w:szCs w:val="20"/>
          <w:color w:val="auto"/>
        </w:rPr>
        <w:t xml:space="preserve">SECTION XI.6 </w:t>
      </w:r>
      <w:r>
        <w:rPr>
          <w:rFonts w:ascii="Arial" w:cs="Arial" w:eastAsia="Arial" w:hAnsi="Arial"/>
          <w:sz w:val="20"/>
          <w:szCs w:val="20"/>
          <w:u w:val="single" w:color="auto"/>
          <w:color w:val="auto"/>
        </w:rPr>
        <w:t>Resignation of Administrative Agent</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1" w:lineRule="auto"/>
        <w:tabs>
          <w:tab w:leader="none" w:pos="128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the Issuing Lenders and the Borrowers. Upon receipt of any such notice of resignation, the Required Lenders shall have the right, in consultation with the Borrowers, to appoint a successor, which shall be a bank or financial institution reasonably experienced in serving as administrative agent on syndicated bank facilities with an office in the United States, or an Affiliate of any such bank or financial institution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then the retiring Administrative Agent may (but shall not be obligated to), on behalf of the Lenders and the Issuing Lenders,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73" w:lineRule="exact"/>
        <w:rPr>
          <w:rFonts w:ascii="Arial" w:cs="Arial" w:eastAsia="Arial" w:hAnsi="Arial"/>
          <w:sz w:val="18"/>
          <w:szCs w:val="18"/>
          <w:color w:val="auto"/>
        </w:rPr>
      </w:pPr>
    </w:p>
    <w:p>
      <w:pPr>
        <w:jc w:val="both"/>
        <w:ind w:firstLine="656"/>
        <w:spacing w:after="0" w:line="243" w:lineRule="auto"/>
        <w:tabs>
          <w:tab w:leader="none" w:pos="1284"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Centuri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95" w:lineRule="exact"/>
        <w:rPr>
          <w:rFonts w:ascii="Arial" w:cs="Arial" w:eastAsia="Arial" w:hAnsi="Arial"/>
          <w:sz w:val="20"/>
          <w:szCs w:val="20"/>
          <w:color w:val="auto"/>
        </w:rPr>
      </w:pPr>
    </w:p>
    <w:p>
      <w:pPr>
        <w:jc w:val="both"/>
        <w:ind w:firstLine="656"/>
        <w:spacing w:after="0" w:line="269" w:lineRule="auto"/>
        <w:tabs>
          <w:tab w:leader="none" w:pos="128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 following its retirement or removal, including, without limitation, any actions taken with respect to acting as collateral agent or otherwise holding any Collateral on behalf of any of the Secured Parties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color w:val="auto"/>
        </w:rPr>
        <w:t>respect of any actions taken in connection with the transfer of agency to a replacement or successor Administrative Agent.</w:t>
      </w:r>
    </w:p>
    <w:p>
      <w:pPr>
        <w:spacing w:after="0" w:line="216" w:lineRule="exact"/>
        <w:rPr>
          <w:sz w:val="20"/>
          <w:szCs w:val="20"/>
          <w:color w:val="auto"/>
        </w:rPr>
      </w:pPr>
    </w:p>
    <w:p>
      <w:pPr>
        <w:jc w:val="both"/>
        <w:ind w:firstLine="656"/>
        <w:spacing w:after="0" w:line="257" w:lineRule="auto"/>
        <w:tabs>
          <w:tab w:leader="none" w:pos="128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(a) such successor shall succeed to and become vested with all of the rights, powers, privileges and duties of the retiring Issuing Lender, if in its sole discretion it elects to, and Swingline Lender, (b) the retiring Issuing Lender and 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XI.7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 xml:space="preserve">. Each Lender and each Issuing Lender expressly acknowledges that none of the Administrative Agent, any Arranger or any of their respective Related Parties has made any representations or warranties to it and that no act taken or failure to act by the Administrative Agent, any Arranger or any of their respective Related Parties, including any consent to, and acceptance of any assignment or review of the affairs of the Consolidated Companies and their Subsidiaries or Affiliates shall be deemed to constitute a representation or warranty of the Administrative Agent, any Arranger or any of their respective Related Parties to any Lender, any Issuing Lender or any other Secured Party as to any matter, including whether the Administrative Agent, any Arranger or any of their respective Related Parties have disclosed material information in their (or their respective Related Parties’) possession. Each Lender and each Issuing Lender expressly acknowledges, represents and warrants to the Administrative Agent and each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making, acquiring, purchasing or holding any other type of financial instrument,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Administrative Agent, any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Consolidated Companies and their Subsidiaries, all applicable bank or other regulatory Applicable Laws relating to the Transactions and the transactions contemplated by this Agreement and the other Loan Documents and (e) it has made its own independent decision to enter into this Agreement and the other Loan Documents to which it is a party and to extend credit hereunder and thereunder. Each Lender and each Issuing Lender also acknowledges that (i) it will, independently and without reliance upon the Administrative Agent, any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Consolidated Companies and their Subsidiaries and (ii) it will not assert any claim in contravention of this </w:t>
      </w:r>
      <w:r>
        <w:rPr>
          <w:rFonts w:ascii="Arial" w:cs="Arial" w:eastAsia="Arial" w:hAnsi="Arial"/>
          <w:sz w:val="18"/>
          <w:szCs w:val="18"/>
          <w:u w:val="single" w:color="auto"/>
          <w:color w:val="auto"/>
        </w:rPr>
        <w:t>Section 11.7</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4" w:name="page215"/>
    <w:bookmarkEnd w:id="214"/>
    <w:p>
      <w:pPr>
        <w:jc w:val="both"/>
        <w:ind w:firstLine="648"/>
        <w:spacing w:after="0" w:line="282" w:lineRule="auto"/>
        <w:rPr>
          <w:sz w:val="20"/>
          <w:szCs w:val="20"/>
          <w:color w:val="auto"/>
        </w:rPr>
      </w:pPr>
      <w:r>
        <w:rPr>
          <w:rFonts w:ascii="Arial" w:cs="Arial" w:eastAsia="Arial" w:hAnsi="Arial"/>
          <w:sz w:val="18"/>
          <w:szCs w:val="18"/>
          <w:color w:val="auto"/>
        </w:rPr>
        <w:t xml:space="preserve">SECTION XI.8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XI.9 </w:t>
      </w:r>
      <w:r>
        <w:rPr>
          <w:rFonts w:ascii="Arial" w:cs="Arial" w:eastAsia="Arial" w:hAnsi="Arial"/>
          <w:sz w:val="20"/>
          <w:szCs w:val="20"/>
          <w:u w:val="single" w:color="auto"/>
          <w:color w:val="auto"/>
        </w:rPr>
        <w:t>Collateral and Guaranty Matters</w:t>
      </w:r>
      <w:r>
        <w:rPr>
          <w:rFonts w:ascii="Arial" w:cs="Arial" w:eastAsia="Arial" w:hAnsi="Arial"/>
          <w:sz w:val="20"/>
          <w:szCs w:val="20"/>
          <w:color w:val="auto"/>
        </w:rPr>
        <w:t>.</w:t>
      </w:r>
    </w:p>
    <w:p>
      <w:pPr>
        <w:spacing w:after="0" w:line="216" w:lineRule="exact"/>
        <w:rPr>
          <w:sz w:val="20"/>
          <w:szCs w:val="20"/>
          <w:color w:val="auto"/>
        </w:rPr>
      </w:pPr>
    </w:p>
    <w:p>
      <w:pPr>
        <w:ind w:right="20" w:firstLine="656"/>
        <w:spacing w:after="0" w:line="260" w:lineRule="auto"/>
        <w:tabs>
          <w:tab w:leader="none" w:pos="1286" w:val="left"/>
        </w:tabs>
        <w:numPr>
          <w:ilvl w:val="0"/>
          <w:numId w:val="199"/>
        </w:numPr>
        <w:rPr>
          <w:rFonts w:ascii="Arial" w:cs="Arial" w:eastAsia="Arial" w:hAnsi="Arial"/>
          <w:sz w:val="20"/>
          <w:szCs w:val="20"/>
          <w:color w:val="auto"/>
        </w:rPr>
      </w:pPr>
      <w:r>
        <w:rPr>
          <w:rFonts w:ascii="Arial" w:cs="Arial" w:eastAsia="Arial" w:hAnsi="Arial"/>
          <w:sz w:val="20"/>
          <w:szCs w:val="20"/>
          <w:color w:val="auto"/>
        </w:rPr>
        <w:t>Each of the Lenders (including in its or any of its Affiliate’s capacities as a holder of Secured Hedge Obligations and Secured Cash Management Obligations) irrevocably authorize the Administrative Agent:</w:t>
      </w:r>
    </w:p>
    <w:p>
      <w:pPr>
        <w:spacing w:after="0" w:line="176" w:lineRule="exact"/>
        <w:rPr>
          <w:rFonts w:ascii="Arial" w:cs="Arial" w:eastAsia="Arial" w:hAnsi="Arial"/>
          <w:sz w:val="20"/>
          <w:szCs w:val="20"/>
          <w:color w:val="auto"/>
        </w:rPr>
      </w:pPr>
    </w:p>
    <w:p>
      <w:pPr>
        <w:jc w:val="both"/>
        <w:ind w:left="660" w:firstLine="644"/>
        <w:spacing w:after="0" w:line="302" w:lineRule="auto"/>
        <w:tabs>
          <w:tab w:leader="none" w:pos="1954"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to release any Lien on any Collateral granted to or held by the Administrative Agent, for the ratable benefit of the Secured Parties, under any Loan Document (A) upon the termination of the Revolving Credit Commitment and payment in full of all Secured Obligations (other than (1) contingent indemnification obligations and (2) Secured Cash Management Obligations or Secured Hedge Obligations) and the expiration or termination of all Letters of Credit (other than Letters of Credit which have been Cash Collateralized or as to which other arrangements satisfactory to the Administrative Agent and the applicable Issuing Lender shall have been made), (B) that is sold or otherwise disposed of or to be sold or otherwise disposed of as part of or in connection with any sale or other disposition to a Person other than a Credit Party permitted under the Loan Documents, as certified by Centuri, or</w:t>
      </w:r>
    </w:p>
    <w:p>
      <w:pPr>
        <w:spacing w:after="0" w:line="1" w:lineRule="exact"/>
        <w:rPr>
          <w:rFonts w:ascii="Arial" w:cs="Arial" w:eastAsia="Arial" w:hAnsi="Arial"/>
          <w:sz w:val="16"/>
          <w:szCs w:val="16"/>
          <w:color w:val="auto"/>
        </w:rPr>
      </w:pPr>
    </w:p>
    <w:p>
      <w:pPr>
        <w:ind w:left="660"/>
        <w:spacing w:after="0" w:line="244" w:lineRule="auto"/>
        <w:rPr>
          <w:rFonts w:ascii="Arial" w:cs="Arial" w:eastAsia="Arial" w:hAnsi="Arial"/>
          <w:sz w:val="16"/>
          <w:szCs w:val="16"/>
          <w:color w:val="auto"/>
        </w:rPr>
      </w:pPr>
      <w:r>
        <w:rPr>
          <w:rFonts w:ascii="Arial" w:cs="Arial" w:eastAsia="Arial" w:hAnsi="Arial"/>
          <w:sz w:val="20"/>
          <w:szCs w:val="20"/>
          <w:color w:val="auto"/>
        </w:rPr>
        <w:t xml:space="preserve">(C) if approved, authorized or ratified in writing by the Required Lenders in accordance with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release of all or substantially of the Collateral shall be subject to </w:t>
      </w:r>
      <w:r>
        <w:rPr>
          <w:rFonts w:ascii="Arial" w:cs="Arial" w:eastAsia="Arial" w:hAnsi="Arial"/>
          <w:sz w:val="20"/>
          <w:szCs w:val="20"/>
          <w:u w:val="single" w:color="auto"/>
          <w:color w:val="auto"/>
        </w:rPr>
        <w:t>Section 12.2(j)</w:t>
      </w:r>
      <w:r>
        <w:rPr>
          <w:rFonts w:ascii="Arial" w:cs="Arial" w:eastAsia="Arial" w:hAnsi="Arial"/>
          <w:sz w:val="20"/>
          <w:szCs w:val="20"/>
          <w:color w:val="auto"/>
        </w:rPr>
        <w:t>;</w:t>
      </w:r>
    </w:p>
    <w:p>
      <w:pPr>
        <w:spacing w:after="0" w:line="191" w:lineRule="exact"/>
        <w:rPr>
          <w:rFonts w:ascii="Arial" w:cs="Arial" w:eastAsia="Arial" w:hAnsi="Arial"/>
          <w:sz w:val="16"/>
          <w:szCs w:val="16"/>
          <w:color w:val="auto"/>
        </w:rPr>
      </w:pPr>
    </w:p>
    <w:p>
      <w:pPr>
        <w:jc w:val="both"/>
        <w:ind w:left="660" w:firstLine="644"/>
        <w:spacing w:after="0" w:line="250" w:lineRule="auto"/>
        <w:tabs>
          <w:tab w:leader="none" w:pos="1955" w:val="left"/>
        </w:tabs>
        <w:numPr>
          <w:ilvl w:val="1"/>
          <w:numId w:val="199"/>
        </w:numPr>
        <w:rPr>
          <w:rFonts w:ascii="Arial" w:cs="Arial" w:eastAsia="Arial" w:hAnsi="Arial"/>
          <w:sz w:val="20"/>
          <w:szCs w:val="20"/>
          <w:color w:val="auto"/>
        </w:rPr>
      </w:pPr>
      <w:r>
        <w:rPr>
          <w:rFonts w:ascii="Arial" w:cs="Arial" w:eastAsia="Arial" w:hAnsi="Arial"/>
          <w:sz w:val="20"/>
          <w:szCs w:val="20"/>
          <w:color w:val="auto"/>
        </w:rPr>
        <w:t xml:space="preserve">to subordinate any Lien on any Collateral granted to or held by the Administrative Agent under any Loan Document to the holder of any Lien permitted pursuant to </w:t>
      </w:r>
      <w:r>
        <w:rPr>
          <w:rFonts w:ascii="Arial" w:cs="Arial" w:eastAsia="Arial" w:hAnsi="Arial"/>
          <w:sz w:val="20"/>
          <w:szCs w:val="20"/>
          <w:u w:val="single" w:color="auto"/>
          <w:color w:val="auto"/>
        </w:rPr>
        <w:t>Section 9.2(h)</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subordination of all or substantially all of the Collateral shall be subject to </w:t>
      </w:r>
      <w:r>
        <w:rPr>
          <w:rFonts w:ascii="Arial" w:cs="Arial" w:eastAsia="Arial" w:hAnsi="Arial"/>
          <w:sz w:val="20"/>
          <w:szCs w:val="20"/>
          <w:u w:val="single" w:color="auto"/>
          <w:color w:val="auto"/>
        </w:rPr>
        <w:t>Section 12.2(j)</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1"/>
          <w:numId w:val="199"/>
        </w:numPr>
        <w:rPr>
          <w:rFonts w:ascii="Arial" w:cs="Arial" w:eastAsia="Arial" w:hAnsi="Arial"/>
          <w:sz w:val="20"/>
          <w:szCs w:val="20"/>
          <w:color w:val="auto"/>
        </w:rPr>
      </w:pPr>
      <w:r>
        <w:rPr>
          <w:rFonts w:ascii="Arial" w:cs="Arial" w:eastAsia="Arial" w:hAnsi="Arial"/>
          <w:sz w:val="20"/>
          <w:szCs w:val="20"/>
          <w:color w:val="auto"/>
        </w:rPr>
        <w:t xml:space="preserve">to release any Subsidiary Guarantor from its obligations under any Loan Documents if such Person ceases to be a Subsidiary as a result of a transaction permitted under the Loan Documents, as certified by Centuri;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release of Subsidiary Guarantors comprising substantially all of the credit support for the Secured Obligations shall be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12.2(i)</w:t>
      </w:r>
      <w:r>
        <w:rPr>
          <w:rFonts w:ascii="Arial" w:cs="Arial" w:eastAsia="Arial" w:hAnsi="Arial"/>
          <w:sz w:val="20"/>
          <w:szCs w:val="20"/>
          <w:color w:val="auto"/>
        </w:rPr>
        <w:t>.</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any Guaranty Agreement pursuant to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Subsidiary Guarantor from its obligations under such Guaranty Agreement, in each case in accordance with the terms of the Loan Documents and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In the case of any such sale, transfer or disposal of any property constituting Collateral in a transaction constituting an Asset Disposition permitted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to a Person other than a Credit Party, the Liens created by any of the Security Documents on such property shall be automatically released without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5" w:name="page216"/>
    <w:bookmarkEnd w:id="215"/>
    <w:p>
      <w:pPr>
        <w:jc w:val="both"/>
        <w:spacing w:after="0" w:line="259" w:lineRule="auto"/>
        <w:rPr>
          <w:sz w:val="20"/>
          <w:szCs w:val="20"/>
          <w:color w:val="auto"/>
        </w:rPr>
      </w:pPr>
      <w:r>
        <w:rPr>
          <w:rFonts w:ascii="Arial" w:cs="Arial" w:eastAsia="Arial" w:hAnsi="Arial"/>
          <w:sz w:val="19"/>
          <w:szCs w:val="19"/>
          <w:color w:val="auto"/>
        </w:rPr>
        <w:t xml:space="preserve">for further action by any person. Notwithstanding anything to the contrary in this Agreement or in any other Loan Document, without the consent of the Required Lenders, no Credit Party shall be released from its obligations under the Loan Documents if such Credit Party ceases to be a Wholly Owned Subsidiary solely by virtue of a disposition or issuance of Equity Interests, unless (x) such disposition or issuance is a good faith disposition or issuance to a bona-fide unaffiliated third party whose primary purpose is not the release of the Guarantee and obligations of such Credit Party under the Loan Documents and (y) the Investment of the Credit Parties in such Subsidiary shall be deemed a de novo Investment as at that time and such Investment shall be permitted under </w:t>
      </w:r>
      <w:r>
        <w:rPr>
          <w:rFonts w:ascii="Arial" w:cs="Arial" w:eastAsia="Arial" w:hAnsi="Arial"/>
          <w:sz w:val="19"/>
          <w:szCs w:val="19"/>
          <w:u w:val="single" w:color="auto"/>
          <w:color w:val="auto"/>
        </w:rPr>
        <w:t>Section 9.3</w:t>
      </w:r>
      <w:r>
        <w:rPr>
          <w:rFonts w:ascii="Arial" w:cs="Arial" w:eastAsia="Arial" w:hAnsi="Arial"/>
          <w:sz w:val="19"/>
          <w:szCs w:val="19"/>
          <w:color w:val="auto"/>
        </w:rPr>
        <w:t>.</w:t>
      </w:r>
    </w:p>
    <w:p>
      <w:pPr>
        <w:spacing w:after="0" w:line="178" w:lineRule="exact"/>
        <w:rPr>
          <w:sz w:val="20"/>
          <w:szCs w:val="20"/>
          <w:color w:val="auto"/>
        </w:rPr>
      </w:pPr>
    </w:p>
    <w:p>
      <w:pPr>
        <w:jc w:val="both"/>
        <w:ind w:firstLine="656"/>
        <w:spacing w:after="0" w:line="246" w:lineRule="auto"/>
        <w:tabs>
          <w:tab w:leader="none" w:pos="128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XI.10 </w:t>
      </w:r>
      <w:r>
        <w:rPr>
          <w:rFonts w:ascii="Arial" w:cs="Arial" w:eastAsia="Arial" w:hAnsi="Arial"/>
          <w:sz w:val="19"/>
          <w:szCs w:val="19"/>
          <w:u w:val="single" w:color="auto"/>
          <w:color w:val="auto"/>
        </w:rPr>
        <w:t>Secured Hedge Agreements and Secured Cash Management Agreements</w:t>
      </w:r>
      <w:r>
        <w:rPr>
          <w:rFonts w:ascii="Arial" w:cs="Arial" w:eastAsia="Arial" w:hAnsi="Arial"/>
          <w:sz w:val="19"/>
          <w:szCs w:val="19"/>
          <w:color w:val="auto"/>
        </w:rPr>
        <w:t xml:space="preserve">. No Cash Management Bank or Hedge Bank that obtains the benefits of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Guarantee or any Security Document, other than in its capacity as a Lender and, in such case, only to the extent expressly provided in the Loan Documents. Except as expressly provided in </w:t>
      </w:r>
      <w:r>
        <w:rPr>
          <w:rFonts w:ascii="Arial" w:cs="Arial" w:eastAsia="Arial" w:hAnsi="Arial"/>
          <w:sz w:val="19"/>
          <w:szCs w:val="19"/>
          <w:u w:val="single" w:color="auto"/>
          <w:color w:val="auto"/>
        </w:rPr>
        <w:t>Section 10.4</w:t>
      </w:r>
      <w:r>
        <w:rPr>
          <w:rFonts w:ascii="Arial" w:cs="Arial" w:eastAsia="Arial" w:hAnsi="Arial"/>
          <w:sz w:val="19"/>
          <w:szCs w:val="19"/>
          <w:color w:val="auto"/>
        </w:rPr>
        <w:t>, the Administrative Agent shall not be required to verify the payment of, or that other satisfactory arrangements have been made with respect to, Secured Cash Management Agreements and Secured Hedge Agreements.</w:t>
      </w:r>
    </w:p>
    <w:p>
      <w:pPr>
        <w:spacing w:after="0" w:line="180"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XI.11</w:t>
      </w:r>
      <w:r>
        <w:rPr>
          <w:sz w:val="20"/>
          <w:szCs w:val="20"/>
          <w:color w:val="auto"/>
        </w:rPr>
        <w:tab/>
      </w:r>
      <w:r>
        <w:rPr>
          <w:rFonts w:ascii="Arial" w:cs="Arial" w:eastAsia="Arial" w:hAnsi="Arial"/>
          <w:sz w:val="16"/>
          <w:szCs w:val="16"/>
          <w:u w:val="single" w:color="auto"/>
          <w:color w:val="auto"/>
        </w:rPr>
        <w:t>Erroneous Payments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9" w:lineRule="auto"/>
        <w:tabs>
          <w:tab w:leader="none" w:pos="128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 or any of its Affiliates, either for its own account or on behalf of a Lender, Issuing Lender or other Secured Party (each such recipient, a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Recipient</w:t>
      </w:r>
      <w:r>
        <w:rPr>
          <w:rFonts w:ascii="Arial" w:cs="Arial" w:eastAsia="Arial" w:hAnsi="Arial"/>
          <w:sz w:val="18"/>
          <w:szCs w:val="18"/>
          <w:color w:val="auto"/>
        </w:rPr>
        <w:t xml:space="preserve">”) that the Administrative Agent has determined in its reasonable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 an error in payment shall be presumed to have been made (any such amounts specified in clauses (i) or (ii) of this </w:t>
      </w:r>
      <w:r>
        <w:rPr>
          <w:rFonts w:ascii="Arial" w:cs="Arial" w:eastAsia="Arial" w:hAnsi="Arial"/>
          <w:sz w:val="18"/>
          <w:szCs w:val="18"/>
          <w:u w:val="single" w:color="auto"/>
          <w:color w:val="auto"/>
        </w:rPr>
        <w:t>Section 11.11(a),</w:t>
      </w:r>
      <w:r>
        <w:rPr>
          <w:rFonts w:ascii="Arial" w:cs="Arial" w:eastAsia="Arial" w:hAnsi="Arial"/>
          <w:sz w:val="18"/>
          <w:szCs w:val="18"/>
          <w:color w:val="auto"/>
        </w:rPr>
        <w:t xml:space="preserve"> whether received as a payment, prepayment or repayment of principal, interest, fees, distribution or otherwise; individually and collectively, an “</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and (B) such Payment Recipient is deemed to have knowledge of such error at the time of its receipt of such Erroneous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require the Administrative Agent to provide any of the notices specified in clauses (i) or (ii) above.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6" w:name="page217"/>
    <w:bookmarkEnd w:id="216"/>
    <w:p>
      <w:pPr>
        <w:jc w:val="both"/>
        <w:spacing w:after="0" w:line="291" w:lineRule="auto"/>
        <w:rPr>
          <w:sz w:val="20"/>
          <w:szCs w:val="20"/>
          <w:color w:val="auto"/>
        </w:rPr>
      </w:pPr>
      <w:r>
        <w:rPr>
          <w:rFonts w:ascii="Arial" w:cs="Arial" w:eastAsia="Arial" w:hAnsi="Arial"/>
          <w:sz w:val="18"/>
          <w:szCs w:val="18"/>
          <w:color w:val="auto"/>
        </w:rPr>
        <w:t>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52" w:lineRule="exact"/>
        <w:rPr>
          <w:sz w:val="20"/>
          <w:szCs w:val="20"/>
          <w:color w:val="auto"/>
        </w:rPr>
      </w:pPr>
    </w:p>
    <w:p>
      <w:pPr>
        <w:ind w:firstLine="656"/>
        <w:spacing w:after="0" w:line="260" w:lineRule="auto"/>
        <w:tabs>
          <w:tab w:leader="none" w:pos="128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Without limiting the immediately preceding clause (a), each Payment Recipient agrees that, in the case of clause (a)(ii) above, it shall promptly notify the Administrative Agent in writing of such occurrence.</w:t>
      </w:r>
    </w:p>
    <w:p>
      <w:pPr>
        <w:spacing w:after="0" w:line="176" w:lineRule="exact"/>
        <w:rPr>
          <w:rFonts w:ascii="Arial" w:cs="Arial" w:eastAsia="Arial" w:hAnsi="Arial"/>
          <w:sz w:val="20"/>
          <w:szCs w:val="20"/>
          <w:color w:val="auto"/>
        </w:rPr>
      </w:pPr>
    </w:p>
    <w:p>
      <w:pPr>
        <w:jc w:val="both"/>
        <w:ind w:firstLine="656"/>
        <w:spacing w:after="0" w:line="242" w:lineRule="auto"/>
        <w:tabs>
          <w:tab w:leader="none" w:pos="1286"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and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at the Overnight Rate.</w:t>
      </w:r>
    </w:p>
    <w:p>
      <w:pPr>
        <w:spacing w:after="0" w:line="194" w:lineRule="exact"/>
        <w:rPr>
          <w:rFonts w:ascii="Arial" w:cs="Arial" w:eastAsia="Arial" w:hAnsi="Arial"/>
          <w:sz w:val="20"/>
          <w:szCs w:val="20"/>
          <w:color w:val="auto"/>
        </w:rPr>
      </w:pPr>
    </w:p>
    <w:p>
      <w:pPr>
        <w:jc w:val="both"/>
        <w:ind w:firstLine="656"/>
        <w:spacing w:after="0" w:line="269" w:lineRule="auto"/>
        <w:tabs>
          <w:tab w:leader="none" w:pos="128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Arial" w:cs="Arial" w:eastAsia="Arial" w:hAnsi="Arial"/>
          <w:sz w:val="18"/>
          <w:szCs w:val="18"/>
          <w:u w:val="single" w:color="auto"/>
          <w:color w:val="auto"/>
        </w:rPr>
        <w:t>Erroneous Payment Impacted Class</w:t>
      </w:r>
      <w:r>
        <w:rPr>
          <w:rFonts w:ascii="Arial" w:cs="Arial" w:eastAsia="Arial" w:hAnsi="Arial"/>
          <w:sz w:val="18"/>
          <w:szCs w:val="18"/>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(3) the Administrative Agent may reflect such assignments in the Register without further consent or action by any other Person.</w:t>
      </w:r>
    </w:p>
    <w:p>
      <w:pPr>
        <w:spacing w:after="0" w:line="171" w:lineRule="exact"/>
        <w:rPr>
          <w:rFonts w:ascii="Arial" w:cs="Arial" w:eastAsia="Arial" w:hAnsi="Arial"/>
          <w:sz w:val="18"/>
          <w:szCs w:val="18"/>
          <w:color w:val="auto"/>
        </w:rPr>
      </w:pPr>
    </w:p>
    <w:p>
      <w:pPr>
        <w:jc w:val="both"/>
        <w:ind w:firstLine="656"/>
        <w:spacing w:after="0" w:line="250" w:lineRule="auto"/>
        <w:tabs>
          <w:tab w:leader="none" w:pos="1286"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7" w:name="page218"/>
    <w:bookmarkEnd w:id="217"/>
    <w:p>
      <w:pPr>
        <w:jc w:val="both"/>
        <w:spacing w:after="0" w:line="271" w:lineRule="auto"/>
        <w:rPr>
          <w:sz w:val="20"/>
          <w:szCs w:val="20"/>
          <w:color w:val="auto"/>
        </w:rPr>
      </w:pPr>
      <w:r>
        <w:rPr>
          <w:rFonts w:ascii="Arial" w:cs="Arial" w:eastAsia="Arial" w:hAnsi="Arial"/>
          <w:sz w:val="18"/>
          <w:szCs w:val="18"/>
          <w:color w:val="auto"/>
        </w:rPr>
        <w:t xml:space="preserve">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Credit Party, except, in each case, to the extent such Erroneous Payment is, and solely with respect to the amount of such Erroneous Payment that is, comprised of funds received by the Administrative Agent from the Borrowers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74" w:lineRule="exact"/>
        <w:rPr>
          <w:sz w:val="20"/>
          <w:szCs w:val="20"/>
          <w:color w:val="auto"/>
        </w:rPr>
      </w:pPr>
    </w:p>
    <w:p>
      <w:pPr>
        <w:jc w:val="both"/>
        <w:ind w:firstLine="656"/>
        <w:spacing w:after="0" w:line="250" w:lineRule="auto"/>
        <w:tabs>
          <w:tab w:leader="none" w:pos="1291"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11.11</w:t>
      </w:r>
      <w:r>
        <w:rPr>
          <w:rFonts w:ascii="Arial" w:cs="Arial" w:eastAsia="Arial" w:hAnsi="Arial"/>
          <w:sz w:val="20"/>
          <w:szCs w:val="20"/>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85" w:lineRule="exact"/>
        <w:rPr>
          <w:rFonts w:ascii="Arial" w:cs="Arial" w:eastAsia="Arial" w:hAnsi="Arial"/>
          <w:sz w:val="20"/>
          <w:szCs w:val="20"/>
          <w:color w:val="auto"/>
        </w:rPr>
      </w:pPr>
    </w:p>
    <w:p>
      <w:pPr>
        <w:ind w:firstLine="656"/>
        <w:spacing w:after="0" w:line="260" w:lineRule="auto"/>
        <w:tabs>
          <w:tab w:leader="none" w:pos="1284"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Nothing in this </w:t>
      </w:r>
      <w:r>
        <w:rPr>
          <w:rFonts w:ascii="Arial" w:cs="Arial" w:eastAsia="Arial" w:hAnsi="Arial"/>
          <w:sz w:val="20"/>
          <w:szCs w:val="20"/>
          <w:u w:val="single" w:color="auto"/>
          <w:color w:val="auto"/>
        </w:rPr>
        <w:t>Section 11.11</w:t>
      </w:r>
      <w:r>
        <w:rPr>
          <w:rFonts w:ascii="Arial" w:cs="Arial" w:eastAsia="Arial" w:hAnsi="Arial"/>
          <w:sz w:val="20"/>
          <w:szCs w:val="20"/>
          <w:color w:val="auto"/>
        </w:rPr>
        <w:t xml:space="preserve"> will constitute a waiver or release of any claim of any party hereunder arising from any Payment Recipient’s receipt of an Erroneous Payment.</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ARTICLE XII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XII.1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91" w:lineRule="auto"/>
        <w:tabs>
          <w:tab w:leader="none" w:pos="128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the Borrowers:</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Centuri Group, Inc.</w:t>
      </w:r>
    </w:p>
    <w:p>
      <w:pPr>
        <w:ind w:left="2600"/>
        <w:spacing w:after="0" w:line="204" w:lineRule="auto"/>
        <w:rPr>
          <w:sz w:val="20"/>
          <w:szCs w:val="20"/>
          <w:color w:val="auto"/>
        </w:rPr>
      </w:pPr>
      <w:r>
        <w:rPr>
          <w:rFonts w:ascii="Arial" w:cs="Arial" w:eastAsia="Arial" w:hAnsi="Arial"/>
          <w:sz w:val="20"/>
          <w:szCs w:val="20"/>
          <w:color w:val="auto"/>
        </w:rPr>
        <w:t>19820 North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Avenue, #120</w:t>
      </w:r>
    </w:p>
    <w:p>
      <w:pPr>
        <w:ind w:left="2600"/>
        <w:spacing w:after="0"/>
        <w:rPr>
          <w:sz w:val="20"/>
          <w:szCs w:val="20"/>
          <w:color w:val="auto"/>
        </w:rPr>
      </w:pPr>
      <w:r>
        <w:rPr>
          <w:rFonts w:ascii="Arial" w:cs="Arial" w:eastAsia="Arial" w:hAnsi="Arial"/>
          <w:sz w:val="20"/>
          <w:szCs w:val="20"/>
          <w:color w:val="auto"/>
        </w:rPr>
        <w:t>Phoenix, Arizona 85027</w:t>
      </w:r>
    </w:p>
    <w:p>
      <w:pPr>
        <w:ind w:left="2600"/>
        <w:spacing w:after="0"/>
        <w:rPr>
          <w:sz w:val="20"/>
          <w:szCs w:val="20"/>
          <w:color w:val="auto"/>
        </w:rPr>
      </w:pPr>
      <w:r>
        <w:rPr>
          <w:rFonts w:ascii="Arial" w:cs="Arial" w:eastAsia="Arial" w:hAnsi="Arial"/>
          <w:sz w:val="20"/>
          <w:szCs w:val="20"/>
          <w:color w:val="auto"/>
        </w:rPr>
        <w:t>Attention of: Jason Wilcock, Executive Vice President/General Counsel and Corporate Secretary</w:t>
      </w:r>
    </w:p>
    <w:p>
      <w:pPr>
        <w:ind w:left="2600"/>
        <w:spacing w:after="0"/>
        <w:rPr>
          <w:sz w:val="20"/>
          <w:szCs w:val="20"/>
          <w:color w:val="auto"/>
        </w:rPr>
      </w:pPr>
      <w:r>
        <w:rPr>
          <w:rFonts w:ascii="Arial" w:cs="Arial" w:eastAsia="Arial" w:hAnsi="Arial"/>
          <w:sz w:val="20"/>
          <w:szCs w:val="20"/>
          <w:color w:val="auto"/>
        </w:rPr>
        <w:t>Telephone No.: (623) 582-1235</w:t>
      </w:r>
    </w:p>
    <w:p>
      <w:pPr>
        <w:ind w:left="2600"/>
        <w:spacing w:after="0"/>
        <w:rPr>
          <w:sz w:val="20"/>
          <w:szCs w:val="20"/>
          <w:color w:val="auto"/>
        </w:rPr>
      </w:pPr>
      <w:r>
        <w:rPr>
          <w:rFonts w:ascii="Arial" w:cs="Arial" w:eastAsia="Arial" w:hAnsi="Arial"/>
          <w:sz w:val="20"/>
          <w:szCs w:val="20"/>
          <w:color w:val="auto"/>
        </w:rPr>
        <w:t>Facsimile No.: (623) 582-6853</w:t>
      </w:r>
    </w:p>
    <w:p>
      <w:pPr>
        <w:ind w:left="2600"/>
        <w:spacing w:after="0"/>
        <w:rPr>
          <w:sz w:val="20"/>
          <w:szCs w:val="20"/>
          <w:color w:val="auto"/>
        </w:rPr>
      </w:pPr>
      <w:r>
        <w:rPr>
          <w:rFonts w:ascii="Arial" w:cs="Arial" w:eastAsia="Arial" w:hAnsi="Arial"/>
          <w:sz w:val="20"/>
          <w:szCs w:val="20"/>
          <w:color w:val="auto"/>
        </w:rPr>
        <w:t>E-mail: jwilcock@NextCenturi.com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copies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Southwest Gas Holdings,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5241 Spring Mountain Road</w:t>
      </w:r>
    </w:p>
    <w:p>
      <w:pPr>
        <w:ind w:left="2600"/>
        <w:spacing w:after="0"/>
        <w:rPr>
          <w:sz w:val="20"/>
          <w:szCs w:val="20"/>
          <w:color w:val="auto"/>
        </w:rPr>
      </w:pPr>
      <w:r>
        <w:rPr>
          <w:rFonts w:ascii="Arial" w:cs="Arial" w:eastAsia="Arial" w:hAnsi="Arial"/>
          <w:sz w:val="20"/>
          <w:szCs w:val="20"/>
          <w:color w:val="auto"/>
        </w:rPr>
        <w:t>Las Vegas, NV 89150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18" w:name="page219"/>
    <w:bookmarkEnd w:id="218"/>
    <w:p>
      <w:pPr>
        <w:spacing w:after="0" w:line="20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of: Karen S. Haller, General Counsel</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Telephone No.: (702) 364-3191</w:t>
      </w:r>
    </w:p>
    <w:p>
      <w:pPr>
        <w:ind w:left="2600"/>
        <w:spacing w:after="0"/>
        <w:rPr>
          <w:sz w:val="20"/>
          <w:szCs w:val="20"/>
          <w:color w:val="auto"/>
        </w:rPr>
      </w:pPr>
      <w:r>
        <w:rPr>
          <w:rFonts w:ascii="Arial" w:cs="Arial" w:eastAsia="Arial" w:hAnsi="Arial"/>
          <w:sz w:val="20"/>
          <w:szCs w:val="20"/>
          <w:color w:val="auto"/>
        </w:rPr>
        <w:t>Facsimile No.: (702) 364-3452</w:t>
      </w:r>
    </w:p>
    <w:p>
      <w:pPr>
        <w:ind w:left="2600"/>
        <w:spacing w:after="0"/>
        <w:rPr>
          <w:sz w:val="20"/>
          <w:szCs w:val="20"/>
          <w:color w:val="auto"/>
        </w:rPr>
      </w:pPr>
      <w:r>
        <w:rPr>
          <w:rFonts w:ascii="Arial" w:cs="Arial" w:eastAsia="Arial" w:hAnsi="Arial"/>
          <w:sz w:val="20"/>
          <w:szCs w:val="20"/>
          <w:color w:val="auto"/>
        </w:rPr>
        <w:t>E-mail: karen.haller@swgas.com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Foley &amp; Lardner LLP</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777 East Wisconsin Avenue</w:t>
      </w:r>
    </w:p>
    <w:p>
      <w:pPr>
        <w:ind w:left="2600"/>
        <w:spacing w:after="0"/>
        <w:rPr>
          <w:sz w:val="20"/>
          <w:szCs w:val="20"/>
          <w:color w:val="auto"/>
        </w:rPr>
      </w:pPr>
      <w:r>
        <w:rPr>
          <w:rFonts w:ascii="Arial" w:cs="Arial" w:eastAsia="Arial" w:hAnsi="Arial"/>
          <w:sz w:val="20"/>
          <w:szCs w:val="20"/>
          <w:color w:val="auto"/>
        </w:rPr>
        <w:t>Milwaukee, WI 53202-5306</w:t>
      </w:r>
    </w:p>
    <w:p>
      <w:pPr>
        <w:ind w:left="2600"/>
        <w:spacing w:after="0"/>
        <w:rPr>
          <w:sz w:val="20"/>
          <w:szCs w:val="20"/>
          <w:color w:val="auto"/>
        </w:rPr>
      </w:pPr>
      <w:r>
        <w:rPr>
          <w:rFonts w:ascii="Arial" w:cs="Arial" w:eastAsia="Arial" w:hAnsi="Arial"/>
          <w:sz w:val="20"/>
          <w:szCs w:val="20"/>
          <w:color w:val="auto"/>
        </w:rPr>
        <w:t>Attention of: Heidi M. Furlong</w:t>
      </w:r>
    </w:p>
    <w:p>
      <w:pPr>
        <w:ind w:left="2600"/>
        <w:spacing w:after="0"/>
        <w:rPr>
          <w:sz w:val="20"/>
          <w:szCs w:val="20"/>
          <w:color w:val="auto"/>
        </w:rPr>
      </w:pPr>
      <w:r>
        <w:rPr>
          <w:rFonts w:ascii="Arial" w:cs="Arial" w:eastAsia="Arial" w:hAnsi="Arial"/>
          <w:sz w:val="20"/>
          <w:szCs w:val="20"/>
          <w:color w:val="auto"/>
        </w:rPr>
        <w:t>Telephone No.: (414) 297-5620</w:t>
      </w:r>
    </w:p>
    <w:p>
      <w:pPr>
        <w:ind w:left="2600"/>
        <w:spacing w:after="0"/>
        <w:rPr>
          <w:sz w:val="20"/>
          <w:szCs w:val="20"/>
          <w:color w:val="auto"/>
        </w:rPr>
      </w:pPr>
      <w:r>
        <w:rPr>
          <w:rFonts w:ascii="Arial" w:cs="Arial" w:eastAsia="Arial" w:hAnsi="Arial"/>
          <w:sz w:val="20"/>
          <w:szCs w:val="20"/>
          <w:color w:val="auto"/>
        </w:rPr>
        <w:t>Facsimile: (414) 297-4900</w:t>
      </w:r>
    </w:p>
    <w:p>
      <w:pPr>
        <w:ind w:left="2600"/>
        <w:spacing w:after="0"/>
        <w:rPr>
          <w:sz w:val="20"/>
          <w:szCs w:val="20"/>
          <w:color w:val="auto"/>
        </w:rPr>
      </w:pPr>
      <w:r>
        <w:rPr>
          <w:rFonts w:ascii="Arial" w:cs="Arial" w:eastAsia="Arial" w:hAnsi="Arial"/>
          <w:sz w:val="20"/>
          <w:szCs w:val="20"/>
          <w:color w:val="auto"/>
        </w:rPr>
        <w:t>E-mail: HFurlong@foley.com</w:t>
      </w:r>
    </w:p>
    <w:p>
      <w:pPr>
        <w:spacing w:after="0" w:line="22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Wells Fargo as</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MAC D1109-019</w:t>
      </w:r>
    </w:p>
    <w:p>
      <w:pPr>
        <w:ind w:left="2600"/>
        <w:spacing w:after="0"/>
        <w:rPr>
          <w:sz w:val="20"/>
          <w:szCs w:val="20"/>
          <w:color w:val="auto"/>
        </w:rPr>
      </w:pPr>
      <w:r>
        <w:rPr>
          <w:rFonts w:ascii="Arial" w:cs="Arial" w:eastAsia="Arial" w:hAnsi="Arial"/>
          <w:sz w:val="20"/>
          <w:szCs w:val="20"/>
          <w:color w:val="auto"/>
        </w:rPr>
        <w:t>1525 West W.T. Harris Blvd.</w:t>
      </w:r>
    </w:p>
    <w:p>
      <w:pPr>
        <w:ind w:left="2600"/>
        <w:spacing w:after="0"/>
        <w:rPr>
          <w:sz w:val="20"/>
          <w:szCs w:val="20"/>
          <w:color w:val="auto"/>
        </w:rPr>
      </w:pPr>
      <w:r>
        <w:rPr>
          <w:rFonts w:ascii="Arial" w:cs="Arial" w:eastAsia="Arial" w:hAnsi="Arial"/>
          <w:sz w:val="20"/>
          <w:szCs w:val="20"/>
          <w:color w:val="auto"/>
        </w:rPr>
        <w:t>Charlotte, NC 28262</w:t>
      </w:r>
    </w:p>
    <w:p>
      <w:pPr>
        <w:ind w:left="2600"/>
        <w:spacing w:after="0"/>
        <w:rPr>
          <w:sz w:val="20"/>
          <w:szCs w:val="20"/>
          <w:color w:val="auto"/>
        </w:rPr>
      </w:pPr>
      <w:r>
        <w:rPr>
          <w:rFonts w:ascii="Arial" w:cs="Arial" w:eastAsia="Arial" w:hAnsi="Arial"/>
          <w:sz w:val="20"/>
          <w:szCs w:val="20"/>
          <w:color w:val="auto"/>
        </w:rPr>
        <w:t>Attention of: Syndication Agency Services</w:t>
      </w:r>
    </w:p>
    <w:p>
      <w:pPr>
        <w:ind w:left="2600"/>
        <w:spacing w:after="0"/>
        <w:rPr>
          <w:sz w:val="20"/>
          <w:szCs w:val="20"/>
          <w:color w:val="auto"/>
        </w:rPr>
      </w:pPr>
      <w:r>
        <w:rPr>
          <w:rFonts w:ascii="Arial" w:cs="Arial" w:eastAsia="Arial" w:hAnsi="Arial"/>
          <w:sz w:val="20"/>
          <w:szCs w:val="20"/>
          <w:color w:val="auto"/>
        </w:rPr>
        <w:t>Telephone No.: (704) 590-2703</w:t>
      </w:r>
    </w:p>
    <w:p>
      <w:pPr>
        <w:ind w:left="2600"/>
        <w:spacing w:after="0"/>
        <w:rPr>
          <w:sz w:val="20"/>
          <w:szCs w:val="20"/>
          <w:color w:val="auto"/>
        </w:rPr>
      </w:pPr>
      <w:r>
        <w:rPr>
          <w:rFonts w:ascii="Arial" w:cs="Arial" w:eastAsia="Arial" w:hAnsi="Arial"/>
          <w:sz w:val="20"/>
          <w:szCs w:val="20"/>
          <w:color w:val="auto"/>
        </w:rPr>
        <w:t>Facsimile No.: (704) 715-0092</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copies to:</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ind w:left="2600"/>
        <w:spacing w:after="0" w:line="204" w:lineRule="auto"/>
        <w:rPr>
          <w:sz w:val="20"/>
          <w:szCs w:val="20"/>
          <w:color w:val="auto"/>
        </w:rPr>
      </w:pPr>
      <w:r>
        <w:rPr>
          <w:rFonts w:ascii="Arial" w:cs="Arial" w:eastAsia="Arial" w:hAnsi="Arial"/>
          <w:sz w:val="20"/>
          <w:szCs w:val="20"/>
          <w:color w:val="auto"/>
        </w:rPr>
        <w:t>100 W. Washington Street,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2600"/>
        <w:spacing w:after="0"/>
        <w:rPr>
          <w:sz w:val="20"/>
          <w:szCs w:val="20"/>
          <w:color w:val="auto"/>
        </w:rPr>
      </w:pPr>
      <w:r>
        <w:rPr>
          <w:rFonts w:ascii="Arial" w:cs="Arial" w:eastAsia="Arial" w:hAnsi="Arial"/>
          <w:sz w:val="20"/>
          <w:szCs w:val="20"/>
          <w:color w:val="auto"/>
        </w:rPr>
        <w:t>Phoenix, AZ 85003</w:t>
      </w:r>
    </w:p>
    <w:p>
      <w:pPr>
        <w:ind w:left="2600"/>
        <w:spacing w:after="0"/>
        <w:rPr>
          <w:sz w:val="20"/>
          <w:szCs w:val="20"/>
          <w:color w:val="auto"/>
        </w:rPr>
      </w:pPr>
      <w:r>
        <w:rPr>
          <w:rFonts w:ascii="Arial" w:cs="Arial" w:eastAsia="Arial" w:hAnsi="Arial"/>
          <w:sz w:val="20"/>
          <w:szCs w:val="20"/>
          <w:color w:val="auto"/>
        </w:rPr>
        <w:t>MAC S4101-251</w:t>
      </w:r>
    </w:p>
    <w:p>
      <w:pPr>
        <w:ind w:left="2600"/>
        <w:spacing w:after="0"/>
        <w:rPr>
          <w:sz w:val="20"/>
          <w:szCs w:val="20"/>
          <w:color w:val="auto"/>
        </w:rPr>
      </w:pPr>
      <w:r>
        <w:rPr>
          <w:rFonts w:ascii="Arial" w:cs="Arial" w:eastAsia="Arial" w:hAnsi="Arial"/>
          <w:sz w:val="20"/>
          <w:szCs w:val="20"/>
          <w:color w:val="auto"/>
        </w:rPr>
        <w:t>Attention of: Aaron Lemke</w:t>
      </w:r>
    </w:p>
    <w:p>
      <w:pPr>
        <w:ind w:left="2600"/>
        <w:spacing w:after="0"/>
        <w:rPr>
          <w:sz w:val="20"/>
          <w:szCs w:val="20"/>
          <w:color w:val="auto"/>
        </w:rPr>
      </w:pPr>
      <w:r>
        <w:rPr>
          <w:rFonts w:ascii="Arial" w:cs="Arial" w:eastAsia="Arial" w:hAnsi="Arial"/>
          <w:sz w:val="20"/>
          <w:szCs w:val="20"/>
          <w:color w:val="auto"/>
        </w:rPr>
        <w:t>Telephone No.: (602) 378-6629</w:t>
      </w:r>
    </w:p>
    <w:p>
      <w:pPr>
        <w:ind w:left="2600"/>
        <w:spacing w:after="0"/>
        <w:rPr>
          <w:sz w:val="20"/>
          <w:szCs w:val="20"/>
          <w:color w:val="auto"/>
        </w:rPr>
      </w:pPr>
      <w:r>
        <w:rPr>
          <w:rFonts w:ascii="Arial" w:cs="Arial" w:eastAsia="Arial" w:hAnsi="Arial"/>
          <w:sz w:val="20"/>
          <w:szCs w:val="20"/>
          <w:color w:val="auto"/>
        </w:rPr>
        <w:t>Facsimile No.: (602) 378-1360</w:t>
      </w:r>
    </w:p>
    <w:p>
      <w:pPr>
        <w:ind w:left="2600"/>
        <w:spacing w:after="0"/>
        <w:rPr>
          <w:sz w:val="20"/>
          <w:szCs w:val="20"/>
          <w:color w:val="auto"/>
        </w:rPr>
      </w:pPr>
      <w:r>
        <w:rPr>
          <w:rFonts w:ascii="Arial" w:cs="Arial" w:eastAsia="Arial" w:hAnsi="Arial"/>
          <w:sz w:val="20"/>
          <w:szCs w:val="20"/>
          <w:color w:val="auto"/>
        </w:rPr>
        <w:t>E-mail: aaron.k.lemke@wellsfargo.com</w:t>
      </w:r>
    </w:p>
    <w:p>
      <w:pPr>
        <w:spacing w:after="0" w:line="20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any Lender:</w:t>
      </w:r>
    </w:p>
    <w:p>
      <w:pPr>
        <w:spacing w:after="0" w:line="2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To the address of such Lender set forth on the Register</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61" w:lineRule="exact"/>
        <w:rPr>
          <w:sz w:val="20"/>
          <w:szCs w:val="20"/>
          <w:color w:val="auto"/>
        </w:rPr>
      </w:pPr>
    </w:p>
    <w:p>
      <w:pPr>
        <w:ind w:firstLine="656"/>
        <w:spacing w:after="0" w:line="260" w:lineRule="auto"/>
        <w:tabs>
          <w:tab w:leader="none" w:pos="1284"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Lenders and the Issuing Lenders hereunder may be delivered or furnished by electronic communication (including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154</w:t>
      </w:r>
    </w:p>
    <w:p>
      <w:pPr>
        <w:sectPr>
          <w:pgSz w:w="11900" w:h="16838" w:orient="portrait"/>
          <w:cols w:equalWidth="0" w:num="1">
            <w:col w:w="11240"/>
          </w:cols>
          <w:pgMar w:left="320" w:top="1440" w:right="3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146960219_6</w:t>
      </w:r>
    </w:p>
    <w:p>
      <w:pPr>
        <w:sectPr>
          <w:pgSz w:w="11900" w:h="16838" w:orient="portrait"/>
          <w:cols w:equalWidth="0" w:num="1">
            <w:col w:w="11240"/>
          </w:cols>
          <w:pgMar w:left="320" w:top="1440" w:right="339" w:bottom="1440" w:gutter="0" w:footer="0" w:header="0"/>
          <w:type w:val="continuous"/>
        </w:sectPr>
      </w:pPr>
    </w:p>
    <w:bookmarkStart w:id="219" w:name="page220"/>
    <w:bookmarkEnd w:id="219"/>
    <w:p>
      <w:pPr>
        <w:jc w:val="both"/>
        <w:spacing w:after="0" w:line="270" w:lineRule="auto"/>
        <w:rPr>
          <w:sz w:val="20"/>
          <w:szCs w:val="20"/>
          <w:color w:val="auto"/>
        </w:rPr>
      </w:pPr>
      <w:r>
        <w:rPr>
          <w:rFonts w:ascii="Arial" w:cs="Arial" w:eastAsia="Arial" w:hAnsi="Arial"/>
          <w:sz w:val="18"/>
          <w:szCs w:val="18"/>
          <w:color w:val="auto"/>
        </w:rPr>
        <w:t xml:space="preserve">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Issuing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if such Lender or such Issuing Lender, as applicable, has notified the Administrative Agent that is incapable of receiving notices under such Article by electronic communication. The Administrative Agent or a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76" w:lineRule="exact"/>
        <w:rPr>
          <w:sz w:val="20"/>
          <w:szCs w:val="20"/>
          <w:color w:val="auto"/>
        </w:rPr>
      </w:pPr>
    </w:p>
    <w:p>
      <w:pPr>
        <w:jc w:val="both"/>
        <w:ind w:firstLine="656"/>
        <w:spacing w:after="0" w:line="246" w:lineRule="auto"/>
        <w:tabs>
          <w:tab w:leader="none" w:pos="1286"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The Administrative Agent hereby designates its office located at the address set forth above, or any subsequent office which shall have been specified for such purpose by written notice to Centuri and Lenders, as the Administrative Agent’s Office referred to herein, to which payments due are to be made and at which Loans will be disbursed and Letters of Credit requested.</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Each of the Borrowers, the Administrative Agent, any Issuing Lender or any Swingline Lender may change its address or facsimile number for notices and other communications hereunder by notice to the other parties hereto. Any Lender may change its address or facsimile number for notices and other communications hereunder by notice to Centuri, the Administrative Agent, each Issuing Lender and each Swingline Lender.</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4"/>
        <w:spacing w:after="0" w:line="287" w:lineRule="auto"/>
        <w:tabs>
          <w:tab w:leader="none" w:pos="1954" w:val="left"/>
        </w:tabs>
        <w:numPr>
          <w:ilvl w:val="1"/>
          <w:numId w:val="206"/>
        </w:numPr>
        <w:rPr>
          <w:rFonts w:ascii="Arial" w:cs="Arial" w:eastAsia="Arial" w:hAnsi="Arial"/>
          <w:sz w:val="19"/>
          <w:szCs w:val="19"/>
          <w:color w:val="auto"/>
        </w:rPr>
      </w:pPr>
      <w:r>
        <w:rPr>
          <w:rFonts w:ascii="Arial" w:cs="Arial" w:eastAsia="Arial" w:hAnsi="Arial"/>
          <w:sz w:val="19"/>
          <w:szCs w:val="19"/>
          <w:color w:val="auto"/>
        </w:rPr>
        <w:t>Each Credit Party agrees that the Administrative Agent may, but shall not be obligated to, make the Borrower Materials available to the Issuing Lenders and the other Lenders by posting the Borrower Materials on the Platform.</w:t>
      </w:r>
    </w:p>
    <w:p>
      <w:pPr>
        <w:spacing w:after="0" w:line="152" w:lineRule="exact"/>
        <w:rPr>
          <w:rFonts w:ascii="Arial" w:cs="Arial" w:eastAsia="Arial" w:hAnsi="Arial"/>
          <w:sz w:val="19"/>
          <w:szCs w:val="19"/>
          <w:color w:val="auto"/>
        </w:rPr>
      </w:pPr>
    </w:p>
    <w:p>
      <w:pPr>
        <w:jc w:val="both"/>
        <w:ind w:left="660" w:firstLine="644"/>
        <w:spacing w:after="0" w:line="255" w:lineRule="auto"/>
        <w:tabs>
          <w:tab w:leader="none" w:pos="1955"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0" w:name="page221"/>
    <w:bookmarkEnd w:id="220"/>
    <w:p>
      <w:pPr>
        <w:jc w:val="both"/>
        <w:ind w:left="660" w:right="20"/>
        <w:spacing w:after="0" w:line="291" w:lineRule="auto"/>
        <w:rPr>
          <w:sz w:val="20"/>
          <w:szCs w:val="20"/>
          <w:color w:val="auto"/>
        </w:rPr>
      </w:pPr>
      <w:r>
        <w:rPr>
          <w:rFonts w:ascii="Arial" w:cs="Arial" w:eastAsia="Arial" w:hAnsi="Arial"/>
          <w:sz w:val="18"/>
          <w:szCs w:val="18"/>
          <w:color w:val="auto"/>
        </w:rPr>
        <w:t xml:space="preserve">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Agent Party have any liability to any Credit Party, any Lender, the Issuing Lender or any other Person for indirect, special, incidental, consequential or punitive damages, losses or expenses (as opposed to actual damages, losses or expenses).</w:t>
      </w:r>
    </w:p>
    <w:p>
      <w:pPr>
        <w:spacing w:after="0" w:line="152" w:lineRule="exact"/>
        <w:rPr>
          <w:sz w:val="20"/>
          <w:szCs w:val="20"/>
          <w:color w:val="auto"/>
        </w:rPr>
      </w:pPr>
    </w:p>
    <w:p>
      <w:pPr>
        <w:jc w:val="both"/>
        <w:ind w:firstLine="656"/>
        <w:spacing w:after="0" w:line="276" w:lineRule="auto"/>
        <w:tabs>
          <w:tab w:leader="none" w:pos="129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Private Side Designation</w:t>
      </w:r>
      <w:r>
        <w:rPr>
          <w:rFonts w:ascii="Arial" w:cs="Arial" w:eastAsia="Arial" w:hAnsi="Arial"/>
          <w:sz w:val="18"/>
          <w:szCs w:val="18"/>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Borrowers or their respective securities for purposes of United States Federal or state securities Applicable Laws.</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XII.2 </w:t>
      </w:r>
      <w:r>
        <w:rPr>
          <w:rFonts w:ascii="Arial" w:cs="Arial" w:eastAsia="Arial" w:hAnsi="Arial"/>
          <w:sz w:val="20"/>
          <w:szCs w:val="20"/>
          <w:u w:val="single" w:color="auto"/>
          <w:color w:val="auto"/>
        </w:rPr>
        <w:t>Amendments, Waivers and Consents</w:t>
      </w:r>
      <w:r>
        <w:rPr>
          <w:rFonts w:ascii="Arial" w:cs="Arial" w:eastAsia="Arial" w:hAnsi="Arial"/>
          <w:sz w:val="20"/>
          <w:szCs w:val="20"/>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in the case of any amendment which directly affects only one Class under the Credit Facility, the Required Facility Lenders, and not the Required Lenders or the Required Facility Lenders, as applicable) (or by the Administrative Agent with the consent of the Required Lenders) and delivered to the Administrative Agent and, in the case of an amendment, signed by the Borrowers; </w:t>
      </w:r>
      <w:r>
        <w:rPr>
          <w:rFonts w:ascii="Arial" w:cs="Arial" w:eastAsia="Arial" w:hAnsi="Arial"/>
          <w:sz w:val="20"/>
          <w:szCs w:val="20"/>
          <w:u w:val="single" w:color="auto"/>
          <w:color w:val="auto"/>
        </w:rPr>
        <w:t>provided</w:t>
      </w:r>
      <w:r>
        <w:rPr>
          <w:rFonts w:ascii="Arial" w:cs="Arial" w:eastAsia="Arial" w:hAnsi="Arial"/>
          <w:sz w:val="20"/>
          <w:szCs w:val="20"/>
          <w:color w:val="auto"/>
        </w:rPr>
        <w:t>, that no amendment, waiver or consent shall:</w:t>
      </w:r>
    </w:p>
    <w:p>
      <w:pPr>
        <w:spacing w:after="0" w:line="193" w:lineRule="exact"/>
        <w:rPr>
          <w:sz w:val="20"/>
          <w:szCs w:val="20"/>
          <w:color w:val="auto"/>
        </w:rPr>
      </w:pPr>
    </w:p>
    <w:p>
      <w:pPr>
        <w:jc w:val="both"/>
        <w:ind w:firstLine="656"/>
        <w:spacing w:after="0" w:line="243" w:lineRule="auto"/>
        <w:tabs>
          <w:tab w:leader="none" w:pos="128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without the prior written consent of the Required Revolving Credit Lenders, amend, modify or waive (i)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or any other provision of this Agreement if the effect of such amendment, modification or waiver is to require the Revolving Credit Lenders (pursuant to, in the case of any such amendment to a provision hereof other than </w:t>
      </w:r>
      <w:r>
        <w:rPr>
          <w:rFonts w:ascii="Arial" w:cs="Arial" w:eastAsia="Arial" w:hAnsi="Arial"/>
          <w:sz w:val="20"/>
          <w:szCs w:val="20"/>
          <w:u w:val="single" w:color="auto"/>
          <w:color w:val="auto"/>
        </w:rPr>
        <w:t>Section 6.2</w:t>
      </w:r>
      <w:r>
        <w:rPr>
          <w:rFonts w:ascii="Arial" w:cs="Arial" w:eastAsia="Arial" w:hAnsi="Arial"/>
          <w:sz w:val="20"/>
          <w:szCs w:val="20"/>
          <w:color w:val="auto"/>
        </w:rPr>
        <w:t>, any substantially concurrent request by any Borrower for a borrowing of Revolving Credit Loans or issuance of Letters of Credit) to make Revolving Credit Loans when such Revolving Credit Lenders would not otherwise be required to do so, (ii) the amount of the Swingline Commitment or (iii) the amount of the L/C Sublimit;</w:t>
      </w:r>
    </w:p>
    <w:p>
      <w:pPr>
        <w:spacing w:after="0" w:line="195" w:lineRule="exact"/>
        <w:rPr>
          <w:rFonts w:ascii="Arial" w:cs="Arial" w:eastAsia="Arial" w:hAnsi="Arial"/>
          <w:sz w:val="20"/>
          <w:szCs w:val="20"/>
          <w:color w:val="auto"/>
        </w:rPr>
      </w:pPr>
    </w:p>
    <w:p>
      <w:pPr>
        <w:ind w:firstLine="656"/>
        <w:spacing w:after="0" w:line="260" w:lineRule="auto"/>
        <w:tabs>
          <w:tab w:leader="none" w:pos="128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increase the Commitment of any Lender (or reinstate any Commitment terminated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or the amount of Loans of any Lender, in any case, without the written consent of such Lender;</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286"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waive, extend or postpone any date fixed by this Agreement or any other Loan Document for any payment or prepayment of principal (it being understood that a waiver of a mandatory prepayment under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shall only require the consent of the Required Term Loan Lenders), interest, fees or other amounts due to the Lenders (or any of them) hereunder or under any other Loan Document without the written consent of each Lender directly and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waiver of a mandatory prepayment under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shall only require the consent of Required Lenders);</w:t>
      </w:r>
    </w:p>
    <w:p>
      <w:pPr>
        <w:spacing w:after="0" w:line="180" w:lineRule="exact"/>
        <w:rPr>
          <w:rFonts w:ascii="Arial" w:cs="Arial" w:eastAsia="Arial" w:hAnsi="Arial"/>
          <w:sz w:val="19"/>
          <w:szCs w:val="19"/>
          <w:color w:val="auto"/>
        </w:rPr>
      </w:pPr>
    </w:p>
    <w:p>
      <w:pPr>
        <w:jc w:val="both"/>
        <w:ind w:firstLine="656"/>
        <w:spacing w:after="0" w:line="244" w:lineRule="auto"/>
        <w:tabs>
          <w:tab w:leader="none" w:pos="128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only the consent of the Required Lenders shall be necessary (i) to waive any obligation of the Borrowers to pay interest at the rate set forth in </w:t>
      </w:r>
      <w:r>
        <w:rPr>
          <w:rFonts w:ascii="Arial" w:cs="Arial" w:eastAsia="Arial" w:hAnsi="Arial"/>
          <w:sz w:val="20"/>
          <w:szCs w:val="20"/>
          <w:u w:val="single" w:color="auto"/>
          <w:color w:val="auto"/>
        </w:rPr>
        <w:t>Section 5.1(b)</w:t>
      </w:r>
      <w:r>
        <w:rPr>
          <w:rFonts w:ascii="Arial" w:cs="Arial" w:eastAsia="Arial" w:hAnsi="Arial"/>
          <w:sz w:val="20"/>
          <w:szCs w:val="20"/>
          <w:color w:val="auto"/>
        </w:rPr>
        <w:t xml:space="preserve"> during the continuance of an Event of Default or (ii) to amend any financial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1" w:name="page222"/>
    <w:bookmarkEnd w:id="221"/>
    <w:p>
      <w:pPr>
        <w:spacing w:after="0" w:line="260" w:lineRule="auto"/>
        <w:rPr>
          <w:sz w:val="20"/>
          <w:szCs w:val="20"/>
          <w:color w:val="auto"/>
        </w:rPr>
      </w:pPr>
      <w:r>
        <w:rPr>
          <w:rFonts w:ascii="Arial" w:cs="Arial" w:eastAsia="Arial" w:hAnsi="Arial"/>
          <w:sz w:val="20"/>
          <w:szCs w:val="20"/>
          <w:color w:val="auto"/>
        </w:rPr>
        <w:t>hereunder (or any defined term used therein) even if the effect of such amendment would be to reduce the rate of interest on any Loan or L/C Obligation or to reduce any fee payable hereunder;</w:t>
      </w:r>
    </w:p>
    <w:p>
      <w:pPr>
        <w:spacing w:after="0" w:line="177" w:lineRule="exact"/>
        <w:rPr>
          <w:sz w:val="20"/>
          <w:szCs w:val="20"/>
          <w:color w:val="auto"/>
        </w:rPr>
      </w:pPr>
    </w:p>
    <w:p>
      <w:pPr>
        <w:ind w:firstLine="656"/>
        <w:spacing w:after="0" w:line="260" w:lineRule="auto"/>
        <w:tabs>
          <w:tab w:leader="none" w:pos="1286"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in a manner that would alter the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sharing of payments or order of application required thereby without the written consent of each Lender directly and adversely affected thereby;</w:t>
      </w:r>
    </w:p>
    <w:p>
      <w:pPr>
        <w:spacing w:after="0" w:line="176" w:lineRule="exact"/>
        <w:rPr>
          <w:rFonts w:ascii="Arial" w:cs="Arial" w:eastAsia="Arial" w:hAnsi="Arial"/>
          <w:sz w:val="20"/>
          <w:szCs w:val="20"/>
          <w:color w:val="auto"/>
        </w:rPr>
      </w:pPr>
    </w:p>
    <w:p>
      <w:pPr>
        <w:ind w:firstLine="656"/>
        <w:spacing w:after="0" w:line="260" w:lineRule="auto"/>
        <w:tabs>
          <w:tab w:leader="none" w:pos="1291"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4.4(b)(v)</w:t>
      </w:r>
      <w:r>
        <w:rPr>
          <w:rFonts w:ascii="Arial" w:cs="Arial" w:eastAsia="Arial" w:hAnsi="Arial"/>
          <w:sz w:val="20"/>
          <w:szCs w:val="20"/>
          <w:color w:val="auto"/>
        </w:rPr>
        <w:t xml:space="preserve"> in a manner that would alter the order of application of amounts prepaid pursuant thereto without the written consent of each Lender directly and adversely affected thereby;</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284"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except as otherwise permitted by this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change any provision of this Section or reduce the percentages specified in the definitions of “Required Lenders,” “Required Revolving Credit Lenders”, “Required Facility Lenders” or “Required Term Loan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94" w:lineRule="exact"/>
        <w:rPr>
          <w:rFonts w:ascii="Arial" w:cs="Arial" w:eastAsia="Arial" w:hAnsi="Arial"/>
          <w:sz w:val="20"/>
          <w:szCs w:val="20"/>
          <w:color w:val="auto"/>
        </w:rPr>
      </w:pPr>
    </w:p>
    <w:p>
      <w:pPr>
        <w:ind w:right="20" w:firstLine="656"/>
        <w:spacing w:after="0" w:line="260" w:lineRule="auto"/>
        <w:tabs>
          <w:tab w:leader="none" w:pos="1284" w:val="left"/>
        </w:tabs>
        <w:numPr>
          <w:ilvl w:val="0"/>
          <w:numId w:val="209"/>
        </w:numPr>
        <w:rPr>
          <w:rFonts w:ascii="Arial" w:cs="Arial" w:eastAsia="Arial" w:hAnsi="Arial"/>
          <w:sz w:val="20"/>
          <w:szCs w:val="20"/>
          <w:color w:val="auto"/>
        </w:rPr>
      </w:pPr>
      <w:r>
        <w:rPr>
          <w:rFonts w:ascii="Arial" w:cs="Arial" w:eastAsia="Arial" w:hAnsi="Arial"/>
          <w:sz w:val="20"/>
          <w:szCs w:val="20"/>
          <w:color w:val="auto"/>
        </w:rPr>
        <w:t>impose any greater restriction on the ability of any Lender under any Class to assign any of its rights or obligations hereunder without the written consent of the Required Facility Lenders under such Class;</w:t>
      </w:r>
    </w:p>
    <w:p>
      <w:pPr>
        <w:spacing w:after="0" w:line="176" w:lineRule="exact"/>
        <w:rPr>
          <w:rFonts w:ascii="Arial" w:cs="Arial" w:eastAsia="Arial" w:hAnsi="Arial"/>
          <w:sz w:val="20"/>
          <w:szCs w:val="20"/>
          <w:color w:val="auto"/>
        </w:rPr>
      </w:pPr>
    </w:p>
    <w:p>
      <w:pPr>
        <w:ind w:firstLine="656"/>
        <w:spacing w:after="0" w:line="316" w:lineRule="auto"/>
        <w:tabs>
          <w:tab w:leader="none" w:pos="129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in each case, without the written consent of each Lender;</w:t>
      </w:r>
    </w:p>
    <w:p>
      <w:pPr>
        <w:spacing w:after="0" w:line="129" w:lineRule="exact"/>
        <w:rPr>
          <w:rFonts w:ascii="Arial" w:cs="Arial" w:eastAsia="Arial" w:hAnsi="Arial"/>
          <w:sz w:val="18"/>
          <w:szCs w:val="18"/>
          <w:color w:val="auto"/>
        </w:rPr>
      </w:pPr>
    </w:p>
    <w:p>
      <w:pPr>
        <w:jc w:val="both"/>
        <w:ind w:firstLine="656"/>
        <w:spacing w:after="0" w:line="250" w:lineRule="auto"/>
        <w:tabs>
          <w:tab w:leader="none" w:pos="1294"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release (i) all of the Subsidiary Guarantors or (ii) Subsidiary Guarantors comprising all or substantially all of the credit support for the Secured Obligations, in any case, from any Guaranty Agreement (other than as authorized in </w:t>
      </w:r>
      <w:r>
        <w:rPr>
          <w:rFonts w:ascii="Arial" w:cs="Arial" w:eastAsia="Arial" w:hAnsi="Arial"/>
          <w:sz w:val="20"/>
          <w:szCs w:val="20"/>
          <w:u w:val="single" w:color="auto"/>
          <w:color w:val="auto"/>
        </w:rPr>
        <w:t>Section 11.9</w:t>
      </w:r>
      <w:r>
        <w:rPr>
          <w:rFonts w:ascii="Arial" w:cs="Arial" w:eastAsia="Arial" w:hAnsi="Arial"/>
          <w:sz w:val="20"/>
          <w:szCs w:val="20"/>
          <w:color w:val="auto"/>
        </w:rPr>
        <w:t>), without the written consent of each Lender;</w:t>
      </w:r>
    </w:p>
    <w:p>
      <w:pPr>
        <w:spacing w:after="0" w:line="185" w:lineRule="exact"/>
        <w:rPr>
          <w:rFonts w:ascii="Arial" w:cs="Arial" w:eastAsia="Arial" w:hAnsi="Arial"/>
          <w:sz w:val="20"/>
          <w:szCs w:val="20"/>
          <w:color w:val="auto"/>
        </w:rPr>
      </w:pPr>
    </w:p>
    <w:p>
      <w:pPr>
        <w:jc w:val="both"/>
        <w:ind w:firstLine="656"/>
        <w:spacing w:after="0" w:line="269" w:lineRule="auto"/>
        <w:tabs>
          <w:tab w:leader="none" w:pos="1284"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release or subordinate all or substantially all of the Collateral or release or subordinate any Security Document (or any Lien created thereby) (other than as authorized in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11.9(a)(i)(C)</w:t>
      </w:r>
      <w:r>
        <w:rPr>
          <w:rFonts w:ascii="Arial" w:cs="Arial" w:eastAsia="Arial" w:hAnsi="Arial"/>
          <w:sz w:val="19"/>
          <w:szCs w:val="19"/>
          <w:color w:val="auto"/>
        </w:rPr>
        <w:t>) or as otherwise specifically permitted or contemplated in this Agreement or the applicable Security Document) without the written consent of each Lender;</w:t>
      </w:r>
    </w:p>
    <w:p>
      <w:pPr>
        <w:spacing w:after="0" w:line="169" w:lineRule="exact"/>
        <w:rPr>
          <w:rFonts w:ascii="Arial" w:cs="Arial" w:eastAsia="Arial" w:hAnsi="Arial"/>
          <w:sz w:val="19"/>
          <w:szCs w:val="19"/>
          <w:color w:val="auto"/>
        </w:rPr>
      </w:pPr>
    </w:p>
    <w:p>
      <w:pPr>
        <w:jc w:val="both"/>
        <w:ind w:firstLine="656"/>
        <w:spacing w:after="0" w:line="246" w:lineRule="auto"/>
        <w:tabs>
          <w:tab w:leader="none" w:pos="1294"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amend, waive or otherwise modify any provision of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(or any defined terms used therein, but only for purposes of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and not for any other purposes, including, without limitation, any pro forma compliance or incurrence tests) or waive any Event of Default resulting from a breach of the financial covenants set forth in </w:t>
      </w:r>
      <w:r>
        <w:rPr>
          <w:rFonts w:ascii="Arial" w:cs="Arial" w:eastAsia="Arial" w:hAnsi="Arial"/>
          <w:sz w:val="20"/>
          <w:szCs w:val="20"/>
          <w:u w:val="single" w:color="auto"/>
          <w:color w:val="auto"/>
        </w:rPr>
        <w:t>Section 9.13</w:t>
      </w:r>
      <w:r>
        <w:rPr>
          <w:rFonts w:ascii="Arial" w:cs="Arial" w:eastAsia="Arial" w:hAnsi="Arial"/>
          <w:sz w:val="20"/>
          <w:szCs w:val="20"/>
          <w:color w:val="auto"/>
        </w:rPr>
        <w:t>, in each case without the written consent of the Required Revolving Credit Lenders; or</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85" w:val="left"/>
        </w:tabs>
        <w:numPr>
          <w:ilvl w:val="0"/>
          <w:numId w:val="209"/>
        </w:numPr>
        <w:rPr>
          <w:rFonts w:ascii="Arial" w:cs="Arial" w:eastAsia="Arial" w:hAnsi="Arial"/>
          <w:sz w:val="20"/>
          <w:szCs w:val="20"/>
          <w:color w:val="auto"/>
        </w:rPr>
      </w:pPr>
      <w:r>
        <w:rPr>
          <w:rFonts w:ascii="Arial" w:cs="Arial" w:eastAsia="Arial" w:hAnsi="Arial"/>
          <w:sz w:val="20"/>
          <w:szCs w:val="20"/>
          <w:color w:val="auto"/>
        </w:rPr>
        <w:t>subordinate any of the Obligations owed to the Lenders under a particular Credit Facility in right of payment or otherwise adversely affect the priority of payment of any of such Obligations without the consent of each Lender directly and adversely affected thereby;</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provided further</w:t>
      </w:r>
      <w:r>
        <w:rPr>
          <w:rFonts w:ascii="Arial" w:cs="Arial" w:eastAsia="Arial" w:hAnsi="Arial"/>
          <w:sz w:val="19"/>
          <w:szCs w:val="19"/>
          <w:color w:val="auto"/>
        </w:rPr>
        <w:t>,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applicable Swingline Lender in addition to the Lenders required above, affect the rights or duties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2" w:name="page223"/>
    <w:bookmarkEnd w:id="222"/>
    <w:p>
      <w:pPr>
        <w:jc w:val="both"/>
        <w:spacing w:after="0" w:line="268" w:lineRule="auto"/>
        <w:rPr>
          <w:sz w:val="20"/>
          <w:szCs w:val="20"/>
          <w:color w:val="auto"/>
        </w:rPr>
      </w:pPr>
      <w:r>
        <w:rPr>
          <w:rFonts w:ascii="Arial" w:cs="Arial" w:eastAsia="Arial" w:hAnsi="Arial"/>
          <w:sz w:val="18"/>
          <w:szCs w:val="18"/>
          <w:color w:val="auto"/>
        </w:rPr>
        <w:t xml:space="preserve">such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Fee Letter may be amended, or rights or privileges thereunder waived, in a writing executed only by the parties thereto, (v)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Borrowers and the requisite percentage in interest of the affected Class of Lenders that would be required to consent thereto under this Section if such Class of Lenders were the only Class of Lenders hereunder at the time, (vi) each Letter of Credit Application may be amended, or rights or privileges thereunder waived, in a writing executed only by the parties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copy of such amended Letter of Credit Application shall be promptly delivered to the Administrative Agent upon such amendment or waiver, (vii) the Administrative Agent and the Borrowers shall be permitted to amend any provision of the Loan Documents (and such amendment shall become effective without any further action or consent of any other party to any Loan Document) if the Administrative Agent and the Borrowers shall have jointly identified an obvious error or any error, ambiguity, defect or inconsistency, or omission of a technical or immaterial nature in any such provision; (viii) the Administrative Agent (and, if applicable, the Borrowers) may, without the consent of any Lender, enter into amendments or modifications to this Agreement or any of the other Loan Documents or to enter into additional Loan Documents in order to implement any Benchmark Replacement or any Benchmark Replacement Conforming Changes or otherwise effectuate the terms of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in accordance with the terms of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and (ix) the Required Revolving Credit Lenders may (x) amend or otherwise modify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or, solely for purposes of such financial covenants, the defined terms used, directly or indirectly, therein, or (y) waive any noncompliance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or any Event of Default resulting from any such noncompliance, in each case without the consent of any other Lenders. Notwithstanding anything to the contrary herein, no Defaulting Lender shall have any right to approve or disapprove any amendment, waiver or consent hereunder, except that (A) the Revolving Credit Commitment of such Lender may not be increased or extended without the consent of such Lender, and (B) any amendment, waiver or consent hereunder which requires the consent of all Lenders or each affected Lenders that by its terms disproportionately and adversely affects any such Defaulting Lender relative to other affected Lenders shall require the consent of such Defaulting Lender.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Notwithstanding anything in this Agreement to the contrary, each Lender hereby irrevocably authorizes the Administrative Agent on its behalf, and without further consent, to enter into amendments or modifications to this Agreement (including, without limitation, amendments to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or any of the other Loan Documents or enter into additional Loan Documents as the Administrative Agent reasonably deems appropriate in order to effectuate the terms of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w:t>
      </w:r>
      <w:r>
        <w:rPr>
          <w:rFonts w:ascii="Arial" w:cs="Arial" w:eastAsia="Arial" w:hAnsi="Arial"/>
          <w:sz w:val="18"/>
          <w:szCs w:val="18"/>
          <w:color w:val="auto"/>
        </w:rPr>
        <w:t xml:space="preserve"> (including, without limitation, as applicable, (1) to permit the Incremental Term Loans, Extended Term Loans, Incremental Revolving Credit Facility Increases, extended Revolving Credit Commitments or Extended Revolving Credit Loans, as applicable, to share ratably in the benefits of this Agreement and the other Loan Documents, (2) to include the Incremental Term Loan Commitments, the Incremental Revolving Credit Facility Increase or the Extended Revolving Credit Commitments, as applicable, or outstanding Incremental Term Loans, outstanding Incremental Revolving Credit Facility Increase, outstanding Extended Revolving Credit Loans or outstanding Extended Term Loans, as applicable, in any determination of</w:t>
      </w:r>
    </w:p>
    <w:p>
      <w:pPr>
        <w:spacing w:after="0" w:line="1" w:lineRule="exact"/>
        <w:rPr>
          <w:sz w:val="20"/>
          <w:szCs w:val="20"/>
          <w:color w:val="auto"/>
        </w:rPr>
      </w:pPr>
    </w:p>
    <w:p>
      <w:pPr>
        <w:jc w:val="both"/>
        <w:ind w:firstLine="8"/>
        <w:spacing w:after="0" w:line="260" w:lineRule="auto"/>
        <w:tabs>
          <w:tab w:leader="none" w:pos="24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Required Lenders or Required Revolving Credit Lenders, as applicable or (ii) similar required lender terms applicable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amendment or modification shall result in any increase in the amount of any Lender’s Commitment or any increase in any Lender’s Commitment Percentage, in each case, without the written consent of such affected Lender, (3) amend and restate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3" w:name="page224"/>
    <w:bookmarkEnd w:id="223"/>
    <w:p>
      <w:pPr>
        <w:jc w:val="both"/>
        <w:spacing w:after="0" w:line="272" w:lineRule="auto"/>
        <w:rPr>
          <w:sz w:val="20"/>
          <w:szCs w:val="20"/>
          <w:color w:val="auto"/>
        </w:rPr>
      </w:pPr>
      <w:r>
        <w:rPr>
          <w:rFonts w:ascii="Arial" w:cs="Arial" w:eastAsia="Arial" w:hAnsi="Arial"/>
          <w:sz w:val="18"/>
          <w:szCs w:val="18"/>
          <w:color w:val="auto"/>
        </w:rPr>
        <w:t xml:space="preserve">Agreement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(4) to make amendments to any outstanding tranche of Term Loans to permit any Incremental Term Loans or Commitments relating thereto to be “fungible” (including, without limitation, for purposes of the Code) with such tranche of Term Loans, including, without limitation, increases in the Applicable Margin or any fees payable to such outstanding tranche of Term Loans or providing such outstanding tranche of Term Loans with the benefit of any call protection or covenants that are applicable to the proposed Incremental Term Loans or Commitments relating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amendments or modifications to such outstanding tranche of Term Loans shall not directly adversely affect the Lenders holding such tranche of Term Loans without their consent.</w:t>
      </w:r>
    </w:p>
    <w:p>
      <w:pPr>
        <w:spacing w:after="0" w:line="170"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XII.3</w:t>
      </w:r>
      <w:r>
        <w:rPr>
          <w:sz w:val="20"/>
          <w:szCs w:val="20"/>
          <w:color w:val="auto"/>
        </w:rPr>
        <w:tab/>
      </w:r>
      <w:r>
        <w:rPr>
          <w:rFonts w:ascii="Arial" w:cs="Arial" w:eastAsia="Arial" w:hAnsi="Arial"/>
          <w:sz w:val="16"/>
          <w:szCs w:val="16"/>
          <w:u w:val="single" w:color="auto"/>
          <w:color w:val="auto"/>
        </w:rPr>
        <w:t>Expenses; Indemnity</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5" w:lineRule="auto"/>
        <w:tabs>
          <w:tab w:leader="none" w:pos="1286"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Borrowers shall pay, (i) all reasonable out of pocket expenses incurred by the Administrative Agent and its Affiliates (including the reasonable fees, charges and disbursements of counsel for the Administrative Agent),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reasonable out of pocket expenses incurred by the Administrative Agent, any Lender or any Issuing Lender (including the reasonable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86" w:lineRule="exact"/>
        <w:rPr>
          <w:rFonts w:ascii="Arial" w:cs="Arial" w:eastAsia="Arial" w:hAnsi="Arial"/>
          <w:sz w:val="19"/>
          <w:szCs w:val="19"/>
          <w:color w:val="auto"/>
        </w:rPr>
      </w:pPr>
    </w:p>
    <w:p>
      <w:pPr>
        <w:jc w:val="both"/>
        <w:ind w:firstLine="656"/>
        <w:spacing w:after="0" w:line="269" w:lineRule="auto"/>
        <w:tabs>
          <w:tab w:leader="none" w:pos="1284"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Borrowers shall indemnify the Administrative Agent (and any sub-agent thereof), each Arranger, each Lender and each Issuing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and shall pay or reimburse any such Indemnitee for, any and all losses, claims (including, without limitation, any Environmental Claims), penalties, damages, liabilities and related expenses (including the reasonable fees, charges and disbursements of any counsel for any Indemnitee), incurred by any Indemnitee or asserted against any Indemnitee by any Person (including the Borrowers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4" w:name="page225"/>
    <w:bookmarkEnd w:id="224"/>
    <w:p>
      <w:pPr>
        <w:jc w:val="both"/>
        <w:spacing w:after="0" w:line="302" w:lineRule="auto"/>
        <w:rPr>
          <w:sz w:val="20"/>
          <w:szCs w:val="20"/>
          <w:color w:val="auto"/>
        </w:rPr>
      </w:pPr>
      <w:r>
        <w:rPr>
          <w:rFonts w:ascii="Arial" w:cs="Arial" w:eastAsia="Arial" w:hAnsi="Arial"/>
          <w:sz w:val="16"/>
          <w:szCs w:val="16"/>
          <w:color w:val="auto"/>
        </w:rPr>
        <w:t xml:space="preserve">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w:t>
      </w:r>
    </w:p>
    <w:p>
      <w:pPr>
        <w:spacing w:after="0" w:line="4" w:lineRule="exact"/>
        <w:rPr>
          <w:sz w:val="20"/>
          <w:szCs w:val="20"/>
          <w:color w:val="auto"/>
        </w:rPr>
      </w:pPr>
    </w:p>
    <w:p>
      <w:pPr>
        <w:jc w:val="both"/>
        <w:ind w:firstLine="8"/>
        <w:spacing w:after="0"/>
        <w:tabs>
          <w:tab w:leader="none" w:pos="336"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are determined by a court of competent jurisdiction by final and nonappealable judgment to have resulted from the gross negligence or willful misconduct of such Indemnitee or (B)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w:t>
      </w:r>
      <w:r>
        <w:rPr>
          <w:rFonts w:ascii="Arial" w:cs="Arial" w:eastAsia="Arial" w:hAnsi="Arial"/>
          <w:sz w:val="20"/>
          <w:szCs w:val="20"/>
          <w:u w:val="single" w:color="auto"/>
          <w:color w:val="auto"/>
        </w:rPr>
        <w:t>Section 12.3(b)</w:t>
      </w:r>
      <w:r>
        <w:rPr>
          <w:rFonts w:ascii="Arial" w:cs="Arial" w:eastAsia="Arial" w:hAnsi="Arial"/>
          <w:sz w:val="20"/>
          <w:szCs w:val="20"/>
          <w:color w:val="auto"/>
        </w:rPr>
        <w:t xml:space="preserve"> shall not apply with respect to Taxes other than any Taxes that represent losses, claims, damages, etc. arising from any non-Tax claim.</w:t>
      </w:r>
    </w:p>
    <w:p>
      <w:pPr>
        <w:spacing w:after="0" w:line="197" w:lineRule="exact"/>
        <w:rPr>
          <w:rFonts w:ascii="Arial" w:cs="Arial" w:eastAsia="Arial" w:hAnsi="Arial"/>
          <w:sz w:val="20"/>
          <w:szCs w:val="20"/>
          <w:color w:val="auto"/>
        </w:rPr>
      </w:pPr>
    </w:p>
    <w:p>
      <w:pPr>
        <w:jc w:val="both"/>
        <w:ind w:firstLine="656"/>
        <w:spacing w:after="0" w:line="269" w:lineRule="auto"/>
        <w:tabs>
          <w:tab w:leader="none" w:pos="1286"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Borrowers for any reason fail to indefeasibly pay any amount required under clause (a) or (b) of this Section to be paid by it to the Administrative Agent (or any sub-agent thereof), any Arranger, any Issuing Lender, any Swingline Lender or any Related Party of any of the foregoing, each Lender severally agrees to pay to the Administrative Agent (or any such sub-agent), such Issuing Lender, such Swingline Lender or such Related Party, as the case may be, such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such unpaid amounts owed to any Issuing Lender or any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such Issuing Lender or such Swingline Lender in its capacity as such, or against any Related Party of any of the foregoing acting for the Administrative Agent (or any such sub-agent), such Issuing Lender or such Swingline Lender in connection with such capacity. The obligations of the Lenders under this clause (c) are subject to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firstLine="656"/>
        <w:spacing w:after="0" w:line="276" w:lineRule="auto"/>
        <w:tabs>
          <w:tab w:leader="none" w:pos="1284"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each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5" w:name="page226"/>
    <w:bookmarkEnd w:id="225"/>
    <w:p>
      <w:pPr>
        <w:spacing w:after="0" w:line="260" w:lineRule="auto"/>
        <w:rPr>
          <w:sz w:val="20"/>
          <w:szCs w:val="20"/>
          <w:color w:val="auto"/>
        </w:rPr>
      </w:pPr>
      <w:r>
        <w:rPr>
          <w:rFonts w:ascii="Arial" w:cs="Arial" w:eastAsia="Arial" w:hAnsi="Arial"/>
          <w:sz w:val="20"/>
          <w:szCs w:val="20"/>
          <w:color w:val="auto"/>
        </w:rPr>
        <w:t>electronic or other information transmission systems in connection with this Agreement or the other Loan Documents or the transactions contemplated hereby or thereby.</w:t>
      </w:r>
    </w:p>
    <w:p>
      <w:pPr>
        <w:spacing w:after="0" w:line="177"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promptly after written demand therefor.</w:t>
      </w:r>
    </w:p>
    <w:p>
      <w:pPr>
        <w:spacing w:after="0" w:line="215" w:lineRule="exact"/>
        <w:rPr>
          <w:rFonts w:ascii="Arial" w:cs="Arial" w:eastAsia="Arial" w:hAnsi="Arial"/>
          <w:sz w:val="20"/>
          <w:szCs w:val="20"/>
          <w:color w:val="auto"/>
        </w:rPr>
      </w:pPr>
    </w:p>
    <w:p>
      <w:pPr>
        <w:ind w:right="20" w:firstLine="656"/>
        <w:spacing w:after="0" w:line="260" w:lineRule="auto"/>
        <w:tabs>
          <w:tab w:leader="none" w:pos="1291"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termination of the Loan Documents and payment of the obligations hereunder.</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XII.4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the Borrowers or any other Credit Party against any and all of the obligations of the Borrowers or such Credit Party now or hereafter existing under this Agreement or any other Loan Document to such Lender, such Issuing Lender or such Swingline Lender or any of their respective Affiliates, irrespective of whether or not such Lender, such Issuing Lender, such Swingline Lender or any such Affiliate shall have made any demand under this Agreement or any other Loan Document and although such obligations of the Borrowers or such Credit Party may be contingent or unmatured or are owed to a branch or office of such Lender, such Issuing Lender, such Swingline Lender or such Affiliate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or any Affiliate thereof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and, pending such payment, shall be segregated by such Defaulting Lender or Affiliate of a Defaulting Lender from its other funds and deemed held in trust for the benefit of the Administrative Agent, the Issuing Lenders, the Swingline Lenders and the Lenders, and (y) the Defaulting Lender or its Affiliate shall provide promptly to the Administrative Agent a statement describing in reasonable detail the Secured Obligations owing to such Defaulting Lender or any of its Affiliates as to which it exercised such right of setoff. The rights of each Lender, each Issuing Lender, each Swingline Lender and their respective Affiliates under this Section are in addition to other rights and remedies (including other rights of setoff) that such Lender, such Issuing Lender, such Swingline Lender or their respective Affiliates may have. Each Lender, such Issuing Lender and such Swingline Lender agree to notify the Borrowers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XII.5</w:t>
      </w:r>
      <w:r>
        <w:rPr>
          <w:sz w:val="20"/>
          <w:szCs w:val="20"/>
          <w:color w:val="auto"/>
        </w:rPr>
        <w:tab/>
      </w:r>
      <w:r>
        <w:rPr>
          <w:rFonts w:ascii="Arial" w:cs="Arial" w:eastAsia="Arial" w:hAnsi="Arial"/>
          <w:sz w:val="18"/>
          <w:szCs w:val="18"/>
          <w:u w:val="single" w:color="auto"/>
          <w:color w:val="auto"/>
        </w:rPr>
        <w:t>Governing Law; Jurisdiction, Etc.</w:t>
      </w:r>
    </w:p>
    <w:p>
      <w:pPr>
        <w:spacing w:after="0" w:line="216" w:lineRule="exact"/>
        <w:rPr>
          <w:sz w:val="20"/>
          <w:szCs w:val="20"/>
          <w:color w:val="auto"/>
        </w:rPr>
      </w:pPr>
    </w:p>
    <w:p>
      <w:pPr>
        <w:jc w:val="both"/>
        <w:ind w:firstLine="656"/>
        <w:spacing w:after="0" w:line="246" w:lineRule="auto"/>
        <w:tabs>
          <w:tab w:leader="none" w:pos="1286" w:val="left"/>
        </w:tabs>
        <w:numPr>
          <w:ilvl w:val="0"/>
          <w:numId w:val="21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214"/>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The Borrowers and each other Credit Party irrevocably and unconditionally agrees that it will not commence any action, litigation or proceeding of any kind or description, whether in law or equity, whether in contract or in tort or otherwise,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6" w:name="page227"/>
    <w:bookmarkEnd w:id="226"/>
    <w:p>
      <w:pPr>
        <w:jc w:val="both"/>
        <w:spacing w:after="0" w:line="271" w:lineRule="auto"/>
        <w:rPr>
          <w:sz w:val="20"/>
          <w:szCs w:val="20"/>
          <w:color w:val="auto"/>
        </w:rPr>
      </w:pPr>
      <w:r>
        <w:rPr>
          <w:rFonts w:ascii="Arial" w:cs="Arial" w:eastAsia="Arial" w:hAnsi="Arial"/>
          <w:sz w:val="18"/>
          <w:szCs w:val="18"/>
          <w:color w:val="auto"/>
        </w:rPr>
        <w:t>Administrative Agent, any Lender, any Issuing Lender, any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any Swingline Lender may otherwise have to bring any action or proceeding relating to this Agreement or any other Loan Document against the Borrowers or any other Credit Party or its properties in the courts of any jurisdiction.</w:t>
      </w:r>
    </w:p>
    <w:p>
      <w:pPr>
        <w:spacing w:after="0" w:line="174" w:lineRule="exact"/>
        <w:rPr>
          <w:sz w:val="20"/>
          <w:szCs w:val="20"/>
          <w:color w:val="auto"/>
        </w:rPr>
      </w:pPr>
    </w:p>
    <w:p>
      <w:pPr>
        <w:jc w:val="both"/>
        <w:ind w:firstLine="656"/>
        <w:spacing w:after="0" w:line="244" w:lineRule="auto"/>
        <w:tabs>
          <w:tab w:leader="none" w:pos="1286"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The Borrowers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12.1</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XII.6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XII.7 </w:t>
      </w:r>
      <w:r>
        <w:rPr>
          <w:rFonts w:ascii="Arial" w:cs="Arial" w:eastAsia="Arial" w:hAnsi="Arial"/>
          <w:sz w:val="18"/>
          <w:szCs w:val="18"/>
          <w:u w:val="single" w:color="auto"/>
          <w:color w:val="auto"/>
        </w:rPr>
        <w:t>Reversal of Payments</w:t>
      </w:r>
      <w:r>
        <w:rPr>
          <w:rFonts w:ascii="Arial" w:cs="Arial" w:eastAsia="Arial" w:hAnsi="Arial"/>
          <w:sz w:val="18"/>
          <w:szCs w:val="18"/>
          <w:color w:val="auto"/>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7" w:name="page228"/>
    <w:bookmarkEnd w:id="227"/>
    <w:p>
      <w:pPr>
        <w:jc w:val="both"/>
        <w:spacing w:after="0" w:line="246" w:lineRule="auto"/>
        <w:rPr>
          <w:sz w:val="20"/>
          <w:szCs w:val="20"/>
          <w:color w:val="auto"/>
        </w:rPr>
      </w:pPr>
      <w:r>
        <w:rPr>
          <w:rFonts w:ascii="Arial" w:cs="Arial" w:eastAsia="Arial" w:hAnsi="Arial"/>
          <w:sz w:val="20"/>
          <w:szCs w:val="20"/>
          <w:color w:val="auto"/>
        </w:rPr>
        <w:t>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XII.8 </w:t>
      </w:r>
      <w:r>
        <w:rPr>
          <w:rFonts w:ascii="Arial" w:cs="Arial" w:eastAsia="Arial" w:hAnsi="Arial"/>
          <w:sz w:val="20"/>
          <w:szCs w:val="20"/>
          <w:u w:val="single" w:color="auto"/>
          <w:color w:val="auto"/>
        </w:rPr>
        <w:t>Injunctive Relief</w:t>
      </w:r>
      <w:r>
        <w:rPr>
          <w:rFonts w:ascii="Arial" w:cs="Arial" w:eastAsia="Arial" w:hAnsi="Arial"/>
          <w:sz w:val="20"/>
          <w:szCs w:val="20"/>
          <w:color w:val="auto"/>
        </w:rPr>
        <w:t>. The Borrowers recognizes that, in the event the Borrowers fail to perform, observe or discharge any of its obligations or liabilities under this Agreement, any remedy of law may prove to be inadequate relief to the Lenders. Therefore, the Borrowers agree that the Lenders, at the Lenders’ option, shall be entitled to temporary and permanent injunctive relief in any such case without the necessity of proving actual damages.</w:t>
      </w:r>
    </w:p>
    <w:p>
      <w:pPr>
        <w:spacing w:after="0" w:line="191"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XII.9</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1" w:lineRule="auto"/>
        <w:tabs>
          <w:tab w:leader="none" w:pos="1286"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Agreement shall be binding upon and inure to the benefit of the parties hereto and their respective 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73" w:lineRule="exact"/>
        <w:rPr>
          <w:rFonts w:ascii="Arial" w:cs="Arial" w:eastAsia="Arial" w:hAnsi="Arial"/>
          <w:sz w:val="18"/>
          <w:szCs w:val="18"/>
          <w:color w:val="auto"/>
        </w:rPr>
      </w:pPr>
    </w:p>
    <w:p>
      <w:pPr>
        <w:jc w:val="both"/>
        <w:ind w:firstLine="656"/>
        <w:spacing w:after="0" w:line="269" w:lineRule="auto"/>
        <w:tabs>
          <w:tab w:leader="none" w:pos="1284"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with respect to any Credit Facility, any such assignment shall be subject to the following conditions:</w:t>
      </w:r>
    </w:p>
    <w:p>
      <w:pPr>
        <w:spacing w:after="0" w:line="169" w:lineRule="exact"/>
        <w:rPr>
          <w:rFonts w:ascii="Arial" w:cs="Arial" w:eastAsia="Arial" w:hAnsi="Arial"/>
          <w:sz w:val="19"/>
          <w:szCs w:val="19"/>
          <w:color w:val="auto"/>
        </w:rPr>
      </w:pPr>
    </w:p>
    <w:p>
      <w:pPr>
        <w:ind w:left="1940" w:hanging="636"/>
        <w:spacing w:after="0"/>
        <w:tabs>
          <w:tab w:leader="none" w:pos="1940" w:val="left"/>
        </w:tabs>
        <w:numPr>
          <w:ilvl w:val="1"/>
          <w:numId w:val="216"/>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328" w:lineRule="auto"/>
        <w:tabs>
          <w:tab w:leader="none" w:pos="2587" w:val="left"/>
        </w:tabs>
        <w:numPr>
          <w:ilvl w:val="2"/>
          <w:numId w:val="216"/>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28" w:lineRule="exact"/>
        <w:rPr>
          <w:rFonts w:ascii="Arial" w:cs="Arial" w:eastAsia="Arial" w:hAnsi="Arial"/>
          <w:sz w:val="16"/>
          <w:szCs w:val="16"/>
          <w:color w:val="auto"/>
        </w:rPr>
      </w:pPr>
    </w:p>
    <w:p>
      <w:pPr>
        <w:jc w:val="both"/>
        <w:ind w:left="1300" w:firstLine="652"/>
        <w:spacing w:after="0" w:line="244" w:lineRule="auto"/>
        <w:tabs>
          <w:tab w:leader="none" w:pos="2590" w:val="left"/>
        </w:tabs>
        <w:numPr>
          <w:ilvl w:val="2"/>
          <w:numId w:val="216"/>
        </w:numPr>
        <w:rPr>
          <w:rFonts w:ascii="Arial" w:cs="Arial" w:eastAsia="Arial" w:hAnsi="Arial"/>
          <w:sz w:val="20"/>
          <w:szCs w:val="20"/>
          <w:color w:val="auto"/>
        </w:rPr>
      </w:pPr>
      <w:r>
        <w:rPr>
          <w:rFonts w:ascii="Arial" w:cs="Arial" w:eastAsia="Arial" w:hAnsi="Arial"/>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8" w:name="page229"/>
    <w:bookmarkEnd w:id="228"/>
    <w:p>
      <w:pPr>
        <w:jc w:val="both"/>
        <w:ind w:left="1300"/>
        <w:spacing w:after="0" w:line="243" w:lineRule="auto"/>
        <w:rPr>
          <w:sz w:val="20"/>
          <w:szCs w:val="20"/>
          <w:color w:val="auto"/>
        </w:rPr>
      </w:pPr>
      <w:r>
        <w:rPr>
          <w:rFonts w:ascii="Arial" w:cs="Arial" w:eastAsia="Arial" w:hAnsi="Arial"/>
          <w:sz w:val="20"/>
          <w:szCs w:val="20"/>
          <w:color w:val="auto"/>
        </w:rPr>
        <w:t xml:space="preserve">Assignment and Assumption, as of the Trade Date) shall not be less than $5,000,000, in the case of any assignment in respect of the Revolving Credit Facility, or $1,000,000, in the case of any assignment in respect of the Term Loan Facility, unless each of the Administrative Agent and, so long as no Event of Default has occurred and is continuing, Centuri otherwise consents (each such consent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Centuri shall be deemed to have given its consent five (5) Business Days after the date written notice thereof has been delivered by the assigning Lender (through the Administrative Agent) unless such consent is expressly refused by Centuri prior to such fifth (5th) Business Day;</w:t>
      </w:r>
    </w:p>
    <w:p>
      <w:pPr>
        <w:spacing w:after="0" w:line="193" w:lineRule="exact"/>
        <w:rPr>
          <w:sz w:val="20"/>
          <w:szCs w:val="20"/>
          <w:color w:val="auto"/>
        </w:rPr>
      </w:pPr>
    </w:p>
    <w:p>
      <w:pPr>
        <w:jc w:val="both"/>
        <w:ind w:left="660" w:firstLine="644"/>
        <w:spacing w:after="0" w:line="246" w:lineRule="auto"/>
        <w:tabs>
          <w:tab w:leader="none" w:pos="1955" w:val="left"/>
        </w:tabs>
        <w:numPr>
          <w:ilvl w:val="1"/>
          <w:numId w:val="217"/>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 or the Commitment assigned and each assignment of Term Loans shall be a ratable assignment of the assigning Lender’s Term Loans made to the US Borrowers and the assigning Lender’s Term Loans made to the Canadian Borrowers (if any);</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paragraph (b)(i)</w:t>
      </w:r>
    </w:p>
    <w:p>
      <w:pPr>
        <w:spacing w:after="0" w:line="61" w:lineRule="exact"/>
        <w:rPr>
          <w:rFonts w:ascii="Arial" w:cs="Arial" w:eastAsia="Arial" w:hAnsi="Arial"/>
          <w:sz w:val="16"/>
          <w:szCs w:val="16"/>
          <w:color w:val="auto"/>
        </w:rPr>
      </w:pPr>
    </w:p>
    <w:p>
      <w:pPr>
        <w:ind w:left="960" w:hanging="304"/>
        <w:spacing w:after="0"/>
        <w:tabs>
          <w:tab w:leader="none" w:pos="96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of this Section and, in addition:</w:t>
      </w:r>
    </w:p>
    <w:p>
      <w:pPr>
        <w:spacing w:after="0" w:line="199" w:lineRule="exact"/>
        <w:rPr>
          <w:rFonts w:ascii="Arial" w:cs="Arial" w:eastAsia="Arial" w:hAnsi="Arial"/>
          <w:sz w:val="20"/>
          <w:szCs w:val="20"/>
          <w:color w:val="auto"/>
        </w:rPr>
      </w:pPr>
    </w:p>
    <w:p>
      <w:pPr>
        <w:ind w:left="2600" w:hanging="648"/>
        <w:spacing w:after="0"/>
        <w:tabs>
          <w:tab w:leader="none" w:pos="260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the consent of Centuri (such consent not to be unreasonably withheld or delayed) shall be required unless</w:t>
      </w:r>
    </w:p>
    <w:p>
      <w:pPr>
        <w:spacing w:after="0" w:line="38" w:lineRule="exact"/>
        <w:rPr>
          <w:rFonts w:ascii="Arial" w:cs="Arial" w:eastAsia="Arial" w:hAnsi="Arial"/>
          <w:sz w:val="18"/>
          <w:szCs w:val="18"/>
          <w:color w:val="auto"/>
        </w:rPr>
      </w:pPr>
    </w:p>
    <w:p>
      <w:pPr>
        <w:jc w:val="both"/>
        <w:ind w:left="1300" w:firstLine="4"/>
        <w:spacing w:after="0" w:line="256" w:lineRule="auto"/>
        <w:tabs>
          <w:tab w:leader="none" w:pos="1587"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an Event of Default has occurred and is continuing at the time of such assignment or (y)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Centuri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Centuri’s consent shall not be required during the period commencing on the Closing Date and ending on the date that is ninety (90) days following the Closing Date;</w:t>
      </w:r>
    </w:p>
    <w:p>
      <w:pPr>
        <w:spacing w:after="0" w:line="182" w:lineRule="exact"/>
        <w:rPr>
          <w:rFonts w:ascii="Arial" w:cs="Arial" w:eastAsia="Arial" w:hAnsi="Arial"/>
          <w:sz w:val="19"/>
          <w:szCs w:val="19"/>
          <w:color w:val="auto"/>
        </w:rPr>
      </w:pPr>
    </w:p>
    <w:p>
      <w:pPr>
        <w:jc w:val="both"/>
        <w:ind w:left="1300" w:firstLine="652"/>
        <w:spacing w:after="0" w:line="272" w:lineRule="auto"/>
        <w:tabs>
          <w:tab w:leader="none" w:pos="259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w:t>
      </w:r>
    </w:p>
    <w:p>
      <w:pPr>
        <w:ind w:left="1600" w:hanging="296"/>
        <w:spacing w:after="0"/>
        <w:tabs>
          <w:tab w:leader="none" w:pos="1600"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the Term Loans to a Person who is not a Lender, an Affiliate of a Lender or an Approved Fund; and</w:t>
      </w:r>
    </w:p>
    <w:p>
      <w:pPr>
        <w:spacing w:after="0" w:line="199" w:lineRule="exact"/>
        <w:rPr>
          <w:rFonts w:ascii="Arial" w:cs="Arial" w:eastAsia="Arial" w:hAnsi="Arial"/>
          <w:sz w:val="20"/>
          <w:szCs w:val="20"/>
          <w:color w:val="auto"/>
        </w:rPr>
      </w:pPr>
    </w:p>
    <w:p>
      <w:pPr>
        <w:ind w:left="1300" w:firstLine="652"/>
        <w:spacing w:after="0" w:line="287" w:lineRule="auto"/>
        <w:tabs>
          <w:tab w:leader="none" w:pos="2590" w:val="left"/>
        </w:tabs>
        <w:numPr>
          <w:ilvl w:val="2"/>
          <w:numId w:val="220"/>
        </w:numPr>
        <w:rPr>
          <w:rFonts w:ascii="Arial" w:cs="Arial" w:eastAsia="Arial" w:hAnsi="Arial"/>
          <w:sz w:val="19"/>
          <w:szCs w:val="19"/>
          <w:color w:val="auto"/>
        </w:rPr>
      </w:pPr>
      <w:r>
        <w:rPr>
          <w:rFonts w:ascii="Arial" w:cs="Arial" w:eastAsia="Arial" w:hAnsi="Arial"/>
          <w:sz w:val="19"/>
          <w:szCs w:val="19"/>
          <w:color w:val="auto"/>
        </w:rPr>
        <w:t>the consents of the Issuing Lenders and the Swingline Lenders (such consents not to be unreasonably withheld or delayed) shall be required for any assignment in respect of the Revolving Credit Facility.</w:t>
      </w:r>
    </w:p>
    <w:p>
      <w:pPr>
        <w:spacing w:after="0" w:line="152" w:lineRule="exact"/>
        <w:rPr>
          <w:sz w:val="20"/>
          <w:szCs w:val="20"/>
          <w:color w:val="auto"/>
        </w:rPr>
      </w:pPr>
    </w:p>
    <w:p>
      <w:pPr>
        <w:jc w:val="both"/>
        <w:ind w:left="660" w:firstLine="644"/>
        <w:spacing w:after="0" w:line="278" w:lineRule="auto"/>
        <w:tabs>
          <w:tab w:leader="none" w:pos="1945"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29" w:name="page230"/>
    <w:bookmarkEnd w:id="229"/>
    <w:p>
      <w:pPr>
        <w:jc w:val="both"/>
        <w:ind w:left="660" w:right="20" w:firstLine="644"/>
        <w:spacing w:after="0" w:line="269" w:lineRule="auto"/>
        <w:tabs>
          <w:tab w:leader="none" w:pos="1944"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to (A) the Borrowers or any of the Borrowers’ respective Subsidiaries or Affiliates or (B) any Defaulting Lender or any of its Subsidiaries, or any Person who, upon becoming a Lender hereunder, would constitute any of the foregoing Persons described in this clause (B).</w:t>
      </w:r>
    </w:p>
    <w:p>
      <w:pPr>
        <w:spacing w:after="0" w:line="169" w:lineRule="exact"/>
        <w:rPr>
          <w:rFonts w:ascii="Arial" w:cs="Arial" w:eastAsia="Arial" w:hAnsi="Arial"/>
          <w:sz w:val="19"/>
          <w:szCs w:val="19"/>
          <w:color w:val="auto"/>
        </w:rPr>
      </w:pPr>
    </w:p>
    <w:p>
      <w:pPr>
        <w:ind w:left="660" w:firstLine="644"/>
        <w:spacing w:after="0" w:line="260" w:lineRule="auto"/>
        <w:tabs>
          <w:tab w:leader="none" w:pos="1945"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 (or a holding company, investment vehicle or trust for, or owned and operated for the primary benefit of, a natural Person).</w:t>
      </w:r>
    </w:p>
    <w:p>
      <w:pPr>
        <w:spacing w:after="0" w:line="176" w:lineRule="exact"/>
        <w:rPr>
          <w:rFonts w:ascii="Arial" w:cs="Arial" w:eastAsia="Arial" w:hAnsi="Arial"/>
          <w:sz w:val="20"/>
          <w:szCs w:val="20"/>
          <w:color w:val="auto"/>
        </w:rPr>
      </w:pPr>
    </w:p>
    <w:p>
      <w:pPr>
        <w:jc w:val="both"/>
        <w:ind w:left="660" w:firstLine="644"/>
        <w:spacing w:after="0" w:line="270" w:lineRule="auto"/>
        <w:tabs>
          <w:tab w:leader="none" w:pos="1945"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Centuri and the Administrative Agent, the applicable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Lenders and each other Lender hereunder (and interest accrued thereon), and (B) acquire (and fund as appropriate) its full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12.3</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any Borrower or any of the Borrowers’ Subsidiaries or Affiliates, which shall be null and void.)</w:t>
      </w:r>
    </w:p>
    <w:p>
      <w:pPr>
        <w:spacing w:after="0" w:line="176" w:lineRule="exact"/>
        <w:rPr>
          <w:sz w:val="20"/>
          <w:szCs w:val="20"/>
          <w:color w:val="auto"/>
        </w:rPr>
      </w:pPr>
    </w:p>
    <w:p>
      <w:pPr>
        <w:jc w:val="both"/>
        <w:ind w:firstLine="656"/>
        <w:spacing w:after="0" w:line="263" w:lineRule="auto"/>
        <w:tabs>
          <w:tab w:leader="none" w:pos="1286" w:val="left"/>
        </w:tabs>
        <w:numPr>
          <w:ilvl w:val="0"/>
          <w:numId w:val="223"/>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Borrowers, shall maintain at one of its offices in Charlotte, North Carolina, a copy of each Assignment and Assumption and each Incremental Amendment delivered to it and a register for the recordation of the names and addresses of the Lenders, and the Commitment of, and principal amounts of (and stated interest on) the Loans owing to, each Lender pursuant to the terms hereof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0" w:name="page231"/>
    <w:bookmarkEnd w:id="230"/>
    <w:p>
      <w:pPr>
        <w:jc w:val="both"/>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61" w:lineRule="exact"/>
        <w:rPr>
          <w:sz w:val="20"/>
          <w:szCs w:val="20"/>
          <w:color w:val="auto"/>
        </w:rPr>
      </w:pPr>
    </w:p>
    <w:p>
      <w:pPr>
        <w:jc w:val="both"/>
        <w:ind w:firstLine="656"/>
        <w:spacing w:after="0" w:line="272" w:lineRule="auto"/>
        <w:tabs>
          <w:tab w:leader="none" w:pos="128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Subsidiaries or Affiliates)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Lenders, the Swingline Lenders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12.3(c)</w:t>
      </w:r>
      <w:r>
        <w:rPr>
          <w:rFonts w:ascii="Arial" w:cs="Arial" w:eastAsia="Arial" w:hAnsi="Arial"/>
          <w:sz w:val="18"/>
          <w:szCs w:val="18"/>
          <w:color w:val="auto"/>
        </w:rPr>
        <w:t xml:space="preserve"> with respect to any payments made by such Lender to its Participant(s).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8"/>
          <w:szCs w:val="18"/>
          <w:u w:val="single" w:color="auto"/>
          <w:color w:val="auto"/>
        </w:rPr>
        <w:t>Section 12.2(b)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that directly and adversely affects such Participant. The Borrowers agree that each Participant shall be entitled to the benefits of </w:t>
      </w:r>
      <w:r>
        <w:rPr>
          <w:rFonts w:ascii="Arial" w:cs="Arial" w:eastAsia="Arial" w:hAnsi="Arial"/>
          <w:sz w:val="18"/>
          <w:szCs w:val="18"/>
          <w:u w:val="single" w:color="auto"/>
          <w:color w:val="auto"/>
        </w:rPr>
        <w:t>Sections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8"/>
          <w:szCs w:val="18"/>
          <w:u w:val="single" w:color="auto"/>
          <w:color w:val="auto"/>
        </w:rPr>
        <w:t>Section 5.12(b)</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 4</w:t>
      </w:r>
      <w:r>
        <w:rPr>
          <w:rFonts w:ascii="Arial" w:cs="Arial" w:eastAsia="Arial" w:hAnsi="Arial"/>
          <w:sz w:val="18"/>
          <w:szCs w:val="18"/>
          <w:color w:val="auto"/>
        </w:rPr>
        <w:t xml:space="preserve"> as though it were a Lender.</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1" w:name="page232"/>
    <w:bookmarkEnd w:id="231"/>
    <w:p>
      <w:pPr>
        <w:jc w:val="both"/>
        <w:spacing w:after="0" w:line="291" w:lineRule="auto"/>
        <w:rPr>
          <w:sz w:val="20"/>
          <w:szCs w:val="20"/>
          <w:color w:val="auto"/>
        </w:rPr>
      </w:pPr>
      <w:r>
        <w:rPr>
          <w:rFonts w:ascii="Arial" w:cs="Arial" w:eastAsia="Arial" w:hAnsi="Arial"/>
          <w:sz w:val="18"/>
          <w:szCs w:val="18"/>
          <w:color w:val="auto"/>
        </w:rPr>
        <w:t>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2" w:lineRule="exact"/>
        <w:rPr>
          <w:sz w:val="20"/>
          <w:szCs w:val="20"/>
          <w:color w:val="auto"/>
        </w:rPr>
      </w:pPr>
    </w:p>
    <w:p>
      <w:pPr>
        <w:jc w:val="both"/>
        <w:ind w:firstLine="656"/>
        <w:spacing w:after="0" w:line="246" w:lineRule="auto"/>
        <w:tabs>
          <w:tab w:leader="none" w:pos="1286" w:val="left"/>
        </w:tabs>
        <w:numPr>
          <w:ilvl w:val="0"/>
          <w:numId w:val="225"/>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225"/>
        </w:numPr>
        <w:rPr>
          <w:rFonts w:ascii="Arial" w:cs="Arial" w:eastAsia="Arial" w:hAnsi="Arial"/>
          <w:sz w:val="20"/>
          <w:szCs w:val="20"/>
          <w:color w:val="auto"/>
        </w:rPr>
      </w:pPr>
      <w:r>
        <w:rPr>
          <w:rFonts w:ascii="Arial" w:cs="Arial" w:eastAsia="Arial" w:hAnsi="Arial"/>
          <w:sz w:val="20"/>
          <w:szCs w:val="20"/>
          <w:u w:val="single" w:color="auto"/>
          <w:color w:val="auto"/>
        </w:rPr>
        <w:t>Cashless Settlement</w:t>
      </w:r>
      <w:r>
        <w:rPr>
          <w:rFonts w:ascii="Arial" w:cs="Arial" w:eastAsia="Arial" w:hAnsi="Arial"/>
          <w:sz w:val="20"/>
          <w:szCs w:val="20"/>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9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 xml:space="preserve">SECTION XII.10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the Lenders and the Issuing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as to the extent required by Applicable Laws or regulations or in any legal, judicial or administrative proceeding or other compulsory process,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w:t>
      </w:r>
    </w:p>
    <w:p>
      <w:pPr>
        <w:spacing w:after="0" w:line="179" w:lineRule="exact"/>
        <w:rPr>
          <w:sz w:val="20"/>
          <w:szCs w:val="20"/>
          <w:color w:val="auto"/>
        </w:rPr>
      </w:pPr>
    </w:p>
    <w:p>
      <w:pPr>
        <w:jc w:val="both"/>
        <w:ind w:firstLine="8"/>
        <w:spacing w:after="0" w:line="268" w:lineRule="auto"/>
        <w:tabs>
          <w:tab w:leader="none" w:pos="24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Borrowers and their respective obligations, this Agreement or payments hereunder, (g) on a confidential basis to (i) any rating agency in connection with rating the Consolidated Companies or the Credit Facility or (ii) the CUSIP Service Bureau or any similar agency in connection with the issuance and monitoring of CUSIP numbers with respect to the Credit Facility, (h) with the consent of Centuri, (i) to Gold Sheets and other similar bank trade publications, such information to consist of deal terms and other information customarily found in such publications,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Borrowers, (k) 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(l) to the extent that such information is independently developed by such Person, or (m) for purposes of establishing a “due diligence” defense.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2" w:name="page233"/>
    <w:bookmarkEnd w:id="232"/>
    <w:p>
      <w:pPr>
        <w:jc w:val="both"/>
        <w:spacing w:after="0" w:line="257" w:lineRule="auto"/>
        <w:rPr>
          <w:sz w:val="20"/>
          <w:szCs w:val="20"/>
          <w:color w:val="auto"/>
        </w:rPr>
      </w:pPr>
      <w:r>
        <w:rPr>
          <w:rFonts w:ascii="Arial" w:cs="Arial" w:eastAsia="Arial" w:hAnsi="Arial"/>
          <w:sz w:val="19"/>
          <w:szCs w:val="19"/>
          <w:color w:val="auto"/>
        </w:rPr>
        <w:t>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ind w:left="660"/>
              <w:spacing w:after="0"/>
              <w:rPr>
                <w:sz w:val="20"/>
                <w:szCs w:val="20"/>
                <w:color w:val="auto"/>
              </w:rPr>
            </w:pPr>
            <w:r>
              <w:rPr>
                <w:rFonts w:ascii="Arial" w:cs="Arial" w:eastAsia="Arial" w:hAnsi="Arial"/>
                <w:sz w:val="20"/>
                <w:szCs w:val="20"/>
                <w:color w:val="auto"/>
              </w:rPr>
              <w:t>SECTION XII.11</w:t>
            </w:r>
          </w:p>
        </w:tc>
        <w:tc>
          <w:tcPr>
            <w:tcW w:w="8620" w:type="dxa"/>
            <w:vAlign w:val="bottom"/>
            <w:gridSpan w:val="3"/>
          </w:tcPr>
          <w:p>
            <w:pPr>
              <w:spacing w:after="0"/>
              <w:rPr>
                <w:sz w:val="20"/>
                <w:szCs w:val="20"/>
                <w:color w:val="auto"/>
              </w:rPr>
            </w:pPr>
            <w:r>
              <w:rPr>
                <w:rFonts w:ascii="Arial" w:cs="Arial" w:eastAsia="Arial" w:hAnsi="Arial"/>
                <w:sz w:val="20"/>
                <w:szCs w:val="20"/>
                <w:color w:val="auto"/>
                <w:w w:val="92"/>
              </w:rPr>
              <w:t>Performance of Duties. Each of the Credit Party’s obligations under this Agreement and each of the other</w:t>
            </w:r>
          </w:p>
        </w:tc>
      </w:tr>
      <w:tr>
        <w:trPr>
          <w:trHeight w:val="20"/>
        </w:trPr>
        <w:tc>
          <w:tcPr>
            <w:tcW w:w="26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54"/>
        </w:trPr>
        <w:tc>
          <w:tcPr>
            <w:tcW w:w="11220" w:type="dxa"/>
            <w:vAlign w:val="bottom"/>
            <w:gridSpan w:val="4"/>
          </w:tcPr>
          <w:p>
            <w:pPr>
              <w:spacing w:after="0"/>
              <w:rPr>
                <w:sz w:val="20"/>
                <w:szCs w:val="20"/>
                <w:color w:val="auto"/>
              </w:rPr>
            </w:pPr>
            <w:r>
              <w:rPr>
                <w:rFonts w:ascii="Arial" w:cs="Arial" w:eastAsia="Arial" w:hAnsi="Arial"/>
                <w:sz w:val="20"/>
                <w:szCs w:val="20"/>
                <w:color w:val="auto"/>
              </w:rPr>
              <w:t>Loan Documents shall be performed by such Credit Party at its sole cost and expense.</w:t>
            </w:r>
          </w:p>
        </w:tc>
      </w:tr>
      <w:tr>
        <w:trPr>
          <w:trHeight w:val="401"/>
        </w:trPr>
        <w:tc>
          <w:tcPr>
            <w:tcW w:w="2600" w:type="dxa"/>
            <w:vAlign w:val="bottom"/>
          </w:tcPr>
          <w:p>
            <w:pPr>
              <w:ind w:left="660"/>
              <w:spacing w:after="0"/>
              <w:rPr>
                <w:sz w:val="20"/>
                <w:szCs w:val="20"/>
                <w:color w:val="auto"/>
              </w:rPr>
            </w:pPr>
            <w:r>
              <w:rPr>
                <w:rFonts w:ascii="Arial" w:cs="Arial" w:eastAsia="Arial" w:hAnsi="Arial"/>
                <w:sz w:val="20"/>
                <w:szCs w:val="20"/>
                <w:color w:val="auto"/>
              </w:rPr>
              <w:t>SECTION XII.12</w:t>
            </w:r>
          </w:p>
        </w:tc>
        <w:tc>
          <w:tcPr>
            <w:tcW w:w="8620" w:type="dxa"/>
            <w:vAlign w:val="bottom"/>
            <w:gridSpan w:val="3"/>
          </w:tcPr>
          <w:p>
            <w:pPr>
              <w:spacing w:after="0"/>
              <w:rPr>
                <w:sz w:val="20"/>
                <w:szCs w:val="20"/>
                <w:color w:val="auto"/>
              </w:rPr>
            </w:pPr>
            <w:r>
              <w:rPr>
                <w:rFonts w:ascii="Arial" w:cs="Arial" w:eastAsia="Arial" w:hAnsi="Arial"/>
                <w:sz w:val="20"/>
                <w:szCs w:val="20"/>
                <w:color w:val="auto"/>
                <w:w w:val="93"/>
              </w:rPr>
              <w:t>All Powers Coupled with Interest. All powers of attorney and other authorizations granted to the Lenders,</w:t>
            </w:r>
          </w:p>
        </w:tc>
      </w:tr>
      <w:tr>
        <w:trPr>
          <w:trHeight w:val="20"/>
        </w:trPr>
        <w:tc>
          <w:tcPr>
            <w:tcW w:w="26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70"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XII.13</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9" w:lineRule="auto"/>
        <w:tabs>
          <w:tab w:leader="none" w:pos="128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All representations and warranties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78" w:lineRule="exact"/>
        <w:rPr>
          <w:rFonts w:ascii="Arial" w:cs="Arial" w:eastAsia="Arial" w:hAnsi="Arial"/>
          <w:sz w:val="19"/>
          <w:szCs w:val="19"/>
          <w:color w:val="auto"/>
        </w:rPr>
      </w:pPr>
    </w:p>
    <w:p>
      <w:pPr>
        <w:jc w:val="both"/>
        <w:ind w:firstLine="656"/>
        <w:spacing w:after="0" w:line="246" w:lineRule="auto"/>
        <w:tabs>
          <w:tab w:leader="none" w:pos="1284"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Notwithstanding any termination of this Agreement, the indemnities to which the Administrative Agent and the Lenders are entitled under the provisions of this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ind w:left="660"/>
              <w:spacing w:after="0"/>
              <w:rPr>
                <w:sz w:val="20"/>
                <w:szCs w:val="20"/>
                <w:color w:val="auto"/>
              </w:rPr>
            </w:pPr>
            <w:r>
              <w:rPr>
                <w:rFonts w:ascii="Arial" w:cs="Arial" w:eastAsia="Arial" w:hAnsi="Arial"/>
                <w:sz w:val="20"/>
                <w:szCs w:val="20"/>
                <w:color w:val="auto"/>
              </w:rPr>
              <w:t>SECTION XII.14</w:t>
            </w:r>
          </w:p>
        </w:tc>
        <w:tc>
          <w:tcPr>
            <w:tcW w:w="8600" w:type="dxa"/>
            <w:vAlign w:val="bottom"/>
            <w:gridSpan w:val="3"/>
          </w:tcPr>
          <w:p>
            <w:pPr>
              <w:jc w:val="right"/>
              <w:spacing w:after="0"/>
              <w:rPr>
                <w:sz w:val="20"/>
                <w:szCs w:val="20"/>
                <w:color w:val="auto"/>
              </w:rPr>
            </w:pPr>
            <w:r>
              <w:rPr>
                <w:rFonts w:ascii="Arial" w:cs="Arial" w:eastAsia="Arial" w:hAnsi="Arial"/>
                <w:sz w:val="20"/>
                <w:szCs w:val="20"/>
                <w:color w:val="auto"/>
                <w:w w:val="89"/>
              </w:rPr>
              <w:t>Titles and Captions. Titles and captions of Articles, Sections and subsections in, and the table of contents of,</w:t>
            </w:r>
          </w:p>
        </w:tc>
      </w:tr>
      <w:tr>
        <w:trPr>
          <w:trHeight w:val="20"/>
        </w:trPr>
        <w:tc>
          <w:tcPr>
            <w:tcW w:w="264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54"/>
        </w:trPr>
        <w:tc>
          <w:tcPr>
            <w:tcW w:w="11240" w:type="dxa"/>
            <w:vAlign w:val="bottom"/>
            <w:gridSpan w:val="4"/>
          </w:tcPr>
          <w:p>
            <w:pPr>
              <w:spacing w:after="0"/>
              <w:rPr>
                <w:sz w:val="20"/>
                <w:szCs w:val="20"/>
                <w:color w:val="auto"/>
              </w:rPr>
            </w:pPr>
            <w:r>
              <w:rPr>
                <w:rFonts w:ascii="Arial" w:cs="Arial" w:eastAsia="Arial" w:hAnsi="Arial"/>
                <w:sz w:val="20"/>
                <w:szCs w:val="20"/>
                <w:color w:val="auto"/>
              </w:rPr>
              <w:t>this Agreement are for convenience only, and neither limit nor amplify the provisions of this Agreement.</w:t>
            </w:r>
          </w:p>
        </w:tc>
      </w:tr>
      <w:tr>
        <w:trPr>
          <w:trHeight w:val="401"/>
        </w:trPr>
        <w:tc>
          <w:tcPr>
            <w:tcW w:w="2640" w:type="dxa"/>
            <w:vAlign w:val="bottom"/>
          </w:tcPr>
          <w:p>
            <w:pPr>
              <w:ind w:left="660"/>
              <w:spacing w:after="0"/>
              <w:rPr>
                <w:sz w:val="20"/>
                <w:szCs w:val="20"/>
                <w:color w:val="auto"/>
              </w:rPr>
            </w:pPr>
            <w:r>
              <w:rPr>
                <w:rFonts w:ascii="Arial" w:cs="Arial" w:eastAsia="Arial" w:hAnsi="Arial"/>
                <w:sz w:val="20"/>
                <w:szCs w:val="20"/>
                <w:color w:val="auto"/>
              </w:rPr>
              <w:t>SECTION XII.15</w:t>
            </w:r>
          </w:p>
        </w:tc>
        <w:tc>
          <w:tcPr>
            <w:tcW w:w="8600" w:type="dxa"/>
            <w:vAlign w:val="bottom"/>
            <w:gridSpan w:val="3"/>
          </w:tcPr>
          <w:p>
            <w:pPr>
              <w:jc w:val="right"/>
              <w:spacing w:after="0"/>
              <w:rPr>
                <w:sz w:val="20"/>
                <w:szCs w:val="20"/>
                <w:color w:val="auto"/>
              </w:rPr>
            </w:pPr>
            <w:r>
              <w:rPr>
                <w:rFonts w:ascii="Arial" w:cs="Arial" w:eastAsia="Arial" w:hAnsi="Arial"/>
                <w:sz w:val="20"/>
                <w:szCs w:val="20"/>
                <w:color w:val="auto"/>
              </w:rPr>
              <w:t>Severability of Provisions. Any provision of this Agreement or any other Loan Document which is</w:t>
            </w:r>
          </w:p>
        </w:tc>
      </w:tr>
      <w:tr>
        <w:trPr>
          <w:trHeight w:val="20"/>
        </w:trPr>
        <w:tc>
          <w:tcPr>
            <w:tcW w:w="26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86"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XII.16</w:t>
      </w:r>
      <w:r>
        <w:rPr>
          <w:sz w:val="20"/>
          <w:szCs w:val="20"/>
          <w:color w:val="auto"/>
        </w:rPr>
        <w:tab/>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3" w:name="page234"/>
    <w:bookmarkEnd w:id="233"/>
    <w:p>
      <w:pPr>
        <w:jc w:val="both"/>
        <w:ind w:firstLine="656"/>
        <w:spacing w:after="0" w:line="272" w:lineRule="auto"/>
        <w:tabs>
          <w:tab w:leader="none" w:pos="1286"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Lenders, the Swingline Lenders and/or the Arrangers,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70" w:lineRule="exact"/>
        <w:rPr>
          <w:rFonts w:ascii="Arial" w:cs="Arial" w:eastAsia="Arial" w:hAnsi="Arial"/>
          <w:sz w:val="18"/>
          <w:szCs w:val="18"/>
          <w:color w:val="auto"/>
        </w:rPr>
      </w:pPr>
    </w:p>
    <w:p>
      <w:pPr>
        <w:jc w:val="both"/>
        <w:ind w:firstLine="656"/>
        <w:spacing w:after="0" w:line="268" w:lineRule="auto"/>
        <w:tabs>
          <w:tab w:leader="none" w:pos="128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Electronic Execution</w:t>
      </w:r>
      <w:r>
        <w:rPr>
          <w:rFonts w:ascii="Arial" w:cs="Arial" w:eastAsia="Arial" w:hAnsi="Arial"/>
          <w:sz w:val="18"/>
          <w:szCs w:val="18"/>
          <w:color w:val="auto"/>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SECTION XII.17 </w:t>
      </w:r>
      <w:r>
        <w:rPr>
          <w:rFonts w:ascii="Arial" w:cs="Arial" w:eastAsia="Arial" w:hAnsi="Arial"/>
          <w:sz w:val="20"/>
          <w:szCs w:val="20"/>
          <w:u w:val="single" w:color="auto"/>
          <w:color w:val="auto"/>
        </w:rPr>
        <w:t>Term of Agreement</w:t>
      </w:r>
      <w:r>
        <w:rPr>
          <w:rFonts w:ascii="Arial" w:cs="Arial" w:eastAsia="Arial" w:hAnsi="Arial"/>
          <w:sz w:val="20"/>
          <w:szCs w:val="20"/>
          <w:color w:val="auto"/>
        </w:rPr>
        <w:t>. This Agreement shall remain in effect from the Closing Date through and including the date upon which all Obligations (other than contingent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4" w:name="page235"/>
    <w:bookmarkEnd w:id="234"/>
    <w:p>
      <w:pPr>
        <w:jc w:val="both"/>
        <w:spacing w:after="0" w:line="244" w:lineRule="auto"/>
        <w:rPr>
          <w:sz w:val="20"/>
          <w:szCs w:val="20"/>
          <w:color w:val="auto"/>
        </w:rPr>
      </w:pPr>
      <w:r>
        <w:rPr>
          <w:rFonts w:ascii="Arial" w:cs="Arial" w:eastAsia="Arial" w:hAnsi="Arial"/>
          <w:sz w:val="20"/>
          <w:szCs w:val="20"/>
          <w:color w:val="auto"/>
        </w:rPr>
        <w:t>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XII.18 </w:t>
      </w:r>
      <w:r>
        <w:rPr>
          <w:rFonts w:ascii="Arial" w:cs="Arial" w:eastAsia="Arial" w:hAnsi="Arial"/>
          <w:sz w:val="20"/>
          <w:szCs w:val="20"/>
          <w:u w:val="single" w:color="auto"/>
          <w:color w:val="auto"/>
        </w:rPr>
        <w:t>USA PATRIOT Act; Anti-Money Laundering Laws</w:t>
      </w:r>
      <w:r>
        <w:rPr>
          <w:rFonts w:ascii="Arial" w:cs="Arial" w:eastAsia="Arial" w:hAnsi="Arial"/>
          <w:sz w:val="20"/>
          <w:szCs w:val="20"/>
          <w:color w:val="auto"/>
        </w:rPr>
        <w:t>. The Administrative Agent and each Lender hereby notifies the Borrowers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XII.19 </w:t>
      </w:r>
      <w:r>
        <w:rPr>
          <w:rFonts w:ascii="Arial" w:cs="Arial" w:eastAsia="Arial" w:hAnsi="Arial"/>
          <w:sz w:val="19"/>
          <w:szCs w:val="19"/>
          <w:u w:val="single" w:color="auto"/>
          <w:color w:val="auto"/>
        </w:rPr>
        <w:t>Independent Effect of Covenants</w:t>
      </w:r>
      <w:r>
        <w:rPr>
          <w:rFonts w:ascii="Arial" w:cs="Arial" w:eastAsia="Arial" w:hAnsi="Arial"/>
          <w:sz w:val="19"/>
          <w:szCs w:val="19"/>
          <w:color w:val="auto"/>
        </w:rPr>
        <w:t xml:space="preserve">. The Borrowers expressly acknowledge and agree that each covenant contained in </w:t>
      </w:r>
      <w:r>
        <w:rPr>
          <w:rFonts w:ascii="Arial" w:cs="Arial" w:eastAsia="Arial" w:hAnsi="Arial"/>
          <w:sz w:val="19"/>
          <w:szCs w:val="19"/>
          <w:u w:val="single" w:color="auto"/>
          <w:color w:val="auto"/>
        </w:rPr>
        <w:t>Articles 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hereof shall be given independent effect. Accordingly, the Borrowers shall not engage in any transaction or other act otherwise permitted under any covenant contained in </w:t>
      </w:r>
      <w:r>
        <w:rPr>
          <w:rFonts w:ascii="Arial" w:cs="Arial" w:eastAsia="Arial" w:hAnsi="Arial"/>
          <w:sz w:val="19"/>
          <w:szCs w:val="19"/>
          <w:u w:val="single" w:color="auto"/>
          <w:color w:val="auto"/>
        </w:rPr>
        <w:t>Articles 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before or after giving effect to such transaction or act, the Borrowers shall or would be in breach of any other covenant contained in </w:t>
      </w:r>
      <w:r>
        <w:rPr>
          <w:rFonts w:ascii="Arial" w:cs="Arial" w:eastAsia="Arial" w:hAnsi="Arial"/>
          <w:sz w:val="19"/>
          <w:szCs w:val="19"/>
          <w:u w:val="single" w:color="auto"/>
          <w:color w:val="auto"/>
        </w:rPr>
        <w:t>Articles 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IX</w:t>
      </w:r>
      <w:r>
        <w:rPr>
          <w:rFonts w:ascii="Arial" w:cs="Arial" w:eastAsia="Arial" w:hAnsi="Arial"/>
          <w:sz w:val="19"/>
          <w:szCs w:val="19"/>
          <w:color w:val="auto"/>
        </w:rPr>
        <w:t>.</w:t>
      </w:r>
    </w:p>
    <w:p>
      <w:pPr>
        <w:spacing w:after="0" w:line="176"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XII.20</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6" w:lineRule="exact"/>
        <w:rPr>
          <w:sz w:val="20"/>
          <w:szCs w:val="20"/>
          <w:color w:val="auto"/>
        </w:rPr>
      </w:pPr>
    </w:p>
    <w:p>
      <w:pPr>
        <w:jc w:val="both"/>
        <w:ind w:firstLine="737"/>
        <w:spacing w:after="0" w:line="268" w:lineRule="auto"/>
        <w:tabs>
          <w:tab w:leader="none" w:pos="128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respective Affiliates, on the one hand, and the Administrative Agent, the Arrangers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Borrowers or any of their respective Affiliates, stockholders, creditors or employees or any other Person, (iii) none of the Administrative Agent, the Arrangers or the Lenders has assumed or will assume an advisory, agency or fiduciary responsibility in favor of the Borrowers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Borrowers or any of their respective Affiliates on other matters) and none of the Administrative Agent, the Arrangers or the Lenders has any obligation to the Borrowers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Borrowers and their respective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5" w:name="page236"/>
    <w:bookmarkEnd w:id="235"/>
    <w:p>
      <w:pPr>
        <w:ind w:right="20"/>
        <w:spacing w:after="0" w:line="260" w:lineRule="auto"/>
        <w:rPr>
          <w:sz w:val="20"/>
          <w:szCs w:val="20"/>
          <w:color w:val="auto"/>
        </w:rPr>
      </w:pPr>
      <w:r>
        <w:rPr>
          <w:rFonts w:ascii="Arial" w:cs="Arial" w:eastAsia="Arial" w:hAnsi="Arial"/>
          <w:sz w:val="20"/>
          <w:szCs w:val="20"/>
          <w:color w:val="auto"/>
        </w:rPr>
        <w:t>amendment, waiver or other modification hereof or of any other Loan Document) and the Credit Parties have consulted their own legal, accounting, regulatory and tax advisors to the extent they have deemed appropriate.</w:t>
      </w:r>
    </w:p>
    <w:p>
      <w:pPr>
        <w:spacing w:after="0" w:line="177" w:lineRule="exact"/>
        <w:rPr>
          <w:sz w:val="20"/>
          <w:szCs w:val="20"/>
          <w:color w:val="auto"/>
        </w:rPr>
      </w:pPr>
    </w:p>
    <w:p>
      <w:pPr>
        <w:jc w:val="both"/>
        <w:ind w:firstLine="737"/>
        <w:spacing w:after="0" w:line="242" w:lineRule="auto"/>
        <w:tabs>
          <w:tab w:leader="none" w:pos="1284" w:val="left"/>
        </w:tabs>
        <w:numPr>
          <w:ilvl w:val="0"/>
          <w:numId w:val="230"/>
        </w:numPr>
        <w:rPr>
          <w:rFonts w:ascii="Arial" w:cs="Arial" w:eastAsia="Arial" w:hAnsi="Arial"/>
          <w:sz w:val="20"/>
          <w:szCs w:val="20"/>
          <w:color w:val="auto"/>
        </w:rPr>
      </w:pPr>
      <w:r>
        <w:rPr>
          <w:rFonts w:ascii="Arial" w:cs="Arial" w:eastAsia="Arial" w:hAnsi="Arial"/>
          <w:sz w:val="20"/>
          <w:szCs w:val="20"/>
          <w:color w:val="auto"/>
        </w:rPr>
        <w:t>Each Credit Party acknowledges and agrees that each Lender, the Arrangers and any Affiliate thereof may lend money to, invest in, and generally engage in any kind of business with, any of the Borrowers,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Borrowers or any Affiliate of the foregoing. Each Lender, the Arrangers and any Affiliate thereof may accept fees and other consideration from the Borrowers or any Affiliate thereof for services in connection with this Agreement, the Credit Facilities or otherwise without having to account for the same to any other Lender, the Arrangers, the Borrowers or any Affiliate of the foregoing.</w:t>
      </w:r>
    </w:p>
    <w:p>
      <w:pPr>
        <w:spacing w:after="0" w:line="1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XII.21 </w:t>
      </w:r>
      <w:r>
        <w:rPr>
          <w:rFonts w:ascii="Arial" w:cs="Arial" w:eastAsia="Arial" w:hAnsi="Arial"/>
          <w:sz w:val="20"/>
          <w:szCs w:val="20"/>
          <w:u w:val="single" w:color="auto"/>
          <w:color w:val="auto"/>
        </w:rPr>
        <w:t>Inconsistencies with Other Documents</w:t>
      </w:r>
      <w:r>
        <w:rPr>
          <w:rFonts w:ascii="Arial" w:cs="Arial" w:eastAsia="Arial" w:hAnsi="Arial"/>
          <w:sz w:val="20"/>
          <w:szCs w:val="20"/>
          <w:color w:val="auto"/>
        </w:rPr>
        <w:t xml:space="preserve">. In the event there is a conflict or inconsistency between this Agreement and any other Loan Document, the terms of this Agreement shall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provision of the Security Documents which imposes additional burdens on the Consolidated Companies or further restricts the rights of the Consolidated Companies or gives the Administrative Agent or Lenders additional rights shall not be deemed to be in conflict or inconsistent with this Agreement and shall be given full force and effect.</w:t>
      </w:r>
    </w:p>
    <w:p>
      <w:pPr>
        <w:spacing w:after="0" w:line="19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SECTION XII.22</w:t>
      </w:r>
      <w:r>
        <w:rPr>
          <w:sz w:val="20"/>
          <w:szCs w:val="20"/>
          <w:color w:val="auto"/>
        </w:rPr>
        <w:tab/>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4" w:lineRule="exact"/>
        <w:rPr>
          <w:sz w:val="20"/>
          <w:szCs w:val="20"/>
          <w:color w:val="auto"/>
        </w:rPr>
      </w:pPr>
    </w:p>
    <w:p>
      <w:pPr>
        <w:ind w:firstLine="656"/>
        <w:spacing w:after="0" w:line="260" w:lineRule="auto"/>
        <w:tabs>
          <w:tab w:leader="none" w:pos="1286"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955" w:val="left"/>
        </w:tabs>
        <w:numPr>
          <w:ilvl w:val="1"/>
          <w:numId w:val="231"/>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Documents; or</w:t>
      </w:r>
    </w:p>
    <w:p>
      <w:pPr>
        <w:spacing w:after="0" w:line="191"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231"/>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XII.23</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16" w:lineRule="exact"/>
        <w:rPr>
          <w:sz w:val="20"/>
          <w:szCs w:val="20"/>
          <w:color w:val="auto"/>
        </w:rPr>
      </w:pPr>
    </w:p>
    <w:p>
      <w:pPr>
        <w:ind w:firstLine="656"/>
        <w:spacing w:after="0" w:line="260" w:lineRule="auto"/>
        <w:tabs>
          <w:tab w:leader="none" w:pos="1138" w:val="left"/>
        </w:tabs>
        <w:numPr>
          <w:ilvl w:val="0"/>
          <w:numId w:val="232"/>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6" w:name="page237"/>
    <w:bookmarkEnd w:id="236"/>
    <w:p>
      <w:pPr>
        <w:jc w:val="both"/>
        <w:spacing w:after="0" w:line="250" w:lineRule="auto"/>
        <w:rPr>
          <w:sz w:val="20"/>
          <w:szCs w:val="20"/>
          <w:color w:val="auto"/>
        </w:rPr>
      </w:pPr>
      <w:r>
        <w:rPr>
          <w:rFonts w:ascii="Arial" w:cs="Arial" w:eastAsia="Arial" w:hAnsi="Arial"/>
          <w:sz w:val="20"/>
          <w:szCs w:val="20"/>
          <w:color w:val="auto"/>
        </w:rPr>
        <w:t>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213" w:lineRule="exact"/>
        <w:rPr>
          <w:sz w:val="20"/>
          <w:szCs w:val="20"/>
          <w:color w:val="auto"/>
        </w:rPr>
      </w:pPr>
    </w:p>
    <w:p>
      <w:pPr>
        <w:jc w:val="both"/>
        <w:ind w:left="660" w:firstLine="644"/>
        <w:spacing w:after="0" w:line="250" w:lineRule="auto"/>
        <w:tabs>
          <w:tab w:leader="none" w:pos="1812" w:val="left"/>
        </w:tabs>
        <w:numPr>
          <w:ilvl w:val="1"/>
          <w:numId w:val="233"/>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212" w:lineRule="exact"/>
        <w:rPr>
          <w:rFonts w:ascii="Arial" w:cs="Arial" w:eastAsia="Arial" w:hAnsi="Arial"/>
          <w:sz w:val="20"/>
          <w:szCs w:val="20"/>
          <w:color w:val="auto"/>
        </w:rPr>
      </w:pPr>
    </w:p>
    <w:p>
      <w:pPr>
        <w:jc w:val="both"/>
        <w:ind w:left="660" w:firstLine="644"/>
        <w:spacing w:after="0" w:line="243" w:lineRule="auto"/>
        <w:tabs>
          <w:tab w:leader="none" w:pos="1803" w:val="left"/>
        </w:tabs>
        <w:numPr>
          <w:ilvl w:val="1"/>
          <w:numId w:val="233"/>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19" w:lineRule="exact"/>
        <w:rPr>
          <w:rFonts w:ascii="Arial" w:cs="Arial" w:eastAsia="Arial" w:hAnsi="Arial"/>
          <w:sz w:val="20"/>
          <w:szCs w:val="20"/>
          <w:color w:val="auto"/>
        </w:rPr>
      </w:pPr>
    </w:p>
    <w:p>
      <w:pPr>
        <w:jc w:val="both"/>
        <w:ind w:left="660" w:firstLine="644"/>
        <w:spacing w:after="0" w:line="274" w:lineRule="auto"/>
        <w:tabs>
          <w:tab w:leader="none" w:pos="187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5" w:lineRule="exact"/>
        <w:rPr>
          <w:rFonts w:ascii="Arial" w:cs="Arial" w:eastAsia="Arial" w:hAnsi="Arial"/>
          <w:sz w:val="18"/>
          <w:szCs w:val="18"/>
          <w:color w:val="auto"/>
        </w:rPr>
      </w:pPr>
    </w:p>
    <w:p>
      <w:pPr>
        <w:ind w:left="660" w:right="20" w:firstLine="644"/>
        <w:spacing w:after="0" w:line="260" w:lineRule="auto"/>
        <w:tabs>
          <w:tab w:leader="none" w:pos="1841" w:val="left"/>
        </w:tabs>
        <w:numPr>
          <w:ilvl w:val="1"/>
          <w:numId w:val="233"/>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203" w:lineRule="exact"/>
        <w:rPr>
          <w:rFonts w:ascii="Arial" w:cs="Arial" w:eastAsia="Arial" w:hAnsi="Arial"/>
          <w:sz w:val="20"/>
          <w:szCs w:val="20"/>
          <w:color w:val="auto"/>
        </w:rPr>
      </w:pPr>
    </w:p>
    <w:p>
      <w:pPr>
        <w:jc w:val="both"/>
        <w:ind w:firstLine="656"/>
        <w:spacing w:after="0" w:line="272" w:lineRule="auto"/>
        <w:tabs>
          <w:tab w:leader="none" w:pos="120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7"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20"/>
          <w:szCs w:val="20"/>
          <w:color w:val="auto"/>
        </w:rPr>
        <w:t>SECTION XII.24</w:t>
      </w:r>
      <w:r>
        <w:rPr>
          <w:sz w:val="20"/>
          <w:szCs w:val="20"/>
          <w:color w:val="auto"/>
        </w:rPr>
        <w:tab/>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w:t>
      </w:r>
      <w:r>
        <w:rPr>
          <w:rFonts w:ascii="Arial" w:cs="Arial" w:eastAsia="Arial" w:hAnsi="Arial"/>
          <w:sz w:val="19"/>
          <w:szCs w:val="19"/>
          <w:u w:val="single" w:color="auto"/>
          <w:color w:val="auto"/>
        </w:rPr>
        <w:t xml:space="preserve"> provide</w:t>
      </w:r>
    </w:p>
    <w:p>
      <w:pPr>
        <w:spacing w:after="0" w:line="1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support, through a guarantee or otherwise, for Hedge Agreements or any other agreement or instrument that is a QFC (such support, “</w:t>
      </w:r>
      <w:r>
        <w:rPr>
          <w:rFonts w:ascii="Arial" w:cs="Arial" w:eastAsia="Arial" w:hAnsi="Arial"/>
          <w:sz w:val="20"/>
          <w:szCs w:val="20"/>
          <w:u w:val="single" w:color="auto"/>
          <w:color w:val="auto"/>
        </w:rPr>
        <w:t>QFC</w:t>
      </w:r>
      <w:r>
        <w:rPr>
          <w:rFonts w:ascii="Arial" w:cs="Arial" w:eastAsia="Arial" w:hAnsi="Arial"/>
          <w:sz w:val="20"/>
          <w:szCs w:val="20"/>
          <w:color w:val="auto"/>
        </w:rPr>
        <w:t xml:space="preserve"> </w:t>
      </w:r>
      <w:r>
        <w:rPr>
          <w:rFonts w:ascii="Arial" w:cs="Arial" w:eastAsia="Arial" w:hAnsi="Arial"/>
          <w:sz w:val="20"/>
          <w:szCs w:val="20"/>
          <w:u w:val="single" w:color="auto"/>
          <w:color w:val="auto"/>
        </w:rPr>
        <w:t>Credit Support</w:t>
      </w:r>
      <w:r>
        <w:rPr>
          <w:rFonts w:ascii="Arial" w:cs="Arial" w:eastAsia="Arial" w:hAnsi="Arial"/>
          <w:sz w:val="20"/>
          <w:szCs w:val="20"/>
          <w:color w:val="auto"/>
        </w:rPr>
        <w:t>” and, each such QFC,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7" w:name="page238"/>
    <w:bookmarkEnd w:id="237"/>
    <w:p>
      <w:pPr>
        <w:jc w:val="both"/>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0" w:lineRule="exact"/>
        <w:rPr>
          <w:sz w:val="20"/>
          <w:szCs w:val="20"/>
          <w:color w:val="auto"/>
        </w:rPr>
      </w:pPr>
    </w:p>
    <w:p>
      <w:pPr>
        <w:jc w:val="both"/>
        <w:ind w:firstLine="656"/>
        <w:spacing w:after="0" w:line="270" w:lineRule="auto"/>
        <w:tabs>
          <w:tab w:leader="none" w:pos="128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12.24</w:t>
      </w:r>
      <w:r>
        <w:rPr>
          <w:rFonts w:ascii="Arial" w:cs="Arial" w:eastAsia="Arial" w:hAnsi="Arial"/>
          <w:sz w:val="20"/>
          <w:szCs w:val="20"/>
          <w:color w:val="auto"/>
        </w:rPr>
        <w:t>, the following terms have the following meanings:</w:t>
      </w:r>
    </w:p>
    <w:p>
      <w:pPr>
        <w:spacing w:after="0" w:line="21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16" w:lineRule="exact"/>
        <w:rPr>
          <w:sz w:val="20"/>
          <w:szCs w:val="20"/>
          <w:color w:val="auto"/>
        </w:rPr>
      </w:pPr>
    </w:p>
    <w:p>
      <w:pPr>
        <w:ind w:left="2600" w:hanging="648"/>
        <w:spacing w:after="0"/>
        <w:tabs>
          <w:tab w:leader="none" w:pos="2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227" w:lineRule="exact"/>
        <w:rPr>
          <w:rFonts w:ascii="Arial" w:cs="Arial" w:eastAsia="Arial" w:hAnsi="Arial"/>
          <w:sz w:val="19"/>
          <w:szCs w:val="19"/>
          <w:color w:val="auto"/>
        </w:rPr>
      </w:pPr>
    </w:p>
    <w:p>
      <w:pPr>
        <w:ind w:left="2600" w:hanging="648"/>
        <w:spacing w:after="0"/>
        <w:tabs>
          <w:tab w:leader="none" w:pos="2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27" w:lineRule="exact"/>
        <w:rPr>
          <w:rFonts w:ascii="Arial" w:cs="Arial" w:eastAsia="Arial" w:hAnsi="Arial"/>
          <w:sz w:val="19"/>
          <w:szCs w:val="19"/>
          <w:color w:val="auto"/>
        </w:rPr>
      </w:pPr>
    </w:p>
    <w:p>
      <w:pPr>
        <w:ind w:left="2600" w:hanging="648"/>
        <w:spacing w:after="0"/>
        <w:tabs>
          <w:tab w:leader="none" w:pos="260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227"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XII.25 </w:t>
      </w:r>
      <w:r>
        <w:rPr>
          <w:rFonts w:ascii="Arial" w:cs="Arial" w:eastAsia="Arial" w:hAnsi="Arial"/>
          <w:sz w:val="20"/>
          <w:szCs w:val="20"/>
          <w:u w:val="single" w:color="auto"/>
          <w:color w:val="auto"/>
        </w:rPr>
        <w:t>Amendment and Restatement; No Novation</w:t>
      </w:r>
      <w:r>
        <w:rPr>
          <w:rFonts w:ascii="Arial" w:cs="Arial" w:eastAsia="Arial" w:hAnsi="Arial"/>
          <w:sz w:val="20"/>
          <w:szCs w:val="20"/>
          <w:color w:val="auto"/>
        </w:rPr>
        <w:t>. This Agreement constitutes an amendment and restatement of the Existing Credit Agreement, effective from and after the Closing Date. The execution and delivery of this Agreement shall not constitute a novation of any indebtedness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8" w:name="page239"/>
    <w:bookmarkEnd w:id="238"/>
    <w:p>
      <w:pPr>
        <w:jc w:val="both"/>
        <w:spacing w:after="0" w:line="274" w:lineRule="auto"/>
        <w:rPr>
          <w:sz w:val="20"/>
          <w:szCs w:val="20"/>
          <w:color w:val="auto"/>
        </w:rPr>
      </w:pPr>
      <w:r>
        <w:rPr>
          <w:rFonts w:ascii="Arial" w:cs="Arial" w:eastAsia="Arial" w:hAnsi="Arial"/>
          <w:sz w:val="18"/>
          <w:szCs w:val="18"/>
          <w:color w:val="auto"/>
        </w:rPr>
        <w:t>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any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Commitments of the Lenders hereunder.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Signature pages to follow</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146960219_6</w:t>
      </w:r>
    </w:p>
    <w:p>
      <w:pPr>
        <w:sectPr>
          <w:pgSz w:w="11900" w:h="16838" w:orient="portrait"/>
          <w:cols w:equalWidth="0" w:num="1">
            <w:col w:w="11240"/>
          </w:cols>
          <w:pgMar w:left="320" w:top="1419" w:right="339" w:bottom="1440" w:gutter="0" w:footer="0" w:header="0"/>
        </w:sectPr>
      </w:pPr>
    </w:p>
    <w:bookmarkStart w:id="239" w:name="page240"/>
    <w:bookmarkEnd w:id="239"/>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under seal by their duly authorized officers, all as of the day and year first written above.</w:t>
      </w:r>
    </w:p>
    <w:p>
      <w:pPr>
        <w:spacing w:after="0" w:line="177"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CENTURI GROUP, INC., as Borrower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CENTURI CANADA DIVISION INC., as Borrower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Second Amended and Restated Credit Agreement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11240"/>
          </w:cols>
          <w:pgMar w:left="320" w:top="1419" w:right="339" w:bottom="1440" w:gutter="0" w:footer="0" w:header="0"/>
        </w:sectPr>
      </w:pPr>
    </w:p>
    <w:bookmarkStart w:id="240" w:name="page241"/>
    <w:bookmarkEnd w:id="240"/>
    <w:p>
      <w:pPr>
        <w:ind w:left="2780"/>
        <w:spacing w:after="0"/>
        <w:rPr>
          <w:sz w:val="20"/>
          <w:szCs w:val="20"/>
          <w:color w:val="auto"/>
        </w:rPr>
      </w:pPr>
      <w:r>
        <w:rPr>
          <w:rFonts w:ascii="Arial" w:cs="Arial" w:eastAsia="Arial" w:hAnsi="Arial"/>
          <w:sz w:val="20"/>
          <w:szCs w:val="20"/>
          <w:color w:val="auto"/>
        </w:rPr>
        <w:t>AGENTS AND LENDERS:</w:t>
      </w:r>
    </w:p>
    <w:p>
      <w:pPr>
        <w:spacing w:after="0" w:line="216" w:lineRule="exact"/>
        <w:rPr>
          <w:sz w:val="20"/>
          <w:szCs w:val="20"/>
          <w:color w:val="auto"/>
        </w:rPr>
      </w:pPr>
    </w:p>
    <w:p>
      <w:pPr>
        <w:ind w:left="2780"/>
        <w:spacing w:after="0" w:line="260" w:lineRule="auto"/>
        <w:rPr>
          <w:sz w:val="20"/>
          <w:szCs w:val="20"/>
          <w:color w:val="auto"/>
        </w:rPr>
      </w:pPr>
      <w:r>
        <w:rPr>
          <w:rFonts w:ascii="Arial" w:cs="Arial" w:eastAsia="Arial" w:hAnsi="Arial"/>
          <w:sz w:val="20"/>
          <w:szCs w:val="20"/>
          <w:color w:val="auto"/>
        </w:rPr>
        <w:t>WELLS FARGO BANK, NATIONAL ASSOCIATION, as Administrative Agent, Swingline Lender, Issuing Lender and Lender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Chet Samuelson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Chet Samuelson</w:t>
      </w:r>
    </w:p>
    <w:p>
      <w:pPr>
        <w:ind w:left="2780"/>
        <w:spacing w:after="0"/>
        <w:rPr>
          <w:sz w:val="20"/>
          <w:szCs w:val="20"/>
          <w:color w:val="auto"/>
        </w:rPr>
      </w:pPr>
      <w:r>
        <w:rPr>
          <w:rFonts w:ascii="Arial" w:cs="Arial" w:eastAsia="Arial" w:hAnsi="Arial"/>
          <w:sz w:val="20"/>
          <w:szCs w:val="20"/>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Second Amended and Restated Credit Agreement</w:t>
      </w:r>
    </w:p>
    <w:p>
      <w:pPr>
        <w:spacing w:after="0" w:line="1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280"/>
          </w:cols>
          <w:pgMar w:left="1440" w:top="1419" w:right="1179" w:bottom="1440" w:gutter="0" w:footer="0" w:header="0"/>
        </w:sectPr>
      </w:pPr>
    </w:p>
    <w:bookmarkStart w:id="241" w:name="page242"/>
    <w:bookmarkEnd w:id="241"/>
    <w:p>
      <w:pPr>
        <w:jc w:val="center"/>
        <w:ind w:right="279"/>
        <w:spacing w:after="0"/>
        <w:rPr>
          <w:sz w:val="20"/>
          <w:szCs w:val="20"/>
          <w:color w:val="auto"/>
        </w:rPr>
      </w:pPr>
      <w:r>
        <w:rPr>
          <w:rFonts w:ascii="Arial" w:cs="Arial" w:eastAsia="Arial" w:hAnsi="Arial"/>
          <w:sz w:val="19"/>
          <w:szCs w:val="19"/>
          <w:color w:val="auto"/>
        </w:rPr>
        <w:t>BANK OF AMERICA, N.A., as Lender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Alain Pelanne</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Alain Pelanne</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BANK OF AMERICA, N.A., Canada Branch as Lender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Sylwia Durkiewicz</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Sylwia Durkiewicz</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Second Amended and Restated Credit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19" w:right="1440" w:bottom="1440" w:gutter="0" w:footer="0" w:header="0"/>
        </w:sectPr>
      </w:pPr>
    </w:p>
    <w:bookmarkStart w:id="242" w:name="page243"/>
    <w:bookmarkEnd w:id="242"/>
    <w:p>
      <w:pPr>
        <w:ind w:left="2780"/>
        <w:spacing w:after="0" w:line="260" w:lineRule="auto"/>
        <w:rPr>
          <w:sz w:val="20"/>
          <w:szCs w:val="20"/>
          <w:color w:val="auto"/>
        </w:rPr>
      </w:pPr>
      <w:r>
        <w:rPr>
          <w:rFonts w:ascii="Arial" w:cs="Arial" w:eastAsia="Arial" w:hAnsi="Arial"/>
          <w:sz w:val="20"/>
          <w:szCs w:val="20"/>
          <w:color w:val="auto"/>
        </w:rPr>
        <w:t>CANADIAN IMPERIAL BANK OF COMMERCE, as Swingline Lender, Issuing Lender and Lender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Josh Spagnoletti</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Josh Spagnoletti</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Day</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James Day</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15"/>
          <w:szCs w:val="15"/>
          <w:color w:val="auto"/>
        </w:rPr>
        <w:t>Second Amended and Restated Credit Agreement</w:t>
      </w:r>
    </w:p>
    <w:p>
      <w:pPr>
        <w:spacing w:after="0" w:line="17"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900"/>
          </w:cols>
          <w:pgMar w:left="1440" w:top="1419" w:right="559" w:bottom="1440" w:gutter="0" w:footer="0" w:header="0"/>
        </w:sectPr>
      </w:pPr>
    </w:p>
    <w:bookmarkStart w:id="243" w:name="page244"/>
    <w:bookmarkEnd w:id="243"/>
    <w:p>
      <w:pPr>
        <w:ind w:left="2780"/>
        <w:spacing w:after="0"/>
        <w:rPr>
          <w:sz w:val="20"/>
          <w:szCs w:val="20"/>
          <w:color w:val="auto"/>
        </w:rPr>
      </w:pPr>
      <w:r>
        <w:rPr>
          <w:rFonts w:ascii="Arial" w:cs="Arial" w:eastAsia="Arial" w:hAnsi="Arial"/>
          <w:sz w:val="18"/>
          <w:szCs w:val="18"/>
          <w:color w:val="auto"/>
        </w:rPr>
        <w:t>PNC BANK, NATIONAL ASSOCIATION, as Lender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Kyle Steinbuch</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Kyle Steinbuch</w:t>
      </w: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Second Amended and Restated Credit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19" w:right="1440" w:bottom="1440" w:gutter="0" w:footer="0" w:header="0"/>
        </w:sectPr>
      </w:pPr>
    </w:p>
    <w:bookmarkStart w:id="244" w:name="page245"/>
    <w:bookmarkEnd w:id="244"/>
    <w:p>
      <w:pPr>
        <w:ind w:left="2780"/>
        <w:spacing w:after="0"/>
        <w:rPr>
          <w:sz w:val="20"/>
          <w:szCs w:val="20"/>
          <w:color w:val="auto"/>
        </w:rPr>
      </w:pPr>
      <w:r>
        <w:rPr>
          <w:rFonts w:ascii="Arial" w:cs="Arial" w:eastAsia="Arial" w:hAnsi="Arial"/>
          <w:sz w:val="20"/>
          <w:szCs w:val="20"/>
          <w:color w:val="auto"/>
        </w:rPr>
        <w:t>TRUIST BANK, as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F. Parrott</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Thomas F. Parrott</w:t>
      </w: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Second Amended and Restated Credit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19" w:right="1440" w:bottom="1440" w:gutter="0" w:footer="0" w:header="0"/>
        </w:sectPr>
      </w:pPr>
    </w:p>
    <w:bookmarkStart w:id="245" w:name="page246"/>
    <w:bookmarkEnd w:id="245"/>
    <w:p>
      <w:pPr>
        <w:ind w:left="2780"/>
        <w:spacing w:after="0"/>
        <w:rPr>
          <w:sz w:val="20"/>
          <w:szCs w:val="20"/>
          <w:color w:val="auto"/>
        </w:rPr>
      </w:pPr>
      <w:r>
        <w:rPr>
          <w:rFonts w:ascii="Arial" w:cs="Arial" w:eastAsia="Arial" w:hAnsi="Arial"/>
          <w:sz w:val="18"/>
          <w:szCs w:val="18"/>
          <w:color w:val="auto"/>
        </w:rPr>
        <w:t>U.S. BANK NATIONAL ASSOCIATION, as Lender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M. Eyerman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John M. Eyerman</w:t>
      </w: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Second Amended and Restated Credit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19" w:right="1440" w:bottom="1440" w:gutter="0" w:footer="0" w:header="0"/>
        </w:sectPr>
      </w:pPr>
    </w:p>
    <w:bookmarkStart w:id="246" w:name="page247"/>
    <w:bookmarkEnd w:id="246"/>
    <w:p>
      <w:pPr>
        <w:ind w:left="2780"/>
        <w:spacing w:after="0"/>
        <w:rPr>
          <w:sz w:val="20"/>
          <w:szCs w:val="20"/>
          <w:color w:val="auto"/>
        </w:rPr>
      </w:pPr>
      <w:r>
        <w:rPr>
          <w:rFonts w:ascii="Arial" w:cs="Arial" w:eastAsia="Arial" w:hAnsi="Arial"/>
          <w:sz w:val="20"/>
          <w:szCs w:val="20"/>
          <w:color w:val="auto"/>
        </w:rPr>
        <w:t>BANK OF MONTREAL, as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M. Dillon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John M. Dillon</w:t>
      </w: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Centuri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Second Amended and Restated Credit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19" w:right="1440"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November 9, 2021</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November 9, 2021</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4" w:lineRule="exact"/>
        <w:rPr>
          <w:rFonts w:ascii="Arial" w:cs="Arial" w:eastAsia="Arial" w:hAnsi="Arial"/>
          <w:sz w:val="17"/>
          <w:szCs w:val="17"/>
          <w:color w:val="auto"/>
        </w:rPr>
      </w:pPr>
    </w:p>
    <w:p>
      <w:pPr>
        <w:ind w:left="940" w:hanging="325"/>
        <w:spacing w:after="0" w:line="258" w:lineRule="auto"/>
        <w:tabs>
          <w:tab w:leader="none" w:pos="937"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40" w:hanging="325"/>
        <w:spacing w:after="0" w:line="260" w:lineRule="auto"/>
        <w:tabs>
          <w:tab w:leader="none" w:pos="93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September 30, 2021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September 30, 2021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895"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2021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2021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1)"/>
      <w:numFmt w:val="decimal"/>
      <w:start w:val="1"/>
    </w:lvl>
  </w:abstractNum>
  <w:abstractNum w:abstractNumId="3">
    <w:nsid w:val="34FD6B4F"/>
    <w:multiLevelType w:val="hybridMultilevel"/>
    <w:lvl w:ilvl="0">
      <w:lvlJc w:val="left"/>
      <w:lvlText w:val="(%1)"/>
      <w:numFmt w:val="decimal"/>
      <w:start w:val="1"/>
    </w:lvl>
  </w:abstractNum>
  <w:abstractNum w:abstractNumId="4">
    <w:nsid w:val="5915FF32"/>
    <w:multiLevelType w:val="hybridMultilevel"/>
    <w:lvl w:ilvl="0">
      <w:lvlJc w:val="left"/>
      <w:lvlText w:val="(%1)"/>
      <w:numFmt w:val="decimal"/>
      <w:start w:val="1"/>
    </w:lvl>
  </w:abstractNum>
  <w:abstractNum w:abstractNumId="5">
    <w:nsid w:val="56438D15"/>
    <w:multiLevelType w:val="hybridMultilevel"/>
    <w:lvl w:ilvl="0">
      <w:lvlJc w:val="left"/>
      <w:lvlText w:val="(%1)"/>
      <w:numFmt w:val="decimal"/>
      <w:start w:val="1"/>
    </w:lvl>
  </w:abstractNum>
  <w:abstractNum w:abstractNumId="6">
    <w:nsid w:val="519E3149"/>
    <w:multiLevelType w:val="hybridMultilevel"/>
    <w:lvl w:ilvl="0">
      <w:lvlJc w:val="left"/>
      <w:lvlText w:val="(%1)"/>
      <w:numFmt w:val="decimal"/>
      <w:start w:val="5"/>
    </w:lvl>
  </w:abstractNum>
  <w:abstractNum w:abstractNumId="7">
    <w:nsid w:val="2C6E4AFD"/>
    <w:multiLevelType w:val="hybridMultilevel"/>
    <w:lvl w:ilvl="0">
      <w:lvlJc w:val="left"/>
      <w:lvlText w:val="$"/>
      <w:numFmt w:val="bullet"/>
      <w:start w:val="1"/>
    </w:lvl>
  </w:abstractNum>
  <w:abstractNum w:abstractNumId="8">
    <w:nsid w:val="17A1B582"/>
    <w:multiLevelType w:val="hybridMultilevel"/>
    <w:lvl w:ilvl="0">
      <w:lvlJc w:val="left"/>
      <w:lvlText w:val="\endash "/>
      <w:numFmt w:val="bullet"/>
      <w:start w:val="1"/>
    </w:lvl>
  </w:abstractNum>
  <w:abstractNum w:abstractNumId="9">
    <w:nsid w:val="4DF72E4E"/>
    <w:multiLevelType w:val="hybridMultilevel"/>
    <w:lvl w:ilvl="0">
      <w:lvlJc w:val="left"/>
      <w:lvlText w:val="•"/>
      <w:numFmt w:val="bullet"/>
      <w:start w:val="1"/>
    </w:lvl>
  </w:abstractNum>
  <w:abstractNum w:abstractNumId="10">
    <w:nsid w:val="5046B5A9"/>
    <w:multiLevelType w:val="hybridMultilevel"/>
    <w:lvl w:ilvl="0">
      <w:lvlJc w:val="left"/>
      <w:lvlText w:val="•"/>
      <w:numFmt w:val="bullet"/>
      <w:start w:val="1"/>
    </w:lvl>
  </w:abstractNum>
  <w:abstractNum w:abstractNumId="11">
    <w:nsid w:val="5D888A08"/>
    <w:multiLevelType w:val="hybridMultilevel"/>
    <w:lvl w:ilvl="0">
      <w:lvlJc w:val="left"/>
      <w:lvlText w:val="•"/>
      <w:numFmt w:val="bullet"/>
      <w:start w:val="1"/>
    </w:lvl>
  </w:abstractNum>
  <w:abstractNum w:abstractNumId="12">
    <w:nsid w:val="2A082C70"/>
    <w:multiLevelType w:val="hybridMultilevel"/>
    <w:lvl w:ilvl="0">
      <w:lvlJc w:val="left"/>
      <w:lvlText w:val="(%1)"/>
      <w:numFmt w:val="upperLetter"/>
      <w:start w:val="2"/>
    </w:lvl>
  </w:abstractNum>
  <w:abstractNum w:abstractNumId="13">
    <w:nsid w:val="5EC6AFD4"/>
    <w:multiLevelType w:val="hybridMultilevel"/>
    <w:lvl w:ilvl="0">
      <w:lvlJc w:val="left"/>
      <w:lvlText w:val="(%1)"/>
      <w:numFmt w:val="lowerLetter"/>
      <w:start w:val="1"/>
    </w:lvl>
  </w:abstractNum>
  <w:abstractNum w:abstractNumId="14">
    <w:nsid w:val="19E21BB2"/>
    <w:multiLevelType w:val="hybridMultilevel"/>
    <w:lvl w:ilvl="0">
      <w:lvlJc w:val="left"/>
      <w:lvlText w:val="(%1)"/>
      <w:numFmt w:val="lowerLetter"/>
      <w:start w:val="2"/>
    </w:lvl>
  </w:abstractNum>
  <w:abstractNum w:abstractNumId="15">
    <w:nsid w:val="75E0858A"/>
    <w:multiLevelType w:val="hybridMultilevel"/>
    <w:lvl w:ilvl="0">
      <w:lvlJc w:val="left"/>
      <w:lvlText w:val="(%1)"/>
      <w:numFmt w:val="lowerLetter"/>
      <w:start w:val="1"/>
    </w:lvl>
  </w:abstractNum>
  <w:abstractNum w:abstractNumId="16">
    <w:nsid w:val="57A61A29"/>
    <w:multiLevelType w:val="hybridMultilevel"/>
    <w:lvl w:ilvl="0">
      <w:lvlJc w:val="left"/>
      <w:lvlText w:val="(%1)"/>
      <w:numFmt w:val="lowerLetter"/>
      <w:start w:val="3"/>
    </w:lvl>
  </w:abstractNum>
  <w:abstractNum w:abstractNumId="17">
    <w:nsid w:val="5399C654"/>
    <w:multiLevelType w:val="hybridMultilevel"/>
    <w:lvl w:ilvl="0">
      <w:lvlJc w:val="left"/>
      <w:lvlText w:val="(%1)"/>
      <w:numFmt w:val="lowerLetter"/>
      <w:start w:val="1"/>
    </w:lvl>
    <w:lvl w:ilvl="1">
      <w:lvlJc w:val="left"/>
      <w:lvlText w:val="(%2)"/>
      <w:numFmt w:val="decimal"/>
      <w:start w:val="1"/>
    </w:lvl>
  </w:abstractNum>
  <w:abstractNum w:abstractNumId="18">
    <w:nsid w:val="20EE1348"/>
    <w:multiLevelType w:val="hybridMultilevel"/>
    <w:lvl w:ilvl="0">
      <w:lvlJc w:val="left"/>
      <w:lvlText w:val="(%1)"/>
      <w:numFmt w:val="decimal"/>
      <w:start w:val="1"/>
    </w:lvl>
  </w:abstractNum>
  <w:abstractNum w:abstractNumId="19">
    <w:nsid w:val="4427069A"/>
    <w:multiLevelType w:val="hybridMultilevel"/>
    <w:lvl w:ilvl="0">
      <w:lvlJc w:val="left"/>
      <w:lvlText w:val="(%1)"/>
      <w:numFmt w:val="decimal"/>
      <w:start w:val="2"/>
    </w:lvl>
  </w:abstractNum>
  <w:abstractNum w:abstractNumId="20">
    <w:nsid w:val="B37E80A"/>
    <w:multiLevelType w:val="hybridMultilevel"/>
    <w:lvl w:ilvl="0">
      <w:lvlJc w:val="left"/>
      <w:lvlText w:val="(%1)"/>
      <w:numFmt w:val="lowerLetter"/>
      <w:start w:val="1"/>
    </w:lvl>
  </w:abstractNum>
  <w:abstractNum w:abstractNumId="21">
    <w:nsid w:val="2157F6BC"/>
    <w:multiLevelType w:val="hybridMultilevel"/>
    <w:lvl w:ilvl="0">
      <w:lvlJc w:val="left"/>
      <w:lvlText w:val="(%1)"/>
      <w:numFmt w:val="lowerLetter"/>
      <w:start w:val="1"/>
    </w:lvl>
  </w:abstractNum>
  <w:abstractNum w:abstractNumId="22">
    <w:nsid w:val="704E1DD5"/>
    <w:multiLevelType w:val="hybridMultilevel"/>
    <w:lvl w:ilvl="0">
      <w:lvlJc w:val="left"/>
      <w:lvlText w:val="(%1)"/>
      <w:numFmt w:val="lowerLetter"/>
      <w:start w:val="1"/>
    </w:lvl>
  </w:abstractNum>
  <w:abstractNum w:abstractNumId="23">
    <w:nsid w:val="57D2F10E"/>
    <w:multiLevelType w:val="hybridMultilevel"/>
    <w:lvl w:ilvl="0">
      <w:lvlJc w:val="left"/>
      <w:lvlText w:val="(%1)"/>
      <w:numFmt w:val="lowerLetter"/>
      <w:start w:val="3"/>
    </w:lvl>
  </w:abstractNum>
  <w:abstractNum w:abstractNumId="24">
    <w:nsid w:val="BFFAE18"/>
    <w:multiLevelType w:val="hybridMultilevel"/>
    <w:lvl w:ilvl="0">
      <w:lvlJc w:val="left"/>
      <w:lvlText w:val="(%1)"/>
      <w:numFmt w:val="lowerLetter"/>
      <w:start w:val="1"/>
    </w:lvl>
    <w:lvl w:ilvl="1">
      <w:lvlJc w:val="left"/>
      <w:lvlText w:val="(%2)"/>
      <w:numFmt w:val="lowerLetter"/>
      <w:start w:val="9"/>
    </w:lvl>
  </w:abstractNum>
  <w:abstractNum w:abstractNumId="25">
    <w:nsid w:val="E3E47A8"/>
    <w:multiLevelType w:val="hybridMultilevel"/>
    <w:lvl w:ilvl="0">
      <w:lvlJc w:val="left"/>
      <w:lvlText w:val="(%1)"/>
      <w:numFmt w:val="lowerRoman"/>
      <w:start w:val="2"/>
    </w:lvl>
  </w:abstractNum>
  <w:abstractNum w:abstractNumId="26">
    <w:nsid w:val="2E48F044"/>
    <w:multiLevelType w:val="hybridMultilevel"/>
    <w:lvl w:ilvl="0">
      <w:lvlJc w:val="left"/>
      <w:lvlText w:val="(%1)"/>
      <w:numFmt w:val="lowerLetter"/>
      <w:start w:val="3"/>
    </w:lvl>
  </w:abstractNum>
  <w:abstractNum w:abstractNumId="27">
    <w:nsid w:val="49D0FEAC"/>
    <w:multiLevelType w:val="hybridMultilevel"/>
    <w:lvl w:ilvl="0">
      <w:lvlJc w:val="left"/>
      <w:lvlText w:val="(%1)"/>
      <w:numFmt w:val="lowerRoman"/>
      <w:start w:val="1"/>
    </w:lvl>
  </w:abstractNum>
  <w:abstractNum w:abstractNumId="28">
    <w:nsid w:val="4BEE5A5B"/>
    <w:multiLevelType w:val="hybridMultilevel"/>
    <w:lvl w:ilvl="0">
      <w:lvlJc w:val="left"/>
      <w:lvlText w:val="(%1)"/>
      <w:numFmt w:val="lowerLetter"/>
      <w:start w:val="4"/>
    </w:lvl>
  </w:abstractNum>
  <w:abstractNum w:abstractNumId="29">
    <w:nsid w:val="5551B9F3"/>
    <w:multiLevelType w:val="hybridMultilevel"/>
    <w:lvl w:ilvl="0">
      <w:lvlJc w:val="left"/>
      <w:lvlText w:val="(%1)"/>
      <w:numFmt w:val="lowerLetter"/>
      <w:start w:val="1"/>
    </w:lvl>
  </w:abstractNum>
  <w:abstractNum w:abstractNumId="30">
    <w:nsid w:val="24F6AB8E"/>
    <w:multiLevelType w:val="hybridMultilevel"/>
    <w:lvl w:ilvl="0">
      <w:lvlJc w:val="left"/>
      <w:lvlText w:val="(%1)"/>
      <w:numFmt w:val="lowerLetter"/>
      <w:start w:val="1"/>
    </w:lvl>
    <w:lvl w:ilvl="1">
      <w:lvlJc w:val="left"/>
      <w:lvlText w:val="(%2)"/>
      <w:numFmt w:val="lowerRoman"/>
      <w:start w:val="1"/>
    </w:lvl>
  </w:abstractNum>
  <w:abstractNum w:abstractNumId="31">
    <w:nsid w:val="634C574C"/>
    <w:multiLevelType w:val="hybridMultilevel"/>
    <w:lvl w:ilvl="0">
      <w:lvlJc w:val="left"/>
      <w:lvlText w:val="(%1)"/>
      <w:numFmt w:val="lowerLetter"/>
      <w:start w:val="2"/>
    </w:lvl>
    <w:lvl w:ilvl="1">
      <w:lvlJc w:val="left"/>
      <w:lvlText w:val="(%2)"/>
      <w:numFmt w:val="lowerRoman"/>
      <w:start w:val="1"/>
    </w:lvl>
  </w:abstractNum>
  <w:abstractNum w:abstractNumId="32">
    <w:nsid w:val="24E99DD7"/>
    <w:multiLevelType w:val="hybridMultilevel"/>
    <w:lvl w:ilvl="0">
      <w:lvlJc w:val="left"/>
      <w:lvlText w:val="(%1)"/>
      <w:numFmt w:val="lowerRoman"/>
      <w:start w:val="3"/>
    </w:lvl>
  </w:abstractNum>
  <w:abstractNum w:abstractNumId="33">
    <w:nsid w:val="2A31B62D"/>
    <w:multiLevelType w:val="hybridMultilevel"/>
    <w:lvl w:ilvl="0">
      <w:lvlJc w:val="left"/>
      <w:lvlText w:val="(%1)"/>
      <w:numFmt w:val="lowerRoman"/>
      <w:start w:val="4"/>
    </w:lvl>
  </w:abstractNum>
  <w:abstractNum w:abstractNumId="34">
    <w:nsid w:val="1849C29B"/>
    <w:multiLevelType w:val="hybridMultilevel"/>
    <w:lvl w:ilvl="0">
      <w:lvlJc w:val="left"/>
      <w:lvlText w:val="(%1)"/>
      <w:numFmt w:val="lowerLetter"/>
      <w:start w:val="1"/>
    </w:lvl>
    <w:lvl w:ilvl="1">
      <w:lvlJc w:val="left"/>
      <w:lvlText w:val="(%2)"/>
      <w:numFmt w:val="lowerLetter"/>
      <w:start w:val="2"/>
    </w:lvl>
  </w:abstractNum>
  <w:abstractNum w:abstractNumId="35">
    <w:nsid w:val="7DFF9D09"/>
    <w:multiLevelType w:val="hybridMultilevel"/>
    <w:lvl w:ilvl="0">
      <w:lvlJc w:val="left"/>
      <w:lvlText w:val="(%1)"/>
      <w:numFmt w:val="lowerLetter"/>
      <w:start w:val="1"/>
    </w:lvl>
  </w:abstractNum>
  <w:abstractNum w:abstractNumId="36">
    <w:nsid w:val="754342"/>
    <w:multiLevelType w:val="hybridMultilevel"/>
    <w:lvl w:ilvl="0">
      <w:lvlJc w:val="left"/>
      <w:lvlText w:val="(%1)"/>
      <w:numFmt w:val="lowerLetter"/>
      <w:start w:val="1"/>
    </w:lvl>
  </w:abstractNum>
  <w:abstractNum w:abstractNumId="37">
    <w:nsid w:val="69E7F3E5"/>
    <w:multiLevelType w:val="hybridMultilevel"/>
    <w:lvl w:ilvl="0">
      <w:lvlJc w:val="left"/>
      <w:lvlText w:val="%1"/>
      <w:numFmt w:val="lowerLetter"/>
      <w:start w:val="1"/>
    </w:lvl>
    <w:lvl w:ilvl="1">
      <w:lvlJc w:val="left"/>
      <w:lvlText w:val="(%2)"/>
      <w:numFmt w:val="lowerLetter"/>
      <w:start w:val="1"/>
    </w:lvl>
  </w:abstractNum>
  <w:abstractNum w:abstractNumId="38">
    <w:nsid w:val="2A6DE806"/>
    <w:multiLevelType w:val="hybridMultilevel"/>
    <w:lvl w:ilvl="0">
      <w:lvlJc w:val="left"/>
      <w:lvlText w:val="(%1)"/>
      <w:numFmt w:val="lowerLetter"/>
      <w:start w:val="35"/>
    </w:lvl>
    <w:lvl w:ilvl="1">
      <w:lvlJc w:val="left"/>
      <w:lvlText w:val="(%2)"/>
      <w:numFmt w:val="lowerLetter"/>
      <w:start w:val="9"/>
    </w:lvl>
  </w:abstractNum>
  <w:abstractNum w:abstractNumId="39">
    <w:nsid w:val="1816F8C4"/>
    <w:multiLevelType w:val="hybridMultilevel"/>
    <w:lvl w:ilvl="0">
      <w:lvlJc w:val="left"/>
      <w:lvlText w:val="(%1)"/>
      <w:numFmt w:val="lowerLetter"/>
      <w:start w:val="10"/>
    </w:lvl>
  </w:abstractNum>
  <w:abstractNum w:abstractNumId="40">
    <w:nsid w:val="37DF2233"/>
    <w:multiLevelType w:val="hybridMultilevel"/>
    <w:lvl w:ilvl="0">
      <w:lvlJc w:val="left"/>
      <w:lvlText w:val="(%1)"/>
      <w:numFmt w:val="lowerLetter"/>
      <w:start w:val="5"/>
    </w:lvl>
  </w:abstractNum>
  <w:abstractNum w:abstractNumId="41">
    <w:nsid w:val="7AB49DAF"/>
    <w:multiLevelType w:val="hybridMultilevel"/>
    <w:lvl w:ilvl="0">
      <w:lvlJc w:val="left"/>
      <w:lvlText w:val="(%1)"/>
      <w:numFmt w:val="lowerLetter"/>
      <w:start w:val="8"/>
    </w:lvl>
  </w:abstractNum>
  <w:abstractNum w:abstractNumId="42">
    <w:nsid w:val="759F82CD"/>
    <w:multiLevelType w:val="hybridMultilevel"/>
    <w:lvl w:ilvl="0">
      <w:lvlJc w:val="left"/>
      <w:lvlText w:val="(%1)"/>
      <w:numFmt w:val="lowerLetter"/>
      <w:start w:val="1"/>
    </w:lvl>
  </w:abstractNum>
  <w:abstractNum w:abstractNumId="43">
    <w:nsid w:val="61E74EA3"/>
    <w:multiLevelType w:val="hybridMultilevel"/>
    <w:lvl w:ilvl="0">
      <w:lvlJc w:val="left"/>
      <w:lvlText w:val="(%1)"/>
      <w:numFmt w:val="lowerLetter"/>
      <w:start w:val="2"/>
    </w:lvl>
  </w:abstractNum>
  <w:abstractNum w:abstractNumId="44">
    <w:nsid w:val="597B4D84"/>
    <w:multiLevelType w:val="hybridMultilevel"/>
    <w:lvl w:ilvl="0">
      <w:lvlJc w:val="left"/>
      <w:lvlText w:val="(%1)"/>
      <w:numFmt w:val="lowerLetter"/>
      <w:start w:val="1"/>
    </w:lvl>
  </w:abstractNum>
  <w:abstractNum w:abstractNumId="45">
    <w:nsid w:val="F819E7F"/>
    <w:multiLevelType w:val="hybridMultilevel"/>
    <w:lvl w:ilvl="0">
      <w:lvlJc w:val="left"/>
      <w:lvlText w:val="(%1)"/>
      <w:numFmt w:val="lowerLetter"/>
      <w:start w:val="1"/>
    </w:lvl>
  </w:abstractNum>
  <w:abstractNum w:abstractNumId="46">
    <w:nsid w:val="57C7D42D"/>
    <w:multiLevelType w:val="hybridMultilevel"/>
    <w:lvl w:ilvl="0">
      <w:lvlJc w:val="left"/>
      <w:lvlText w:val="(%1)"/>
      <w:numFmt w:val="lowerLetter"/>
      <w:start w:val="3"/>
    </w:lvl>
  </w:abstractNum>
  <w:abstractNum w:abstractNumId="47">
    <w:nsid w:val="312167AD"/>
    <w:multiLevelType w:val="hybridMultilevel"/>
    <w:lvl w:ilvl="0">
      <w:lvlJc w:val="left"/>
      <w:lvlText w:val="(%1)"/>
      <w:numFmt w:val="lowerLetter"/>
      <w:start w:val="1"/>
    </w:lvl>
  </w:abstractNum>
  <w:abstractNum w:abstractNumId="48">
    <w:nsid w:val="631B64D4"/>
    <w:multiLevelType w:val="hybridMultilevel"/>
    <w:lvl w:ilvl="0">
      <w:lvlJc w:val="left"/>
      <w:lvlText w:val="(%1)"/>
      <w:numFmt w:val="lowerLetter"/>
      <w:start w:val="3"/>
    </w:lvl>
  </w:abstractNum>
  <w:abstractNum w:abstractNumId="49">
    <w:nsid w:val="78B5E776"/>
    <w:multiLevelType w:val="hybridMultilevel"/>
    <w:lvl w:ilvl="0">
      <w:lvlJc w:val="left"/>
      <w:lvlText w:val="(%1)"/>
      <w:numFmt w:val="lowerLetter"/>
      <w:start w:val="1"/>
    </w:lvl>
  </w:abstractNum>
  <w:abstractNum w:abstractNumId="50">
    <w:nsid w:val="75486E47"/>
    <w:multiLevelType w:val="hybridMultilevel"/>
    <w:lvl w:ilvl="0">
      <w:lvlJc w:val="left"/>
      <w:lvlText w:val="(%1)"/>
      <w:numFmt w:val="lowerLetter"/>
      <w:start w:val="2"/>
    </w:lvl>
    <w:lvl w:ilvl="1">
      <w:lvlJc w:val="left"/>
      <w:lvlText w:val="(%2)"/>
      <w:numFmt w:val="lowerRoman"/>
      <w:start w:val="1"/>
    </w:lvl>
  </w:abstractNum>
  <w:abstractNum w:abstractNumId="51">
    <w:nsid w:val="6E534CDE"/>
    <w:multiLevelType w:val="hybridMultilevel"/>
    <w:lvl w:ilvl="0">
      <w:lvlJc w:val="left"/>
      <w:lvlText w:val="(%1)"/>
      <w:numFmt w:val="lowerLetter"/>
      <w:start w:val="3"/>
    </w:lvl>
  </w:abstractNum>
  <w:abstractNum w:abstractNumId="52">
    <w:nsid w:val="1A0DDE32"/>
    <w:multiLevelType w:val="hybridMultilevel"/>
    <w:lvl w:ilvl="0">
      <w:lvlJc w:val="left"/>
      <w:lvlText w:val="%1"/>
      <w:numFmt w:val="upperLetter"/>
      <w:start w:val="1"/>
    </w:lvl>
    <w:lvl w:ilvl="1">
      <w:lvlJc w:val="left"/>
      <w:lvlText w:val="(%2)"/>
      <w:numFmt w:val="lowerLetter"/>
      <w:start w:val="1"/>
    </w:lvl>
  </w:abstractNum>
  <w:abstractNum w:abstractNumId="53">
    <w:nsid w:val="65968C1C"/>
    <w:multiLevelType w:val="hybridMultilevel"/>
    <w:lvl w:ilvl="0">
      <w:lvlJc w:val="left"/>
      <w:lvlText w:val="(%1)"/>
      <w:numFmt w:val="upperLetter"/>
      <w:start w:val="2"/>
    </w:lvl>
    <w:lvl w:ilvl="1">
      <w:lvlJc w:val="left"/>
      <w:lvlText w:val="(%2)"/>
      <w:numFmt w:val="lowerLetter"/>
      <w:start w:val="2"/>
    </w:lvl>
  </w:abstractNum>
  <w:abstractNum w:abstractNumId="54">
    <w:nsid w:val="46263DEC"/>
    <w:multiLevelType w:val="hybridMultilevel"/>
    <w:lvl w:ilvl="0">
      <w:lvlJc w:val="left"/>
      <w:lvlText w:val="(%1)"/>
      <w:numFmt w:val="lowerLetter"/>
      <w:start w:val="1"/>
    </w:lvl>
    <w:lvl w:ilvl="1">
      <w:lvlJc w:val="left"/>
      <w:lvlText w:val="(%2)"/>
      <w:numFmt w:val="lowerLetter"/>
      <w:start w:val="9"/>
    </w:lvl>
  </w:abstractNum>
  <w:abstractNum w:abstractNumId="55">
    <w:nsid w:val="260D8C4A"/>
    <w:multiLevelType w:val="hybridMultilevel"/>
    <w:lvl w:ilvl="0">
      <w:lvlJc w:val="left"/>
      <w:lvlText w:val="%1"/>
      <w:numFmt w:val="lowerLetter"/>
      <w:start w:val="1"/>
    </w:lvl>
    <w:lvl w:ilvl="1">
      <w:lvlJc w:val="left"/>
      <w:lvlText w:val="(%2)"/>
      <w:numFmt w:val="lowerRoman"/>
      <w:start w:val="2"/>
    </w:lvl>
  </w:abstractNum>
  <w:abstractNum w:abstractNumId="56">
    <w:nsid w:val="73D4D3C4"/>
    <w:multiLevelType w:val="hybridMultilevel"/>
    <w:lvl w:ilvl="0">
      <w:lvlJc w:val="left"/>
      <w:lvlText w:val="(%1)"/>
      <w:numFmt w:val="lowerLetter"/>
      <w:start w:val="3"/>
    </w:lvl>
    <w:lvl w:ilvl="1">
      <w:lvlJc w:val="left"/>
      <w:lvlText w:val="%2"/>
      <w:numFmt w:val="lowerRoman"/>
      <w:start w:val="1"/>
    </w:lvl>
  </w:abstractNum>
  <w:abstractNum w:abstractNumId="57">
    <w:nsid w:val="746F2E30"/>
    <w:multiLevelType w:val="hybridMultilevel"/>
    <w:lvl w:ilvl="0">
      <w:lvlJc w:val="left"/>
      <w:lvlText w:val="(%1)"/>
      <w:numFmt w:val="lowerLetter"/>
      <w:start w:val="5"/>
    </w:lvl>
  </w:abstractNum>
  <w:abstractNum w:abstractNumId="58">
    <w:nsid w:val="6FDE8AF6"/>
    <w:multiLevelType w:val="hybridMultilevel"/>
    <w:lvl w:ilvl="0">
      <w:lvlJc w:val="left"/>
      <w:lvlText w:val="(%1)"/>
      <w:numFmt w:val="lowerLetter"/>
      <w:start w:val="1"/>
    </w:lvl>
  </w:abstractNum>
  <w:abstractNum w:abstractNumId="59">
    <w:nsid w:val="3FC32E20"/>
    <w:multiLevelType w:val="hybridMultilevel"/>
    <w:lvl w:ilvl="0">
      <w:lvlJc w:val="left"/>
      <w:lvlText w:val="(%1)"/>
      <w:numFmt w:val="lowerLetter"/>
      <w:start w:val="1"/>
    </w:lvl>
  </w:abstractNum>
  <w:abstractNum w:abstractNumId="60">
    <w:nsid w:val="49C0E823"/>
    <w:multiLevelType w:val="hybridMultilevel"/>
    <w:lvl w:ilvl="0">
      <w:lvlJc w:val="left"/>
      <w:lvlText w:val="(%1)"/>
      <w:numFmt w:val="upperLetter"/>
      <w:start w:val="2"/>
    </w:lvl>
    <w:lvl w:ilvl="1">
      <w:lvlJc w:val="left"/>
      <w:lvlText w:val="(%2)"/>
      <w:numFmt w:val="lowerLetter"/>
      <w:start w:val="2"/>
    </w:lvl>
  </w:abstractNum>
  <w:abstractNum w:abstractNumId="61">
    <w:nsid w:val="14D53685"/>
    <w:multiLevelType w:val="hybridMultilevel"/>
    <w:lvl w:ilvl="0">
      <w:lvlJc w:val="left"/>
      <w:lvlText w:val="(%1)"/>
      <w:numFmt w:val="lowerLetter"/>
      <w:start w:val="1"/>
    </w:lvl>
  </w:abstractNum>
  <w:abstractNum w:abstractNumId="62">
    <w:nsid w:val="230F856C"/>
    <w:multiLevelType w:val="hybridMultilevel"/>
    <w:lvl w:ilvl="0">
      <w:lvlJc w:val="left"/>
      <w:lvlText w:val="(%1)"/>
      <w:numFmt w:val="lowerLetter"/>
      <w:start w:val="3"/>
    </w:lvl>
  </w:abstractNum>
  <w:abstractNum w:abstractNumId="63">
    <w:nsid w:val="6EAA85FB"/>
    <w:multiLevelType w:val="hybridMultilevel"/>
    <w:lvl w:ilvl="0">
      <w:lvlJc w:val="left"/>
      <w:lvlText w:val="(%1)"/>
      <w:numFmt w:val="lowerLetter"/>
      <w:start w:val="1"/>
    </w:lvl>
  </w:abstractNum>
  <w:abstractNum w:abstractNumId="64">
    <w:nsid w:val="3F06ECB2"/>
    <w:multiLevelType w:val="hybridMultilevel"/>
    <w:lvl w:ilvl="0">
      <w:lvlJc w:val="left"/>
      <w:lvlText w:val="%1"/>
      <w:numFmt w:val="decimal"/>
      <w:start w:val="1"/>
    </w:lvl>
    <w:lvl w:ilvl="1">
      <w:lvlJc w:val="left"/>
      <w:lvlText w:val="(%2)"/>
      <w:numFmt w:val="lowerLetter"/>
      <w:start w:val="1"/>
    </w:lvl>
  </w:abstractNum>
  <w:abstractNum w:abstractNumId="65">
    <w:nsid w:val="3B594807"/>
    <w:multiLevelType w:val="hybridMultilevel"/>
    <w:lvl w:ilvl="0">
      <w:lvlJc w:val="left"/>
      <w:lvlText w:val="(%1)"/>
      <w:numFmt w:val="decimal"/>
      <w:start w:val="30"/>
    </w:lvl>
    <w:lvl w:ilvl="1">
      <w:lvlJc w:val="left"/>
      <w:lvlText w:val="(%2)"/>
      <w:numFmt w:val="lowerLetter"/>
      <w:start w:val="2"/>
    </w:lvl>
  </w:abstractNum>
  <w:abstractNum w:abstractNumId="66">
    <w:nsid w:val="6CAA2304"/>
    <w:multiLevelType w:val="hybridMultilevel"/>
    <w:lvl w:ilvl="0">
      <w:lvlJc w:val="left"/>
      <w:lvlText w:val="(%1)"/>
      <w:numFmt w:val="lowerLetter"/>
      <w:start w:val="4"/>
    </w:lvl>
  </w:abstractNum>
  <w:abstractNum w:abstractNumId="67">
    <w:nsid w:val="3F7C2FF4"/>
    <w:multiLevelType w:val="hybridMultilevel"/>
    <w:lvl w:ilvl="0">
      <w:lvlJc w:val="left"/>
      <w:lvlText w:val="(%1)"/>
      <w:numFmt w:val="lowerLetter"/>
      <w:start w:val="1"/>
    </w:lvl>
  </w:abstractNum>
  <w:abstractNum w:abstractNumId="68">
    <w:nsid w:val="25413BEC"/>
    <w:multiLevelType w:val="hybridMultilevel"/>
    <w:lvl w:ilvl="0">
      <w:lvlJc w:val="left"/>
      <w:lvlText w:val="(%1)"/>
      <w:numFmt w:val="lowerLetter"/>
      <w:start w:val="2"/>
    </w:lvl>
  </w:abstractNum>
  <w:abstractNum w:abstractNumId="69">
    <w:nsid w:val="17180B0B"/>
    <w:multiLevelType w:val="hybridMultilevel"/>
    <w:lvl w:ilvl="0">
      <w:lvlJc w:val="left"/>
      <w:lvlText w:val="(%1)"/>
      <w:numFmt w:val="lowerLetter"/>
      <w:start w:val="1"/>
    </w:lvl>
    <w:lvl w:ilvl="1">
      <w:lvlJc w:val="left"/>
      <w:lvlText w:val="(%2)"/>
      <w:numFmt w:val="lowerRoman"/>
      <w:start w:val="1"/>
    </w:lvl>
  </w:abstractNum>
  <w:abstractNum w:abstractNumId="70">
    <w:nsid w:val="579328B9"/>
    <w:multiLevelType w:val="hybridMultilevel"/>
    <w:lvl w:ilvl="0">
      <w:lvlJc w:val="left"/>
      <w:lvlText w:val="%1"/>
      <w:numFmt w:val="decimal"/>
      <w:start w:val="1"/>
    </w:lvl>
    <w:lvl w:ilvl="1">
      <w:lvlJc w:val="left"/>
      <w:lvlText w:val="(%2)"/>
      <w:numFmt w:val="lowerRoman"/>
      <w:start w:val="3"/>
    </w:lvl>
  </w:abstractNum>
  <w:abstractNum w:abstractNumId="71">
    <w:nsid w:val="5D205E20"/>
    <w:multiLevelType w:val="hybridMultilevel"/>
    <w:lvl w:ilvl="0">
      <w:lvlJc w:val="left"/>
      <w:lvlText w:val="(%1)"/>
      <w:numFmt w:val="decimal"/>
      <w:start w:val="6"/>
    </w:lvl>
    <w:lvl w:ilvl="1">
      <w:lvlJc w:val="left"/>
      <w:lvlText w:val="(%2)"/>
      <w:numFmt w:val="lowerRoman"/>
      <w:start w:val="4"/>
    </w:lvl>
  </w:abstractNum>
  <w:abstractNum w:abstractNumId="72">
    <w:nsid w:val="11CCA8BA"/>
    <w:multiLevelType w:val="hybridMultilevel"/>
    <w:lvl w:ilvl="0">
      <w:lvlJc w:val="left"/>
      <w:lvlText w:val="(%1)"/>
      <w:numFmt w:val="lowerRoman"/>
      <w:start w:val="6"/>
    </w:lvl>
  </w:abstractNum>
  <w:abstractNum w:abstractNumId="73">
    <w:nsid w:val="4D32AB86"/>
    <w:multiLevelType w:val="hybridMultilevel"/>
    <w:lvl w:ilvl="0">
      <w:lvlJc w:val="left"/>
      <w:lvlText w:val="(%1)"/>
      <w:numFmt w:val="lowerLetter"/>
      <w:start w:val="3"/>
    </w:lvl>
  </w:abstractNum>
  <w:abstractNum w:abstractNumId="74">
    <w:nsid w:val="3F07ACC3"/>
    <w:multiLevelType w:val="hybridMultilevel"/>
    <w:lvl w:ilvl="0">
      <w:lvlJc w:val="left"/>
      <w:lvlText w:val="(%1)"/>
      <w:numFmt w:val="lowerLetter"/>
      <w:start w:val="1"/>
    </w:lvl>
    <w:lvl w:ilvl="1">
      <w:lvlJc w:val="left"/>
      <w:lvlText w:val="(%2)"/>
      <w:numFmt w:val="lowerRoman"/>
      <w:start w:val="1"/>
    </w:lvl>
  </w:abstractNum>
  <w:abstractNum w:abstractNumId="75">
    <w:nsid w:val="6B47F63E"/>
    <w:multiLevelType w:val="hybridMultilevel"/>
    <w:lvl w:ilvl="0">
      <w:lvlJc w:val="left"/>
      <w:lvlText w:val="(%1)"/>
      <w:numFmt w:val="lowerLetter"/>
      <w:start w:val="2"/>
    </w:lvl>
    <w:lvl w:ilvl="1">
      <w:lvlJc w:val="left"/>
      <w:lvlText w:val="(%2)"/>
      <w:numFmt w:val="lowerRoman"/>
      <w:start w:val="1"/>
    </w:lvl>
  </w:abstractNum>
  <w:abstractNum w:abstractNumId="76">
    <w:nsid w:val="5CB44A05"/>
    <w:multiLevelType w:val="hybridMultilevel"/>
    <w:lvl w:ilvl="0">
      <w:lvlJc w:val="left"/>
      <w:lvlText w:val="%1"/>
      <w:numFmt w:val="lowerLetter"/>
      <w:start w:val="1"/>
    </w:lvl>
    <w:lvl w:ilvl="1">
      <w:lvlJc w:val="left"/>
      <w:lvlText w:val="(%2)"/>
      <w:numFmt w:val="lowerLetter"/>
      <w:start w:val="61"/>
    </w:lvl>
  </w:abstractNum>
  <w:abstractNum w:abstractNumId="77">
    <w:nsid w:val="16CF80F1"/>
    <w:multiLevelType w:val="hybridMultilevel"/>
    <w:lvl w:ilvl="0">
      <w:lvlJc w:val="left"/>
      <w:lvlText w:val="(%1)"/>
      <w:numFmt w:val="lowerLetter"/>
      <w:start w:val="4"/>
    </w:lvl>
    <w:lvl w:ilvl="1">
      <w:lvlJc w:val="left"/>
      <w:lvlText w:val="(%2)"/>
      <w:numFmt w:val="lowerLetter"/>
      <w:start w:val="9"/>
    </w:lvl>
  </w:abstractNum>
  <w:abstractNum w:abstractNumId="78">
    <w:nsid w:val="1C695DEC"/>
    <w:multiLevelType w:val="hybridMultilevel"/>
    <w:lvl w:ilvl="0">
      <w:lvlJc w:val="left"/>
      <w:lvlText w:val="(%1)"/>
      <w:numFmt w:val="lowerRoman"/>
      <w:start w:val="2"/>
    </w:lvl>
  </w:abstractNum>
  <w:abstractNum w:abstractNumId="79">
    <w:nsid w:val="3FCFAED9"/>
    <w:multiLevelType w:val="hybridMultilevel"/>
    <w:lvl w:ilvl="0">
      <w:lvlJc w:val="left"/>
      <w:lvlText w:val="(%1)"/>
      <w:numFmt w:val="lowerLetter"/>
      <w:start w:val="1"/>
    </w:lvl>
  </w:abstractNum>
  <w:abstractNum w:abstractNumId="80">
    <w:nsid w:val="F856867"/>
    <w:multiLevelType w:val="hybridMultilevel"/>
    <w:lvl w:ilvl="0">
      <w:lvlJc w:val="left"/>
      <w:lvlText w:val="(%1)"/>
      <w:numFmt w:val="lowerLetter"/>
      <w:start w:val="1"/>
    </w:lvl>
  </w:abstractNum>
  <w:abstractNum w:abstractNumId="81">
    <w:nsid w:val="11B1CC33"/>
    <w:multiLevelType w:val="hybridMultilevel"/>
    <w:lvl w:ilvl="0">
      <w:lvlJc w:val="left"/>
      <w:lvlText w:val="(%1)"/>
      <w:numFmt w:val="lowerLetter"/>
      <w:start w:val="2"/>
    </w:lvl>
  </w:abstractNum>
  <w:abstractNum w:abstractNumId="82">
    <w:nsid w:val="2E22FBB7"/>
    <w:multiLevelType w:val="hybridMultilevel"/>
    <w:lvl w:ilvl="0">
      <w:lvlJc w:val="left"/>
      <w:lvlText w:val="(%1)"/>
      <w:numFmt w:val="lowerLetter"/>
      <w:start w:val="1"/>
    </w:lvl>
  </w:abstractNum>
  <w:abstractNum w:abstractNumId="83">
    <w:nsid w:val="29934699"/>
    <w:multiLevelType w:val="hybridMultilevel"/>
    <w:lvl w:ilvl="0">
      <w:lvlJc w:val="left"/>
      <w:lvlText w:val="(%1)"/>
      <w:numFmt w:val="lowerLetter"/>
      <w:start w:val="1"/>
    </w:lvl>
  </w:abstractNum>
  <w:abstractNum w:abstractNumId="84">
    <w:nsid w:val="77485850"/>
    <w:multiLevelType w:val="hybridMultilevel"/>
    <w:lvl w:ilvl="0">
      <w:lvlJc w:val="left"/>
      <w:lvlText w:val="(%1)"/>
      <w:numFmt w:val="lowerLetter"/>
      <w:start w:val="2"/>
    </w:lvl>
  </w:abstractNum>
  <w:abstractNum w:abstractNumId="85">
    <w:nsid w:val="744939A3"/>
    <w:multiLevelType w:val="hybridMultilevel"/>
    <w:lvl w:ilvl="0">
      <w:lvlJc w:val="left"/>
      <w:lvlText w:val="(%1)"/>
      <w:numFmt w:val="lowerRoman"/>
      <w:start w:val="1"/>
    </w:lvl>
  </w:abstractNum>
  <w:abstractNum w:abstractNumId="86">
    <w:nsid w:val="4FA0D2E3"/>
    <w:multiLevelType w:val="hybridMultilevel"/>
    <w:lvl w:ilvl="0">
      <w:lvlJc w:val="left"/>
      <w:lvlText w:val="(%1)"/>
      <w:numFmt w:val="lowerLetter"/>
      <w:start w:val="1"/>
    </w:lvl>
  </w:abstractNum>
  <w:abstractNum w:abstractNumId="87">
    <w:nsid w:val="6B1D2C14"/>
    <w:multiLevelType w:val="hybridMultilevel"/>
    <w:lvl w:ilvl="0">
      <w:lvlJc w:val="left"/>
      <w:lvlText w:val="(%1)"/>
      <w:numFmt w:val="lowerLetter"/>
      <w:start w:val="3"/>
    </w:lvl>
  </w:abstractNum>
  <w:abstractNum w:abstractNumId="88">
    <w:nsid w:val="68B867D3"/>
    <w:multiLevelType w:val="hybridMultilevel"/>
    <w:lvl w:ilvl="0">
      <w:lvlJc w:val="left"/>
      <w:lvlText w:val="(%1)"/>
      <w:numFmt w:val="lowerLetter"/>
      <w:start w:val="1"/>
    </w:lvl>
    <w:lvl w:ilvl="1">
      <w:lvlJc w:val="left"/>
      <w:lvlText w:val="(%2)"/>
      <w:numFmt w:val="lowerRoman"/>
      <w:start w:val="1"/>
    </w:lvl>
  </w:abstractNum>
  <w:abstractNum w:abstractNumId="89">
    <w:nsid w:val="3F7F5DD9"/>
    <w:multiLevelType w:val="hybridMultilevel"/>
    <w:lvl w:ilvl="0">
      <w:lvlJc w:val="left"/>
      <w:lvlText w:val="(%1)"/>
      <w:numFmt w:val="lowerLetter"/>
      <w:start w:val="2"/>
    </w:lvl>
    <w:lvl w:ilvl="1">
      <w:lvlJc w:val="left"/>
      <w:lvlText w:val="(%2)"/>
      <w:numFmt w:val="lowerRoman"/>
      <w:start w:val="1"/>
    </w:lvl>
  </w:abstractNum>
  <w:abstractNum w:abstractNumId="90">
    <w:nsid w:val="2AE05A3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91">
    <w:nsid w:val="32794FF7"/>
    <w:multiLevelType w:val="hybridMultilevel"/>
    <w:lvl w:ilvl="0">
      <w:lvlJc w:val="left"/>
      <w:lvlText w:val="(%1)"/>
      <w:numFmt w:val="lowerRoman"/>
      <w:start w:val="3"/>
    </w:lvl>
  </w:abstractNum>
  <w:abstractNum w:abstractNumId="92">
    <w:nsid w:val="5454945E"/>
    <w:multiLevelType w:val="hybridMultilevel"/>
    <w:lvl w:ilvl="0">
      <w:lvlJc w:val="left"/>
      <w:lvlText w:val="(%1)"/>
      <w:numFmt w:val="lowerLetter"/>
      <w:start w:val="4"/>
    </w:lvl>
  </w:abstractNum>
  <w:abstractNum w:abstractNumId="93">
    <w:nsid w:val="4DEFDFA0"/>
    <w:multiLevelType w:val="hybridMultilevel"/>
    <w:lvl w:ilvl="0">
      <w:lvlJc w:val="left"/>
      <w:lvlText w:val="(%1)"/>
      <w:numFmt w:val="lowerLetter"/>
      <w:start w:val="2"/>
    </w:lvl>
  </w:abstractNum>
  <w:abstractNum w:abstractNumId="94">
    <w:nsid w:val="2123D5F2"/>
    <w:multiLevelType w:val="hybridMultilevel"/>
    <w:lvl w:ilvl="0">
      <w:lvlJc w:val="left"/>
      <w:lvlText w:val="(%1)"/>
      <w:numFmt w:val="lowerLetter"/>
      <w:start w:val="1"/>
    </w:lvl>
    <w:lvl w:ilvl="1">
      <w:lvlJc w:val="left"/>
      <w:lvlText w:val="(%2)"/>
      <w:numFmt w:val="lowerRoman"/>
      <w:start w:val="1"/>
    </w:lvl>
  </w:abstractNum>
  <w:abstractNum w:abstractNumId="95">
    <w:nsid w:val="135B8110"/>
    <w:multiLevelType w:val="hybridMultilevel"/>
    <w:lvl w:ilvl="0">
      <w:lvlJc w:val="left"/>
      <w:lvlText w:val="(%1)"/>
      <w:numFmt w:val="lowerLetter"/>
      <w:start w:val="2"/>
    </w:lvl>
  </w:abstractNum>
  <w:abstractNum w:abstractNumId="96">
    <w:nsid w:val="94927A8"/>
    <w:multiLevelType w:val="hybridMultilevel"/>
    <w:lvl w:ilvl="0">
      <w:lvlJc w:val="left"/>
      <w:lvlText w:val="(%1)"/>
      <w:numFmt w:val="lowerLetter"/>
      <w:start w:val="4"/>
    </w:lvl>
  </w:abstractNum>
  <w:abstractNum w:abstractNumId="97">
    <w:nsid w:val="DCDF8F6"/>
    <w:multiLevelType w:val="hybridMultilevel"/>
    <w:lvl w:ilvl="0">
      <w:lvlJc w:val="left"/>
      <w:lvlText w:val="(%1)"/>
      <w:numFmt w:val="lowerLetter"/>
      <w:start w:val="1"/>
    </w:lvl>
  </w:abstractNum>
  <w:abstractNum w:abstractNumId="98">
    <w:nsid w:val="52D7B10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9">
    <w:nsid w:val="2E8A6394"/>
    <w:multiLevelType w:val="hybridMultilevel"/>
    <w:lvl w:ilvl="0">
      <w:lvlJc w:val="left"/>
      <w:lvlText w:val="(%1)"/>
      <w:numFmt w:val="upperLetter"/>
      <w:start w:val="2"/>
    </w:lvl>
    <w:lvl w:ilvl="1">
      <w:lvlJc w:val="left"/>
      <w:lvlText w:val="(%2)"/>
      <w:numFmt w:val="decimal"/>
      <w:start w:val="1"/>
    </w:lvl>
  </w:abstractNum>
  <w:abstractNum w:abstractNumId="100">
    <w:nsid w:val="24E60401"/>
    <w:multiLevelType w:val="hybridMultilevel"/>
    <w:lvl w:ilvl="0">
      <w:lvlJc w:val="left"/>
      <w:lvlText w:val="(%1)"/>
      <w:numFmt w:val="upperLetter"/>
      <w:start w:val="4"/>
    </w:lvl>
  </w:abstractNum>
  <w:abstractNum w:abstractNumId="101">
    <w:nsid w:val="2A6AD9BE"/>
    <w:multiLevelType w:val="hybridMultilevel"/>
    <w:lvl w:ilvl="0">
      <w:lvlJc w:val="left"/>
      <w:lvlText w:val="(%1)"/>
      <w:numFmt w:val="lowerLetter"/>
      <w:start w:val="8"/>
    </w:lvl>
  </w:abstractNum>
  <w:abstractNum w:abstractNumId="102">
    <w:nsid w:val="BAAC1B4"/>
    <w:multiLevelType w:val="hybridMultilevel"/>
    <w:lvl w:ilvl="0">
      <w:lvlJc w:val="left"/>
      <w:lvlText w:val="(%1)"/>
      <w:numFmt w:val="lowerRoman"/>
      <w:start w:val="1"/>
    </w:lvl>
  </w:abstractNum>
  <w:abstractNum w:abstractNumId="103">
    <w:nsid w:val="36B2ACBC"/>
    <w:multiLevelType w:val="hybridMultilevel"/>
    <w:lvl w:ilvl="0">
      <w:lvlJc w:val="left"/>
      <w:lvlText w:val="(%1)"/>
      <w:numFmt w:val="lowerLetter"/>
      <w:start w:val="1"/>
    </w:lvl>
    <w:lvl w:ilvl="1">
      <w:lvlJc w:val="left"/>
      <w:lvlText w:val="(%2)"/>
      <w:numFmt w:val="lowerRoman"/>
      <w:start w:val="1"/>
    </w:lvl>
  </w:abstractNum>
  <w:abstractNum w:abstractNumId="104">
    <w:nsid w:val="779D8544"/>
    <w:multiLevelType w:val="hybridMultilevel"/>
    <w:lvl w:ilvl="0">
      <w:lvlJc w:val="left"/>
      <w:lvlText w:val="(%1)"/>
      <w:numFmt w:val="lowerRoman"/>
      <w:start w:val="4"/>
    </w:lvl>
  </w:abstractNum>
  <w:abstractNum w:abstractNumId="105">
    <w:nsid w:val="4AB26E78"/>
    <w:multiLevelType w:val="hybridMultilevel"/>
    <w:lvl w:ilvl="0">
      <w:lvlJc w:val="left"/>
      <w:lvlText w:val="(%1)"/>
      <w:numFmt w:val="lowerLetter"/>
      <w:start w:val="1"/>
    </w:lvl>
  </w:abstractNum>
  <w:abstractNum w:abstractNumId="106">
    <w:nsid w:val="21FAA2F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7">
    <w:nsid w:val="5451CF49"/>
    <w:multiLevelType w:val="hybridMultilevel"/>
    <w:lvl w:ilvl="0">
      <w:lvlJc w:val="left"/>
      <w:lvlText w:val="%1"/>
      <w:numFmt w:val="lowerRoman"/>
      <w:start w:val="1"/>
    </w:lvl>
    <w:lvl w:ilvl="1">
      <w:lvlJc w:val="left"/>
      <w:lvlText w:val="(%2)"/>
      <w:numFmt w:val="upperLetter"/>
      <w:start w:val="3"/>
    </w:lvl>
  </w:abstractNum>
  <w:abstractNum w:abstractNumId="108">
    <w:nsid w:val="6181EF69"/>
    <w:multiLevelType w:val="hybridMultilevel"/>
    <w:lvl w:ilvl="0">
      <w:lvlJc w:val="left"/>
      <w:lvlText w:val="(%1)"/>
      <w:numFmt w:val="lowerRoman"/>
      <w:start w:val="2"/>
    </w:lvl>
    <w:lvl w:ilvl="1">
      <w:lvlJc w:val="left"/>
      <w:lvlText w:val="(%2)"/>
      <w:numFmt w:val="upperLetter"/>
      <w:start w:val="1"/>
    </w:lvl>
  </w:abstractNum>
  <w:abstractNum w:abstractNumId="109">
    <w:nsid w:val="3E6400E6"/>
    <w:multiLevelType w:val="hybridMultilevel"/>
    <w:lvl w:ilvl="0">
      <w:lvlJc w:val="left"/>
      <w:lvlText w:val="%1"/>
      <w:numFmt w:val="lowerLetter"/>
      <w:start w:val="1"/>
    </w:lvl>
    <w:lvl w:ilvl="1">
      <w:lvlJc w:val="left"/>
      <w:lvlText w:val="(%2)"/>
      <w:numFmt w:val="lowerRoman"/>
      <w:start w:val="4"/>
    </w:lvl>
  </w:abstractNum>
  <w:abstractNum w:abstractNumId="110">
    <w:nsid w:val="14217E23"/>
    <w:multiLevelType w:val="hybridMultilevel"/>
    <w:lvl w:ilvl="0">
      <w:lvlJc w:val="left"/>
      <w:lvlText w:val="(%1)"/>
      <w:numFmt w:val="lowerLetter"/>
      <w:start w:val="5"/>
    </w:lvl>
    <w:lvl w:ilvl="1">
      <w:lvlJc w:val="left"/>
      <w:lvlText w:val="(%2)"/>
      <w:numFmt w:val="lowerRoman"/>
      <w:start w:val="1"/>
    </w:lvl>
  </w:abstractNum>
  <w:abstractNum w:abstractNumId="111">
    <w:nsid w:val="710757D0"/>
    <w:multiLevelType w:val="hybridMultilevel"/>
    <w:lvl w:ilvl="0">
      <w:lvlJc w:val="left"/>
      <w:lvlText w:val="(%1)"/>
      <w:numFmt w:val="lowerLetter"/>
      <w:start w:val="1"/>
    </w:lvl>
  </w:abstractNum>
  <w:abstractNum w:abstractNumId="112">
    <w:nsid w:val="5015CD1A"/>
    <w:multiLevelType w:val="hybridMultilevel"/>
    <w:lvl w:ilvl="0">
      <w:lvlJc w:val="left"/>
      <w:lvlText w:val="(%1)"/>
      <w:numFmt w:val="lowerLetter"/>
      <w:start w:val="1"/>
    </w:lvl>
    <w:lvl w:ilvl="1">
      <w:lvlJc w:val="left"/>
      <w:lvlText w:val="(%2)"/>
      <w:numFmt w:val="lowerLetter"/>
      <w:start w:val="9"/>
    </w:lvl>
  </w:abstractNum>
  <w:abstractNum w:abstractNumId="113">
    <w:nsid w:val="424479DA"/>
    <w:multiLevelType w:val="hybridMultilevel"/>
    <w:lvl w:ilvl="0">
      <w:lvlJc w:val="left"/>
      <w:lvlText w:val="(%1)"/>
      <w:numFmt w:val="lowerRoman"/>
      <w:start w:val="2"/>
    </w:lvl>
    <w:lvl w:ilvl="1">
      <w:lvlJc w:val="left"/>
      <w:lvlText w:val="(%2)"/>
      <w:numFmt w:val="upperLetter"/>
      <w:start w:val="1"/>
    </w:lvl>
  </w:abstractNum>
  <w:abstractNum w:abstractNumId="114">
    <w:nsid w:val="1A9A9E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15">
    <w:nsid w:val="475E256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16">
    <w:nsid w:val="368DB37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7">
    <w:nsid w:val="6A3B714C"/>
    <w:multiLevelType w:val="hybridMultilevel"/>
    <w:lvl w:ilvl="0">
      <w:lvlJc w:val="left"/>
      <w:lvlText w:val="(%1)"/>
      <w:numFmt w:val="lowerLetter"/>
      <w:start w:val="1"/>
    </w:lvl>
  </w:abstractNum>
  <w:abstractNum w:abstractNumId="118">
    <w:nsid w:val="327B517E"/>
    <w:multiLevelType w:val="hybridMultilevel"/>
    <w:lvl w:ilvl="0">
      <w:lvlJc w:val="left"/>
      <w:lvlText w:val="(%1)"/>
      <w:numFmt w:val="lowerLetter"/>
      <w:start w:val="1"/>
    </w:lvl>
    <w:lvl w:ilvl="1">
      <w:lvlJc w:val="left"/>
      <w:lvlText w:val="(%2)"/>
      <w:numFmt w:val="lowerRoman"/>
      <w:start w:val="1"/>
    </w:lvl>
  </w:abstractNum>
  <w:abstractNum w:abstractNumId="119">
    <w:nsid w:val="1F461B51"/>
    <w:multiLevelType w:val="hybridMultilevel"/>
    <w:lvl w:ilvl="0">
      <w:lvlJc w:val="left"/>
      <w:lvlText w:val="%1"/>
      <w:numFmt w:val="lowerLetter"/>
      <w:start w:val="1"/>
    </w:lvl>
    <w:lvl w:ilvl="1">
      <w:lvlJc w:val="left"/>
      <w:lvlText w:val="(%2)"/>
      <w:numFmt w:val="lowerRoman"/>
      <w:start w:val="6"/>
    </w:lvl>
  </w:abstractNum>
  <w:abstractNum w:abstractNumId="120">
    <w:nsid w:val="29BACF25"/>
    <w:multiLevelType w:val="hybridMultilevel"/>
    <w:lvl w:ilvl="0">
      <w:lvlJc w:val="left"/>
      <w:lvlText w:val="(%1)"/>
      <w:numFmt w:val="lowerLetter"/>
      <w:start w:val="2"/>
    </w:lvl>
    <w:lvl w:ilvl="1">
      <w:lvlJc w:val="left"/>
      <w:lvlText w:val="%2"/>
      <w:numFmt w:val="lowerRoman"/>
      <w:start w:val="1"/>
    </w:lvl>
  </w:abstractNum>
  <w:abstractNum w:abstractNumId="121">
    <w:nsid w:val="5D5BABB3"/>
    <w:multiLevelType w:val="hybridMultilevel"/>
    <w:lvl w:ilvl="0">
      <w:lvlJc w:val="left"/>
      <w:lvlText w:val="(%1)"/>
      <w:numFmt w:val="lowerLetter"/>
      <w:start w:val="4"/>
    </w:lvl>
  </w:abstractNum>
  <w:abstractNum w:abstractNumId="122">
    <w:nsid w:val="51BF6B48"/>
    <w:multiLevelType w:val="hybridMultilevel"/>
    <w:lvl w:ilvl="0">
      <w:lvlJc w:val="left"/>
      <w:lvlText w:val="(%1)"/>
      <w:numFmt w:val="lowerLetter"/>
      <w:start w:val="6"/>
    </w:lvl>
  </w:abstractNum>
  <w:abstractNum w:abstractNumId="123">
    <w:nsid w:val="7E0F6384"/>
    <w:multiLevelType w:val="hybridMultilevel"/>
    <w:lvl w:ilvl="0">
      <w:lvlJc w:val="left"/>
      <w:lvlText w:val="%1"/>
      <w:numFmt w:val="decimal"/>
      <w:start w:val="1"/>
    </w:lvl>
    <w:lvl w:ilvl="1">
      <w:lvlJc w:val="left"/>
      <w:lvlText w:val="(%2)"/>
      <w:numFmt w:val="lowerLetter"/>
      <w:start w:val="1"/>
    </w:lvl>
  </w:abstractNum>
  <w:abstractNum w:abstractNumId="124">
    <w:nsid w:val="2B4B8B53"/>
    <w:multiLevelType w:val="hybridMultilevel"/>
    <w:lvl w:ilvl="0">
      <w:lvlJc w:val="left"/>
      <w:lvlText w:val="(%1)"/>
      <w:numFmt w:val="decimal"/>
      <w:start w:val="60"/>
    </w:lvl>
    <w:lvl w:ilvl="1">
      <w:lvlJc w:val="left"/>
      <w:lvlText w:val="%2"/>
      <w:numFmt w:val="lowerLetter"/>
      <w:start w:val="1"/>
    </w:lvl>
  </w:abstractNum>
  <w:abstractNum w:abstractNumId="125">
    <w:nsid w:val="72E3413A"/>
    <w:multiLevelType w:val="hybridMultilevel"/>
    <w:lvl w:ilvl="0">
      <w:lvlJc w:val="left"/>
      <w:lvlText w:val="(%1)"/>
      <w:numFmt w:val="lowerLetter"/>
      <w:start w:val="2"/>
    </w:lvl>
  </w:abstractNum>
  <w:abstractNum w:abstractNumId="126">
    <w:nsid w:val="116AE494"/>
    <w:multiLevelType w:val="hybridMultilevel"/>
    <w:lvl w:ilvl="0">
      <w:lvlJc w:val="left"/>
      <w:lvlText w:val="(%1)"/>
      <w:numFmt w:val="lowerLetter"/>
      <w:start w:val="5"/>
    </w:lvl>
  </w:abstractNum>
  <w:abstractNum w:abstractNumId="127">
    <w:nsid w:val="3494B2FB"/>
    <w:multiLevelType w:val="hybridMultilevel"/>
    <w:lvl w:ilvl="0">
      <w:lvlJc w:val="left"/>
      <w:lvlText w:val="(%1)"/>
      <w:numFmt w:val="lowerLetter"/>
      <w:start w:val="1"/>
    </w:lvl>
    <w:lvl w:ilvl="1">
      <w:lvlJc w:val="left"/>
      <w:lvlText w:val="(%2)"/>
      <w:numFmt w:val="lowerRoman"/>
      <w:start w:val="1"/>
    </w:lvl>
  </w:abstractNum>
  <w:abstractNum w:abstractNumId="128">
    <w:nsid w:val="B13A31"/>
    <w:multiLevelType w:val="hybridMultilevel"/>
    <w:lvl w:ilvl="0">
      <w:lvlJc w:val="left"/>
      <w:lvlText w:val="%1"/>
      <w:numFmt w:val="lowerLetter"/>
      <w:start w:val="1"/>
    </w:lvl>
    <w:lvl w:ilvl="1">
      <w:lvlJc w:val="left"/>
      <w:lvlText w:val="(%2)"/>
      <w:numFmt w:val="lowerRoman"/>
      <w:start w:val="3"/>
    </w:lvl>
  </w:abstractNum>
  <w:abstractNum w:abstractNumId="129">
    <w:nsid w:val="64429599"/>
    <w:multiLevelType w:val="hybridMultilevel"/>
    <w:lvl w:ilvl="0">
      <w:lvlJc w:val="left"/>
      <w:lvlText w:val="(%1)"/>
      <w:numFmt w:val="lowerLetter"/>
      <w:start w:val="3"/>
    </w:lvl>
    <w:lvl w:ilvl="1">
      <w:lvlJc w:val="left"/>
      <w:lvlText w:val="(%2)"/>
      <w:numFmt w:val="lowerRoman"/>
      <w:start w:val="1"/>
    </w:lvl>
  </w:abstractNum>
  <w:abstractNum w:abstractNumId="130">
    <w:nsid w:val="631F1690"/>
    <w:multiLevelType w:val="hybridMultilevel"/>
    <w:lvl w:ilvl="0">
      <w:lvlJc w:val="left"/>
      <w:lvlText w:val="%1"/>
      <w:numFmt w:val="upperLetter"/>
      <w:start w:val="1"/>
    </w:lvl>
    <w:lvl w:ilvl="1">
      <w:lvlJc w:val="left"/>
      <w:lvlText w:val="(%2)"/>
      <w:numFmt w:val="lowerRoman"/>
      <w:start w:val="2"/>
    </w:lvl>
  </w:abstractNum>
  <w:abstractNum w:abstractNumId="131">
    <w:nsid w:val="25973E32"/>
    <w:multiLevelType w:val="hybridMultilevel"/>
    <w:lvl w:ilvl="0">
      <w:lvlJc w:val="left"/>
      <w:lvlText w:val="(%1)"/>
      <w:numFmt w:val="upperLetter"/>
      <w:start w:val="1"/>
    </w:lvl>
    <w:lvl w:ilvl="1">
      <w:lvlJc w:val="left"/>
      <w:lvlText w:val="(%2)"/>
      <w:numFmt w:val="lowerRoman"/>
      <w:start w:val="3"/>
    </w:lvl>
  </w:abstractNum>
  <w:abstractNum w:abstractNumId="132">
    <w:nsid w:val="EAD6F57"/>
    <w:multiLevelType w:val="hybridMultilevel"/>
    <w:lvl w:ilvl="0">
      <w:lvlJc w:val="left"/>
      <w:lvlText w:val="(%1)"/>
      <w:numFmt w:val="lowerLetter"/>
      <w:start w:val="6"/>
    </w:lvl>
    <w:lvl w:ilvl="1">
      <w:lvlJc w:val="left"/>
      <w:lvlText w:val="(%2)"/>
      <w:numFmt w:val="lowerRoman"/>
      <w:start w:val="1"/>
    </w:lvl>
  </w:abstractNum>
  <w:abstractNum w:abstractNumId="133">
    <w:nsid w:val="6EC9D844"/>
    <w:multiLevelType w:val="hybridMultilevel"/>
    <w:lvl w:ilvl="0">
      <w:lvlJc w:val="left"/>
      <w:lvlText w:val="%1"/>
      <w:numFmt w:val="lowerLetter"/>
      <w:start w:val="1"/>
    </w:lvl>
    <w:lvl w:ilvl="1">
      <w:lvlJc w:val="left"/>
      <w:lvlText w:val="(%2)"/>
      <w:numFmt w:val="lowerRoman"/>
      <w:start w:val="4"/>
    </w:lvl>
  </w:abstractNum>
  <w:abstractNum w:abstractNumId="134">
    <w:nsid w:val="5C49EAEE"/>
    <w:multiLevelType w:val="hybridMultilevel"/>
    <w:lvl w:ilvl="0">
      <w:lvlJc w:val="left"/>
      <w:lvlText w:val="(%1)"/>
      <w:numFmt w:val="lowerLetter"/>
      <w:start w:val="7"/>
    </w:lvl>
    <w:lvl w:ilvl="1">
      <w:lvlJc w:val="left"/>
      <w:lvlText w:val="(%2)"/>
      <w:numFmt w:val="lowerRoman"/>
      <w:start w:val="1"/>
    </w:lvl>
  </w:abstractNum>
  <w:abstractNum w:abstractNumId="135">
    <w:nsid w:val="64AF49B"/>
    <w:multiLevelType w:val="hybridMultilevel"/>
    <w:lvl w:ilvl="0">
      <w:lvlJc w:val="left"/>
      <w:lvlText w:val="(%1)"/>
      <w:numFmt w:val="lowerLetter"/>
      <w:start w:val="1"/>
    </w:lvl>
  </w:abstractNum>
  <w:abstractNum w:abstractNumId="136">
    <w:nsid w:val="397C46BC"/>
    <w:multiLevelType w:val="hybridMultilevel"/>
    <w:lvl w:ilvl="0">
      <w:lvlJc w:val="left"/>
      <w:lvlText w:val="(%1)"/>
      <w:numFmt w:val="lowerLetter"/>
      <w:start w:val="1"/>
    </w:lvl>
  </w:abstractNum>
  <w:abstractNum w:abstractNumId="137">
    <w:nsid w:val="7E448DE9"/>
    <w:multiLevelType w:val="hybridMultilevel"/>
    <w:lvl w:ilvl="0">
      <w:lvlJc w:val="left"/>
      <w:lvlText w:val="(%1)"/>
      <w:numFmt w:val="lowerLetter"/>
      <w:start w:val="1"/>
    </w:lvl>
  </w:abstractNum>
  <w:abstractNum w:abstractNumId="138">
    <w:nsid w:val="5A9CC3E5"/>
    <w:multiLevelType w:val="hybridMultilevel"/>
    <w:lvl w:ilvl="0">
      <w:lvlJc w:val="left"/>
      <w:lvlText w:val="(%1)"/>
      <w:numFmt w:val="lowerLetter"/>
      <w:start w:val="2"/>
    </w:lvl>
  </w:abstractNum>
  <w:abstractNum w:abstractNumId="139">
    <w:nsid w:val="1AFE3625"/>
    <w:multiLevelType w:val="hybridMultilevel"/>
    <w:lvl w:ilvl="0">
      <w:lvlJc w:val="left"/>
      <w:lvlText w:val="(%1)"/>
      <w:numFmt w:val="lowerLetter"/>
      <w:start w:val="7"/>
    </w:lvl>
  </w:abstractNum>
  <w:abstractNum w:abstractNumId="140">
    <w:nsid w:val="3CA88ECF"/>
    <w:multiLevelType w:val="hybridMultilevel"/>
    <w:lvl w:ilvl="0">
      <w:lvlJc w:val="left"/>
      <w:lvlText w:val="(%1)"/>
      <w:numFmt w:val="lowerLetter"/>
      <w:start w:val="1"/>
    </w:lvl>
  </w:abstractNum>
  <w:abstractNum w:abstractNumId="141">
    <w:nsid w:val="6EBE4208"/>
    <w:multiLevelType w:val="hybridMultilevel"/>
    <w:lvl w:ilvl="0">
      <w:lvlJc w:val="left"/>
      <w:lvlText w:val="(%1)"/>
      <w:numFmt w:val="lowerLetter"/>
      <w:start w:val="2"/>
    </w:lvl>
  </w:abstractNum>
  <w:abstractNum w:abstractNumId="142">
    <w:nsid w:val="C058DF5"/>
    <w:multiLevelType w:val="hybridMultilevel"/>
    <w:lvl w:ilvl="0">
      <w:lvlJc w:val="left"/>
      <w:lvlText w:val="(%1)"/>
      <w:numFmt w:val="lowerLetter"/>
      <w:start w:val="1"/>
    </w:lvl>
  </w:abstractNum>
  <w:abstractNum w:abstractNumId="143">
    <w:nsid w:val="CBE5BE9"/>
    <w:multiLevelType w:val="hybridMultilevel"/>
    <w:lvl w:ilvl="0">
      <w:lvlJc w:val="left"/>
      <w:lvlText w:val="(%1)"/>
      <w:numFmt w:val="lowerLetter"/>
      <w:start w:val="3"/>
    </w:lvl>
  </w:abstractNum>
  <w:abstractNum w:abstractNumId="144">
    <w:nsid w:val="3102BBE2"/>
    <w:multiLevelType w:val="hybridMultilevel"/>
    <w:lvl w:ilvl="0">
      <w:lvlJc w:val="left"/>
      <w:lvlText w:val="(%1)"/>
      <w:numFmt w:val="lowerLetter"/>
      <w:start w:val="1"/>
    </w:lvl>
  </w:abstractNum>
  <w:abstractNum w:abstractNumId="145">
    <w:nsid w:val="26A02C5E"/>
    <w:multiLevelType w:val="hybridMultilevel"/>
    <w:lvl w:ilvl="0">
      <w:lvlJc w:val="left"/>
      <w:lvlText w:val="(%1)"/>
      <w:numFmt w:val="lowerLetter"/>
      <w:start w:val="9"/>
    </w:lvl>
  </w:abstractNum>
  <w:abstractNum w:abstractNumId="146">
    <w:nsid w:val="541C8153"/>
    <w:multiLevelType w:val="hybridMultilevel"/>
    <w:lvl w:ilvl="0">
      <w:lvlJc w:val="left"/>
      <w:lvlText w:val="(%1)"/>
      <w:numFmt w:val="lowerLetter"/>
      <w:start w:val="2"/>
    </w:lvl>
  </w:abstractNum>
  <w:abstractNum w:abstractNumId="147">
    <w:nsid w:val="67906F60"/>
    <w:multiLevelType w:val="hybridMultilevel"/>
    <w:lvl w:ilvl="0">
      <w:lvlJc w:val="left"/>
      <w:lvlText w:val="(%1)"/>
      <w:numFmt w:val="lowerLetter"/>
      <w:start w:val="1"/>
    </w:lvl>
  </w:abstractNum>
  <w:abstractNum w:abstractNumId="148">
    <w:nsid w:val="10DB9DAA"/>
    <w:multiLevelType w:val="hybridMultilevel"/>
    <w:lvl w:ilvl="0">
      <w:lvlJc w:val="left"/>
      <w:lvlText w:val="(%1)"/>
      <w:numFmt w:val="lowerLetter"/>
      <w:start w:val="2"/>
    </w:lvl>
  </w:abstractNum>
  <w:abstractNum w:abstractNumId="149">
    <w:nsid w:val="697D2D2"/>
    <w:multiLevelType w:val="hybridMultilevel"/>
    <w:lvl w:ilvl="0">
      <w:lvlJc w:val="left"/>
      <w:lvlText w:val="(%1)"/>
      <w:numFmt w:val="lowerLetter"/>
      <w:start w:val="1"/>
    </w:lvl>
  </w:abstractNum>
  <w:abstractNum w:abstractNumId="150">
    <w:nsid w:val="6D68AB2"/>
    <w:multiLevelType w:val="hybridMultilevel"/>
    <w:lvl w:ilvl="0">
      <w:lvlJc w:val="left"/>
      <w:lvlText w:val="(%1)"/>
      <w:numFmt w:val="lowerLetter"/>
      <w:start w:val="1"/>
    </w:lvl>
  </w:abstractNum>
  <w:abstractNum w:abstractNumId="151">
    <w:nsid w:val="3A966CD0"/>
    <w:multiLevelType w:val="hybridMultilevel"/>
    <w:lvl w:ilvl="0">
      <w:lvlJc w:val="left"/>
      <w:lvlText w:val="(%1)"/>
      <w:numFmt w:val="lowerLetter"/>
      <w:start w:val="3"/>
    </w:lvl>
  </w:abstractNum>
  <w:abstractNum w:abstractNumId="152">
    <w:nsid w:val="63F37E85"/>
    <w:multiLevelType w:val="hybridMultilevel"/>
    <w:lvl w:ilvl="0">
      <w:lvlJc w:val="left"/>
      <w:lvlText w:val="(%1)"/>
      <w:numFmt w:val="lowerLetter"/>
      <w:start w:val="1"/>
    </w:lvl>
  </w:abstractNum>
  <w:abstractNum w:abstractNumId="153">
    <w:nsid w:val="5895F5FA"/>
    <w:multiLevelType w:val="hybridMultilevel"/>
    <w:lvl w:ilvl="0">
      <w:lvlJc w:val="left"/>
      <w:lvlText w:val="%1"/>
      <w:numFmt w:val="lowerLetter"/>
      <w:start w:val="1"/>
    </w:lvl>
    <w:lvl w:ilvl="1">
      <w:lvlJc w:val="left"/>
      <w:lvlText w:val="(%2)"/>
      <w:numFmt w:val="lowerLetter"/>
      <w:start w:val="9"/>
    </w:lvl>
  </w:abstractNum>
  <w:abstractNum w:abstractNumId="154">
    <w:nsid w:val="38A5D054"/>
    <w:multiLevelType w:val="hybridMultilevel"/>
    <w:lvl w:ilvl="0">
      <w:lvlJc w:val="left"/>
      <w:lvlText w:val="(%1)"/>
      <w:numFmt w:val="lowerLetter"/>
      <w:start w:val="9"/>
    </w:lvl>
    <w:lvl w:ilvl="1">
      <w:lvlJc w:val="left"/>
      <w:lvlText w:val="(%2)"/>
      <w:numFmt w:val="lowerLetter"/>
      <w:start w:val="11"/>
    </w:lvl>
  </w:abstractNum>
  <w:abstractNum w:abstractNumId="155">
    <w:nsid w:val="F3F09D8"/>
    <w:multiLevelType w:val="hybridMultilevel"/>
    <w:lvl w:ilvl="0">
      <w:lvlJc w:val="left"/>
      <w:lvlText w:val="%1"/>
      <w:numFmt w:val="lowerRoman"/>
      <w:start w:val="1"/>
    </w:lvl>
    <w:lvl w:ilvl="1">
      <w:lvlJc w:val="left"/>
      <w:lvlText w:val="(%2)"/>
      <w:numFmt w:val="lowerRoman"/>
      <w:start w:val="1"/>
    </w:lvl>
  </w:abstractNum>
  <w:abstractNum w:abstractNumId="156">
    <w:nsid w:val="4B793735"/>
    <w:multiLevelType w:val="hybridMultilevel"/>
    <w:lvl w:ilvl="0">
      <w:lvlJc w:val="left"/>
      <w:lvlText w:val="(%1)"/>
      <w:numFmt w:val="lowerRoman"/>
      <w:start w:val="10"/>
    </w:lvl>
    <w:lvl w:ilvl="1">
      <w:lvlJc w:val="left"/>
      <w:lvlText w:val="%2"/>
      <w:numFmt w:val="lowerRoman"/>
      <w:start w:val="1"/>
    </w:lvl>
  </w:abstractNum>
  <w:abstractNum w:abstractNumId="157">
    <w:nsid w:val="4A10B4E8"/>
    <w:multiLevelType w:val="hybridMultilevel"/>
    <w:lvl w:ilvl="0">
      <w:lvlJc w:val="left"/>
      <w:lvlText w:val="(%1)"/>
      <w:numFmt w:val="lowerRoman"/>
      <w:start w:val="3"/>
    </w:lvl>
    <w:lvl w:ilvl="1">
      <w:lvlJc w:val="left"/>
      <w:lvlText w:val="(%2)"/>
      <w:numFmt w:val="lowerRoman"/>
      <w:start w:val="4"/>
    </w:lvl>
  </w:abstractNum>
  <w:abstractNum w:abstractNumId="158">
    <w:nsid w:val="43D3BCD4"/>
    <w:multiLevelType w:val="hybridMultilevel"/>
    <w:lvl w:ilvl="0">
      <w:lvlJc w:val="left"/>
      <w:lvlText w:val="(%1)"/>
      <w:numFmt w:val="lowerRoman"/>
      <w:start w:val="3"/>
    </w:lvl>
    <w:lvl w:ilvl="1">
      <w:lvlJc w:val="left"/>
      <w:lvlText w:val="(%2)"/>
      <w:numFmt w:val="lowerRoman"/>
      <w:start w:val="5"/>
    </w:lvl>
  </w:abstractNum>
  <w:abstractNum w:abstractNumId="159">
    <w:nsid w:val="4C2A7166"/>
    <w:multiLevelType w:val="hybridMultilevel"/>
    <w:lvl w:ilvl="0">
      <w:lvlJc w:val="left"/>
      <w:lvlText w:val="(%1)"/>
      <w:numFmt w:val="lowerRoman"/>
      <w:start w:val="8"/>
    </w:lvl>
  </w:abstractNum>
  <w:abstractNum w:abstractNumId="160">
    <w:nsid w:val="2E534A82"/>
    <w:multiLevelType w:val="hybridMultilevel"/>
    <w:lvl w:ilvl="0">
      <w:lvlJc w:val="left"/>
      <w:lvlText w:val="(%1)"/>
      <w:numFmt w:val="lowerRoman"/>
      <w:start w:val="1"/>
    </w:lvl>
  </w:abstractNum>
  <w:abstractNum w:abstractNumId="161">
    <w:nsid w:val="26F2D364"/>
    <w:multiLevelType w:val="hybridMultilevel"/>
    <w:lvl w:ilvl="0">
      <w:lvlJc w:val="left"/>
      <w:lvlText w:val="(%1)"/>
      <w:numFmt w:val="lowerLetter"/>
      <w:start w:val="1"/>
    </w:lvl>
  </w:abstractNum>
  <w:abstractNum w:abstractNumId="162">
    <w:nsid w:val="71C1AF98"/>
    <w:multiLevelType w:val="hybridMultilevel"/>
    <w:lvl w:ilvl="0">
      <w:lvlJc w:val="left"/>
      <w:lvlText w:val="%1"/>
      <w:numFmt w:val="decimal"/>
      <w:start w:val="1"/>
    </w:lvl>
    <w:lvl w:ilvl="1">
      <w:lvlJc w:val="left"/>
      <w:lvlText w:val="(%2)"/>
      <w:numFmt w:val="lowerLetter"/>
      <w:start w:val="4"/>
    </w:lvl>
  </w:abstractNum>
  <w:abstractNum w:abstractNumId="163">
    <w:nsid w:val="3D00B9D9"/>
    <w:multiLevelType w:val="hybridMultilevel"/>
    <w:lvl w:ilvl="0">
      <w:lvlJc w:val="left"/>
      <w:lvlText w:val="(%1)"/>
      <w:numFmt w:val="decimal"/>
      <w:start w:val="30"/>
    </w:lvl>
    <w:lvl w:ilvl="1">
      <w:lvlJc w:val="left"/>
      <w:lvlText w:val="(%2)"/>
      <w:numFmt w:val="lowerLetter"/>
      <w:start w:val="5"/>
    </w:lvl>
  </w:abstractNum>
  <w:abstractNum w:abstractNumId="164">
    <w:nsid w:val="15BCABA8"/>
    <w:multiLevelType w:val="hybridMultilevel"/>
    <w:lvl w:ilvl="0">
      <w:lvlJc w:val="left"/>
      <w:lvlText w:val="(%1)"/>
      <w:numFmt w:val="upperLetter"/>
      <w:start w:val="1"/>
    </w:lvl>
    <w:lvl w:ilvl="1">
      <w:lvlJc w:val="left"/>
      <w:lvlText w:val="(%2)"/>
      <w:numFmt w:val="lowerLetter"/>
      <w:start w:val="13"/>
    </w:lvl>
  </w:abstractNum>
  <w:abstractNum w:abstractNumId="165">
    <w:nsid w:val="4E0B9A87"/>
    <w:multiLevelType w:val="hybridMultilevel"/>
    <w:lvl w:ilvl="0">
      <w:lvlJc w:val="left"/>
      <w:lvlText w:val="(%1)"/>
      <w:numFmt w:val="lowerLetter"/>
      <w:start w:val="1"/>
    </w:lvl>
    <w:lvl w:ilvl="1">
      <w:lvlJc w:val="left"/>
      <w:lvlText w:val="(%2)"/>
      <w:numFmt w:val="lowerRoman"/>
      <w:start w:val="2"/>
    </w:lvl>
  </w:abstractNum>
  <w:abstractNum w:abstractNumId="166">
    <w:nsid w:val="434BAE75"/>
    <w:multiLevelType w:val="hybridMultilevel"/>
    <w:lvl w:ilvl="0">
      <w:lvlJc w:val="left"/>
      <w:lvlText w:val="%1"/>
      <w:numFmt w:val="lowerLetter"/>
      <w:start w:val="1"/>
    </w:lvl>
    <w:lvl w:ilvl="1">
      <w:lvlJc w:val="left"/>
      <w:lvlText w:val="(%2)"/>
      <w:numFmt w:val="lowerRoman"/>
      <w:start w:val="6"/>
    </w:lvl>
  </w:abstractNum>
  <w:abstractNum w:abstractNumId="167">
    <w:nsid w:val="4F38F265"/>
    <w:multiLevelType w:val="hybridMultilevel"/>
    <w:lvl w:ilvl="0">
      <w:lvlJc w:val="left"/>
      <w:lvlText w:val="(%1)"/>
      <w:numFmt w:val="lowerLetter"/>
      <w:start w:val="2"/>
    </w:lvl>
    <w:lvl w:ilvl="1">
      <w:lvlJc w:val="left"/>
      <w:lvlText w:val="%2"/>
      <w:numFmt w:val="lowerRoman"/>
      <w:start w:val="1"/>
    </w:lvl>
  </w:abstractNum>
  <w:abstractNum w:abstractNumId="168">
    <w:nsid w:val="4C502870"/>
    <w:multiLevelType w:val="hybridMultilevel"/>
    <w:lvl w:ilvl="0">
      <w:lvlJc w:val="left"/>
      <w:lvlText w:val="(%1)"/>
      <w:numFmt w:val="lowerLetter"/>
      <w:start w:val="13"/>
    </w:lvl>
  </w:abstractNum>
  <w:abstractNum w:abstractNumId="169">
    <w:nsid w:val="1DE8725A"/>
    <w:multiLevelType w:val="hybridMultilevel"/>
    <w:lvl w:ilvl="0">
      <w:lvlJc w:val="left"/>
      <w:lvlText w:val="(%1)"/>
      <w:numFmt w:val="lowerLetter"/>
      <w:start w:val="1"/>
    </w:lvl>
  </w:abstractNum>
  <w:abstractNum w:abstractNumId="170">
    <w:nsid w:val="6A37288A"/>
    <w:multiLevelType w:val="hybridMultilevel"/>
    <w:lvl w:ilvl="0">
      <w:lvlJc w:val="left"/>
      <w:lvlText w:val="(%1)"/>
      <w:numFmt w:val="lowerLetter"/>
      <w:start w:val="6"/>
    </w:lvl>
  </w:abstractNum>
  <w:abstractNum w:abstractNumId="171">
    <w:nsid w:val="8F8B73F"/>
    <w:multiLevelType w:val="hybridMultilevel"/>
    <w:lvl w:ilvl="0">
      <w:lvlJc w:val="left"/>
      <w:lvlText w:val="(%1)"/>
      <w:numFmt w:val="lowerLetter"/>
      <w:start w:val="1"/>
    </w:lvl>
  </w:abstractNum>
  <w:abstractNum w:abstractNumId="172">
    <w:nsid w:val="CA6B462"/>
    <w:multiLevelType w:val="hybridMultilevel"/>
    <w:lvl w:ilvl="0">
      <w:lvlJc w:val="left"/>
      <w:lvlText w:val="(%1)"/>
      <w:numFmt w:val="lowerLetter"/>
      <w:start w:val="12"/>
    </w:lvl>
  </w:abstractNum>
  <w:abstractNum w:abstractNumId="173">
    <w:nsid w:val="763CB680"/>
    <w:multiLevelType w:val="hybridMultilevel"/>
    <w:lvl w:ilvl="0">
      <w:lvlJc w:val="left"/>
      <w:lvlText w:val="(%1)"/>
      <w:numFmt w:val="lowerLetter"/>
      <w:start w:val="1"/>
    </w:lvl>
  </w:abstractNum>
  <w:abstractNum w:abstractNumId="174">
    <w:nsid w:val="15B71329"/>
    <w:multiLevelType w:val="hybridMultilevel"/>
    <w:lvl w:ilvl="0">
      <w:lvlJc w:val="left"/>
      <w:lvlText w:val="(%1)"/>
      <w:numFmt w:val="lowerLetter"/>
      <w:start w:val="6"/>
    </w:lvl>
  </w:abstractNum>
  <w:abstractNum w:abstractNumId="175">
    <w:nsid w:val="3DA97044"/>
    <w:multiLevelType w:val="hybridMultilevel"/>
    <w:lvl w:ilvl="0">
      <w:lvlJc w:val="left"/>
      <w:lvlText w:val="(%1)"/>
      <w:numFmt w:val="lowerLetter"/>
      <w:start w:val="1"/>
    </w:lvl>
    <w:lvl w:ilvl="1">
      <w:lvlJc w:val="left"/>
      <w:lvlText w:val="(%2)"/>
      <w:numFmt w:val="lowerRoman"/>
      <w:start w:val="1"/>
    </w:lvl>
  </w:abstractNum>
  <w:abstractNum w:abstractNumId="176">
    <w:nsid w:val="1CDCE2DE"/>
    <w:multiLevelType w:val="hybridMultilevel"/>
    <w:lvl w:ilvl="0">
      <w:lvlJc w:val="left"/>
      <w:lvlText w:val="(%1)"/>
      <w:numFmt w:val="lowerLetter"/>
      <w:start w:val="1"/>
    </w:lvl>
  </w:abstractNum>
  <w:abstractNum w:abstractNumId="177">
    <w:nsid w:val="69D3947C"/>
    <w:multiLevelType w:val="hybridMultilevel"/>
    <w:lvl w:ilvl="0">
      <w:lvlJc w:val="left"/>
      <w:lvlText w:val="(%1)"/>
      <w:numFmt w:val="lowerLetter"/>
      <w:start w:val="1"/>
    </w:lvl>
    <w:lvl w:ilvl="1">
      <w:lvlJc w:val="left"/>
      <w:lvlText w:val="(%2)"/>
      <w:numFmt w:val="lowerRoman"/>
      <w:start w:val="1"/>
    </w:lvl>
  </w:abstractNum>
  <w:abstractNum w:abstractNumId="178">
    <w:nsid w:val="2539DFA5"/>
    <w:multiLevelType w:val="hybridMultilevel"/>
    <w:lvl w:ilvl="0">
      <w:lvlJc w:val="left"/>
      <w:lvlText w:val="(%1)"/>
      <w:numFmt w:val="lowerLetter"/>
      <w:start w:val="1"/>
    </w:lvl>
  </w:abstractNum>
  <w:abstractNum w:abstractNumId="179">
    <w:nsid w:val="2DB88089"/>
    <w:multiLevelType w:val="hybridMultilevel"/>
    <w:lvl w:ilvl="0">
      <w:lvlJc w:val="left"/>
      <w:lvlText w:val="(%1)"/>
      <w:numFmt w:val="lowerRoman"/>
      <w:start w:val="4"/>
    </w:lvl>
    <w:lvl w:ilvl="1">
      <w:lvlJc w:val="left"/>
      <w:lvlText w:val="(%2)"/>
      <w:numFmt w:val="lowerLetter"/>
      <w:start w:val="2"/>
    </w:lvl>
  </w:abstractNum>
  <w:abstractNum w:abstractNumId="180">
    <w:nsid w:val="706B674E"/>
    <w:multiLevelType w:val="hybridMultilevel"/>
    <w:lvl w:ilvl="0">
      <w:lvlJc w:val="left"/>
      <w:lvlText w:val="(%1)"/>
      <w:numFmt w:val="lowerRoman"/>
      <w:start w:val="10"/>
    </w:lvl>
    <w:lvl w:ilvl="1">
      <w:lvlJc w:val="left"/>
      <w:lvlText w:val="%2"/>
      <w:numFmt w:val="lowerLetter"/>
      <w:start w:val="1"/>
    </w:lvl>
  </w:abstractNum>
  <w:abstractNum w:abstractNumId="181">
    <w:nsid w:val="2C106A57"/>
    <w:multiLevelType w:val="hybridMultilevel"/>
    <w:lvl w:ilvl="0">
      <w:lvlJc w:val="left"/>
      <w:lvlText w:val="(%1)"/>
      <w:numFmt w:val="lowerRoman"/>
      <w:start w:val="1"/>
    </w:lvl>
  </w:abstractNum>
  <w:abstractNum w:abstractNumId="182">
    <w:nsid w:val="684EED59"/>
    <w:multiLevelType w:val="hybridMultilevel"/>
    <w:lvl w:ilvl="0">
      <w:lvlJc w:val="left"/>
      <w:lvlText w:val="(%1)"/>
      <w:numFmt w:val="lowerLetter"/>
      <w:start w:val="1"/>
    </w:lvl>
  </w:abstractNum>
  <w:abstractNum w:abstractNumId="183">
    <w:nsid w:val="545EE5D3"/>
    <w:multiLevelType w:val="hybridMultilevel"/>
    <w:lvl w:ilvl="0">
      <w:lvlJc w:val="left"/>
      <w:lvlText w:val="(%1)"/>
      <w:numFmt w:val="lowerRoman"/>
      <w:start w:val="10"/>
    </w:lvl>
  </w:abstractNum>
  <w:abstractNum w:abstractNumId="184">
    <w:nsid w:val="4A66051"/>
    <w:multiLevelType w:val="hybridMultilevel"/>
    <w:lvl w:ilvl="0">
      <w:lvlJc w:val="left"/>
      <w:lvlText w:val="(%1)"/>
      <w:numFmt w:val="lowerLetter"/>
      <w:start w:val="1"/>
    </w:lvl>
  </w:abstractNum>
  <w:abstractNum w:abstractNumId="185">
    <w:nsid w:val="20F4BDAD"/>
    <w:multiLevelType w:val="hybridMultilevel"/>
    <w:lvl w:ilvl="0">
      <w:lvlJc w:val="left"/>
      <w:lvlText w:val="(%1)"/>
      <w:numFmt w:val="lowerLetter"/>
      <w:start w:val="7"/>
    </w:lvl>
  </w:abstractNum>
  <w:abstractNum w:abstractNumId="186">
    <w:nsid w:val="639DEFAC"/>
    <w:multiLevelType w:val="hybridMultilevel"/>
    <w:lvl w:ilvl="0">
      <w:lvlJc w:val="left"/>
      <w:lvlText w:val="(%1)"/>
      <w:numFmt w:val="lowerLetter"/>
      <w:start w:val="13"/>
    </w:lvl>
  </w:abstractNum>
  <w:abstractNum w:abstractNumId="187">
    <w:nsid w:val="501F9786"/>
    <w:multiLevelType w:val="hybridMultilevel"/>
    <w:lvl w:ilvl="0">
      <w:lvlJc w:val="left"/>
      <w:lvlText w:val="(%1)"/>
      <w:numFmt w:val="lowerLetter"/>
      <w:start w:val="1"/>
    </w:lvl>
  </w:abstractNum>
  <w:abstractNum w:abstractNumId="188">
    <w:nsid w:val="6B057295"/>
    <w:multiLevelType w:val="hybridMultilevel"/>
    <w:lvl w:ilvl="0">
      <w:lvlJc w:val="left"/>
      <w:lvlText w:val="(%1)"/>
      <w:numFmt w:val="lowerLetter"/>
      <w:start w:val="1"/>
    </w:lvl>
  </w:abstractNum>
  <w:abstractNum w:abstractNumId="189">
    <w:nsid w:val="2771AC80"/>
    <w:multiLevelType w:val="hybridMultilevel"/>
    <w:lvl w:ilvl="0">
      <w:lvlJc w:val="left"/>
      <w:lvlText w:val="(%1)"/>
      <w:numFmt w:val="lowerLetter"/>
      <w:start w:val="1"/>
    </w:lvl>
  </w:abstractNum>
  <w:abstractNum w:abstractNumId="190">
    <w:nsid w:val="1C4A08EC"/>
    <w:multiLevelType w:val="hybridMultilevel"/>
    <w:lvl w:ilvl="0">
      <w:lvlJc w:val="left"/>
      <w:lvlText w:val="(%1)"/>
      <w:numFmt w:val="lowerLetter"/>
      <w:start w:val="2"/>
    </w:lvl>
  </w:abstractNum>
  <w:abstractNum w:abstractNumId="191">
    <w:nsid w:val="1958BD17"/>
    <w:multiLevelType w:val="hybridMultilevel"/>
    <w:lvl w:ilvl="0">
      <w:lvlJc w:val="left"/>
      <w:lvlText w:val="(%1)"/>
      <w:numFmt w:val="lowerLetter"/>
      <w:start w:val="1"/>
    </w:lvl>
  </w:abstractNum>
  <w:abstractNum w:abstractNumId="192">
    <w:nsid w:val="4E647FE4"/>
    <w:multiLevelType w:val="hybridMultilevel"/>
    <w:lvl w:ilvl="0">
      <w:lvlJc w:val="left"/>
      <w:lvlText w:val="(%1)"/>
      <w:numFmt w:val="lowerLetter"/>
      <w:start w:val="1"/>
    </w:lvl>
  </w:abstractNum>
  <w:abstractNum w:abstractNumId="193">
    <w:nsid w:val="E0BB885"/>
    <w:multiLevelType w:val="hybridMultilevel"/>
    <w:lvl w:ilvl="0">
      <w:lvlJc w:val="left"/>
      <w:lvlText w:val="(%1)"/>
      <w:numFmt w:val="lowerLetter"/>
      <w:start w:val="1"/>
    </w:lvl>
  </w:abstractNum>
  <w:abstractNum w:abstractNumId="194">
    <w:nsid w:val="565976F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5">
    <w:nsid w:val="64212B8C"/>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196">
    <w:nsid w:val="5C17530C"/>
    <w:multiLevelType w:val="hybridMultilevel"/>
    <w:lvl w:ilvl="0">
      <w:lvlJc w:val="left"/>
      <w:lvlText w:val="(%1)"/>
      <w:numFmt w:val="lowerLetter"/>
      <w:start w:val="1"/>
    </w:lvl>
  </w:abstractNum>
  <w:abstractNum w:abstractNumId="197">
    <w:nsid w:val="19A52566"/>
    <w:multiLevelType w:val="hybridMultilevel"/>
    <w:lvl w:ilvl="0">
      <w:lvlJc w:val="left"/>
      <w:lvlText w:val="(%1)"/>
      <w:numFmt w:val="lowerLetter"/>
      <w:start w:val="4"/>
    </w:lvl>
  </w:abstractNum>
  <w:abstractNum w:abstractNumId="198">
    <w:nsid w:val="335A1DF1"/>
    <w:multiLevelType w:val="hybridMultilevel"/>
    <w:lvl w:ilvl="0">
      <w:lvlJc w:val="left"/>
      <w:lvlText w:val="(%1)"/>
      <w:numFmt w:val="lowerLetter"/>
      <w:start w:val="1"/>
    </w:lvl>
    <w:lvl w:ilvl="1">
      <w:lvlJc w:val="left"/>
      <w:lvlText w:val="(%2)"/>
      <w:numFmt w:val="lowerRoman"/>
      <w:start w:val="1"/>
    </w:lvl>
  </w:abstractNum>
  <w:abstractNum w:abstractNumId="199">
    <w:nsid w:val="28677B7C"/>
    <w:multiLevelType w:val="hybridMultilevel"/>
    <w:lvl w:ilvl="0">
      <w:lvlJc w:val="left"/>
      <w:lvlText w:val="(%1)"/>
      <w:numFmt w:val="lowerLetter"/>
      <w:start w:val="2"/>
    </w:lvl>
  </w:abstractNum>
  <w:abstractNum w:abstractNumId="200">
    <w:nsid w:val="378D97C0"/>
    <w:multiLevelType w:val="hybridMultilevel"/>
    <w:lvl w:ilvl="0">
      <w:lvlJc w:val="left"/>
      <w:lvlText w:val="(%1)"/>
      <w:numFmt w:val="lowerLetter"/>
      <w:start w:val="1"/>
    </w:lvl>
  </w:abstractNum>
  <w:abstractNum w:abstractNumId="201">
    <w:nsid w:val="1D91467C"/>
    <w:multiLevelType w:val="hybridMultilevel"/>
    <w:lvl w:ilvl="0">
      <w:lvlJc w:val="left"/>
      <w:lvlText w:val="(%1)"/>
      <w:numFmt w:val="lowerLetter"/>
      <w:start w:val="2"/>
    </w:lvl>
  </w:abstractNum>
  <w:abstractNum w:abstractNumId="202">
    <w:nsid w:val="316032BB"/>
    <w:multiLevelType w:val="hybridMultilevel"/>
    <w:lvl w:ilvl="0">
      <w:lvlJc w:val="left"/>
      <w:lvlText w:val="(%1)"/>
      <w:numFmt w:val="lowerLetter"/>
      <w:start w:val="6"/>
    </w:lvl>
  </w:abstractNum>
  <w:abstractNum w:abstractNumId="203">
    <w:nsid w:val="44344C22"/>
    <w:multiLevelType w:val="hybridMultilevel"/>
    <w:lvl w:ilvl="0">
      <w:lvlJc w:val="left"/>
      <w:lvlText w:val="(%1)"/>
      <w:numFmt w:val="lowerLetter"/>
      <w:start w:val="1"/>
    </w:lvl>
  </w:abstractNum>
  <w:abstractNum w:abstractNumId="204">
    <w:nsid w:val="13CDFCFC"/>
    <w:multiLevelType w:val="hybridMultilevel"/>
    <w:lvl w:ilvl="0">
      <w:lvlJc w:val="left"/>
      <w:lvlText w:val="(%1)"/>
      <w:numFmt w:val="lowerLetter"/>
      <w:start w:val="2"/>
    </w:lvl>
  </w:abstractNum>
  <w:abstractNum w:abstractNumId="205">
    <w:nsid w:val="471745E4"/>
    <w:multiLevelType w:val="hybridMultilevel"/>
    <w:lvl w:ilvl="0">
      <w:lvlJc w:val="left"/>
      <w:lvlText w:val="(%1)"/>
      <w:numFmt w:val="lowerLetter"/>
      <w:start w:val="3"/>
    </w:lvl>
    <w:lvl w:ilvl="1">
      <w:lvlJc w:val="left"/>
      <w:lvlText w:val="(%2)"/>
      <w:numFmt w:val="lowerRoman"/>
      <w:start w:val="1"/>
    </w:lvl>
  </w:abstractNum>
  <w:abstractNum w:abstractNumId="206">
    <w:nsid w:val="1DDBC66"/>
    <w:multiLevelType w:val="hybridMultilevel"/>
    <w:lvl w:ilvl="0">
      <w:lvlJc w:val="left"/>
      <w:lvlText w:val="(%1)"/>
      <w:numFmt w:val="lowerLetter"/>
      <w:start w:val="6"/>
    </w:lvl>
  </w:abstractNum>
  <w:abstractNum w:abstractNumId="207">
    <w:nsid w:val="30AADFDA"/>
    <w:multiLevelType w:val="hybridMultilevel"/>
    <w:lvl w:ilvl="0">
      <w:lvlJc w:val="left"/>
      <w:lvlText w:val="(%1)"/>
      <w:numFmt w:val="lowerLetter"/>
      <w:start w:val="1"/>
    </w:lvl>
  </w:abstractNum>
  <w:abstractNum w:abstractNumId="208">
    <w:nsid w:val="30EADA61"/>
    <w:multiLevelType w:val="hybridMultilevel"/>
    <w:lvl w:ilvl="0">
      <w:lvlJc w:val="left"/>
      <w:lvlText w:val="(%1)"/>
      <w:numFmt w:val="lowerLetter"/>
      <w:start w:val="5"/>
    </w:lvl>
  </w:abstractNum>
  <w:abstractNum w:abstractNumId="209">
    <w:nsid w:val="27179C0B"/>
    <w:multiLevelType w:val="hybridMultilevel"/>
    <w:lvl w:ilvl="0">
      <w:lvlJc w:val="left"/>
      <w:lvlText w:val="(%1)"/>
      <w:numFmt w:val="lowerRoman"/>
      <w:start w:val="1"/>
    </w:lvl>
  </w:abstractNum>
  <w:abstractNum w:abstractNumId="210">
    <w:nsid w:val="5E636063"/>
    <w:multiLevelType w:val="hybridMultilevel"/>
    <w:lvl w:ilvl="0">
      <w:lvlJc w:val="left"/>
      <w:lvlText w:val="(%1)"/>
      <w:numFmt w:val="lowerLetter"/>
      <w:start w:val="1"/>
    </w:lvl>
  </w:abstractNum>
  <w:abstractNum w:abstractNumId="211">
    <w:nsid w:val="215641AF"/>
    <w:multiLevelType w:val="hybridMultilevel"/>
    <w:lvl w:ilvl="0">
      <w:lvlJc w:val="left"/>
      <w:lvlText w:val="(%1)"/>
      <w:numFmt w:val="upperLetter"/>
      <w:start w:val="1"/>
    </w:lvl>
    <w:lvl w:ilvl="1">
      <w:lvlJc w:val="left"/>
      <w:lvlText w:val="(%2)"/>
      <w:numFmt w:val="lowerLetter"/>
      <w:start w:val="3"/>
    </w:lvl>
  </w:abstractNum>
  <w:abstractNum w:abstractNumId="212">
    <w:nsid w:val="53280662"/>
    <w:multiLevelType w:val="hybridMultilevel"/>
    <w:lvl w:ilvl="0">
      <w:lvlJc w:val="left"/>
      <w:lvlText w:val="(%1)"/>
      <w:numFmt w:val="lowerLetter"/>
      <w:start w:val="5"/>
    </w:lvl>
  </w:abstractNum>
  <w:abstractNum w:abstractNumId="213">
    <w:nsid w:val="46B24DBC"/>
    <w:multiLevelType w:val="hybridMultilevel"/>
    <w:lvl w:ilvl="0">
      <w:lvlJc w:val="left"/>
      <w:lvlText w:val="(%1)"/>
      <w:numFmt w:val="lowerLetter"/>
      <w:start w:val="1"/>
    </w:lvl>
  </w:abstractNum>
  <w:abstractNum w:abstractNumId="214">
    <w:nsid w:val="75B52783"/>
    <w:multiLevelType w:val="hybridMultilevel"/>
    <w:lvl w:ilvl="0">
      <w:lvlJc w:val="left"/>
      <w:lvlText w:val="(%1)"/>
      <w:numFmt w:val="lowerLetter"/>
      <w:start w:val="3"/>
    </w:lvl>
  </w:abstractNum>
  <w:abstractNum w:abstractNumId="215">
    <w:nsid w:val="57CE66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6">
    <w:nsid w:val="67A70B6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17">
    <w:nsid w:val="5953172F"/>
    <w:multiLevelType w:val="hybridMultilevel"/>
    <w:lvl w:ilvl="0">
      <w:lvlJc w:val="left"/>
      <w:lvlText w:val="(%1)"/>
      <w:numFmt w:val="upperLetter"/>
      <w:start w:val="2"/>
    </w:lvl>
    <w:lvl w:ilvl="1">
      <w:lvlJc w:val="left"/>
      <w:lvlText w:val="(%2)"/>
      <w:numFmt w:val="lowerRoman"/>
      <w:start w:val="9"/>
    </w:lvl>
    <w:lvl w:ilvl="2">
      <w:lvlJc w:val="left"/>
      <w:lvlText w:val="(%3)"/>
      <w:numFmt w:val="upperLetter"/>
      <w:start w:val="1"/>
    </w:lvl>
  </w:abstractNum>
  <w:abstractNum w:abstractNumId="218">
    <w:nsid w:val="27EDFE3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19">
    <w:nsid w:val="52AC7DFF"/>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3"/>
    </w:lvl>
  </w:abstractNum>
  <w:abstractNum w:abstractNumId="220">
    <w:nsid w:val="C4C3AF"/>
    <w:multiLevelType w:val="hybridMultilevel"/>
    <w:lvl w:ilvl="0">
      <w:lvlJc w:val="left"/>
      <w:lvlText w:val="(%1)"/>
      <w:numFmt w:val="lowerRoman"/>
      <w:start w:val="4"/>
    </w:lvl>
  </w:abstractNum>
  <w:abstractNum w:abstractNumId="221">
    <w:nsid w:val="44380727"/>
    <w:multiLevelType w:val="hybridMultilevel"/>
    <w:lvl w:ilvl="0">
      <w:lvlJc w:val="left"/>
      <w:lvlText w:val="(%1)"/>
      <w:numFmt w:val="lowerRoman"/>
      <w:start w:val="5"/>
    </w:lvl>
  </w:abstractNum>
  <w:abstractNum w:abstractNumId="222">
    <w:nsid w:val="6C053B16"/>
    <w:multiLevelType w:val="hybridMultilevel"/>
    <w:lvl w:ilvl="0">
      <w:lvlJc w:val="left"/>
      <w:lvlText w:val="(%1)"/>
      <w:numFmt w:val="lowerLetter"/>
      <w:start w:val="3"/>
    </w:lvl>
  </w:abstractNum>
  <w:abstractNum w:abstractNumId="223">
    <w:nsid w:val="4F294393"/>
    <w:multiLevelType w:val="hybridMultilevel"/>
    <w:lvl w:ilvl="0">
      <w:lvlJc w:val="left"/>
      <w:lvlText w:val="(%1)"/>
      <w:numFmt w:val="lowerLetter"/>
      <w:start w:val="4"/>
    </w:lvl>
  </w:abstractNum>
  <w:abstractNum w:abstractNumId="224">
    <w:nsid w:val="5243BFAC"/>
    <w:multiLevelType w:val="hybridMultilevel"/>
    <w:lvl w:ilvl="0">
      <w:lvlJc w:val="left"/>
      <w:lvlText w:val="(%1)"/>
      <w:numFmt w:val="lowerLetter"/>
      <w:start w:val="5"/>
    </w:lvl>
  </w:abstractNum>
  <w:abstractNum w:abstractNumId="225">
    <w:nsid w:val="425EB207"/>
    <w:multiLevelType w:val="hybridMultilevel"/>
    <w:lvl w:ilvl="0">
      <w:lvlJc w:val="left"/>
      <w:lvlText w:val="(%1)"/>
      <w:numFmt w:val="lowerLetter"/>
      <w:start w:val="6"/>
    </w:lvl>
  </w:abstractNum>
  <w:abstractNum w:abstractNumId="226">
    <w:nsid w:val="334A6F1F"/>
    <w:multiLevelType w:val="hybridMultilevel"/>
    <w:lvl w:ilvl="0">
      <w:lvlJc w:val="left"/>
      <w:lvlText w:val="(%1)"/>
      <w:numFmt w:val="lowerLetter"/>
      <w:start w:val="1"/>
    </w:lvl>
  </w:abstractNum>
  <w:abstractNum w:abstractNumId="227">
    <w:nsid w:val="2E5B12B8"/>
    <w:multiLevelType w:val="hybridMultilevel"/>
    <w:lvl w:ilvl="0">
      <w:lvlJc w:val="left"/>
      <w:lvlText w:val="(%1)"/>
      <w:numFmt w:val="lowerLetter"/>
      <w:start w:val="1"/>
    </w:lvl>
  </w:abstractNum>
  <w:abstractNum w:abstractNumId="228">
    <w:nsid w:val="5C03D76D"/>
    <w:multiLevelType w:val="hybridMultilevel"/>
    <w:lvl w:ilvl="0">
      <w:lvlJc w:val="left"/>
      <w:lvlText w:val="(%1)"/>
      <w:numFmt w:val="lowerLetter"/>
      <w:start w:val="1"/>
    </w:lvl>
  </w:abstractNum>
  <w:abstractNum w:abstractNumId="229">
    <w:nsid w:val="66A48D11"/>
    <w:multiLevelType w:val="hybridMultilevel"/>
    <w:lvl w:ilvl="0">
      <w:lvlJc w:val="left"/>
      <w:lvlText w:val="(%1)"/>
      <w:numFmt w:val="lowerLetter"/>
      <w:start w:val="2"/>
    </w:lvl>
  </w:abstractNum>
  <w:abstractNum w:abstractNumId="230">
    <w:nsid w:val="56C28E34"/>
    <w:multiLevelType w:val="hybridMultilevel"/>
    <w:lvl w:ilvl="0">
      <w:lvlJc w:val="left"/>
      <w:lvlText w:val="(%1)"/>
      <w:numFmt w:val="lowerLetter"/>
      <w:start w:val="1"/>
    </w:lvl>
    <w:lvl w:ilvl="1">
      <w:lvlJc w:val="left"/>
      <w:lvlText w:val="(%2)"/>
      <w:numFmt w:val="lowerRoman"/>
      <w:start w:val="1"/>
    </w:lvl>
  </w:abstractNum>
  <w:abstractNum w:abstractNumId="231">
    <w:nsid w:val="13916F2D"/>
    <w:multiLevelType w:val="hybridMultilevel"/>
    <w:lvl w:ilvl="0">
      <w:lvlJc w:val="left"/>
      <w:lvlText w:val="(%1)"/>
      <w:numFmt w:val="lowerLetter"/>
      <w:start w:val="1"/>
    </w:lvl>
  </w:abstractNum>
  <w:abstractNum w:abstractNumId="232">
    <w:nsid w:val="435D38D"/>
    <w:multiLevelType w:val="hybridMultilevel"/>
    <w:lvl w:ilvl="0">
      <w:lvlJc w:val="left"/>
      <w:lvlText w:val="%1"/>
      <w:numFmt w:val="lowerLetter"/>
      <w:start w:val="1"/>
    </w:lvl>
    <w:lvl w:ilvl="1">
      <w:lvlJc w:val="left"/>
      <w:lvlText w:val="(%2)"/>
      <w:numFmt w:val="lowerRoman"/>
      <w:start w:val="1"/>
    </w:lvl>
  </w:abstractNum>
  <w:abstractNum w:abstractNumId="233">
    <w:nsid w:val="822C0EF"/>
    <w:multiLevelType w:val="hybridMultilevel"/>
    <w:lvl w:ilvl="0">
      <w:lvlJc w:val="left"/>
      <w:lvlText w:val="(%1)"/>
      <w:numFmt w:val="lowerLetter"/>
      <w:start w:val="2"/>
    </w:lvl>
    <w:lvl w:ilvl="1">
      <w:lvlJc w:val="left"/>
      <w:lvlText w:val="%2"/>
      <w:numFmt w:val="lowerRoman"/>
      <w:start w:val="1"/>
    </w:lvl>
  </w:abstractNum>
  <w:abstractNum w:abstractNumId="234">
    <w:nsid w:val="57C5BB4F"/>
    <w:multiLevelType w:val="hybridMultilevel"/>
    <w:lvl w:ilvl="0">
      <w:lvlJc w:val="left"/>
      <w:lvlText w:val="(%1)"/>
      <w:numFmt w:val="lowerLetter"/>
      <w:start w:val="1"/>
    </w:lvl>
  </w:abstractNum>
  <w:abstractNum w:abstractNumId="235">
    <w:nsid w:val="1803D089"/>
    <w:multiLevelType w:val="hybridMultilevel"/>
    <w:lvl w:ilvl="0">
      <w:lvlJc w:val="left"/>
      <w:lvlText w:val="(%1)"/>
      <w:numFmt w:val="lowerRoman"/>
      <w:start w:val="1"/>
    </w:lvl>
  </w:abstractNum>
  <w:abstractNum w:abstractNumId="236">
    <w:nsid w:val="4F3A06D4"/>
    <w:multiLevelType w:val="hybridMultilevel"/>
    <w:lvl w:ilvl="0">
      <w:lvlJc w:val="left"/>
      <w:lvlText w:val="%1."/>
      <w:numFmt w:val="decimal"/>
      <w:start w:val="1"/>
    </w:lvl>
    <w:lvl w:ilvl="1">
      <w:lvlJc w:val="left"/>
      <w:lvlText w:val="(%2)"/>
      <w:numFmt w:val="lowerLetter"/>
      <w:start w:val="1"/>
    </w:lvl>
  </w:abstractNum>
  <w:abstractNum w:abstractNumId="237">
    <w:nsid w:val="59A377B6"/>
    <w:multiLevelType w:val="hybridMultilevel"/>
    <w:lvl w:ilvl="0">
      <w:lvlJc w:val="left"/>
      <w:lvlText w:val="%1."/>
      <w:numFmt w:val="decimal"/>
      <w:start w:val="1"/>
    </w:lvl>
    <w:lvl w:ilvl="1">
      <w:lvlJc w:val="left"/>
      <w:lvlText w:val="(%2)"/>
      <w:numFmt w:val="lowerLetter"/>
      <w:start w:val="1"/>
    </w:lvl>
  </w:abstractNum>
  <w:abstractNum w:abstractNumId="238">
    <w:nsid w:val="48AEB063"/>
    <w:multiLevelType w:val="hybridMultilevel"/>
    <w:lvl w:ilvl="0">
      <w:lvlJc w:val="left"/>
      <w:lvlText w:val="%1."/>
      <w:numFmt w:val="decimal"/>
      <w:start w:val="1"/>
    </w:lvl>
    <w:lvl w:ilvl="1">
      <w:lvlJc w:val="left"/>
      <w:lvlText w:val="(%2)"/>
      <w:numFmt w:val="lowerLetter"/>
      <w:start w:val="1"/>
    </w:lvl>
  </w:abstractNum>
  <w:abstractNum w:abstractNumId="239">
    <w:nsid w:val="24E135"/>
    <w:multiLevelType w:val="hybridMultilevel"/>
    <w:lvl w:ilvl="0">
      <w:lvlJc w:val="left"/>
      <w:lvlText w:val="%1."/>
      <w:numFmt w:val="decimal"/>
      <w:start w:val="1"/>
    </w:lvl>
  </w:abstractNum>
  <w:abstractNum w:abstractNumId="240">
    <w:nsid w:val="BB13C1"/>
    <w:multiLevelType w:val="hybridMultilevel"/>
    <w:lvl w:ilvl="0">
      <w:lvlJc w:val="left"/>
      <w:lvlText w:val="%1."/>
      <w:numFmt w:val="decimal"/>
      <w:start w:val="5"/>
    </w:lvl>
    <w:lvl w:ilvl="1">
      <w:lvlJc w:val="left"/>
      <w:lvlText w:val="(%2)"/>
      <w:numFmt w:val="lowerLetter"/>
      <w:start w:val="1"/>
    </w:lvl>
  </w:abstractNum>
  <w:abstractNum w:abstractNumId="241">
    <w:nsid w:val="271210C7"/>
    <w:multiLevelType w:val="hybridMultilevel"/>
    <w:lvl w:ilvl="0">
      <w:lvlJc w:val="left"/>
      <w:lvlText w:val="(%1)"/>
      <w:numFmt w:val="decimal"/>
      <w:start w:val="1"/>
    </w:lvl>
  </w:abstractNum>
  <w:abstractNum w:abstractNumId="242">
    <w:nsid w:val="217B22E4"/>
    <w:multiLevelType w:val="hybridMultilevel"/>
    <w:lvl w:ilvl="0">
      <w:lvlJc w:val="left"/>
      <w:lvlText w:val="(%1)"/>
      <w:numFmt w:val="decimal"/>
      <w:start w:val="1"/>
    </w:lvl>
  </w:abstractNum>
  <w:abstractNum w:abstractNumId="243">
    <w:nsid w:val="53E31A24"/>
    <w:multiLevelType w:val="hybridMultilevel"/>
    <w:lvl w:ilvl="0">
      <w:lvlJc w:val="left"/>
      <w:lvlText w:val="(%1)"/>
      <w:numFmt w:val="decimal"/>
      <w:start w:val="1"/>
    </w:lvl>
  </w:abstractNum>
  <w:abstractNum w:abstractNumId="244">
    <w:nsid w:val="6DC45E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68" Type="http://schemas.openxmlformats.org/officeDocument/2006/relationships/hyperlink" Target="http://www.sec.gov/Archives/edgar/data/1692115/000119312521292244/d212564dex21.htm" TargetMode="External"/><Relationship Id="rId69" Type="http://schemas.openxmlformats.org/officeDocument/2006/relationships/hyperlink" Target="http://www.sec.gov/Archives/edgar/data/1692115/000119312521296267/d160820dex31.htm" TargetMode="External"/><Relationship Id="rId70" Type="http://schemas.openxmlformats.org/officeDocument/2006/relationships/hyperlink" Target="http://www.sec.gov/Archives/edgar/data/1692115/000119312521300832/d63498dex31.htm" TargetMode="External"/><Relationship Id="rId71" Type="http://schemas.openxmlformats.org/officeDocument/2006/relationships/hyperlink" Target="http://www.sec.gov/Archives/edgar/data/92416/000119312521252815/d216020dex41.htm" TargetMode="External"/><Relationship Id="rId72" Type="http://schemas.openxmlformats.org/officeDocument/2006/relationships/hyperlink" Target="http://www.sec.gov/Archives/edgar/data/0000092416/000119312521249760/d163812d424b5.htm" TargetMode="External"/><Relationship Id="rId73" Type="http://schemas.openxmlformats.org/officeDocument/2006/relationships/hyperlink" Target="http://www.sec.gov/Archives/edgar/data/1692115/000119312521296267/d16082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2021-11-09T07:39:28Z</dcterms:created>
  <dcterms:modified xsi:type="dcterms:W3CDTF">2021-11-09T07:39:28Z</dcterms:modified>
</cp:coreProperties>
</file>