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46"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1"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9" w:lineRule="exact"/>
        <w:rPr>
          <w:sz w:val="24"/>
          <w:szCs w:val="24"/>
          <w:color w:val="auto"/>
        </w:rPr>
      </w:pPr>
    </w:p>
    <w:p>
      <w:pPr>
        <w:ind w:left="660" w:hanging="436"/>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0"/>
              <w:spacing w:after="0"/>
              <w:rPr>
                <w:sz w:val="20"/>
                <w:szCs w:val="20"/>
                <w:color w:val="auto"/>
              </w:rPr>
            </w:pPr>
            <w:r>
              <w:rPr>
                <w:rFonts w:ascii="Arial" w:cs="Arial" w:eastAsia="Arial" w:hAnsi="Arial"/>
                <w:sz w:val="14"/>
                <w:szCs w:val="14"/>
                <w:i w:val="1"/>
                <w:iCs w:val="1"/>
                <w:color w:val="auto"/>
                <w:w w:val="90"/>
              </w:rPr>
              <w:t>Commission</w:t>
            </w:r>
          </w:p>
        </w:tc>
        <w:tc>
          <w:tcPr>
            <w:tcW w:w="4000" w:type="dxa"/>
            <w:vAlign w:val="bottom"/>
            <w:gridSpan w:val="2"/>
          </w:tcPr>
          <w:p>
            <w:pPr>
              <w:ind w:left="40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04"/>
              <w:spacing w:after="0"/>
              <w:rPr>
                <w:sz w:val="20"/>
                <w:szCs w:val="20"/>
                <w:color w:val="auto"/>
              </w:rPr>
            </w:pPr>
            <w:r>
              <w:rPr>
                <w:rFonts w:ascii="Arial" w:cs="Arial" w:eastAsia="Arial" w:hAnsi="Arial"/>
                <w:sz w:val="14"/>
                <w:szCs w:val="14"/>
                <w:i w:val="1"/>
                <w:iCs w:val="1"/>
                <w:color w:val="auto"/>
                <w:w w:val="91"/>
              </w:rPr>
              <w:t>State of</w:t>
            </w:r>
          </w:p>
        </w:tc>
        <w:tc>
          <w:tcPr>
            <w:tcW w:w="2980" w:type="dxa"/>
            <w:vAlign w:val="bottom"/>
          </w:tcPr>
          <w:p>
            <w:pPr>
              <w:jc w:val="center"/>
              <w:ind w:left="423"/>
              <w:spacing w:after="0"/>
              <w:rPr>
                <w:sz w:val="20"/>
                <w:szCs w:val="20"/>
                <w:color w:val="auto"/>
              </w:rPr>
            </w:pPr>
            <w:r>
              <w:rPr>
                <w:rFonts w:ascii="Arial" w:cs="Arial" w:eastAsia="Arial" w:hAnsi="Arial"/>
                <w:sz w:val="14"/>
                <w:szCs w:val="14"/>
                <w:i w:val="1"/>
                <w:iCs w:val="1"/>
                <w:color w:val="auto"/>
                <w:w w:val="91"/>
              </w:rPr>
              <w:t>I.R.S.</w:t>
            </w:r>
          </w:p>
        </w:tc>
      </w:tr>
      <w:tr>
        <w:trPr>
          <w:trHeight w:val="188"/>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w w:val="94"/>
              </w:rPr>
              <w:t>File Number</w:t>
            </w:r>
          </w:p>
        </w:tc>
        <w:tc>
          <w:tcPr>
            <w:tcW w:w="40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64"/>
              <w:spacing w:after="0"/>
              <w:rPr>
                <w:sz w:val="20"/>
                <w:szCs w:val="20"/>
                <w:color w:val="auto"/>
              </w:rPr>
            </w:pPr>
            <w:r>
              <w:rPr>
                <w:rFonts w:ascii="Arial" w:cs="Arial" w:eastAsia="Arial" w:hAnsi="Arial"/>
                <w:sz w:val="14"/>
                <w:szCs w:val="14"/>
                <w:i w:val="1"/>
                <w:iCs w:val="1"/>
                <w:color w:val="auto"/>
                <w:w w:val="97"/>
              </w:rPr>
              <w:t>Incorporation</w:t>
            </w:r>
          </w:p>
        </w:tc>
        <w:tc>
          <w:tcPr>
            <w:tcW w:w="2980" w:type="dxa"/>
            <w:vAlign w:val="bottom"/>
            <w:tcBorders>
              <w:bottom w:val="single" w:sz="8" w:color="auto"/>
            </w:tcBorders>
          </w:tcPr>
          <w:p>
            <w:pPr>
              <w:jc w:val="center"/>
              <w:ind w:left="423"/>
              <w:spacing w:after="0"/>
              <w:rPr>
                <w:sz w:val="20"/>
                <w:szCs w:val="20"/>
                <w:color w:val="auto"/>
              </w:rPr>
            </w:pPr>
            <w:r>
              <w:rPr>
                <w:rFonts w:ascii="Arial" w:cs="Arial" w:eastAsia="Arial" w:hAnsi="Arial"/>
                <w:sz w:val="14"/>
                <w:szCs w:val="14"/>
                <w:i w:val="1"/>
                <w:iCs w:val="1"/>
                <w:color w:val="auto"/>
                <w:w w:val="95"/>
              </w:rPr>
              <w:t>Employer Identification No.</w:t>
            </w:r>
          </w:p>
        </w:tc>
      </w:tr>
      <w:tr>
        <w:trPr>
          <w:trHeight w:val="237"/>
        </w:trPr>
        <w:tc>
          <w:tcPr>
            <w:tcW w:w="920" w:type="dxa"/>
            <w:vAlign w:val="bottom"/>
          </w:tcPr>
          <w:p>
            <w:pPr>
              <w:jc w:val="right"/>
              <w:spacing w:after="0"/>
              <w:rPr>
                <w:sz w:val="20"/>
                <w:szCs w:val="20"/>
                <w:color w:val="auto"/>
              </w:rPr>
            </w:pPr>
            <w:r>
              <w:rPr>
                <w:rFonts w:ascii="Arial" w:cs="Arial" w:eastAsia="Arial" w:hAnsi="Arial"/>
                <w:sz w:val="16"/>
                <w:szCs w:val="16"/>
                <w:color w:val="auto"/>
              </w:rPr>
              <w:t>001-37976</w:t>
            </w:r>
          </w:p>
        </w:tc>
        <w:tc>
          <w:tcPr>
            <w:tcW w:w="2380" w:type="dxa"/>
            <w:vAlign w:val="bottom"/>
          </w:tcPr>
          <w:p>
            <w:pPr>
              <w:ind w:left="400"/>
              <w:spacing w:after="0"/>
              <w:rPr>
                <w:sz w:val="20"/>
                <w:szCs w:val="20"/>
                <w:color w:val="auto"/>
              </w:rPr>
            </w:pPr>
            <w:r>
              <w:rPr>
                <w:rFonts w:ascii="Arial" w:cs="Arial" w:eastAsia="Arial" w:hAnsi="Arial"/>
                <w:sz w:val="16"/>
                <w:szCs w:val="16"/>
                <w:color w:val="auto"/>
                <w:w w:val="93"/>
              </w:rPr>
              <w:t>Southwest Gas Holdings, Inc.</w:t>
            </w:r>
          </w:p>
        </w:tc>
        <w:tc>
          <w:tcPr>
            <w:tcW w:w="1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04"/>
              <w:spacing w:after="0"/>
              <w:rPr>
                <w:sz w:val="20"/>
                <w:szCs w:val="20"/>
                <w:color w:val="auto"/>
              </w:rPr>
            </w:pPr>
            <w:r>
              <w:rPr>
                <w:rFonts w:ascii="Arial" w:cs="Arial" w:eastAsia="Arial" w:hAnsi="Arial"/>
                <w:sz w:val="16"/>
                <w:szCs w:val="16"/>
                <w:color w:val="auto"/>
                <w:w w:val="91"/>
              </w:rPr>
              <w:t>Delaware</w:t>
            </w:r>
          </w:p>
        </w:tc>
        <w:tc>
          <w:tcPr>
            <w:tcW w:w="2980" w:type="dxa"/>
            <w:vAlign w:val="bottom"/>
          </w:tcPr>
          <w:p>
            <w:pPr>
              <w:jc w:val="center"/>
              <w:ind w:left="443"/>
              <w:spacing w:after="0"/>
              <w:rPr>
                <w:sz w:val="20"/>
                <w:szCs w:val="20"/>
                <w:color w:val="auto"/>
              </w:rPr>
            </w:pPr>
            <w:r>
              <w:rPr>
                <w:rFonts w:ascii="Arial" w:cs="Arial" w:eastAsia="Arial" w:hAnsi="Arial"/>
                <w:sz w:val="16"/>
                <w:szCs w:val="16"/>
                <w:color w:val="auto"/>
                <w:w w:val="91"/>
              </w:rPr>
              <w:t>81-3881866</w:t>
            </w:r>
          </w:p>
        </w:tc>
      </w:tr>
      <w:tr>
        <w:trPr>
          <w:trHeight w:val="270"/>
        </w:trPr>
        <w:tc>
          <w:tcPr>
            <w:tcW w:w="920" w:type="dxa"/>
            <w:vAlign w:val="bottom"/>
          </w:tcPr>
          <w:p>
            <w:pPr>
              <w:spacing w:after="0"/>
              <w:rPr>
                <w:sz w:val="23"/>
                <w:szCs w:val="23"/>
                <w:color w:val="auto"/>
              </w:rPr>
            </w:pPr>
          </w:p>
        </w:tc>
        <w:tc>
          <w:tcPr>
            <w:tcW w:w="2380" w:type="dxa"/>
            <w:vAlign w:val="bottom"/>
          </w:tcPr>
          <w:p>
            <w:pPr>
              <w:ind w:left="400"/>
              <w:spacing w:after="0"/>
              <w:rPr>
                <w:sz w:val="20"/>
                <w:szCs w:val="20"/>
                <w:color w:val="auto"/>
              </w:rPr>
            </w:pPr>
            <w:r>
              <w:rPr>
                <w:rFonts w:ascii="Arial" w:cs="Arial" w:eastAsia="Arial" w:hAnsi="Arial"/>
                <w:sz w:val="16"/>
                <w:szCs w:val="16"/>
                <w:color w:val="auto"/>
                <w:w w:val="98"/>
              </w:rPr>
              <w:t>5241 Spring Mountain Road</w:t>
            </w:r>
          </w:p>
        </w:tc>
        <w:tc>
          <w:tcPr>
            <w:tcW w:w="1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70"/>
        </w:trPr>
        <w:tc>
          <w:tcPr>
            <w:tcW w:w="920" w:type="dxa"/>
            <w:vAlign w:val="bottom"/>
          </w:tcPr>
          <w:p>
            <w:pPr>
              <w:spacing w:after="0"/>
              <w:rPr>
                <w:sz w:val="23"/>
                <w:szCs w:val="23"/>
                <w:color w:val="auto"/>
              </w:rPr>
            </w:pPr>
          </w:p>
        </w:tc>
        <w:tc>
          <w:tcPr>
            <w:tcW w:w="2380" w:type="dxa"/>
            <w:vAlign w:val="bottom"/>
          </w:tcPr>
          <w:p>
            <w:pPr>
              <w:ind w:left="400"/>
              <w:spacing w:after="0"/>
              <w:rPr>
                <w:sz w:val="20"/>
                <w:szCs w:val="20"/>
                <w:color w:val="auto"/>
              </w:rPr>
            </w:pPr>
            <w:r>
              <w:rPr>
                <w:rFonts w:ascii="Arial" w:cs="Arial" w:eastAsia="Arial" w:hAnsi="Arial"/>
                <w:sz w:val="16"/>
                <w:szCs w:val="16"/>
                <w:color w:val="auto"/>
              </w:rPr>
              <w:t>Post Office Box 98510</w:t>
            </w:r>
          </w:p>
        </w:tc>
        <w:tc>
          <w:tcPr>
            <w:tcW w:w="1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70"/>
        </w:trPr>
        <w:tc>
          <w:tcPr>
            <w:tcW w:w="920" w:type="dxa"/>
            <w:vAlign w:val="bottom"/>
          </w:tcPr>
          <w:p>
            <w:pPr>
              <w:spacing w:after="0"/>
              <w:rPr>
                <w:sz w:val="23"/>
                <w:szCs w:val="23"/>
                <w:color w:val="auto"/>
              </w:rPr>
            </w:pPr>
          </w:p>
        </w:tc>
        <w:tc>
          <w:tcPr>
            <w:tcW w:w="2380" w:type="dxa"/>
            <w:vAlign w:val="bottom"/>
          </w:tcPr>
          <w:p>
            <w:pPr>
              <w:ind w:left="400"/>
              <w:spacing w:after="0"/>
              <w:rPr>
                <w:sz w:val="20"/>
                <w:szCs w:val="20"/>
                <w:color w:val="auto"/>
              </w:rPr>
            </w:pPr>
            <w:r>
              <w:rPr>
                <w:rFonts w:ascii="Arial" w:cs="Arial" w:eastAsia="Arial" w:hAnsi="Arial"/>
                <w:sz w:val="16"/>
                <w:szCs w:val="16"/>
                <w:color w:val="auto"/>
              </w:rPr>
              <w:t>Las Vegas,</w:t>
            </w:r>
          </w:p>
        </w:tc>
        <w:tc>
          <w:tcPr>
            <w:tcW w:w="1620" w:type="dxa"/>
            <w:vAlign w:val="bottom"/>
          </w:tcPr>
          <w:p>
            <w:pPr>
              <w:jc w:val="right"/>
              <w:ind w:right="579"/>
              <w:spacing w:after="0"/>
              <w:rPr>
                <w:sz w:val="20"/>
                <w:szCs w:val="20"/>
                <w:color w:val="auto"/>
              </w:rPr>
            </w:pPr>
            <w:r>
              <w:rPr>
                <w:rFonts w:ascii="Arial" w:cs="Arial" w:eastAsia="Arial" w:hAnsi="Arial"/>
                <w:sz w:val="16"/>
                <w:szCs w:val="16"/>
                <w:color w:val="auto"/>
              </w:rPr>
              <w:t>Nevada</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89193-8510</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70"/>
        </w:trPr>
        <w:tc>
          <w:tcPr>
            <w:tcW w:w="9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620" w:type="dxa"/>
            <w:vAlign w:val="bottom"/>
          </w:tcPr>
          <w:p>
            <w:pPr>
              <w:jc w:val="right"/>
              <w:ind w:right="439"/>
              <w:spacing w:after="0"/>
              <w:rPr>
                <w:sz w:val="20"/>
                <w:szCs w:val="20"/>
                <w:color w:val="auto"/>
              </w:rPr>
            </w:pPr>
            <w:r>
              <w:rPr>
                <w:rFonts w:ascii="Arial" w:cs="Arial" w:eastAsia="Arial" w:hAnsi="Arial"/>
                <w:sz w:val="16"/>
                <w:szCs w:val="16"/>
                <w:color w:val="auto"/>
                <w:w w:val="98"/>
              </w:rPr>
              <w:t>(702) 876-7237</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303"/>
        </w:trPr>
        <w:tc>
          <w:tcPr>
            <w:tcW w:w="9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231"/>
        </w:trPr>
        <w:tc>
          <w:tcPr>
            <w:tcW w:w="920" w:type="dxa"/>
            <w:vAlign w:val="bottom"/>
          </w:tcPr>
          <w:p>
            <w:pPr>
              <w:jc w:val="right"/>
              <w:ind w:right="64"/>
              <w:spacing w:after="0"/>
              <w:rPr>
                <w:sz w:val="20"/>
                <w:szCs w:val="20"/>
                <w:color w:val="auto"/>
              </w:rPr>
            </w:pPr>
            <w:r>
              <w:rPr>
                <w:rFonts w:ascii="Arial" w:cs="Arial" w:eastAsia="Arial" w:hAnsi="Arial"/>
                <w:sz w:val="16"/>
                <w:szCs w:val="16"/>
                <w:color w:val="auto"/>
              </w:rPr>
              <w:t>1-7850</w:t>
            </w:r>
          </w:p>
        </w:tc>
        <w:tc>
          <w:tcPr>
            <w:tcW w:w="2380" w:type="dxa"/>
            <w:vAlign w:val="bottom"/>
          </w:tcPr>
          <w:p>
            <w:pPr>
              <w:ind w:left="400"/>
              <w:spacing w:after="0"/>
              <w:rPr>
                <w:sz w:val="20"/>
                <w:szCs w:val="20"/>
                <w:color w:val="auto"/>
              </w:rPr>
            </w:pPr>
            <w:r>
              <w:rPr>
                <w:rFonts w:ascii="Arial" w:cs="Arial" w:eastAsia="Arial" w:hAnsi="Arial"/>
                <w:sz w:val="16"/>
                <w:szCs w:val="16"/>
                <w:color w:val="auto"/>
                <w:w w:val="99"/>
              </w:rPr>
              <w:t>Southwest Gas Corporation</w:t>
            </w:r>
          </w:p>
        </w:tc>
        <w:tc>
          <w:tcPr>
            <w:tcW w:w="1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04"/>
              <w:spacing w:after="0"/>
              <w:rPr>
                <w:sz w:val="20"/>
                <w:szCs w:val="20"/>
                <w:color w:val="auto"/>
              </w:rPr>
            </w:pPr>
            <w:r>
              <w:rPr>
                <w:rFonts w:ascii="Arial" w:cs="Arial" w:eastAsia="Arial" w:hAnsi="Arial"/>
                <w:sz w:val="16"/>
                <w:szCs w:val="16"/>
                <w:color w:val="auto"/>
                <w:w w:val="97"/>
              </w:rPr>
              <w:t>California</w:t>
            </w:r>
          </w:p>
        </w:tc>
        <w:tc>
          <w:tcPr>
            <w:tcW w:w="2980" w:type="dxa"/>
            <w:vAlign w:val="bottom"/>
          </w:tcPr>
          <w:p>
            <w:pPr>
              <w:jc w:val="center"/>
              <w:ind w:left="443"/>
              <w:spacing w:after="0"/>
              <w:rPr>
                <w:sz w:val="20"/>
                <w:szCs w:val="20"/>
                <w:color w:val="auto"/>
              </w:rPr>
            </w:pPr>
            <w:r>
              <w:rPr>
                <w:rFonts w:ascii="Arial" w:cs="Arial" w:eastAsia="Arial" w:hAnsi="Arial"/>
                <w:sz w:val="16"/>
                <w:szCs w:val="16"/>
                <w:color w:val="auto"/>
                <w:w w:val="91"/>
              </w:rPr>
              <w:t>88-0085720</w:t>
            </w:r>
          </w:p>
        </w:tc>
      </w:tr>
      <w:tr>
        <w:trPr>
          <w:trHeight w:val="270"/>
        </w:trPr>
        <w:tc>
          <w:tcPr>
            <w:tcW w:w="920" w:type="dxa"/>
            <w:vAlign w:val="bottom"/>
          </w:tcPr>
          <w:p>
            <w:pPr>
              <w:spacing w:after="0"/>
              <w:rPr>
                <w:sz w:val="23"/>
                <w:szCs w:val="23"/>
                <w:color w:val="auto"/>
              </w:rPr>
            </w:pPr>
          </w:p>
        </w:tc>
        <w:tc>
          <w:tcPr>
            <w:tcW w:w="2380" w:type="dxa"/>
            <w:vAlign w:val="bottom"/>
          </w:tcPr>
          <w:p>
            <w:pPr>
              <w:ind w:left="400"/>
              <w:spacing w:after="0"/>
              <w:rPr>
                <w:sz w:val="20"/>
                <w:szCs w:val="20"/>
                <w:color w:val="auto"/>
              </w:rPr>
            </w:pPr>
            <w:r>
              <w:rPr>
                <w:rFonts w:ascii="Arial" w:cs="Arial" w:eastAsia="Arial" w:hAnsi="Arial"/>
                <w:sz w:val="16"/>
                <w:szCs w:val="16"/>
                <w:color w:val="auto"/>
                <w:w w:val="98"/>
              </w:rPr>
              <w:t>5241 Spring Mountain Road</w:t>
            </w:r>
          </w:p>
        </w:tc>
        <w:tc>
          <w:tcPr>
            <w:tcW w:w="1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70"/>
        </w:trPr>
        <w:tc>
          <w:tcPr>
            <w:tcW w:w="920" w:type="dxa"/>
            <w:vAlign w:val="bottom"/>
          </w:tcPr>
          <w:p>
            <w:pPr>
              <w:spacing w:after="0"/>
              <w:rPr>
                <w:sz w:val="23"/>
                <w:szCs w:val="23"/>
                <w:color w:val="auto"/>
              </w:rPr>
            </w:pPr>
          </w:p>
        </w:tc>
        <w:tc>
          <w:tcPr>
            <w:tcW w:w="2380" w:type="dxa"/>
            <w:vAlign w:val="bottom"/>
          </w:tcPr>
          <w:p>
            <w:pPr>
              <w:ind w:left="400"/>
              <w:spacing w:after="0"/>
              <w:rPr>
                <w:sz w:val="20"/>
                <w:szCs w:val="20"/>
                <w:color w:val="auto"/>
              </w:rPr>
            </w:pPr>
            <w:r>
              <w:rPr>
                <w:rFonts w:ascii="Arial" w:cs="Arial" w:eastAsia="Arial" w:hAnsi="Arial"/>
                <w:sz w:val="16"/>
                <w:szCs w:val="16"/>
                <w:color w:val="auto"/>
              </w:rPr>
              <w:t>Post Office Box 98510</w:t>
            </w:r>
          </w:p>
        </w:tc>
        <w:tc>
          <w:tcPr>
            <w:tcW w:w="1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70"/>
        </w:trPr>
        <w:tc>
          <w:tcPr>
            <w:tcW w:w="920" w:type="dxa"/>
            <w:vAlign w:val="bottom"/>
          </w:tcPr>
          <w:p>
            <w:pPr>
              <w:spacing w:after="0"/>
              <w:rPr>
                <w:sz w:val="23"/>
                <w:szCs w:val="23"/>
                <w:color w:val="auto"/>
              </w:rPr>
            </w:pPr>
          </w:p>
        </w:tc>
        <w:tc>
          <w:tcPr>
            <w:tcW w:w="2380" w:type="dxa"/>
            <w:vAlign w:val="bottom"/>
          </w:tcPr>
          <w:p>
            <w:pPr>
              <w:ind w:left="400"/>
              <w:spacing w:after="0"/>
              <w:rPr>
                <w:sz w:val="20"/>
                <w:szCs w:val="20"/>
                <w:color w:val="auto"/>
              </w:rPr>
            </w:pPr>
            <w:r>
              <w:rPr>
                <w:rFonts w:ascii="Arial" w:cs="Arial" w:eastAsia="Arial" w:hAnsi="Arial"/>
                <w:sz w:val="16"/>
                <w:szCs w:val="16"/>
                <w:color w:val="auto"/>
              </w:rPr>
              <w:t>Las Vegas,</w:t>
            </w:r>
          </w:p>
        </w:tc>
        <w:tc>
          <w:tcPr>
            <w:tcW w:w="1620" w:type="dxa"/>
            <w:vAlign w:val="bottom"/>
          </w:tcPr>
          <w:p>
            <w:pPr>
              <w:jc w:val="right"/>
              <w:ind w:right="579"/>
              <w:spacing w:after="0"/>
              <w:rPr>
                <w:sz w:val="20"/>
                <w:szCs w:val="20"/>
                <w:color w:val="auto"/>
              </w:rPr>
            </w:pPr>
            <w:r>
              <w:rPr>
                <w:rFonts w:ascii="Arial" w:cs="Arial" w:eastAsia="Arial" w:hAnsi="Arial"/>
                <w:sz w:val="16"/>
                <w:szCs w:val="16"/>
                <w:color w:val="auto"/>
              </w:rPr>
              <w:t>Nevada</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89193-8510</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70"/>
        </w:trPr>
        <w:tc>
          <w:tcPr>
            <w:tcW w:w="9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620" w:type="dxa"/>
            <w:vAlign w:val="bottom"/>
          </w:tcPr>
          <w:p>
            <w:pPr>
              <w:jc w:val="right"/>
              <w:ind w:right="439"/>
              <w:spacing w:after="0"/>
              <w:rPr>
                <w:sz w:val="20"/>
                <w:szCs w:val="20"/>
                <w:color w:val="auto"/>
              </w:rPr>
            </w:pPr>
            <w:r>
              <w:rPr>
                <w:rFonts w:ascii="Arial" w:cs="Arial" w:eastAsia="Arial" w:hAnsi="Arial"/>
                <w:sz w:val="16"/>
                <w:szCs w:val="16"/>
                <w:color w:val="auto"/>
                <w:w w:val="98"/>
              </w:rPr>
              <w:t>(702) 876-7237</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499"/>
        </w:trPr>
        <w:tc>
          <w:tcPr>
            <w:tcW w:w="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960" w:type="dxa"/>
            <w:vAlign w:val="bottom"/>
            <w:gridSpan w:val="7"/>
          </w:tcPr>
          <w:p>
            <w:pPr>
              <w:ind w:left="34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80" w:type="dxa"/>
            <w:vAlign w:val="bottom"/>
          </w:tcPr>
          <w:p>
            <w:pPr>
              <w:spacing w:after="0"/>
              <w:rPr>
                <w:sz w:val="24"/>
                <w:szCs w:val="24"/>
                <w:color w:val="auto"/>
              </w:rPr>
            </w:pPr>
          </w:p>
        </w:tc>
      </w:tr>
      <w:tr>
        <w:trPr>
          <w:trHeight w:val="270"/>
        </w:trPr>
        <w:tc>
          <w:tcPr>
            <w:tcW w:w="920" w:type="dxa"/>
            <w:vAlign w:val="bottom"/>
          </w:tcPr>
          <w:p>
            <w:pPr>
              <w:spacing w:after="0"/>
              <w:rPr>
                <w:sz w:val="23"/>
                <w:szCs w:val="23"/>
                <w:color w:val="auto"/>
              </w:rPr>
            </w:pPr>
          </w:p>
        </w:tc>
        <w:tc>
          <w:tcPr>
            <w:tcW w:w="4000" w:type="dxa"/>
            <w:vAlign w:val="bottom"/>
            <w:gridSpan w:val="2"/>
          </w:tcPr>
          <w:p>
            <w:pPr>
              <w:ind w:left="1340"/>
              <w:spacing w:after="0"/>
              <w:rPr>
                <w:sz w:val="20"/>
                <w:szCs w:val="20"/>
                <w:color w:val="auto"/>
              </w:rPr>
            </w:pPr>
            <w:r>
              <w:rPr>
                <w:rFonts w:ascii="Arial" w:cs="Arial" w:eastAsia="Arial" w:hAnsi="Arial"/>
                <w:sz w:val="16"/>
                <w:szCs w:val="16"/>
                <w:b w:val="1"/>
                <w:bCs w:val="1"/>
                <w:color w:val="auto"/>
              </w:rPr>
              <w:t>Title of each class</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center"/>
              <w:ind w:left="59"/>
              <w:spacing w:after="0"/>
              <w:rPr>
                <w:sz w:val="20"/>
                <w:szCs w:val="20"/>
                <w:color w:val="auto"/>
              </w:rPr>
            </w:pPr>
            <w:r>
              <w:rPr>
                <w:rFonts w:ascii="Arial" w:cs="Arial" w:eastAsia="Arial" w:hAnsi="Arial"/>
                <w:sz w:val="16"/>
                <w:szCs w:val="16"/>
                <w:b w:val="1"/>
                <w:bCs w:val="1"/>
                <w:color w:val="auto"/>
                <w:w w:val="92"/>
              </w:rPr>
              <w:t>Trading Symbol</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18"/>
                <w:szCs w:val="18"/>
                <w:color w:val="auto"/>
              </w:rPr>
            </w:pPr>
          </w:p>
        </w:tc>
        <w:tc>
          <w:tcPr>
            <w:tcW w:w="4000" w:type="dxa"/>
            <w:vAlign w:val="bottom"/>
            <w:gridSpan w:val="2"/>
          </w:tcPr>
          <w:p>
            <w:pPr>
              <w:ind w:left="20"/>
              <w:spacing w:after="0"/>
              <w:rPr>
                <w:sz w:val="20"/>
                <w:szCs w:val="20"/>
                <w:color w:val="auto"/>
              </w:rPr>
            </w:pPr>
            <w:r>
              <w:rPr>
                <w:rFonts w:ascii="Arial" w:cs="Arial" w:eastAsia="Arial" w:hAnsi="Arial"/>
                <w:sz w:val="16"/>
                <w:szCs w:val="16"/>
                <w:color w:val="auto"/>
                <w:w w:val="93"/>
              </w:rPr>
              <w:t>Southwest Gas Holdings, Inc. Common Stock, $1 Par Value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59"/>
              <w:spacing w:after="0"/>
              <w:rPr>
                <w:sz w:val="20"/>
                <w:szCs w:val="20"/>
                <w:color w:val="auto"/>
              </w:rPr>
            </w:pPr>
            <w:r>
              <w:rPr>
                <w:rFonts w:ascii="Arial" w:cs="Arial" w:eastAsia="Arial" w:hAnsi="Arial"/>
                <w:sz w:val="16"/>
                <w:szCs w:val="16"/>
                <w:color w:val="auto"/>
                <w:w w:val="98"/>
              </w:rPr>
              <w:t>SWX</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jc w:val="center"/>
              <w:ind w:right="743"/>
              <w:spacing w:after="0"/>
              <w:rPr>
                <w:sz w:val="20"/>
                <w:szCs w:val="20"/>
                <w:color w:val="auto"/>
              </w:rPr>
            </w:pPr>
            <w:r>
              <w:rPr>
                <w:rFonts w:ascii="Arial" w:cs="Arial" w:eastAsia="Arial" w:hAnsi="Arial"/>
                <w:sz w:val="16"/>
                <w:szCs w:val="16"/>
                <w:color w:val="auto"/>
                <w:w w:val="92"/>
              </w:rPr>
              <w:t>New York Stock Exchange</w:t>
            </w:r>
          </w:p>
        </w:tc>
      </w:tr>
    </w:tbl>
    <w:p>
      <w:pPr>
        <w:spacing w:after="0" w:line="145" w:lineRule="exact"/>
        <w:rPr>
          <w:sz w:val="24"/>
          <w:szCs w:val="24"/>
          <w:color w:val="auto"/>
        </w:rPr>
      </w:pPr>
    </w:p>
    <w:p>
      <w:pPr>
        <w:ind w:right="280"/>
        <w:spacing w:after="0" w:line="221" w:lineRule="exact"/>
        <w:rPr>
          <w:sz w:val="20"/>
          <w:szCs w:val="20"/>
          <w:color w:val="auto"/>
        </w:rPr>
      </w:pPr>
      <w:r>
        <w:rPr>
          <w:rFonts w:ascii="Arial" w:cs="Arial" w:eastAsia="Arial" w:hAnsi="Arial"/>
          <w:sz w:val="16"/>
          <w:szCs w:val="16"/>
          <w:color w:val="auto"/>
        </w:rPr>
        <w:t xml:space="preserve">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300"/>
        <w:spacing w:after="0" w:line="224"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1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91"/>
        </w:trPr>
        <w:tc>
          <w:tcPr>
            <w:tcW w:w="24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4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48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1" w:lineRule="exact"/>
        <w:rPr>
          <w:sz w:val="24"/>
          <w:szCs w:val="24"/>
          <w:color w:val="auto"/>
        </w:rPr>
      </w:pPr>
    </w:p>
    <w:p>
      <w:pPr>
        <w:ind w:right="5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36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1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90"/>
        </w:trPr>
        <w:tc>
          <w:tcPr>
            <w:tcW w:w="236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36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36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119" w:lineRule="exact"/>
        <w:rPr>
          <w:sz w:val="24"/>
          <w:szCs w:val="24"/>
          <w:color w:val="auto"/>
        </w:rPr>
      </w:pPr>
    </w:p>
    <w:p>
      <w:pPr>
        <w:ind w:right="5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Southwest Gas Holdings, Inc. Common Stock, $1 Par Value, 55,129,976 shares as of April 30, 2020.</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April 30, 2020.</w:t>
      </w:r>
    </w:p>
    <w:p>
      <w:pPr>
        <w:spacing w:after="0" w:line="1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ectPr>
          <w:pgSz w:w="11900" w:h="16838" w:orient="portrait"/>
          <w:cols w:equalWidth="0" w:num="1">
            <w:col w:w="11240"/>
          </w:cols>
          <w:pgMar w:left="320" w:top="224" w:right="339" w:bottom="838" w:gutter="0" w:footer="0" w:header="0"/>
        </w:sectPr>
      </w:pP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224" w:right="339" w:bottom="838"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0"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March 31, 2020</w:t>
            </w:r>
          </w:p>
        </w:tc>
        <w:tc>
          <w:tcPr>
            <w:tcW w:w="18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w w:val="97"/>
              </w:rPr>
              <w:t>December 31, 2019</w:t>
            </w:r>
          </w:p>
        </w:tc>
        <w:tc>
          <w:tcPr>
            <w:tcW w:w="0" w:type="dxa"/>
            <w:vAlign w:val="bottom"/>
          </w:tcPr>
          <w:p>
            <w:pPr>
              <w:spacing w:after="0"/>
              <w:rPr>
                <w:sz w:val="1"/>
                <w:szCs w:val="1"/>
                <w:color w:val="auto"/>
              </w:rPr>
            </w:pPr>
          </w:p>
        </w:tc>
      </w:tr>
      <w:tr>
        <w:trPr>
          <w:trHeight w:val="17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20"/>
              <w:spacing w:after="0"/>
              <w:rPr>
                <w:sz w:val="20"/>
                <w:szCs w:val="20"/>
                <w:color w:val="auto"/>
              </w:rPr>
            </w:pPr>
            <w:r>
              <w:rPr>
                <w:rFonts w:ascii="Arial" w:cs="Arial" w:eastAsia="Arial" w:hAnsi="Arial"/>
                <w:sz w:val="14"/>
                <w:szCs w:val="14"/>
                <w:color w:val="auto"/>
              </w:rPr>
              <w:t>Utility plant:</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Gas plant</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7,949,283</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7,813,221</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Less: accumulated depreciation</w:t>
            </w:r>
          </w:p>
        </w:tc>
        <w:tc>
          <w:tcPr>
            <w:tcW w:w="2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(2,341,561)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(2,313,050)</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Construction work in progress</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202,935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185,026</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760" w:type="dxa"/>
            <w:vAlign w:val="bottom"/>
          </w:tcPr>
          <w:p>
            <w:pPr>
              <w:ind w:left="700"/>
              <w:spacing w:after="0"/>
              <w:rPr>
                <w:sz w:val="20"/>
                <w:szCs w:val="20"/>
                <w:color w:val="auto"/>
              </w:rPr>
            </w:pPr>
            <w:r>
              <w:rPr>
                <w:rFonts w:ascii="Arial" w:cs="Arial" w:eastAsia="Arial" w:hAnsi="Arial"/>
                <w:sz w:val="14"/>
                <w:szCs w:val="14"/>
                <w:color w:val="auto"/>
              </w:rPr>
              <w:t>Net utility plant</w:t>
            </w:r>
          </w:p>
        </w:tc>
        <w:tc>
          <w:tcPr>
            <w:tcW w:w="240" w:type="dxa"/>
            <w:vAlign w:val="bottom"/>
          </w:tcPr>
          <w:p>
            <w:pPr>
              <w:spacing w:after="0"/>
              <w:rPr>
                <w:sz w:val="14"/>
                <w:szCs w:val="14"/>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5,810,657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5,685,197</w:t>
            </w:r>
          </w:p>
        </w:tc>
        <w:tc>
          <w:tcPr>
            <w:tcW w:w="0" w:type="dxa"/>
            <w:vAlign w:val="bottom"/>
          </w:tcPr>
          <w:p>
            <w:pPr>
              <w:spacing w:after="0"/>
              <w:rPr>
                <w:sz w:val="1"/>
                <w:szCs w:val="1"/>
                <w:color w:val="auto"/>
              </w:rPr>
            </w:pPr>
          </w:p>
        </w:tc>
      </w:tr>
      <w:tr>
        <w:trPr>
          <w:trHeight w:val="73"/>
        </w:trPr>
        <w:tc>
          <w:tcPr>
            <w:tcW w:w="77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785,522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784,173</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7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60,965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49,539</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Accounts receivable, net of allowances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423,013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474,097</w:t>
            </w:r>
          </w:p>
        </w:tc>
        <w:tc>
          <w:tcPr>
            <w:tcW w:w="0" w:type="dxa"/>
            <w:vAlign w:val="bottom"/>
          </w:tcPr>
          <w:p>
            <w:pPr>
              <w:spacing w:after="0"/>
              <w:rPr>
                <w:sz w:val="1"/>
                <w:szCs w:val="1"/>
                <w:color w:val="auto"/>
              </w:rPr>
            </w:pPr>
          </w:p>
        </w:tc>
      </w:tr>
      <w:tr>
        <w:trPr>
          <w:trHeight w:val="74"/>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utility revenue</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48,100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79,100</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Income taxes receivable, net</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7,503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31,751</w:t>
            </w:r>
          </w:p>
        </w:tc>
        <w:tc>
          <w:tcPr>
            <w:tcW w:w="0" w:type="dxa"/>
            <w:vAlign w:val="bottom"/>
          </w:tcPr>
          <w:p>
            <w:pPr>
              <w:spacing w:after="0"/>
              <w:rPr>
                <w:sz w:val="1"/>
                <w:szCs w:val="1"/>
                <w:color w:val="auto"/>
              </w:rPr>
            </w:pPr>
          </w:p>
        </w:tc>
      </w:tr>
      <w:tr>
        <w:trPr>
          <w:trHeight w:val="74"/>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purchased gas costs</w:t>
            </w:r>
          </w:p>
        </w:tc>
        <w:tc>
          <w:tcPr>
            <w:tcW w:w="24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44,412</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Prepaid and other current assets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133,338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180,957</w:t>
            </w:r>
          </w:p>
        </w:tc>
        <w:tc>
          <w:tcPr>
            <w:tcW w:w="0" w:type="dxa"/>
            <w:vAlign w:val="bottom"/>
          </w:tcPr>
          <w:p>
            <w:pPr>
              <w:spacing w:after="0"/>
              <w:rPr>
                <w:sz w:val="1"/>
                <w:szCs w:val="1"/>
                <w:color w:val="auto"/>
              </w:rPr>
            </w:pPr>
          </w:p>
        </w:tc>
      </w:tr>
      <w:tr>
        <w:trPr>
          <w:trHeight w:val="74"/>
        </w:trPr>
        <w:tc>
          <w:tcPr>
            <w:tcW w:w="77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672,919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859,856</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76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333,943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343,023</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charges and other assets</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489,419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496,943</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760" w:type="dxa"/>
            <w:vAlign w:val="bottom"/>
          </w:tcPr>
          <w:p>
            <w:pPr>
              <w:ind w:left="700"/>
              <w:spacing w:after="0"/>
              <w:rPr>
                <w:sz w:val="20"/>
                <w:szCs w:val="20"/>
                <w:color w:val="auto"/>
              </w:rPr>
            </w:pPr>
            <w:r>
              <w:rPr>
                <w:rFonts w:ascii="Arial" w:cs="Arial" w:eastAsia="Arial" w:hAnsi="Arial"/>
                <w:sz w:val="14"/>
                <w:szCs w:val="14"/>
                <w:color w:val="auto"/>
              </w:rPr>
              <w:t>Total noncurrent assets</w:t>
            </w:r>
          </w:p>
        </w:tc>
        <w:tc>
          <w:tcPr>
            <w:tcW w:w="240" w:type="dxa"/>
            <w:vAlign w:val="bottom"/>
          </w:tcPr>
          <w:p>
            <w:pPr>
              <w:spacing w:after="0"/>
              <w:rPr>
                <w:sz w:val="14"/>
                <w:szCs w:val="14"/>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824,127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840,822</w:t>
            </w:r>
          </w:p>
        </w:tc>
        <w:tc>
          <w:tcPr>
            <w:tcW w:w="0" w:type="dxa"/>
            <w:vAlign w:val="bottom"/>
          </w:tcPr>
          <w:p>
            <w:pPr>
              <w:spacing w:after="0"/>
              <w:rPr>
                <w:sz w:val="1"/>
                <w:szCs w:val="1"/>
                <w:color w:val="auto"/>
              </w:rPr>
            </w:pPr>
          </w:p>
        </w:tc>
      </w:tr>
      <w:tr>
        <w:trPr>
          <w:trHeight w:val="73"/>
        </w:trPr>
        <w:tc>
          <w:tcPr>
            <w:tcW w:w="77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8,093,225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8,170,048</w:t>
            </w:r>
          </w:p>
        </w:tc>
        <w:tc>
          <w:tcPr>
            <w:tcW w:w="0" w:type="dxa"/>
            <w:vAlign w:val="bottom"/>
          </w:tcPr>
          <w:p>
            <w:pPr>
              <w:spacing w:after="0"/>
              <w:rPr>
                <w:sz w:val="1"/>
                <w:szCs w:val="1"/>
                <w:color w:val="auto"/>
              </w:rPr>
            </w:pPr>
          </w:p>
        </w:tc>
      </w:tr>
      <w:tr>
        <w:trPr>
          <w:trHeight w:val="60"/>
        </w:trPr>
        <w:tc>
          <w:tcPr>
            <w:tcW w:w="77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CAPITALIZATION AND LIABILITIES</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Capitalization:</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760" w:type="dxa"/>
            <w:vAlign w:val="bottom"/>
          </w:tcPr>
          <w:p>
            <w:pPr>
              <w:ind w:left="380"/>
              <w:spacing w:after="0"/>
              <w:rPr>
                <w:sz w:val="20"/>
                <w:szCs w:val="20"/>
                <w:color w:val="auto"/>
              </w:rPr>
            </w:pPr>
            <w:r>
              <w:rPr>
                <w:rFonts w:ascii="Arial" w:cs="Arial" w:eastAsia="Arial" w:hAnsi="Arial"/>
                <w:sz w:val="14"/>
                <w:szCs w:val="14"/>
                <w:color w:val="auto"/>
                <w:w w:val="99"/>
              </w:rPr>
              <w:t>Common stock, $1 par (authorized - 120,000,000 shares; issued and outstanding - 55,126,386 and 55,007,433 shares)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56,756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56,637</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1,470,411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1,466,937</w:t>
            </w: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Accumulated other comprehensive loss, net</w:t>
            </w:r>
          </w:p>
        </w:tc>
        <w:tc>
          <w:tcPr>
            <w:tcW w:w="2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(59,073)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(56,732)</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1,079,801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1,039,072</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760" w:type="dxa"/>
            <w:vAlign w:val="bottom"/>
          </w:tcPr>
          <w:p>
            <w:pPr>
              <w:ind w:left="700"/>
              <w:spacing w:after="0"/>
              <w:rPr>
                <w:sz w:val="20"/>
                <w:szCs w:val="20"/>
                <w:color w:val="auto"/>
              </w:rPr>
            </w:pPr>
            <w:r>
              <w:rPr>
                <w:rFonts w:ascii="Arial" w:cs="Arial" w:eastAsia="Arial" w:hAnsi="Arial"/>
                <w:sz w:val="14"/>
                <w:szCs w:val="14"/>
                <w:color w:val="auto"/>
              </w:rPr>
              <w:t>Total equity</w:t>
            </w:r>
          </w:p>
        </w:tc>
        <w:tc>
          <w:tcPr>
            <w:tcW w:w="240" w:type="dxa"/>
            <w:vAlign w:val="bottom"/>
          </w:tcPr>
          <w:p>
            <w:pPr>
              <w:spacing w:after="0"/>
              <w:rPr>
                <w:sz w:val="14"/>
                <w:szCs w:val="14"/>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2,547,895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2,505,914</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Redeemable noncontrolling interest</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85,005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84,542</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Long-term debt, less current maturities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2,310,084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2,300,482</w:t>
            </w:r>
          </w:p>
        </w:tc>
        <w:tc>
          <w:tcPr>
            <w:tcW w:w="0" w:type="dxa"/>
            <w:vAlign w:val="bottom"/>
          </w:tcPr>
          <w:p>
            <w:pPr>
              <w:spacing w:after="0"/>
              <w:rPr>
                <w:sz w:val="1"/>
                <w:szCs w:val="1"/>
                <w:color w:val="auto"/>
              </w:rPr>
            </w:pPr>
          </w:p>
        </w:tc>
      </w:tr>
      <w:tr>
        <w:trPr>
          <w:trHeight w:val="73"/>
        </w:trPr>
        <w:tc>
          <w:tcPr>
            <w:tcW w:w="77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capitalization</w:t>
            </w: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4,942,984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4,890,938</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7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maturities of long-term debt</w:t>
            </w:r>
          </w:p>
        </w:tc>
        <w:tc>
          <w:tcPr>
            <w:tcW w:w="2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169,574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163,512</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Short-term debt</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157,000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211,000</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182,182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238,921</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Customer deposits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69,938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69,165</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payable, net</w:t>
            </w:r>
          </w:p>
        </w:tc>
        <w:tc>
          <w:tcPr>
            <w:tcW w:w="24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Accrued general taxes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73,105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48,160</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interest</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34,755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21,329</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Deferred purchased gas costs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26,498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60,755</w:t>
            </w:r>
          </w:p>
        </w:tc>
        <w:tc>
          <w:tcPr>
            <w:tcW w:w="0" w:type="dxa"/>
            <w:vAlign w:val="bottom"/>
          </w:tcPr>
          <w:p>
            <w:pPr>
              <w:spacing w:after="0"/>
              <w:rPr>
                <w:sz w:val="1"/>
                <w:szCs w:val="1"/>
                <w:color w:val="auto"/>
              </w:rPr>
            </w:pPr>
          </w:p>
        </w:tc>
      </w:tr>
      <w:tr>
        <w:trPr>
          <w:trHeight w:val="74"/>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266,763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264,950</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760" w:type="dxa"/>
            <w:vAlign w:val="bottom"/>
          </w:tcPr>
          <w:p>
            <w:pPr>
              <w:ind w:left="70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4"/>
                <w:szCs w:val="14"/>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979,815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1,079,861</w:t>
            </w:r>
          </w:p>
        </w:tc>
        <w:tc>
          <w:tcPr>
            <w:tcW w:w="0" w:type="dxa"/>
            <w:vAlign w:val="bottom"/>
          </w:tcPr>
          <w:p>
            <w:pPr>
              <w:spacing w:after="0"/>
              <w:rPr>
                <w:sz w:val="1"/>
                <w:szCs w:val="1"/>
                <w:color w:val="auto"/>
              </w:rPr>
            </w:pPr>
          </w:p>
        </w:tc>
      </w:tr>
      <w:tr>
        <w:trPr>
          <w:trHeight w:val="74"/>
        </w:trPr>
        <w:tc>
          <w:tcPr>
            <w:tcW w:w="77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Deferred income taxes and investment tax credits, net</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624,888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599,840</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removal costs</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399,000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395,000</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Other deferred credits and other long-term liabilities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1,146,538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1,204,409</w:t>
            </w:r>
          </w:p>
        </w:tc>
        <w:tc>
          <w:tcPr>
            <w:tcW w:w="0" w:type="dxa"/>
            <w:vAlign w:val="bottom"/>
          </w:tcPr>
          <w:p>
            <w:pPr>
              <w:spacing w:after="0"/>
              <w:rPr>
                <w:sz w:val="1"/>
                <w:szCs w:val="1"/>
                <w:color w:val="auto"/>
              </w:rPr>
            </w:pPr>
          </w:p>
        </w:tc>
      </w:tr>
      <w:tr>
        <w:trPr>
          <w:trHeight w:val="74"/>
        </w:trPr>
        <w:tc>
          <w:tcPr>
            <w:tcW w:w="77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deferred income taxes and other credits</w:t>
            </w: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2,170,426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2,199,249</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760" w:type="dxa"/>
            <w:vAlign w:val="bottom"/>
          </w:tcPr>
          <w:p>
            <w:pPr>
              <w:ind w:left="20"/>
              <w:spacing w:after="0"/>
              <w:rPr>
                <w:sz w:val="20"/>
                <w:szCs w:val="20"/>
                <w:color w:val="auto"/>
              </w:rPr>
            </w:pPr>
            <w:r>
              <w:rPr>
                <w:rFonts w:ascii="Arial" w:cs="Arial" w:eastAsia="Arial" w:hAnsi="Arial"/>
                <w:sz w:val="14"/>
                <w:szCs w:val="14"/>
                <w:color w:val="auto"/>
              </w:rPr>
              <w:t>Total capitalization and liabilities</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8,093,225</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8,170,048</w:t>
            </w:r>
          </w:p>
        </w:tc>
        <w:tc>
          <w:tcPr>
            <w:tcW w:w="0" w:type="dxa"/>
            <w:vAlign w:val="bottom"/>
          </w:tcPr>
          <w:p>
            <w:pPr>
              <w:spacing w:after="0"/>
              <w:rPr>
                <w:sz w:val="1"/>
                <w:szCs w:val="1"/>
                <w:color w:val="auto"/>
              </w:rPr>
            </w:pPr>
          </w:p>
        </w:tc>
      </w:tr>
      <w:tr>
        <w:trPr>
          <w:trHeight w:val="65"/>
        </w:trPr>
        <w:tc>
          <w:tcPr>
            <w:tcW w:w="776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70" w:right="359" w:bottom="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220"/>
          </w:cols>
          <w:pgMar w:left="320" w:top="270" w:right="359" w:bottom="0" w:gutter="0" w:footer="0" w:header="0"/>
          <w:type w:val="continuous"/>
        </w:sectPr>
      </w:pPr>
    </w:p>
    <w:bookmarkStart w:id="3" w:name="page4"/>
    <w:bookmarkEnd w:id="3"/>
    <w:p>
      <w:pPr>
        <w:jc w:val="center"/>
        <w:ind w:right="-1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50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March 31, 2020</w:t>
            </w:r>
          </w:p>
        </w:tc>
        <w:tc>
          <w:tcPr>
            <w:tcW w:w="0" w:type="dxa"/>
            <w:vAlign w:val="bottom"/>
          </w:tcPr>
          <w:p>
            <w:pPr>
              <w:spacing w:after="0"/>
              <w:rPr>
                <w:sz w:val="1"/>
                <w:szCs w:val="1"/>
                <w:color w:val="auto"/>
              </w:rPr>
            </w:pPr>
          </w:p>
        </w:tc>
      </w:tr>
      <w:tr>
        <w:trPr>
          <w:trHeight w:val="78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20" w:type="dxa"/>
            <w:vAlign w:val="bottom"/>
            <w:gridSpan w:val="4"/>
          </w:tcPr>
          <w:p>
            <w:pPr>
              <w:jc w:val="center"/>
              <w:ind w:right="80"/>
              <w:spacing w:after="0"/>
              <w:rPr>
                <w:sz w:val="20"/>
                <w:szCs w:val="20"/>
                <w:color w:val="auto"/>
              </w:rPr>
            </w:pPr>
            <w:r>
              <w:rPr>
                <w:rFonts w:ascii="Arial" w:cs="Arial" w:eastAsia="Arial" w:hAnsi="Arial"/>
                <w:sz w:val="18"/>
                <w:szCs w:val="18"/>
                <w:color w:val="auto"/>
                <w:w w:val="96"/>
              </w:rPr>
              <w:t>SOUTHWEST GAS HOLDINGS, INC. AND SUBSIDIARIES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5"/>
              </w:rPr>
              <w:t>CONDENSED CONSOLIDATED STATEMENTS OF INCOME</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gridSpan w:val="2"/>
          </w:tcPr>
          <w:p>
            <w:pPr>
              <w:jc w:val="center"/>
              <w:ind w:left="699"/>
              <w:spacing w:after="0"/>
              <w:rPr>
                <w:sz w:val="20"/>
                <w:szCs w:val="20"/>
                <w:color w:val="auto"/>
              </w:rPr>
            </w:pPr>
            <w:r>
              <w:rPr>
                <w:rFonts w:ascii="Arial" w:cs="Arial" w:eastAsia="Arial" w:hAnsi="Arial"/>
                <w:sz w:val="18"/>
                <w:szCs w:val="18"/>
                <w:color w:val="auto"/>
                <w:w w:val="88"/>
              </w:rPr>
              <w:t>(In thousands, except per share amounts)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gridSpan w:val="2"/>
          </w:tcPr>
          <w:p>
            <w:pPr>
              <w:jc w:val="center"/>
              <w:ind w:left="679"/>
              <w:spacing w:after="0"/>
              <w:rPr>
                <w:sz w:val="20"/>
                <w:szCs w:val="20"/>
                <w:color w:val="auto"/>
              </w:rPr>
            </w:pPr>
            <w:r>
              <w:rPr>
                <w:rFonts w:ascii="Arial" w:cs="Arial" w:eastAsia="Arial" w:hAnsi="Arial"/>
                <w:sz w:val="18"/>
                <w:szCs w:val="18"/>
                <w:color w:val="auto"/>
                <w:w w:val="93"/>
              </w:rPr>
              <w:t>(Unaudited)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24"/>
                <w:szCs w:val="24"/>
                <w:color w:val="auto"/>
              </w:rPr>
            </w:pPr>
          </w:p>
        </w:tc>
        <w:tc>
          <w:tcPr>
            <w:tcW w:w="1900" w:type="dxa"/>
            <w:vAlign w:val="bottom"/>
            <w:gridSpan w:val="4"/>
          </w:tcPr>
          <w:p>
            <w:pPr>
              <w:jc w:val="right"/>
              <w:ind w:right="307"/>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667"/>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3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70"/>
        </w:trPr>
        <w:tc>
          <w:tcPr>
            <w:tcW w:w="33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3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3240" w:type="dxa"/>
            <w:vAlign w:val="bottom"/>
            <w:gridSpan w:val="3"/>
          </w:tcPr>
          <w:p>
            <w:pPr>
              <w:ind w:left="320"/>
              <w:spacing w:after="0"/>
              <w:rPr>
                <w:sz w:val="20"/>
                <w:szCs w:val="20"/>
                <w:color w:val="auto"/>
              </w:rPr>
            </w:pPr>
            <w:r>
              <w:rPr>
                <w:rFonts w:ascii="Arial" w:cs="Arial" w:eastAsia="Arial" w:hAnsi="Arial"/>
                <w:sz w:val="14"/>
                <w:szCs w:val="14"/>
                <w:color w:val="auto"/>
              </w:rPr>
              <w:t>Gas operating revenues</w:t>
            </w:r>
          </w:p>
        </w:tc>
        <w:tc>
          <w:tcPr>
            <w:tcW w:w="38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502,827</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520,677</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1,351,089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1,384,092</w:t>
            </w: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32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Utility infrastructure services revenues</w:t>
            </w:r>
          </w:p>
        </w:tc>
        <w:tc>
          <w:tcPr>
            <w:tcW w:w="35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333,493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312,862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1,771,609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1,575,130</w:t>
            </w: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tcPr>
          <w:p>
            <w:pPr>
              <w:spacing w:after="0"/>
              <w:rPr>
                <w:sz w:val="21"/>
                <w:szCs w:val="21"/>
                <w:color w:val="auto"/>
              </w:rPr>
            </w:pPr>
          </w:p>
        </w:tc>
        <w:tc>
          <w:tcPr>
            <w:tcW w:w="324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operating revenues</w:t>
            </w:r>
          </w:p>
        </w:tc>
        <w:tc>
          <w:tcPr>
            <w:tcW w:w="35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836,320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833,539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3,122,698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2,959,222</w:t>
            </w:r>
          </w:p>
        </w:tc>
        <w:tc>
          <w:tcPr>
            <w:tcW w:w="0" w:type="dxa"/>
            <w:vAlign w:val="bottom"/>
          </w:tcPr>
          <w:p>
            <w:pPr>
              <w:spacing w:after="0"/>
              <w:rPr>
                <w:sz w:val="1"/>
                <w:szCs w:val="1"/>
                <w:color w:val="auto"/>
              </w:rPr>
            </w:pPr>
          </w:p>
        </w:tc>
      </w:tr>
      <w:tr>
        <w:trPr>
          <w:trHeight w:val="270"/>
        </w:trPr>
        <w:tc>
          <w:tcPr>
            <w:tcW w:w="33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3240" w:type="dxa"/>
            <w:vAlign w:val="bottom"/>
            <w:gridSpan w:val="3"/>
          </w:tcPr>
          <w:p>
            <w:pPr>
              <w:ind w:left="320"/>
              <w:spacing w:after="0"/>
              <w:rPr>
                <w:sz w:val="20"/>
                <w:szCs w:val="20"/>
                <w:color w:val="auto"/>
              </w:rPr>
            </w:pPr>
            <w:r>
              <w:rPr>
                <w:rFonts w:ascii="Arial" w:cs="Arial" w:eastAsia="Arial" w:hAnsi="Arial"/>
                <w:sz w:val="14"/>
                <w:szCs w:val="14"/>
                <w:color w:val="auto"/>
              </w:rPr>
              <w:t>Net cost of gas sold</w:t>
            </w:r>
          </w:p>
        </w:tc>
        <w:tc>
          <w:tcPr>
            <w:tcW w:w="3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160,821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192,604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353,381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426,260</w:t>
            </w:r>
          </w:p>
        </w:tc>
        <w:tc>
          <w:tcPr>
            <w:tcW w:w="0" w:type="dxa"/>
            <w:vAlign w:val="bottom"/>
          </w:tcPr>
          <w:p>
            <w:pPr>
              <w:spacing w:after="0"/>
              <w:rPr>
                <w:sz w:val="1"/>
                <w:szCs w:val="1"/>
                <w:color w:val="auto"/>
              </w:rPr>
            </w:pPr>
          </w:p>
        </w:tc>
      </w:tr>
      <w:tr>
        <w:trPr>
          <w:trHeight w:val="276"/>
        </w:trPr>
        <w:tc>
          <w:tcPr>
            <w:tcW w:w="6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Operations and maintenance</w:t>
            </w:r>
          </w:p>
        </w:tc>
        <w:tc>
          <w:tcPr>
            <w:tcW w:w="3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103,781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421,686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410,287</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3240" w:type="dxa"/>
            <w:vAlign w:val="bottom"/>
            <w:gridSpan w:val="3"/>
          </w:tcPr>
          <w:p>
            <w:pPr>
              <w:ind w:left="320"/>
              <w:spacing w:after="0"/>
              <w:rPr>
                <w:sz w:val="20"/>
                <w:szCs w:val="20"/>
                <w:color w:val="auto"/>
              </w:rPr>
            </w:pPr>
            <w:r>
              <w:rPr>
                <w:rFonts w:ascii="Arial" w:cs="Arial" w:eastAsia="Arial" w:hAnsi="Arial"/>
                <w:sz w:val="14"/>
                <w:szCs w:val="14"/>
                <w:color w:val="auto"/>
              </w:rPr>
              <w:t>Depreciation and amortization</w:t>
            </w:r>
          </w:p>
        </w:tc>
        <w:tc>
          <w:tcPr>
            <w:tcW w:w="3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87,653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77,539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313,351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264,273</w:t>
            </w:r>
          </w:p>
        </w:tc>
        <w:tc>
          <w:tcPr>
            <w:tcW w:w="0" w:type="dxa"/>
            <w:vAlign w:val="bottom"/>
          </w:tcPr>
          <w:p>
            <w:pPr>
              <w:spacing w:after="0"/>
              <w:rPr>
                <w:sz w:val="1"/>
                <w:szCs w:val="1"/>
                <w:color w:val="auto"/>
              </w:rPr>
            </w:pPr>
          </w:p>
        </w:tc>
      </w:tr>
      <w:tr>
        <w:trPr>
          <w:trHeight w:val="276"/>
        </w:trPr>
        <w:tc>
          <w:tcPr>
            <w:tcW w:w="6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Taxes other than income taxes</w:t>
            </w:r>
          </w:p>
        </w:tc>
        <w:tc>
          <w:tcPr>
            <w:tcW w:w="3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62,500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60,847</w:t>
            </w: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Utility infrastructure services expenses</w:t>
            </w:r>
          </w:p>
        </w:tc>
        <w:tc>
          <w:tcPr>
            <w:tcW w:w="3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319,314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300,465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1,592,076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1,429,202</w:t>
            </w:r>
          </w:p>
        </w:tc>
        <w:tc>
          <w:tcPr>
            <w:tcW w:w="0" w:type="dxa"/>
            <w:vAlign w:val="bottom"/>
          </w:tcPr>
          <w:p>
            <w:pPr>
              <w:spacing w:after="0"/>
              <w:rPr>
                <w:sz w:val="1"/>
                <w:szCs w:val="1"/>
                <w:color w:val="auto"/>
              </w:rPr>
            </w:pPr>
          </w:p>
        </w:tc>
      </w:tr>
      <w:tr>
        <w:trPr>
          <w:trHeight w:val="250"/>
        </w:trPr>
        <w:tc>
          <w:tcPr>
            <w:tcW w:w="60" w:type="dxa"/>
            <w:vAlign w:val="bottom"/>
            <w:shd w:val="clear" w:color="auto" w:fill="CCEEFF"/>
          </w:tcPr>
          <w:p>
            <w:pPr>
              <w:spacing w:after="0"/>
              <w:rPr>
                <w:sz w:val="21"/>
                <w:szCs w:val="21"/>
                <w:color w:val="auto"/>
              </w:rPr>
            </w:pPr>
          </w:p>
        </w:tc>
        <w:tc>
          <w:tcPr>
            <w:tcW w:w="324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35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687,947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693,059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2,742,994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2,590,869</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Operating income</w:t>
            </w:r>
          </w:p>
        </w:tc>
        <w:tc>
          <w:tcPr>
            <w:tcW w:w="35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148,373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140,480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379,704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368,353</w:t>
            </w:r>
          </w:p>
        </w:tc>
        <w:tc>
          <w:tcPr>
            <w:tcW w:w="0" w:type="dxa"/>
            <w:vAlign w:val="bottom"/>
          </w:tcPr>
          <w:p>
            <w:pPr>
              <w:spacing w:after="0"/>
              <w:rPr>
                <w:sz w:val="1"/>
                <w:szCs w:val="1"/>
                <w:color w:val="auto"/>
              </w:rPr>
            </w:pPr>
          </w:p>
        </w:tc>
      </w:tr>
      <w:tr>
        <w:trPr>
          <w:trHeight w:val="270"/>
        </w:trPr>
        <w:tc>
          <w:tcPr>
            <w:tcW w:w="33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Other income and (expenses):</w:t>
            </w:r>
          </w:p>
        </w:tc>
        <w:tc>
          <w:tcPr>
            <w:tcW w:w="3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3240" w:type="dxa"/>
            <w:vAlign w:val="bottom"/>
            <w:gridSpan w:val="3"/>
          </w:tcPr>
          <w:p>
            <w:pPr>
              <w:ind w:left="320"/>
              <w:spacing w:after="0"/>
              <w:rPr>
                <w:sz w:val="20"/>
                <w:szCs w:val="20"/>
                <w:color w:val="auto"/>
              </w:rPr>
            </w:pPr>
            <w:r>
              <w:rPr>
                <w:rFonts w:ascii="Arial" w:cs="Arial" w:eastAsia="Arial" w:hAnsi="Arial"/>
                <w:sz w:val="14"/>
                <w:szCs w:val="14"/>
                <w:color w:val="auto"/>
              </w:rPr>
              <w:t>Net interest deductions</w:t>
            </w:r>
          </w:p>
        </w:tc>
        <w:tc>
          <w:tcPr>
            <w:tcW w:w="3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(28,380)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(26,397)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(100,437)</w:t>
            </w: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32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Other income (deductions)</w:t>
            </w:r>
          </w:p>
        </w:tc>
        <w:tc>
          <w:tcPr>
            <w:tcW w:w="35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(20,770)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6,839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(6,253)</w:t>
            </w: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tcPr>
          <w:p>
            <w:pPr>
              <w:spacing w:after="0"/>
              <w:rPr>
                <w:sz w:val="21"/>
                <w:szCs w:val="21"/>
                <w:color w:val="auto"/>
              </w:rPr>
            </w:pPr>
          </w:p>
        </w:tc>
        <w:tc>
          <w:tcPr>
            <w:tcW w:w="324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other income and (expenses)</w:t>
            </w:r>
          </w:p>
        </w:tc>
        <w:tc>
          <w:tcPr>
            <w:tcW w:w="35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(49,150)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(128,733)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(106,690)</w:t>
            </w:r>
          </w:p>
        </w:tc>
        <w:tc>
          <w:tcPr>
            <w:tcW w:w="0" w:type="dxa"/>
            <w:vAlign w:val="bottom"/>
          </w:tcPr>
          <w:p>
            <w:pPr>
              <w:spacing w:after="0"/>
              <w:rPr>
                <w:sz w:val="1"/>
                <w:szCs w:val="1"/>
                <w:color w:val="auto"/>
              </w:rPr>
            </w:pPr>
          </w:p>
        </w:tc>
      </w:tr>
      <w:tr>
        <w:trPr>
          <w:trHeight w:val="256"/>
        </w:trPr>
        <w:tc>
          <w:tcPr>
            <w:tcW w:w="33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250,971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261,663</w:t>
            </w: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Income tax expense</w:t>
            </w:r>
          </w:p>
        </w:tc>
        <w:tc>
          <w:tcPr>
            <w:tcW w:w="3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25,538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56,703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62,921</w:t>
            </w:r>
          </w:p>
        </w:tc>
        <w:tc>
          <w:tcPr>
            <w:tcW w:w="0" w:type="dxa"/>
            <w:vAlign w:val="bottom"/>
          </w:tcPr>
          <w:p>
            <w:pPr>
              <w:spacing w:after="0"/>
              <w:rPr>
                <w:sz w:val="1"/>
                <w:szCs w:val="1"/>
                <w:color w:val="auto"/>
              </w:rPr>
            </w:pPr>
          </w:p>
        </w:tc>
      </w:tr>
      <w:tr>
        <w:trPr>
          <w:trHeight w:val="256"/>
        </w:trPr>
        <w:tc>
          <w:tcPr>
            <w:tcW w:w="33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73,005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95,384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194,268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198,742</w:t>
            </w: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w w:val="94"/>
              </w:rPr>
              <w:t>Net income attributable to noncontrolling interests</w:t>
            </w:r>
          </w:p>
        </w:tc>
        <w:tc>
          <w:tcPr>
            <w:tcW w:w="3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2,599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43"/>
        </w:trPr>
        <w:tc>
          <w:tcPr>
            <w:tcW w:w="33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3"/>
              </w:rPr>
              <w:t>Net income attributable to Southwest Gas Holdings, Inc.</w:t>
            </w:r>
          </w:p>
        </w:tc>
        <w:tc>
          <w:tcPr>
            <w:tcW w:w="38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191,669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197,995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4"/>
                <w:szCs w:val="14"/>
                <w:color w:val="auto"/>
              </w:rPr>
              <w:t>Earnings per share:</w:t>
            </w:r>
          </w:p>
        </w:tc>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00" w:type="dxa"/>
            <w:vAlign w:val="bottom"/>
            <w:gridSpan w:val="4"/>
            <w:vMerge w:val="continue"/>
          </w:tcPr>
          <w:p>
            <w:pPr>
              <w:spacing w:after="0"/>
              <w:rPr>
                <w:sz w:val="21"/>
                <w:szCs w:val="21"/>
                <w:color w:val="auto"/>
              </w:rPr>
            </w:pPr>
          </w:p>
        </w:tc>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40" w:type="dxa"/>
            <w:vAlign w:val="bottom"/>
            <w:gridSpan w:val="3"/>
          </w:tcPr>
          <w:p>
            <w:pPr>
              <w:ind w:left="220"/>
              <w:spacing w:after="0"/>
              <w:rPr>
                <w:sz w:val="20"/>
                <w:szCs w:val="20"/>
                <w:color w:val="auto"/>
              </w:rPr>
            </w:pPr>
            <w:r>
              <w:rPr>
                <w:rFonts w:ascii="Arial" w:cs="Arial" w:eastAsia="Arial" w:hAnsi="Arial"/>
                <w:sz w:val="14"/>
                <w:szCs w:val="14"/>
                <w:color w:val="auto"/>
              </w:rPr>
              <w:t>Diluted</w:t>
            </w:r>
          </w:p>
        </w:tc>
        <w:tc>
          <w:tcPr>
            <w:tcW w:w="38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50"/>
        </w:trPr>
        <w:tc>
          <w:tcPr>
            <w:tcW w:w="33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Weighted average shares:</w:t>
            </w:r>
          </w:p>
        </w:tc>
        <w:tc>
          <w:tcPr>
            <w:tcW w:w="35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3240" w:type="dxa"/>
            <w:vAlign w:val="bottom"/>
            <w:gridSpan w:val="3"/>
          </w:tcPr>
          <w:p>
            <w:pPr>
              <w:ind w:left="220"/>
              <w:spacing w:after="0"/>
              <w:rPr>
                <w:sz w:val="20"/>
                <w:szCs w:val="20"/>
                <w:color w:val="auto"/>
              </w:rPr>
            </w:pPr>
            <w:r>
              <w:rPr>
                <w:rFonts w:ascii="Arial" w:cs="Arial" w:eastAsia="Arial" w:hAnsi="Arial"/>
                <w:sz w:val="14"/>
                <w:szCs w:val="14"/>
                <w:color w:val="auto"/>
              </w:rPr>
              <w:t>Basic</w:t>
            </w:r>
          </w:p>
        </w:tc>
        <w:tc>
          <w:tcPr>
            <w:tcW w:w="3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55,310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53,369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54,726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50,640</w:t>
            </w:r>
          </w:p>
        </w:tc>
        <w:tc>
          <w:tcPr>
            <w:tcW w:w="0" w:type="dxa"/>
            <w:vAlign w:val="bottom"/>
          </w:tcPr>
          <w:p>
            <w:pPr>
              <w:spacing w:after="0"/>
              <w:rPr>
                <w:sz w:val="1"/>
                <w:szCs w:val="1"/>
                <w:color w:val="auto"/>
              </w:rPr>
            </w:pPr>
          </w:p>
        </w:tc>
      </w:tr>
      <w:tr>
        <w:trPr>
          <w:trHeight w:val="276"/>
        </w:trPr>
        <w:tc>
          <w:tcPr>
            <w:tcW w:w="6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3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55,363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54,792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50,701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4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w w:val="89"/>
              </w:rPr>
              <w:t>March 31, 2020</w:t>
            </w:r>
          </w:p>
        </w:tc>
      </w:tr>
      <w:tr>
        <w:trPr>
          <w:trHeight w:val="78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5"/>
          </w:tcPr>
          <w:p>
            <w:pPr>
              <w:jc w:val="center"/>
              <w:ind w:right="60"/>
              <w:spacing w:after="0"/>
              <w:rPr>
                <w:sz w:val="20"/>
                <w:szCs w:val="20"/>
                <w:color w:val="auto"/>
              </w:rPr>
            </w:pPr>
            <w:r>
              <w:rPr>
                <w:rFonts w:ascii="Arial" w:cs="Arial" w:eastAsia="Arial" w:hAnsi="Arial"/>
                <w:sz w:val="18"/>
                <w:szCs w:val="18"/>
                <w:color w:val="auto"/>
                <w:w w:val="96"/>
              </w:rPr>
              <w:t>SOUTHWEST GAS HOLDINGS, INC. AND SUBSIDIARIES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60" w:type="dxa"/>
            <w:vAlign w:val="bottom"/>
            <w:gridSpan w:val="10"/>
          </w:tcPr>
          <w:p>
            <w:pPr>
              <w:jc w:val="center"/>
              <w:ind w:left="188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2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(Thousands of dollars)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20" w:type="dxa"/>
            <w:vAlign w:val="bottom"/>
            <w:gridSpan w:val="2"/>
          </w:tcPr>
          <w:p>
            <w:pPr>
              <w:jc w:val="center"/>
              <w:ind w:right="780"/>
              <w:spacing w:after="0"/>
              <w:rPr>
                <w:sz w:val="20"/>
                <w:szCs w:val="20"/>
                <w:color w:val="auto"/>
              </w:rPr>
            </w:pPr>
            <w:r>
              <w:rPr>
                <w:rFonts w:ascii="Arial" w:cs="Arial" w:eastAsia="Arial" w:hAnsi="Arial"/>
                <w:sz w:val="18"/>
                <w:szCs w:val="18"/>
                <w:color w:val="auto"/>
                <w:w w:val="93"/>
              </w:rPr>
              <w:t>(Unaudited)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5"/>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200" w:type="dxa"/>
            <w:vAlign w:val="bottom"/>
          </w:tcPr>
          <w:p>
            <w:pPr>
              <w:spacing w:after="0"/>
              <w:rPr>
                <w:sz w:val="24"/>
                <w:szCs w:val="24"/>
                <w:color w:val="auto"/>
              </w:rPr>
            </w:pPr>
          </w:p>
        </w:tc>
        <w:tc>
          <w:tcPr>
            <w:tcW w:w="1760" w:type="dxa"/>
            <w:vAlign w:val="bottom"/>
            <w:gridSpan w:val="6"/>
          </w:tcPr>
          <w:p>
            <w:pPr>
              <w:ind w:left="8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5"/>
          </w:tcPr>
          <w:p>
            <w:pPr>
              <w:jc w:val="center"/>
              <w:ind w:right="260"/>
              <w:spacing w:after="0"/>
              <w:rPr>
                <w:sz w:val="20"/>
                <w:szCs w:val="20"/>
                <w:color w:val="auto"/>
              </w:rPr>
            </w:pPr>
            <w:r>
              <w:rPr>
                <w:rFonts w:ascii="Arial" w:cs="Arial" w:eastAsia="Arial" w:hAnsi="Arial"/>
                <w:sz w:val="14"/>
                <w:szCs w:val="14"/>
                <w:color w:val="auto"/>
                <w:w w:val="93"/>
              </w:rPr>
              <w:t>March 31,</w:t>
            </w:r>
          </w:p>
        </w:tc>
        <w:tc>
          <w:tcPr>
            <w:tcW w:w="200" w:type="dxa"/>
            <w:vAlign w:val="bottom"/>
          </w:tcPr>
          <w:p>
            <w:pPr>
              <w:spacing w:after="0"/>
              <w:rPr>
                <w:sz w:val="16"/>
                <w:szCs w:val="16"/>
                <w:color w:val="auto"/>
              </w:rPr>
            </w:pPr>
          </w:p>
        </w:tc>
        <w:tc>
          <w:tcPr>
            <w:tcW w:w="1760" w:type="dxa"/>
            <w:vAlign w:val="bottom"/>
            <w:gridSpan w:val="6"/>
          </w:tcPr>
          <w:p>
            <w:pPr>
              <w:jc w:val="right"/>
              <w:ind w:right="720"/>
              <w:spacing w:after="0"/>
              <w:rPr>
                <w:sz w:val="20"/>
                <w:szCs w:val="20"/>
                <w:color w:val="auto"/>
              </w:rPr>
            </w:pPr>
            <w:r>
              <w:rPr>
                <w:rFonts w:ascii="Arial" w:cs="Arial" w:eastAsia="Arial" w:hAnsi="Arial"/>
                <w:sz w:val="14"/>
                <w:szCs w:val="14"/>
                <w:color w:val="auto"/>
              </w:rPr>
              <w:t>March 31,</w:t>
            </w:r>
          </w:p>
        </w:tc>
      </w:tr>
      <w:tr>
        <w:trPr>
          <w:trHeight w:val="263"/>
        </w:trPr>
        <w:tc>
          <w:tcPr>
            <w:tcW w:w="60" w:type="dxa"/>
            <w:vAlign w:val="bottom"/>
            <w:tcBorders>
              <w:top w:val="single" w:sz="8" w:color="CCEEFF"/>
            </w:tcBorders>
            <w:shd w:val="clear" w:color="auto" w:fill="CCEEFF"/>
          </w:tcPr>
          <w:p>
            <w:pPr>
              <w:spacing w:after="0"/>
              <w:rPr>
                <w:sz w:val="22"/>
                <w:szCs w:val="22"/>
                <w:color w:val="auto"/>
              </w:rPr>
            </w:pPr>
          </w:p>
        </w:tc>
        <w:tc>
          <w:tcPr>
            <w:tcW w:w="28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30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2020</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r>
      <w:tr>
        <w:trPr>
          <w:trHeight w:val="250"/>
        </w:trPr>
        <w:tc>
          <w:tcPr>
            <w:tcW w:w="4400" w:type="dxa"/>
            <w:vAlign w:val="bottom"/>
            <w:gridSpan w:val="4"/>
          </w:tcPr>
          <w:p>
            <w:pPr>
              <w:ind w:left="40"/>
              <w:spacing w:after="0"/>
              <w:rPr>
                <w:sz w:val="20"/>
                <w:szCs w:val="20"/>
                <w:color w:val="auto"/>
              </w:rPr>
            </w:pPr>
            <w:r>
              <w:rPr>
                <w:rFonts w:ascii="Arial" w:cs="Arial" w:eastAsia="Arial" w:hAnsi="Arial"/>
                <w:sz w:val="14"/>
                <w:szCs w:val="14"/>
                <w:color w:val="auto"/>
              </w:rPr>
              <w:t>Net income</w:t>
            </w:r>
          </w:p>
        </w:tc>
        <w:tc>
          <w:tcPr>
            <w:tcW w:w="3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73,005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95,384</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194,268</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198,742</w:t>
            </w:r>
          </w:p>
        </w:tc>
        <w:tc>
          <w:tcPr>
            <w:tcW w:w="100" w:type="dxa"/>
            <w:vAlign w:val="bottom"/>
          </w:tcPr>
          <w:p>
            <w:pPr>
              <w:spacing w:after="0"/>
              <w:rPr>
                <w:sz w:val="21"/>
                <w:szCs w:val="21"/>
                <w:color w:val="auto"/>
              </w:rPr>
            </w:pPr>
          </w:p>
        </w:tc>
      </w:tr>
      <w:tr>
        <w:trPr>
          <w:trHeight w:val="270"/>
        </w:trPr>
        <w:tc>
          <w:tcPr>
            <w:tcW w:w="44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30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4340" w:type="dxa"/>
            <w:vAlign w:val="bottom"/>
            <w:gridSpan w:val="3"/>
          </w:tcPr>
          <w:p>
            <w:pPr>
              <w:ind w:left="120"/>
              <w:spacing w:after="0"/>
              <w:rPr>
                <w:sz w:val="20"/>
                <w:szCs w:val="20"/>
                <w:color w:val="auto"/>
              </w:rPr>
            </w:pPr>
            <w:r>
              <w:rPr>
                <w:rFonts w:ascii="Arial" w:cs="Arial" w:eastAsia="Arial" w:hAnsi="Arial"/>
                <w:sz w:val="14"/>
                <w:szCs w:val="14"/>
                <w:color w:val="auto"/>
              </w:rPr>
              <w:t>Defined benefit pension plans:</w:t>
            </w:r>
          </w:p>
        </w:tc>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43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Net actuarial loss</w:t>
            </w:r>
          </w:p>
        </w:tc>
        <w:tc>
          <w:tcPr>
            <w:tcW w:w="3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100" w:type="dxa"/>
            <w:vAlign w:val="bottom"/>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4340" w:type="dxa"/>
            <w:vAlign w:val="bottom"/>
            <w:gridSpan w:val="3"/>
          </w:tcPr>
          <w:p>
            <w:pPr>
              <w:ind w:left="220"/>
              <w:spacing w:after="0"/>
              <w:rPr>
                <w:sz w:val="20"/>
                <w:szCs w:val="20"/>
                <w:color w:val="auto"/>
              </w:rPr>
            </w:pPr>
            <w:r>
              <w:rPr>
                <w:rFonts w:ascii="Arial" w:cs="Arial" w:eastAsia="Arial" w:hAnsi="Arial"/>
                <w:sz w:val="14"/>
                <w:szCs w:val="14"/>
                <w:color w:val="auto"/>
              </w:rPr>
              <w:t>Amortization of prior service cost</w:t>
            </w:r>
          </w:p>
        </w:tc>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43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3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23,603</w:t>
            </w:r>
          </w:p>
        </w:tc>
        <w:tc>
          <w:tcPr>
            <w:tcW w:w="100" w:type="dxa"/>
            <w:vAlign w:val="bottom"/>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4340" w:type="dxa"/>
            <w:vAlign w:val="bottom"/>
            <w:gridSpan w:val="3"/>
          </w:tcPr>
          <w:p>
            <w:pPr>
              <w:ind w:left="220"/>
              <w:spacing w:after="0"/>
              <w:rPr>
                <w:sz w:val="20"/>
                <w:szCs w:val="20"/>
                <w:color w:val="auto"/>
              </w:rPr>
            </w:pPr>
            <w:r>
              <w:rPr>
                <w:rFonts w:ascii="Arial" w:cs="Arial" w:eastAsia="Arial" w:hAnsi="Arial"/>
                <w:sz w:val="14"/>
                <w:szCs w:val="14"/>
                <w:color w:val="auto"/>
              </w:rPr>
              <w:t>Prior service cost</w:t>
            </w:r>
          </w:p>
        </w:tc>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(1,426)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r>
      <w:tr>
        <w:trPr>
          <w:trHeight w:val="270"/>
        </w:trPr>
        <w:tc>
          <w:tcPr>
            <w:tcW w:w="60" w:type="dxa"/>
            <w:vAlign w:val="bottom"/>
            <w:shd w:val="clear" w:color="auto" w:fill="CCEEFF"/>
          </w:tcPr>
          <w:p>
            <w:pPr>
              <w:spacing w:after="0"/>
              <w:rPr>
                <w:sz w:val="23"/>
                <w:szCs w:val="23"/>
                <w:color w:val="auto"/>
              </w:rPr>
            </w:pPr>
          </w:p>
        </w:tc>
        <w:tc>
          <w:tcPr>
            <w:tcW w:w="43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Regulatory adjustment</w:t>
            </w:r>
          </w:p>
        </w:tc>
        <w:tc>
          <w:tcPr>
            <w:tcW w:w="30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(4,574)</w:t>
            </w:r>
          </w:p>
        </w:tc>
        <w:tc>
          <w:tcPr>
            <w:tcW w:w="100" w:type="dxa"/>
            <w:vAlign w:val="bottom"/>
          </w:tcPr>
          <w:p>
            <w:pPr>
              <w:spacing w:after="0"/>
              <w:rPr>
                <w:sz w:val="23"/>
                <w:szCs w:val="23"/>
                <w:color w:val="auto"/>
              </w:rPr>
            </w:pPr>
          </w:p>
        </w:tc>
      </w:tr>
      <w:tr>
        <w:trPr>
          <w:trHeight w:val="250"/>
        </w:trPr>
        <w:tc>
          <w:tcPr>
            <w:tcW w:w="60" w:type="dxa"/>
            <w:vAlign w:val="bottom"/>
            <w:tcBorders>
              <w:bottom w:val="single" w:sz="8" w:color="CCEEFF"/>
            </w:tcBorders>
          </w:tcPr>
          <w:p>
            <w:pPr>
              <w:spacing w:after="0"/>
              <w:rPr>
                <w:sz w:val="21"/>
                <w:szCs w:val="21"/>
                <w:color w:val="auto"/>
              </w:rPr>
            </w:pPr>
          </w:p>
        </w:tc>
        <w:tc>
          <w:tcPr>
            <w:tcW w:w="434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defined benefit pension plans</w:t>
            </w:r>
          </w:p>
        </w:tc>
        <w:tc>
          <w:tcPr>
            <w:tcW w:w="30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(8,234)</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4,507</w:t>
            </w:r>
          </w:p>
        </w:tc>
        <w:tc>
          <w:tcPr>
            <w:tcW w:w="100" w:type="dxa"/>
            <w:vAlign w:val="bottom"/>
          </w:tcPr>
          <w:p>
            <w:pPr>
              <w:spacing w:after="0"/>
              <w:rPr>
                <w:sz w:val="21"/>
                <w:szCs w:val="21"/>
                <w:color w:val="auto"/>
              </w:rPr>
            </w:pPr>
          </w:p>
        </w:tc>
      </w:tr>
      <w:tr>
        <w:trPr>
          <w:trHeight w:val="270"/>
        </w:trPr>
        <w:tc>
          <w:tcPr>
            <w:tcW w:w="60" w:type="dxa"/>
            <w:vAlign w:val="bottom"/>
            <w:shd w:val="clear" w:color="auto" w:fill="CCEEFF"/>
          </w:tcPr>
          <w:p>
            <w:pPr>
              <w:spacing w:after="0"/>
              <w:rPr>
                <w:sz w:val="23"/>
                <w:szCs w:val="23"/>
                <w:color w:val="auto"/>
              </w:rPr>
            </w:pPr>
          </w:p>
        </w:tc>
        <w:tc>
          <w:tcPr>
            <w:tcW w:w="4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Forward-starting interest rate swaps (“FSIRS”):</w:t>
            </w:r>
          </w:p>
        </w:tc>
        <w:tc>
          <w:tcPr>
            <w:tcW w:w="3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434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Amounts reclassified into net income</w:t>
            </w:r>
          </w:p>
        </w:tc>
        <w:tc>
          <w:tcPr>
            <w:tcW w:w="30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2,541</w:t>
            </w:r>
          </w:p>
        </w:tc>
        <w:tc>
          <w:tcPr>
            <w:tcW w:w="100" w:type="dxa"/>
            <w:vAlign w:val="bottom"/>
          </w:tcPr>
          <w:p>
            <w:pPr>
              <w:spacing w:after="0"/>
              <w:rPr>
                <w:sz w:val="22"/>
                <w:szCs w:val="22"/>
                <w:color w:val="auto"/>
              </w:rPr>
            </w:pPr>
          </w:p>
        </w:tc>
      </w:tr>
      <w:tr>
        <w:trPr>
          <w:trHeight w:val="250"/>
        </w:trPr>
        <w:tc>
          <w:tcPr>
            <w:tcW w:w="60" w:type="dxa"/>
            <w:vAlign w:val="bottom"/>
            <w:shd w:val="clear" w:color="auto" w:fill="CCEEFF"/>
          </w:tcPr>
          <w:p>
            <w:pPr>
              <w:spacing w:after="0"/>
              <w:rPr>
                <w:sz w:val="21"/>
                <w:szCs w:val="21"/>
                <w:color w:val="auto"/>
              </w:rPr>
            </w:pP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30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2,541</w:t>
            </w:r>
          </w:p>
        </w:tc>
        <w:tc>
          <w:tcPr>
            <w:tcW w:w="100" w:type="dxa"/>
            <w:vAlign w:val="bottom"/>
          </w:tcPr>
          <w:p>
            <w:pPr>
              <w:spacing w:after="0"/>
              <w:rPr>
                <w:sz w:val="21"/>
                <w:szCs w:val="21"/>
                <w:color w:val="auto"/>
              </w:rPr>
            </w:pPr>
          </w:p>
        </w:tc>
      </w:tr>
      <w:tr>
        <w:trPr>
          <w:trHeight w:val="250"/>
        </w:trPr>
        <w:tc>
          <w:tcPr>
            <w:tcW w:w="60" w:type="dxa"/>
            <w:vAlign w:val="bottom"/>
            <w:tcBorders>
              <w:bottom w:val="single" w:sz="8" w:color="CCEEFF"/>
            </w:tcBorders>
          </w:tcPr>
          <w:p>
            <w:pPr>
              <w:spacing w:after="0"/>
              <w:rPr>
                <w:sz w:val="21"/>
                <w:szCs w:val="21"/>
                <w:color w:val="auto"/>
              </w:rPr>
            </w:pPr>
          </w:p>
        </w:tc>
        <w:tc>
          <w:tcPr>
            <w:tcW w:w="43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30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21"/>
                <w:szCs w:val="21"/>
                <w:color w:val="auto"/>
              </w:rPr>
            </w:pPr>
          </w:p>
        </w:tc>
      </w:tr>
      <w:tr>
        <w:trPr>
          <w:trHeight w:val="250"/>
        </w:trPr>
        <w:tc>
          <w:tcPr>
            <w:tcW w:w="4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net of tax</w:t>
            </w:r>
          </w:p>
        </w:tc>
        <w:tc>
          <w:tcPr>
            <w:tcW w:w="30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5,740</w:t>
            </w:r>
          </w:p>
        </w:tc>
        <w:tc>
          <w:tcPr>
            <w:tcW w:w="100" w:type="dxa"/>
            <w:vAlign w:val="bottom"/>
          </w:tcPr>
          <w:p>
            <w:pPr>
              <w:spacing w:after="0"/>
              <w:rPr>
                <w:sz w:val="21"/>
                <w:szCs w:val="21"/>
                <w:color w:val="auto"/>
              </w:rPr>
            </w:pPr>
          </w:p>
        </w:tc>
      </w:tr>
      <w:tr>
        <w:trPr>
          <w:trHeight w:val="250"/>
        </w:trPr>
        <w:tc>
          <w:tcPr>
            <w:tcW w:w="4400" w:type="dxa"/>
            <w:vAlign w:val="bottom"/>
            <w:gridSpan w:val="4"/>
          </w:tcPr>
          <w:p>
            <w:pPr>
              <w:ind w:left="40"/>
              <w:spacing w:after="0"/>
              <w:rPr>
                <w:sz w:val="20"/>
                <w:szCs w:val="20"/>
                <w:color w:val="auto"/>
              </w:rPr>
            </w:pPr>
            <w:r>
              <w:rPr>
                <w:rFonts w:ascii="Arial" w:cs="Arial" w:eastAsia="Arial" w:hAnsi="Arial"/>
                <w:sz w:val="14"/>
                <w:szCs w:val="14"/>
                <w:color w:val="auto"/>
              </w:rPr>
              <w:t>Comprehensive income</w:t>
            </w:r>
          </w:p>
        </w:tc>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70,664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97,429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185,818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204,482</w:t>
            </w:r>
          </w:p>
        </w:tc>
        <w:tc>
          <w:tcPr>
            <w:tcW w:w="100" w:type="dxa"/>
            <w:vAlign w:val="bottom"/>
          </w:tcPr>
          <w:p>
            <w:pPr>
              <w:spacing w:after="0"/>
              <w:rPr>
                <w:sz w:val="21"/>
                <w:szCs w:val="21"/>
                <w:color w:val="auto"/>
              </w:rPr>
            </w:pPr>
          </w:p>
        </w:tc>
      </w:tr>
      <w:tr>
        <w:trPr>
          <w:trHeight w:val="270"/>
        </w:trPr>
        <w:tc>
          <w:tcPr>
            <w:tcW w:w="60" w:type="dxa"/>
            <w:vAlign w:val="bottom"/>
            <w:shd w:val="clear" w:color="auto" w:fill="CCEEFF"/>
          </w:tcPr>
          <w:p>
            <w:pPr>
              <w:spacing w:after="0"/>
              <w:rPr>
                <w:sz w:val="23"/>
                <w:szCs w:val="23"/>
                <w:color w:val="auto"/>
              </w:rPr>
            </w:pP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Comprehensive income attributable to noncontrolling interests</w:t>
            </w:r>
          </w:p>
        </w:tc>
        <w:tc>
          <w:tcPr>
            <w:tcW w:w="30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23"/>
                <w:szCs w:val="23"/>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4"/>
                <w:szCs w:val="14"/>
                <w:color w:val="auto"/>
              </w:rPr>
              <w:t>Comprehensive income attributable to Southwest Gas Holdings, Inc.</w:t>
            </w:r>
          </w:p>
        </w:tc>
        <w:tc>
          <w:tcPr>
            <w:tcW w:w="3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70,201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96,854</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183,219</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203,735</w:t>
            </w:r>
          </w:p>
        </w:tc>
        <w:tc>
          <w:tcPr>
            <w:tcW w:w="10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270" w:right="39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180"/>
          </w:cols>
          <w:pgMar w:left="360" w:top="270" w:right="35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-287020</wp:posOffset>
            </wp:positionV>
            <wp:extent cx="7115175" cy="179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72390</wp:posOffset>
            </wp:positionV>
            <wp:extent cx="71151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71120</wp:posOffset>
            </wp:positionV>
            <wp:extent cx="71151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current assets and liabilities:</w:t>
      </w:r>
    </w:p>
    <w:p>
      <w:pPr>
        <w:spacing w:after="0" w:line="10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Accounts receivable, net of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Accrued utility revenue</w:t>
      </w:r>
    </w:p>
    <w:p>
      <w:pPr>
        <w:spacing w:after="0" w:line="10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Deferred purchased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Other current assets and liabilities</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Gains on sale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undistributed stock compensation</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Equity AFUDC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deferred charges and other assets</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other liabilities and 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72390</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Construction expenditures and property additions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Acquisition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Changes in customer advances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72390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Issuance of common stock, net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Issuance of long-term debt, net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Retirement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 in credit facility and commercial paper</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 in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Principal payments on finance lease obligations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Withholding remittance -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Effects of currency translation on cash and cash equivalents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and cash equivalents at beginning of period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SUPPLEMENTAL INFORMATION:</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paid,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15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Income taxes paid (received), net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0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880" w:type="dxa"/>
            <w:vAlign w:val="bottom"/>
            <w:gridSpan w:val="4"/>
          </w:tcPr>
          <w:p>
            <w:pPr>
              <w:jc w:val="right"/>
              <w:ind w:right="308"/>
              <w:spacing w:after="0"/>
              <w:rPr>
                <w:sz w:val="20"/>
                <w:szCs w:val="20"/>
                <w:color w:val="auto"/>
              </w:rPr>
            </w:pPr>
            <w:r>
              <w:rPr>
                <w:rFonts w:ascii="Arial" w:cs="Arial" w:eastAsia="Arial" w:hAnsi="Arial"/>
                <w:sz w:val="14"/>
                <w:szCs w:val="14"/>
                <w:color w:val="auto"/>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40" w:type="dxa"/>
            <w:vAlign w:val="bottom"/>
            <w:tcBorders>
              <w:bottom w:val="single" w:sz="8" w:color="auto"/>
            </w:tcBorders>
          </w:tcPr>
          <w:p>
            <w:pPr>
              <w:spacing w:after="0"/>
              <w:rPr>
                <w:sz w:val="16"/>
                <w:szCs w:val="16"/>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2019</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73,005</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95,384</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194,268</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198,742</w:t>
            </w:r>
          </w:p>
        </w:tc>
      </w:tr>
      <w:tr>
        <w:trPr>
          <w:trHeight w:val="540"/>
        </w:trPr>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87,653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77,539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313,351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264,273</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25,309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24,923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54,548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52,736</w:t>
            </w:r>
          </w:p>
        </w:tc>
      </w:tr>
      <w:tr>
        <w:trPr>
          <w:trHeight w:val="540"/>
        </w:trPr>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45,837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(40,282)</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30,200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10,155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(67,863)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19,527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25,339</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(60,723)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(49,945)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47,632</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30,377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25,400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(5,331)</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76,453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47,848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102,742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(5,582)</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(1,706)</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3,188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6,524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7,438</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(4,358)</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(20,221)</w:t>
            </w:r>
          </w:p>
        </w:tc>
      </w:tr>
      <w:tr>
        <w:trPr>
          <w:trHeight w:val="276"/>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(55,722)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(65,704)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17,420</w:t>
            </w:r>
          </w:p>
        </w:tc>
      </w:tr>
      <w:tr>
        <w:trPr>
          <w:trHeight w:val="250"/>
        </w:trPr>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271,566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188,111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583,827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536,400</w:t>
            </w:r>
          </w:p>
        </w:tc>
      </w:tr>
      <w:tr>
        <w:trPr>
          <w:trHeight w:val="528"/>
        </w:trPr>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(210,655)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(210,662)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(938,141)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(822,034)</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(47,638)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(247,164)</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21,357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13,503</w:t>
            </w:r>
          </w:p>
        </w:tc>
      </w:tr>
      <w:tr>
        <w:trPr>
          <w:trHeight w:val="276"/>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19,321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3,200</w:t>
            </w:r>
          </w:p>
        </w:tc>
      </w:tr>
      <w:tr>
        <w:trPr>
          <w:trHeight w:val="250"/>
        </w:trPr>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(200,791)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(207,322)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(945,101)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(1,052,495)</w:t>
            </w:r>
          </w:p>
        </w:tc>
      </w:tr>
      <w:tr>
        <w:trPr>
          <w:trHeight w:val="528"/>
        </w:trPr>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25,879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135,215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369,061</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(27,602)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(118,531)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(104,003)</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99,978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29,666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601,908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259,456</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(75,168)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(31,160)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(257,797)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(247,816)</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111,000</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36,000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165,500</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(553)</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(2,096)</w:t>
            </w:r>
          </w:p>
        </w:tc>
      </w:tr>
      <w:tr>
        <w:trPr>
          <w:trHeight w:val="276"/>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(2,460)</w:t>
            </w:r>
          </w:p>
        </w:tc>
      </w:tr>
      <w:tr>
        <w:trPr>
          <w:trHeight w:val="250"/>
        </w:trPr>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(59,034)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30,822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325,424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548,089</w:t>
            </w:r>
          </w:p>
        </w:tc>
      </w:tr>
      <w:tr>
        <w:trPr>
          <w:trHeight w:val="250"/>
        </w:trPr>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244"/>
        </w:trPr>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31,922</w:t>
            </w:r>
          </w:p>
        </w:tc>
      </w:tr>
      <w:tr>
        <w:trPr>
          <w:trHeight w:val="276"/>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49,539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85,361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97,037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65,115</w:t>
            </w:r>
          </w:p>
        </w:tc>
      </w:tr>
      <w:tr>
        <w:trPr>
          <w:trHeight w:val="236"/>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60,965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97,037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60,965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97,037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50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13,073</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15,850</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99,481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89,118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0"/>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6120" w:space="720"/>
            <w:col w:w="4340"/>
          </w:cols>
          <w:pgMar w:left="360" w:top="270" w:right="359" w:bottom="1014" w:gutter="0" w:footer="0" w:header="0"/>
          <w:type w:val="continuous"/>
        </w:sectPr>
      </w:pPr>
    </w:p>
    <w:p>
      <w:pPr>
        <w:jc w:val="center"/>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180"/>
          </w:cols>
          <w:pgMar w:left="360" w:top="270" w:right="359" w:bottom="1014"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80"/>
          </w:cols>
          <w:pgMar w:left="360" w:top="270" w:right="359" w:bottom="1014"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78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2"/>
          </w:tcPr>
          <w:p>
            <w:pPr>
              <w:jc w:val="center"/>
              <w:ind w:left="70"/>
              <w:spacing w:after="0"/>
              <w:rPr>
                <w:sz w:val="20"/>
                <w:szCs w:val="20"/>
                <w:color w:val="auto"/>
              </w:rPr>
            </w:pPr>
            <w:r>
              <w:rPr>
                <w:rFonts w:ascii="Arial" w:cs="Arial" w:eastAsia="Arial" w:hAnsi="Arial"/>
                <w:sz w:val="18"/>
                <w:szCs w:val="18"/>
                <w:color w:val="auto"/>
                <w:w w:val="96"/>
              </w:rPr>
              <w:t>SOUTHWEST GAS HOLDINGS, INC. AND SUBSIDIARIES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CONDENSED CONSOLIDATED STATEMENTS OF EQUITY</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jc w:val="center"/>
              <w:ind w:left="670"/>
              <w:spacing w:after="0"/>
              <w:rPr>
                <w:sz w:val="20"/>
                <w:szCs w:val="20"/>
                <w:color w:val="auto"/>
              </w:rPr>
            </w:pPr>
            <w:r>
              <w:rPr>
                <w:rFonts w:ascii="Arial" w:cs="Arial" w:eastAsia="Arial" w:hAnsi="Arial"/>
                <w:sz w:val="18"/>
                <w:szCs w:val="18"/>
                <w:color w:val="auto"/>
                <w:w w:val="88"/>
              </w:rPr>
              <w:t>(In thousands, except per share amounts)</w:t>
            </w: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jc w:val="center"/>
              <w:ind w:left="650"/>
              <w:spacing w:after="0"/>
              <w:rPr>
                <w:sz w:val="20"/>
                <w:szCs w:val="20"/>
                <w:color w:val="auto"/>
              </w:rPr>
            </w:pPr>
            <w:r>
              <w:rPr>
                <w:rFonts w:ascii="Arial" w:cs="Arial" w:eastAsia="Arial" w:hAnsi="Arial"/>
                <w:sz w:val="18"/>
                <w:szCs w:val="18"/>
                <w:color w:val="auto"/>
                <w:w w:val="93"/>
              </w:rPr>
              <w:t>(Unaudited)</w:t>
            </w: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55"/>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20" w:type="dxa"/>
            <w:vAlign w:val="bottom"/>
            <w:gridSpan w:val="4"/>
          </w:tcPr>
          <w:p>
            <w:pPr>
              <w:jc w:val="right"/>
              <w:ind w:right="1078"/>
              <w:spacing w:after="0"/>
              <w:rPr>
                <w:sz w:val="20"/>
                <w:szCs w:val="20"/>
                <w:color w:val="auto"/>
              </w:rPr>
            </w:pPr>
            <w:r>
              <w:rPr>
                <w:rFonts w:ascii="Arial" w:cs="Arial" w:eastAsia="Arial" w:hAnsi="Arial"/>
                <w:sz w:val="16"/>
                <w:szCs w:val="16"/>
                <w:color w:val="auto"/>
              </w:rPr>
              <w:t>Three Months Ended</w:t>
            </w:r>
          </w:p>
        </w:tc>
      </w:tr>
      <w:tr>
        <w:trPr>
          <w:trHeight w:val="20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60" w:type="dxa"/>
            <w:vAlign w:val="bottom"/>
            <w:gridSpan w:val="3"/>
          </w:tcPr>
          <w:p>
            <w:pPr>
              <w:jc w:val="right"/>
              <w:ind w:right="59"/>
              <w:spacing w:after="0"/>
              <w:rPr>
                <w:sz w:val="20"/>
                <w:szCs w:val="20"/>
                <w:color w:val="auto"/>
              </w:rPr>
            </w:pPr>
            <w:r>
              <w:rPr>
                <w:rFonts w:ascii="Arial" w:cs="Arial" w:eastAsia="Arial" w:hAnsi="Arial"/>
                <w:sz w:val="16"/>
                <w:szCs w:val="16"/>
                <w:color w:val="auto"/>
              </w:rPr>
              <w:t>March 31,</w:t>
            </w:r>
          </w:p>
        </w:tc>
        <w:tc>
          <w:tcPr>
            <w:tcW w:w="1360" w:type="dxa"/>
            <w:vAlign w:val="bottom"/>
          </w:tcPr>
          <w:p>
            <w:pPr>
              <w:spacing w:after="0"/>
              <w:rPr>
                <w:sz w:val="17"/>
                <w:szCs w:val="17"/>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ind w:right="65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8"/>
              <w:spacing w:after="0"/>
              <w:rPr>
                <w:sz w:val="20"/>
                <w:szCs w:val="20"/>
                <w:color w:val="auto"/>
              </w:rPr>
            </w:pPr>
            <w:r>
              <w:rPr>
                <w:rFonts w:ascii="Arial" w:cs="Arial" w:eastAsia="Arial" w:hAnsi="Arial"/>
                <w:sz w:val="16"/>
                <w:szCs w:val="16"/>
                <w:color w:val="auto"/>
              </w:rPr>
              <w:t>2019</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shares</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748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55,007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53,026</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Common stock issuances</w:t>
            </w:r>
          </w:p>
        </w:tc>
        <w:tc>
          <w:tcPr>
            <w:tcW w:w="5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365</w:t>
            </w:r>
          </w:p>
        </w:tc>
      </w:tr>
      <w:tr>
        <w:trPr>
          <w:trHeight w:val="283"/>
        </w:trPr>
        <w:tc>
          <w:tcPr>
            <w:tcW w:w="60" w:type="dxa"/>
            <w:vAlign w:val="bottom"/>
            <w:tcBorders>
              <w:bottom w:val="single" w:sz="8" w:color="CCEEFF"/>
            </w:tcBorders>
          </w:tcPr>
          <w:p>
            <w:pPr>
              <w:spacing w:after="0"/>
              <w:rPr>
                <w:sz w:val="24"/>
                <w:szCs w:val="24"/>
                <w:color w:val="auto"/>
              </w:rPr>
            </w:pPr>
          </w:p>
        </w:tc>
        <w:tc>
          <w:tcPr>
            <w:tcW w:w="748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Ending balances</w:t>
            </w:r>
          </w:p>
        </w:tc>
        <w:tc>
          <w:tcPr>
            <w:tcW w:w="5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55,126</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53,391</w:t>
            </w:r>
          </w:p>
        </w:tc>
      </w:tr>
      <w:tr>
        <w:trPr>
          <w:trHeight w:val="237"/>
        </w:trPr>
        <w:tc>
          <w:tcPr>
            <w:tcW w:w="7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amount</w:t>
            </w:r>
          </w:p>
        </w:tc>
        <w:tc>
          <w:tcPr>
            <w:tcW w:w="5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748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56,637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54,656</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Common stock issuances</w:t>
            </w:r>
          </w:p>
        </w:tc>
        <w:tc>
          <w:tcPr>
            <w:tcW w:w="5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365</w:t>
            </w:r>
          </w:p>
        </w:tc>
      </w:tr>
      <w:tr>
        <w:trPr>
          <w:trHeight w:val="217"/>
        </w:trPr>
        <w:tc>
          <w:tcPr>
            <w:tcW w:w="60" w:type="dxa"/>
            <w:vAlign w:val="bottom"/>
          </w:tcPr>
          <w:p>
            <w:pPr>
              <w:spacing w:after="0"/>
              <w:rPr>
                <w:sz w:val="18"/>
                <w:szCs w:val="18"/>
                <w:color w:val="auto"/>
              </w:rPr>
            </w:pPr>
          </w:p>
        </w:tc>
        <w:tc>
          <w:tcPr>
            <w:tcW w:w="748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5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56,756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55,021</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748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1,466,937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1,305,769</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Common stock issuances</w:t>
            </w:r>
          </w:p>
        </w:tc>
        <w:tc>
          <w:tcPr>
            <w:tcW w:w="5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27,024</w:t>
            </w:r>
          </w:p>
        </w:tc>
      </w:tr>
      <w:tr>
        <w:trPr>
          <w:trHeight w:val="217"/>
        </w:trPr>
        <w:tc>
          <w:tcPr>
            <w:tcW w:w="60" w:type="dxa"/>
            <w:vAlign w:val="bottom"/>
          </w:tcPr>
          <w:p>
            <w:pPr>
              <w:spacing w:after="0"/>
              <w:rPr>
                <w:sz w:val="18"/>
                <w:szCs w:val="18"/>
                <w:color w:val="auto"/>
              </w:rPr>
            </w:pPr>
          </w:p>
        </w:tc>
        <w:tc>
          <w:tcPr>
            <w:tcW w:w="748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5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1,470,411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1,332,793</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748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(56,732)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(52,668)</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Foreign currency exchange translation adjustment</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791</w:t>
            </w:r>
          </w:p>
        </w:tc>
      </w:tr>
      <w:tr>
        <w:trPr>
          <w:trHeight w:val="237"/>
        </w:trPr>
        <w:tc>
          <w:tcPr>
            <w:tcW w:w="60" w:type="dxa"/>
            <w:vAlign w:val="bottom"/>
          </w:tcPr>
          <w:p>
            <w:pPr>
              <w:spacing w:after="0"/>
              <w:rPr>
                <w:sz w:val="20"/>
                <w:szCs w:val="20"/>
                <w:color w:val="auto"/>
              </w:rPr>
            </w:pPr>
          </w:p>
        </w:tc>
        <w:tc>
          <w:tcPr>
            <w:tcW w:w="7480" w:type="dxa"/>
            <w:vAlign w:val="bottom"/>
            <w:gridSpan w:val="3"/>
          </w:tcPr>
          <w:p>
            <w:pPr>
              <w:ind w:left="880"/>
              <w:spacing w:after="0"/>
              <w:rPr>
                <w:sz w:val="20"/>
                <w:szCs w:val="20"/>
                <w:color w:val="auto"/>
              </w:rPr>
            </w:pPr>
            <w:r>
              <w:rPr>
                <w:rFonts w:ascii="Arial" w:cs="Arial" w:eastAsia="Arial" w:hAnsi="Arial"/>
                <w:sz w:val="16"/>
                <w:szCs w:val="16"/>
                <w:color w:val="auto"/>
                <w:w w:val="92"/>
              </w:rPr>
              <w:t>Net actuarial gain arising during period, less amortization of unamortized benefit plan cost, net of tax</w:t>
            </w: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619</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FSIRS amounts reclassified to net income, net of tax</w:t>
            </w:r>
          </w:p>
        </w:tc>
        <w:tc>
          <w:tcPr>
            <w:tcW w:w="5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635</w:t>
            </w:r>
          </w:p>
        </w:tc>
      </w:tr>
      <w:tr>
        <w:trPr>
          <w:trHeight w:val="217"/>
        </w:trPr>
        <w:tc>
          <w:tcPr>
            <w:tcW w:w="60" w:type="dxa"/>
            <w:vAlign w:val="bottom"/>
          </w:tcPr>
          <w:p>
            <w:pPr>
              <w:spacing w:after="0"/>
              <w:rPr>
                <w:sz w:val="18"/>
                <w:szCs w:val="18"/>
                <w:color w:val="auto"/>
              </w:rPr>
            </w:pPr>
          </w:p>
        </w:tc>
        <w:tc>
          <w:tcPr>
            <w:tcW w:w="748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5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(59,073)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(50,623)</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748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1,039,072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944,285</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Net income</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94,809</w:t>
            </w:r>
          </w:p>
        </w:tc>
      </w:tr>
      <w:tr>
        <w:trPr>
          <w:trHeight w:val="237"/>
        </w:trPr>
        <w:tc>
          <w:tcPr>
            <w:tcW w:w="60" w:type="dxa"/>
            <w:vAlign w:val="bottom"/>
          </w:tcPr>
          <w:p>
            <w:pPr>
              <w:spacing w:after="0"/>
              <w:rPr>
                <w:sz w:val="20"/>
                <w:szCs w:val="20"/>
                <w:color w:val="auto"/>
              </w:rPr>
            </w:pPr>
          </w:p>
        </w:tc>
        <w:tc>
          <w:tcPr>
            <w:tcW w:w="7480" w:type="dxa"/>
            <w:vAlign w:val="bottom"/>
            <w:gridSpan w:val="3"/>
          </w:tcPr>
          <w:p>
            <w:pPr>
              <w:ind w:left="880"/>
              <w:spacing w:after="0"/>
              <w:rPr>
                <w:sz w:val="20"/>
                <w:szCs w:val="20"/>
                <w:color w:val="auto"/>
              </w:rPr>
            </w:pPr>
            <w:r>
              <w:rPr>
                <w:rFonts w:ascii="Arial" w:cs="Arial" w:eastAsia="Arial" w:hAnsi="Arial"/>
                <w:sz w:val="16"/>
                <w:szCs w:val="16"/>
                <w:color w:val="auto"/>
              </w:rPr>
              <w:t>Dividends declared</w:t>
            </w: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(29,285)</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Ending balances</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1,079,801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1,009,809</w:t>
            </w:r>
          </w:p>
        </w:tc>
      </w:tr>
      <w:tr>
        <w:trPr>
          <w:trHeight w:val="217"/>
        </w:trPr>
        <w:tc>
          <w:tcPr>
            <w:tcW w:w="7540" w:type="dxa"/>
            <w:vAlign w:val="bottom"/>
            <w:gridSpan w:val="4"/>
          </w:tcPr>
          <w:p>
            <w:pPr>
              <w:ind w:left="40"/>
              <w:spacing w:after="0"/>
              <w:rPr>
                <w:sz w:val="20"/>
                <w:szCs w:val="20"/>
                <w:color w:val="auto"/>
              </w:rPr>
            </w:pPr>
            <w:r>
              <w:rPr>
                <w:rFonts w:ascii="Arial" w:cs="Arial" w:eastAsia="Arial" w:hAnsi="Arial"/>
                <w:sz w:val="16"/>
                <w:szCs w:val="16"/>
                <w:color w:val="auto"/>
              </w:rPr>
              <w:t>Total Southwest Gas Holdings, Inc. equity ending balances</w:t>
            </w:r>
          </w:p>
        </w:tc>
        <w:tc>
          <w:tcPr>
            <w:tcW w:w="5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2,547,895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2,347,000</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748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5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Ending balances</w:t>
            </w:r>
          </w:p>
        </w:tc>
        <w:tc>
          <w:tcPr>
            <w:tcW w:w="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r>
      <w:tr>
        <w:trPr>
          <w:trHeight w:val="283"/>
        </w:trPr>
        <w:tc>
          <w:tcPr>
            <w:tcW w:w="754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Total equity ending balances</w:t>
            </w: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2,547,895</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2,346,548</w:t>
            </w:r>
          </w:p>
        </w:tc>
      </w:tr>
      <w:tr>
        <w:trPr>
          <w:trHeight w:val="237"/>
        </w:trPr>
        <w:tc>
          <w:tcPr>
            <w:tcW w:w="7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0.570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0.545</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6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5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March 31, 2020</w:t>
            </w:r>
          </w:p>
        </w:tc>
        <w:tc>
          <w:tcPr>
            <w:tcW w:w="0" w:type="dxa"/>
            <w:vAlign w:val="bottom"/>
          </w:tcPr>
          <w:p>
            <w:pPr>
              <w:spacing w:after="0"/>
              <w:rPr>
                <w:sz w:val="1"/>
                <w:szCs w:val="1"/>
                <w:color w:val="auto"/>
              </w:rPr>
            </w:pPr>
          </w:p>
        </w:tc>
      </w:tr>
      <w:tr>
        <w:trPr>
          <w:trHeight w:val="789"/>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2"/>
          </w:tcPr>
          <w:p>
            <w:pPr>
              <w:jc w:val="center"/>
              <w:ind w:left="230"/>
              <w:spacing w:after="0"/>
              <w:rPr>
                <w:sz w:val="20"/>
                <w:szCs w:val="20"/>
                <w:color w:val="auto"/>
              </w:rPr>
            </w:pPr>
            <w:r>
              <w:rPr>
                <w:rFonts w:ascii="Arial" w:cs="Arial" w:eastAsia="Arial" w:hAnsi="Arial"/>
                <w:sz w:val="18"/>
                <w:szCs w:val="18"/>
                <w:color w:val="auto"/>
                <w:w w:val="95"/>
              </w:rPr>
              <w:t>SOUTHWEST GAS CORPORATION AND SUBSIDIARIES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jc w:val="center"/>
              <w:ind w:left="490"/>
              <w:spacing w:after="0"/>
              <w:rPr>
                <w:sz w:val="20"/>
                <w:szCs w:val="20"/>
                <w:color w:val="auto"/>
              </w:rPr>
            </w:pPr>
            <w:r>
              <w:rPr>
                <w:rFonts w:ascii="Arial" w:cs="Arial" w:eastAsia="Arial" w:hAnsi="Arial"/>
                <w:sz w:val="18"/>
                <w:szCs w:val="18"/>
                <w:color w:val="auto"/>
                <w:w w:val="95"/>
              </w:rPr>
              <w:t>CONDENSED CONSOLIDATED BALANCE SHEETS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jc w:val="center"/>
              <w:ind w:left="470"/>
              <w:spacing w:after="0"/>
              <w:rPr>
                <w:sz w:val="20"/>
                <w:szCs w:val="20"/>
                <w:color w:val="auto"/>
              </w:rPr>
            </w:pPr>
            <w:r>
              <w:rPr>
                <w:rFonts w:ascii="Arial" w:cs="Arial" w:eastAsia="Arial" w:hAnsi="Arial"/>
                <w:sz w:val="18"/>
                <w:szCs w:val="18"/>
                <w:color w:val="auto"/>
                <w:w w:val="91"/>
              </w:rPr>
              <w:t>(Thousands of dollars)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jc w:val="center"/>
              <w:ind w:left="47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color w:val="auto"/>
              </w:rPr>
              <w:t>March 31, 2020</w:t>
            </w:r>
          </w:p>
        </w:tc>
        <w:tc>
          <w:tcPr>
            <w:tcW w:w="160" w:type="dxa"/>
            <w:vAlign w:val="bottom"/>
          </w:tcPr>
          <w:p>
            <w:pPr>
              <w:spacing w:after="0"/>
              <w:rPr>
                <w:sz w:val="24"/>
                <w:szCs w:val="2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color w:val="auto"/>
                <w:w w:val="95"/>
              </w:rPr>
              <w:t>December 31, 2019</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7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20"/>
              <w:spacing w:after="0"/>
              <w:rPr>
                <w:sz w:val="20"/>
                <w:szCs w:val="20"/>
                <w:color w:val="auto"/>
              </w:rPr>
            </w:pPr>
            <w:r>
              <w:rPr>
                <w:rFonts w:ascii="Arial" w:cs="Arial" w:eastAsia="Arial" w:hAnsi="Arial"/>
                <w:sz w:val="14"/>
                <w:szCs w:val="14"/>
                <w:color w:val="auto"/>
              </w:rPr>
              <w:t>Utility plant:</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Gas plant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7,949,283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7,813,221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380"/>
              <w:spacing w:after="0"/>
              <w:rPr>
                <w:sz w:val="20"/>
                <w:szCs w:val="20"/>
                <w:color w:val="auto"/>
              </w:rPr>
            </w:pPr>
            <w:r>
              <w:rPr>
                <w:rFonts w:ascii="Arial" w:cs="Arial" w:eastAsia="Arial" w:hAnsi="Arial"/>
                <w:sz w:val="14"/>
                <w:szCs w:val="14"/>
                <w:color w:val="auto"/>
              </w:rPr>
              <w:t>Less: accumulated depreciation</w:t>
            </w: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(2,341,561)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(2,313,050)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Construction work in progress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202,935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185,026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540" w:type="dxa"/>
            <w:vAlign w:val="bottom"/>
            <w:tcBorders>
              <w:bottom w:val="single" w:sz="8" w:color="CCEEFF"/>
            </w:tcBorders>
            <w:gridSpan w:val="3"/>
          </w:tcPr>
          <w:p>
            <w:pPr>
              <w:ind w:left="700"/>
              <w:spacing w:after="0"/>
              <w:rPr>
                <w:sz w:val="20"/>
                <w:szCs w:val="20"/>
                <w:color w:val="auto"/>
              </w:rPr>
            </w:pPr>
            <w:r>
              <w:rPr>
                <w:rFonts w:ascii="Arial" w:cs="Arial" w:eastAsia="Arial" w:hAnsi="Arial"/>
                <w:sz w:val="14"/>
                <w:szCs w:val="14"/>
                <w:color w:val="auto"/>
              </w:rPr>
              <w:t>Net utility plant</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5,810,657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5,685,197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118,547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133,787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40,489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380"/>
              <w:spacing w:after="0"/>
              <w:rPr>
                <w:sz w:val="20"/>
                <w:szCs w:val="20"/>
                <w:color w:val="auto"/>
              </w:rPr>
            </w:pPr>
            <w:r>
              <w:rPr>
                <w:rFonts w:ascii="Arial" w:cs="Arial" w:eastAsia="Arial" w:hAnsi="Arial"/>
                <w:sz w:val="14"/>
                <w:szCs w:val="14"/>
                <w:color w:val="auto"/>
              </w:rPr>
              <w:t>Accounts receivable, net of allowance</w:t>
            </w: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148,817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47"/>
              <w:spacing w:after="0"/>
              <w:rPr>
                <w:sz w:val="20"/>
                <w:szCs w:val="20"/>
                <w:color w:val="auto"/>
              </w:rPr>
            </w:pPr>
            <w:r>
              <w:rPr>
                <w:rFonts w:ascii="Arial" w:cs="Arial" w:eastAsia="Arial" w:hAnsi="Arial"/>
                <w:sz w:val="14"/>
                <w:szCs w:val="14"/>
                <w:color w:val="auto"/>
              </w:rPr>
              <w:t>150,793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Accrued utility revenue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79,100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380"/>
              <w:spacing w:after="0"/>
              <w:rPr>
                <w:sz w:val="20"/>
                <w:szCs w:val="20"/>
                <w:color w:val="auto"/>
              </w:rPr>
            </w:pPr>
            <w:r>
              <w:rPr>
                <w:rFonts w:ascii="Arial" w:cs="Arial" w:eastAsia="Arial" w:hAnsi="Arial"/>
                <w:sz w:val="14"/>
                <w:szCs w:val="14"/>
                <w:color w:val="auto"/>
              </w:rPr>
              <w:t>Income taxes receivable, net</w:t>
            </w:r>
          </w:p>
        </w:tc>
        <w:tc>
          <w:tcPr>
            <w:tcW w:w="26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60" w:type="dxa"/>
            <w:vAlign w:val="bottom"/>
          </w:tcPr>
          <w:p>
            <w:pPr>
              <w:jc w:val="right"/>
              <w:ind w:right="47"/>
              <w:spacing w:after="0"/>
              <w:rPr>
                <w:sz w:val="20"/>
                <w:szCs w:val="20"/>
                <w:color w:val="auto"/>
              </w:rPr>
            </w:pPr>
            <w:r>
              <w:rPr>
                <w:rFonts w:ascii="Arial" w:cs="Arial" w:eastAsia="Arial" w:hAnsi="Arial"/>
                <w:sz w:val="14"/>
                <w:szCs w:val="14"/>
                <w:color w:val="auto"/>
              </w:rPr>
              <w:t>25,901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Deferred purchased gas costs</w:t>
            </w:r>
          </w:p>
        </w:tc>
        <w:tc>
          <w:tcPr>
            <w:tcW w:w="2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44,412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tcBorders>
              <w:bottom w:val="single" w:sz="8" w:color="CCEEFF"/>
            </w:tcBorders>
            <w:gridSpan w:val="3"/>
          </w:tcPr>
          <w:p>
            <w:pPr>
              <w:ind w:left="380"/>
              <w:spacing w:after="0"/>
              <w:rPr>
                <w:sz w:val="20"/>
                <w:szCs w:val="20"/>
                <w:color w:val="auto"/>
              </w:rPr>
            </w:pPr>
            <w:r>
              <w:rPr>
                <w:rFonts w:ascii="Arial" w:cs="Arial" w:eastAsia="Arial" w:hAnsi="Arial"/>
                <w:sz w:val="14"/>
                <w:szCs w:val="14"/>
                <w:color w:val="auto"/>
              </w:rPr>
              <w:t>Prepaid and other current assets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119,264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165,639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754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372,705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506,334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754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10,095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tcBorders>
              <w:bottom w:val="single" w:sz="8" w:color="CCEEFF"/>
            </w:tcBorders>
            <w:gridSpan w:val="3"/>
          </w:tcPr>
          <w:p>
            <w:pPr>
              <w:ind w:left="380"/>
              <w:spacing w:after="0"/>
              <w:rPr>
                <w:sz w:val="20"/>
                <w:szCs w:val="20"/>
                <w:color w:val="auto"/>
              </w:rPr>
            </w:pPr>
            <w:r>
              <w:rPr>
                <w:rFonts w:ascii="Arial" w:cs="Arial" w:eastAsia="Arial" w:hAnsi="Arial"/>
                <w:sz w:val="14"/>
                <w:szCs w:val="14"/>
                <w:color w:val="auto"/>
              </w:rPr>
              <w:t>Deferred charges and other assets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456,684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463,333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54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noncurrent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466,779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473,428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6,768,688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6,798,746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CAPITALIZATION AND LIABILITIES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20"/>
              <w:spacing w:after="0"/>
              <w:rPr>
                <w:sz w:val="20"/>
                <w:szCs w:val="20"/>
                <w:color w:val="auto"/>
              </w:rPr>
            </w:pPr>
            <w:r>
              <w:rPr>
                <w:rFonts w:ascii="Arial" w:cs="Arial" w:eastAsia="Arial" w:hAnsi="Arial"/>
                <w:sz w:val="14"/>
                <w:szCs w:val="14"/>
                <w:color w:val="auto"/>
              </w:rPr>
              <w:t>Capitalization:</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49,112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1,279,208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47"/>
              <w:spacing w:after="0"/>
              <w:rPr>
                <w:sz w:val="20"/>
                <w:szCs w:val="20"/>
                <w:color w:val="auto"/>
              </w:rPr>
            </w:pPr>
            <w:r>
              <w:rPr>
                <w:rFonts w:ascii="Arial" w:cs="Arial" w:eastAsia="Arial" w:hAnsi="Arial"/>
                <w:sz w:val="14"/>
                <w:szCs w:val="14"/>
                <w:color w:val="auto"/>
              </w:rPr>
              <w:t>1,229,083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 net</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tcBorders>
              <w:bottom w:val="single" w:sz="8" w:color="CCEEFF"/>
            </w:tcBorders>
            <w:gridSpan w:val="3"/>
          </w:tcPr>
          <w:p>
            <w:pPr>
              <w:ind w:left="38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839,443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782,108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754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equity</w:t>
            </w: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2,114,276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2,005,152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tcBorders>
              <w:bottom w:val="single" w:sz="8" w:color="CCEEFF"/>
            </w:tcBorders>
            <w:gridSpan w:val="3"/>
          </w:tcPr>
          <w:p>
            <w:pPr>
              <w:ind w:left="380"/>
              <w:spacing w:after="0"/>
              <w:rPr>
                <w:sz w:val="20"/>
                <w:szCs w:val="20"/>
                <w:color w:val="auto"/>
              </w:rPr>
            </w:pPr>
            <w:r>
              <w:rPr>
                <w:rFonts w:ascii="Arial" w:cs="Arial" w:eastAsia="Arial" w:hAnsi="Arial"/>
                <w:sz w:val="14"/>
                <w:szCs w:val="14"/>
                <w:color w:val="auto"/>
              </w:rPr>
              <w:t>Long-term debt, less current maturities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1,991,624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1,991,333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754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capitalization</w:t>
            </w: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4,105,900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3,996,485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Current maturities of long-term debt</w:t>
            </w: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380"/>
              <w:spacing w:after="0"/>
              <w:rPr>
                <w:sz w:val="20"/>
                <w:szCs w:val="20"/>
                <w:color w:val="auto"/>
              </w:rPr>
            </w:pPr>
            <w:r>
              <w:rPr>
                <w:rFonts w:ascii="Arial" w:cs="Arial" w:eastAsia="Arial" w:hAnsi="Arial"/>
                <w:sz w:val="14"/>
                <w:szCs w:val="14"/>
                <w:color w:val="auto"/>
              </w:rPr>
              <w:t>Short-term debt</w:t>
            </w: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97,000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47"/>
              <w:spacing w:after="0"/>
              <w:rPr>
                <w:sz w:val="20"/>
                <w:szCs w:val="20"/>
                <w:color w:val="auto"/>
              </w:rPr>
            </w:pPr>
            <w:r>
              <w:rPr>
                <w:rFonts w:ascii="Arial" w:cs="Arial" w:eastAsia="Arial" w:hAnsi="Arial"/>
                <w:sz w:val="14"/>
                <w:szCs w:val="14"/>
                <w:color w:val="auto"/>
              </w:rPr>
              <w:t>194,000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149,368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380"/>
              <w:spacing w:after="0"/>
              <w:rPr>
                <w:sz w:val="20"/>
                <w:szCs w:val="20"/>
                <w:color w:val="auto"/>
              </w:rPr>
            </w:pPr>
            <w:r>
              <w:rPr>
                <w:rFonts w:ascii="Arial" w:cs="Arial" w:eastAsia="Arial" w:hAnsi="Arial"/>
                <w:sz w:val="14"/>
                <w:szCs w:val="14"/>
                <w:color w:val="auto"/>
              </w:rPr>
              <w:t>Customer deposits</w:t>
            </w: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69,938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47"/>
              <w:spacing w:after="0"/>
              <w:rPr>
                <w:sz w:val="20"/>
                <w:szCs w:val="20"/>
                <w:color w:val="auto"/>
              </w:rPr>
            </w:pPr>
            <w:r>
              <w:rPr>
                <w:rFonts w:ascii="Arial" w:cs="Arial" w:eastAsia="Arial" w:hAnsi="Arial"/>
                <w:sz w:val="14"/>
                <w:szCs w:val="14"/>
                <w:color w:val="auto"/>
              </w:rPr>
              <w:t>69,165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Income taxes payable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380"/>
              <w:spacing w:after="0"/>
              <w:rPr>
                <w:sz w:val="20"/>
                <w:szCs w:val="20"/>
                <w:color w:val="auto"/>
              </w:rPr>
            </w:pPr>
            <w:r>
              <w:rPr>
                <w:rFonts w:ascii="Arial" w:cs="Arial" w:eastAsia="Arial" w:hAnsi="Arial"/>
                <w:sz w:val="14"/>
                <w:szCs w:val="14"/>
                <w:color w:val="auto"/>
              </w:rPr>
              <w:t>Accrued general taxes</w:t>
            </w: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73,105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47"/>
              <w:spacing w:after="0"/>
              <w:rPr>
                <w:sz w:val="20"/>
                <w:szCs w:val="20"/>
                <w:color w:val="auto"/>
              </w:rPr>
            </w:pPr>
            <w:r>
              <w:rPr>
                <w:rFonts w:ascii="Arial" w:cs="Arial" w:eastAsia="Arial" w:hAnsi="Arial"/>
                <w:sz w:val="14"/>
                <w:szCs w:val="14"/>
                <w:color w:val="auto"/>
              </w:rPr>
              <w:t>48,160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Accrued interest</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21,256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380"/>
              <w:spacing w:after="0"/>
              <w:rPr>
                <w:sz w:val="20"/>
                <w:szCs w:val="20"/>
                <w:color w:val="auto"/>
              </w:rPr>
            </w:pPr>
            <w:r>
              <w:rPr>
                <w:rFonts w:ascii="Arial" w:cs="Arial" w:eastAsia="Arial" w:hAnsi="Arial"/>
                <w:sz w:val="14"/>
                <w:szCs w:val="14"/>
                <w:color w:val="auto"/>
              </w:rPr>
              <w:t>Deferred purchased gas costs</w:t>
            </w: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26,498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47"/>
              <w:spacing w:after="0"/>
              <w:rPr>
                <w:sz w:val="20"/>
                <w:szCs w:val="20"/>
                <w:color w:val="auto"/>
              </w:rPr>
            </w:pPr>
            <w:r>
              <w:rPr>
                <w:rFonts w:ascii="Arial" w:cs="Arial" w:eastAsia="Arial" w:hAnsi="Arial"/>
                <w:sz w:val="14"/>
                <w:szCs w:val="14"/>
                <w:color w:val="auto"/>
              </w:rPr>
              <w:t>60,755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Payable to parent</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tcBorders>
              <w:bottom w:val="single" w:sz="8" w:color="CCEEFF"/>
            </w:tcBorders>
            <w:gridSpan w:val="3"/>
          </w:tcPr>
          <w:p>
            <w:pPr>
              <w:ind w:left="38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147,950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126,573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754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702,189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795,121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Deferred income taxes and investment tax credits, net</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547,281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539,050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540" w:type="dxa"/>
            <w:vAlign w:val="bottom"/>
            <w:gridSpan w:val="3"/>
          </w:tcPr>
          <w:p>
            <w:pPr>
              <w:ind w:left="380"/>
              <w:spacing w:after="0"/>
              <w:rPr>
                <w:sz w:val="20"/>
                <w:szCs w:val="20"/>
                <w:color w:val="auto"/>
              </w:rPr>
            </w:pPr>
            <w:r>
              <w:rPr>
                <w:rFonts w:ascii="Arial" w:cs="Arial" w:eastAsia="Arial" w:hAnsi="Arial"/>
                <w:sz w:val="14"/>
                <w:szCs w:val="14"/>
                <w:color w:val="auto"/>
              </w:rPr>
              <w:t>Accumulated removal costs</w:t>
            </w: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399,000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47"/>
              <w:spacing w:after="0"/>
              <w:rPr>
                <w:sz w:val="20"/>
                <w:szCs w:val="20"/>
                <w:color w:val="auto"/>
              </w:rPr>
            </w:pPr>
            <w:r>
              <w:rPr>
                <w:rFonts w:ascii="Arial" w:cs="Arial" w:eastAsia="Arial" w:hAnsi="Arial"/>
                <w:sz w:val="14"/>
                <w:szCs w:val="14"/>
                <w:color w:val="auto"/>
              </w:rPr>
              <w:t>395,000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5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Other deferred credits and other long-term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1,014,318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1,073,090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540" w:type="dxa"/>
            <w:vAlign w:val="bottom"/>
            <w:tcBorders>
              <w:bottom w:val="single" w:sz="8" w:color="CCEEFF"/>
            </w:tcBorders>
            <w:gridSpan w:val="3"/>
          </w:tcPr>
          <w:p>
            <w:pPr>
              <w:ind w:left="700"/>
              <w:spacing w:after="0"/>
              <w:rPr>
                <w:sz w:val="20"/>
                <w:szCs w:val="20"/>
                <w:color w:val="auto"/>
              </w:rPr>
            </w:pPr>
            <w:r>
              <w:rPr>
                <w:rFonts w:ascii="Arial" w:cs="Arial" w:eastAsia="Arial" w:hAnsi="Arial"/>
                <w:sz w:val="14"/>
                <w:szCs w:val="14"/>
                <w:color w:val="auto"/>
              </w:rPr>
              <w:t>Total deferred income taxes and other credits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1,960,599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2,007,140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capitalization and liabilities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6,768,688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6,798,746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120"/>
          </w:cols>
          <w:pgMar w:left="380" w:top="270" w:right="399" w:bottom="1" w:gutter="0" w:footer="0" w:header="0"/>
        </w:sect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80" w:top="270" w:right="399" w:bottom="1"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March 31, 2020</w:t>
            </w:r>
          </w:p>
        </w:tc>
      </w:tr>
      <w:tr>
        <w:trPr>
          <w:trHeight w:val="78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gridSpan w:val="4"/>
          </w:tcPr>
          <w:p>
            <w:pPr>
              <w:jc w:val="center"/>
              <w:ind w:left="36"/>
              <w:spacing w:after="0"/>
              <w:rPr>
                <w:sz w:val="20"/>
                <w:szCs w:val="20"/>
                <w:color w:val="auto"/>
              </w:rPr>
            </w:pPr>
            <w:r>
              <w:rPr>
                <w:rFonts w:ascii="Arial" w:cs="Arial" w:eastAsia="Arial" w:hAnsi="Arial"/>
                <w:sz w:val="18"/>
                <w:szCs w:val="18"/>
                <w:color w:val="auto"/>
                <w:w w:val="95"/>
              </w:rPr>
              <w:t>SOUTHWEST GAS CORPORATION AND SUBSIDIARIES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gridSpan w:val="4"/>
          </w:tcPr>
          <w:p>
            <w:pPr>
              <w:jc w:val="center"/>
              <w:ind w:left="16"/>
              <w:spacing w:after="0"/>
              <w:rPr>
                <w:sz w:val="20"/>
                <w:szCs w:val="20"/>
                <w:color w:val="auto"/>
              </w:rPr>
            </w:pPr>
            <w:r>
              <w:rPr>
                <w:rFonts w:ascii="Arial" w:cs="Arial" w:eastAsia="Arial" w:hAnsi="Arial"/>
                <w:sz w:val="18"/>
                <w:szCs w:val="18"/>
                <w:color w:val="auto"/>
                <w:w w:val="95"/>
              </w:rPr>
              <w:t>CONDENSED CONSOLIDATED STATEMENTS OF INCOME</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2"/>
          </w:tcPr>
          <w:p>
            <w:pPr>
              <w:jc w:val="center"/>
              <w:ind w:left="916"/>
              <w:spacing w:after="0"/>
              <w:rPr>
                <w:sz w:val="20"/>
                <w:szCs w:val="20"/>
                <w:color w:val="auto"/>
              </w:rPr>
            </w:pPr>
            <w:r>
              <w:rPr>
                <w:rFonts w:ascii="Arial" w:cs="Arial" w:eastAsia="Arial" w:hAnsi="Arial"/>
                <w:sz w:val="18"/>
                <w:szCs w:val="18"/>
                <w:color w:val="auto"/>
                <w:w w:val="91"/>
              </w:rPr>
              <w:t>(Thousands of dollars)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2"/>
          </w:tcPr>
          <w:p>
            <w:pPr>
              <w:jc w:val="center"/>
              <w:ind w:left="916"/>
              <w:spacing w:after="0"/>
              <w:rPr>
                <w:sz w:val="20"/>
                <w:szCs w:val="20"/>
                <w:color w:val="auto"/>
              </w:rPr>
            </w:pPr>
            <w:r>
              <w:rPr>
                <w:rFonts w:ascii="Arial" w:cs="Arial" w:eastAsia="Arial" w:hAnsi="Arial"/>
                <w:sz w:val="18"/>
                <w:szCs w:val="18"/>
                <w:color w:val="auto"/>
                <w:w w:val="93"/>
              </w:rPr>
              <w:t>(Unaudited)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24"/>
                <w:szCs w:val="24"/>
                <w:color w:val="auto"/>
              </w:rPr>
            </w:pPr>
          </w:p>
        </w:tc>
        <w:tc>
          <w:tcPr>
            <w:tcW w:w="1900" w:type="dxa"/>
            <w:vAlign w:val="bottom"/>
            <w:gridSpan w:val="4"/>
          </w:tcPr>
          <w:p>
            <w:pPr>
              <w:jc w:val="right"/>
              <w:ind w:right="307"/>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667"/>
              <w:spacing w:after="0"/>
              <w:rPr>
                <w:sz w:val="20"/>
                <w:szCs w:val="20"/>
                <w:color w:val="auto"/>
              </w:rPr>
            </w:pPr>
            <w:r>
              <w:rPr>
                <w:rFonts w:ascii="Arial" w:cs="Arial" w:eastAsia="Arial" w:hAnsi="Arial"/>
                <w:sz w:val="14"/>
                <w:szCs w:val="14"/>
                <w:color w:val="auto"/>
              </w:rPr>
              <w:t>March 31,</w:t>
            </w:r>
          </w:p>
        </w:tc>
      </w:tr>
      <w:tr>
        <w:trPr>
          <w:trHeight w:val="264"/>
        </w:trPr>
        <w:tc>
          <w:tcPr>
            <w:tcW w:w="6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4"/>
                <w:szCs w:val="14"/>
                <w:color w:val="auto"/>
              </w:rPr>
              <w:t>2019</w:t>
            </w:r>
          </w:p>
        </w:tc>
      </w:tr>
      <w:tr>
        <w:trPr>
          <w:trHeight w:val="250"/>
        </w:trPr>
        <w:tc>
          <w:tcPr>
            <w:tcW w:w="3120" w:type="dxa"/>
            <w:vAlign w:val="bottom"/>
            <w:gridSpan w:val="4"/>
          </w:tcPr>
          <w:p>
            <w:pPr>
              <w:ind w:left="40"/>
              <w:spacing w:after="0"/>
              <w:rPr>
                <w:sz w:val="20"/>
                <w:szCs w:val="20"/>
                <w:color w:val="auto"/>
              </w:rPr>
            </w:pPr>
            <w:r>
              <w:rPr>
                <w:rFonts w:ascii="Arial" w:cs="Arial" w:eastAsia="Arial" w:hAnsi="Arial"/>
                <w:sz w:val="14"/>
                <w:szCs w:val="14"/>
                <w:color w:val="auto"/>
              </w:rPr>
              <w:t>Gas operating revenues</w:t>
            </w:r>
          </w:p>
        </w:tc>
        <w:tc>
          <w:tcPr>
            <w:tcW w:w="4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502,827</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520,677</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1,351,089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1,384,092</w:t>
            </w:r>
          </w:p>
        </w:tc>
      </w:tr>
      <w:tr>
        <w:trPr>
          <w:trHeight w:val="269"/>
        </w:trPr>
        <w:tc>
          <w:tcPr>
            <w:tcW w:w="312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76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060" w:type="dxa"/>
            <w:vAlign w:val="bottom"/>
            <w:gridSpan w:val="3"/>
          </w:tcPr>
          <w:p>
            <w:pPr>
              <w:ind w:left="320"/>
              <w:spacing w:after="0"/>
              <w:rPr>
                <w:sz w:val="20"/>
                <w:szCs w:val="20"/>
                <w:color w:val="auto"/>
              </w:rPr>
            </w:pPr>
            <w:r>
              <w:rPr>
                <w:rFonts w:ascii="Arial" w:cs="Arial" w:eastAsia="Arial" w:hAnsi="Arial"/>
                <w:sz w:val="14"/>
                <w:szCs w:val="14"/>
                <w:color w:val="auto"/>
              </w:rPr>
              <w:t>Net cost of gas sold</w:t>
            </w:r>
          </w:p>
        </w:tc>
        <w:tc>
          <w:tcPr>
            <w:tcW w:w="3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160,821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192,604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353,381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426,260</w:t>
            </w:r>
          </w:p>
        </w:tc>
      </w:tr>
      <w:tr>
        <w:trPr>
          <w:trHeight w:val="276"/>
        </w:trPr>
        <w:tc>
          <w:tcPr>
            <w:tcW w:w="60" w:type="dxa"/>
            <w:vAlign w:val="bottom"/>
            <w:shd w:val="clear" w:color="auto" w:fill="CCEEFF"/>
          </w:tcPr>
          <w:p>
            <w:pPr>
              <w:spacing w:after="0"/>
              <w:rPr>
                <w:sz w:val="24"/>
                <w:szCs w:val="24"/>
                <w:color w:val="auto"/>
              </w:rPr>
            </w:pPr>
          </w:p>
        </w:tc>
        <w:tc>
          <w:tcPr>
            <w:tcW w:w="3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Operations and maintenance</w:t>
            </w:r>
          </w:p>
        </w:tc>
        <w:tc>
          <w:tcPr>
            <w:tcW w:w="3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103,088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105,542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419,720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408,165</w:t>
            </w:r>
          </w:p>
        </w:tc>
      </w:tr>
      <w:tr>
        <w:trPr>
          <w:trHeight w:val="264"/>
        </w:trPr>
        <w:tc>
          <w:tcPr>
            <w:tcW w:w="60" w:type="dxa"/>
            <w:vAlign w:val="bottom"/>
          </w:tcPr>
          <w:p>
            <w:pPr>
              <w:spacing w:after="0"/>
              <w:rPr>
                <w:sz w:val="22"/>
                <w:szCs w:val="22"/>
                <w:color w:val="auto"/>
              </w:rPr>
            </w:pPr>
          </w:p>
        </w:tc>
        <w:tc>
          <w:tcPr>
            <w:tcW w:w="3060" w:type="dxa"/>
            <w:vAlign w:val="bottom"/>
            <w:gridSpan w:val="3"/>
          </w:tcPr>
          <w:p>
            <w:pPr>
              <w:ind w:left="320"/>
              <w:spacing w:after="0"/>
              <w:rPr>
                <w:sz w:val="20"/>
                <w:szCs w:val="20"/>
                <w:color w:val="auto"/>
              </w:rPr>
            </w:pPr>
            <w:r>
              <w:rPr>
                <w:rFonts w:ascii="Arial" w:cs="Arial" w:eastAsia="Arial" w:hAnsi="Arial"/>
                <w:sz w:val="14"/>
                <w:szCs w:val="14"/>
                <w:color w:val="auto"/>
              </w:rPr>
              <w:t>Depreciation and amortization</w:t>
            </w:r>
          </w:p>
        </w:tc>
        <w:tc>
          <w:tcPr>
            <w:tcW w:w="3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64,725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57,612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222,733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199,467</w:t>
            </w:r>
          </w:p>
        </w:tc>
      </w:tr>
      <w:tr>
        <w:trPr>
          <w:trHeight w:val="270"/>
        </w:trPr>
        <w:tc>
          <w:tcPr>
            <w:tcW w:w="60" w:type="dxa"/>
            <w:vAlign w:val="bottom"/>
            <w:shd w:val="clear" w:color="auto" w:fill="CCEEFF"/>
          </w:tcPr>
          <w:p>
            <w:pPr>
              <w:spacing w:after="0"/>
              <w:rPr>
                <w:sz w:val="23"/>
                <w:szCs w:val="23"/>
                <w:color w:val="auto"/>
              </w:rPr>
            </w:pPr>
          </w:p>
        </w:tc>
        <w:tc>
          <w:tcPr>
            <w:tcW w:w="3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Taxes other than income taxes</w:t>
            </w:r>
          </w:p>
        </w:tc>
        <w:tc>
          <w:tcPr>
            <w:tcW w:w="37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16,378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62,500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60,847</w:t>
            </w:r>
          </w:p>
        </w:tc>
      </w:tr>
      <w:tr>
        <w:trPr>
          <w:trHeight w:val="250"/>
        </w:trPr>
        <w:tc>
          <w:tcPr>
            <w:tcW w:w="60" w:type="dxa"/>
            <w:vAlign w:val="bottom"/>
            <w:tcBorders>
              <w:bottom w:val="single" w:sz="8" w:color="CCEEFF"/>
            </w:tcBorders>
          </w:tcPr>
          <w:p>
            <w:pPr>
              <w:spacing w:after="0"/>
              <w:rPr>
                <w:sz w:val="21"/>
                <w:szCs w:val="21"/>
                <w:color w:val="auto"/>
              </w:rPr>
            </w:pPr>
          </w:p>
        </w:tc>
        <w:tc>
          <w:tcPr>
            <w:tcW w:w="306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operating expenses</w:t>
            </w:r>
          </w:p>
        </w:tc>
        <w:tc>
          <w:tcPr>
            <w:tcW w:w="3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345,012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371,964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1,058,334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1,094,739</w:t>
            </w:r>
          </w:p>
        </w:tc>
      </w:tr>
      <w:tr>
        <w:trPr>
          <w:trHeight w:val="256"/>
        </w:trPr>
        <w:tc>
          <w:tcPr>
            <w:tcW w:w="31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37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157,815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148,713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292,755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289,353</w:t>
            </w:r>
          </w:p>
        </w:tc>
      </w:tr>
      <w:tr>
        <w:trPr>
          <w:trHeight w:val="258"/>
        </w:trPr>
        <w:tc>
          <w:tcPr>
            <w:tcW w:w="3120" w:type="dxa"/>
            <w:vAlign w:val="bottom"/>
            <w:gridSpan w:val="4"/>
          </w:tcPr>
          <w:p>
            <w:pPr>
              <w:ind w:left="40"/>
              <w:spacing w:after="0"/>
              <w:rPr>
                <w:sz w:val="20"/>
                <w:szCs w:val="20"/>
                <w:color w:val="auto"/>
              </w:rPr>
            </w:pPr>
            <w:r>
              <w:rPr>
                <w:rFonts w:ascii="Arial" w:cs="Arial" w:eastAsia="Arial" w:hAnsi="Arial"/>
                <w:sz w:val="14"/>
                <w:szCs w:val="14"/>
                <w:color w:val="auto"/>
              </w:rPr>
              <w:t>Other income and (expenses):</w:t>
            </w:r>
          </w:p>
        </w:tc>
        <w:tc>
          <w:tcPr>
            <w:tcW w:w="3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3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interest deductions</w:t>
            </w:r>
          </w:p>
        </w:tc>
        <w:tc>
          <w:tcPr>
            <w:tcW w:w="3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(85,584)</w:t>
            </w:r>
          </w:p>
        </w:tc>
      </w:tr>
      <w:tr>
        <w:trPr>
          <w:trHeight w:val="264"/>
        </w:trPr>
        <w:tc>
          <w:tcPr>
            <w:tcW w:w="60" w:type="dxa"/>
            <w:vAlign w:val="bottom"/>
            <w:tcBorders>
              <w:bottom w:val="single" w:sz="8" w:color="CCEEFF"/>
            </w:tcBorders>
          </w:tcPr>
          <w:p>
            <w:pPr>
              <w:spacing w:after="0"/>
              <w:rPr>
                <w:sz w:val="22"/>
                <w:szCs w:val="22"/>
                <w:color w:val="auto"/>
              </w:rPr>
            </w:pPr>
          </w:p>
        </w:tc>
        <w:tc>
          <w:tcPr>
            <w:tcW w:w="30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Other income (deductions)</w:t>
            </w:r>
          </w:p>
        </w:tc>
        <w:tc>
          <w:tcPr>
            <w:tcW w:w="3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(20,536)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(6,691)</w:t>
            </w:r>
          </w:p>
        </w:tc>
      </w:tr>
      <w:tr>
        <w:trPr>
          <w:trHeight w:val="250"/>
        </w:trPr>
        <w:tc>
          <w:tcPr>
            <w:tcW w:w="60" w:type="dxa"/>
            <w:vAlign w:val="bottom"/>
            <w:shd w:val="clear" w:color="auto" w:fill="CCEEFF"/>
          </w:tcPr>
          <w:p>
            <w:pPr>
              <w:spacing w:after="0"/>
              <w:rPr>
                <w:sz w:val="21"/>
                <w:szCs w:val="21"/>
                <w:color w:val="auto"/>
              </w:rPr>
            </w:pPr>
          </w:p>
        </w:tc>
        <w:tc>
          <w:tcPr>
            <w:tcW w:w="306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Total other income and (expenses)</w:t>
            </w:r>
          </w:p>
        </w:tc>
        <w:tc>
          <w:tcPr>
            <w:tcW w:w="37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(45,594)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(113,950)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(92,275)</w:t>
            </w:r>
          </w:p>
        </w:tc>
      </w:tr>
      <w:tr>
        <w:trPr>
          <w:trHeight w:val="250"/>
        </w:trPr>
        <w:tc>
          <w:tcPr>
            <w:tcW w:w="3120" w:type="dxa"/>
            <w:vAlign w:val="bottom"/>
            <w:gridSpan w:val="4"/>
          </w:tcPr>
          <w:p>
            <w:pPr>
              <w:ind w:left="40"/>
              <w:spacing w:after="0"/>
              <w:rPr>
                <w:sz w:val="20"/>
                <w:szCs w:val="20"/>
                <w:color w:val="auto"/>
              </w:rPr>
            </w:pPr>
            <w:r>
              <w:rPr>
                <w:rFonts w:ascii="Arial" w:cs="Arial" w:eastAsia="Arial" w:hAnsi="Arial"/>
                <w:sz w:val="14"/>
                <w:szCs w:val="14"/>
                <w:color w:val="auto"/>
              </w:rPr>
              <w:t>Income before income taxes</w:t>
            </w:r>
          </w:p>
        </w:tc>
        <w:tc>
          <w:tcPr>
            <w:tcW w:w="3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112,221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131,560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178,805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197,078</w:t>
            </w:r>
          </w:p>
        </w:tc>
      </w:tr>
      <w:tr>
        <w:trPr>
          <w:trHeight w:val="270"/>
        </w:trPr>
        <w:tc>
          <w:tcPr>
            <w:tcW w:w="31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37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28,622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28,171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35,424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45,196</w:t>
            </w: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4"/>
                <w:szCs w:val="14"/>
                <w:color w:val="auto"/>
              </w:rPr>
              <w:t>Net income</w:t>
            </w:r>
          </w:p>
        </w:tc>
        <w:tc>
          <w:tcPr>
            <w:tcW w:w="4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83,599</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103,389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143,381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151,882</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March 31, 2020</w:t>
            </w:r>
          </w:p>
        </w:tc>
      </w:tr>
      <w:tr>
        <w:trPr>
          <w:trHeight w:val="78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4"/>
          </w:tcPr>
          <w:p>
            <w:pPr>
              <w:jc w:val="center"/>
              <w:ind w:right="280"/>
              <w:spacing w:after="0"/>
              <w:rPr>
                <w:sz w:val="20"/>
                <w:szCs w:val="20"/>
                <w:color w:val="auto"/>
              </w:rPr>
            </w:pPr>
            <w:r>
              <w:rPr>
                <w:rFonts w:ascii="Arial" w:cs="Arial" w:eastAsia="Arial" w:hAnsi="Arial"/>
                <w:sz w:val="18"/>
                <w:szCs w:val="18"/>
                <w:color w:val="auto"/>
                <w:w w:val="95"/>
              </w:rPr>
              <w:t>SOUTHWEST GAS CORPORATION AND SUBSIDIARIES</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320" w:type="dxa"/>
            <w:vAlign w:val="bottom"/>
            <w:gridSpan w:val="10"/>
          </w:tcPr>
          <w:p>
            <w:pPr>
              <w:jc w:val="center"/>
              <w:ind w:left="172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gridSpan w:val="2"/>
          </w:tcPr>
          <w:p>
            <w:pPr>
              <w:jc w:val="center"/>
              <w:ind w:left="437"/>
              <w:spacing w:after="0"/>
              <w:rPr>
                <w:sz w:val="20"/>
                <w:szCs w:val="20"/>
                <w:color w:val="auto"/>
              </w:rPr>
            </w:pPr>
            <w:r>
              <w:rPr>
                <w:rFonts w:ascii="Arial" w:cs="Arial" w:eastAsia="Arial" w:hAnsi="Arial"/>
                <w:sz w:val="18"/>
                <w:szCs w:val="18"/>
                <w:color w:val="auto"/>
                <w:w w:val="91"/>
              </w:rPr>
              <w:t>(Thousands of dollars)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2"/>
          </w:tcPr>
          <w:p>
            <w:pPr>
              <w:jc w:val="center"/>
              <w:ind w:left="437"/>
              <w:spacing w:after="0"/>
              <w:rPr>
                <w:sz w:val="20"/>
                <w:szCs w:val="20"/>
                <w:color w:val="auto"/>
              </w:rPr>
            </w:pPr>
            <w:r>
              <w:rPr>
                <w:rFonts w:ascii="Arial" w:cs="Arial" w:eastAsia="Arial" w:hAnsi="Arial"/>
                <w:sz w:val="18"/>
                <w:szCs w:val="18"/>
                <w:color w:val="auto"/>
                <w:w w:val="93"/>
              </w:rPr>
              <w:t>(Unaudited)</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5"/>
          </w:tcPr>
          <w:p>
            <w:pPr>
              <w:ind w:left="16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24"/>
                <w:szCs w:val="24"/>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color w:val="auto"/>
                <w:w w:val="96"/>
              </w:rPr>
              <w:t>March 31,</w:t>
            </w:r>
          </w:p>
        </w:tc>
        <w:tc>
          <w:tcPr>
            <w:tcW w:w="600" w:type="dxa"/>
            <w:vAlign w:val="bottom"/>
            <w:tcBorders>
              <w:bottom w:val="single" w:sz="8" w:color="auto"/>
            </w:tcBorders>
          </w:tcPr>
          <w:p>
            <w:pPr>
              <w:spacing w:after="0"/>
              <w:rPr>
                <w:sz w:val="16"/>
                <w:szCs w:val="16"/>
                <w:color w:val="auto"/>
              </w:rPr>
            </w:pPr>
          </w:p>
        </w:tc>
      </w:tr>
      <w:tr>
        <w:trPr>
          <w:trHeight w:val="264"/>
        </w:trPr>
        <w:tc>
          <w:tcPr>
            <w:tcW w:w="6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96"/>
              </w:rPr>
              <w:t>2019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89"/>
              </w:rPr>
              <w:t>2019</w:t>
            </w:r>
          </w:p>
        </w:tc>
      </w:tr>
      <w:tr>
        <w:trPr>
          <w:trHeight w:val="250"/>
        </w:trPr>
        <w:tc>
          <w:tcPr>
            <w:tcW w:w="3180" w:type="dxa"/>
            <w:vAlign w:val="bottom"/>
            <w:gridSpan w:val="4"/>
          </w:tcPr>
          <w:p>
            <w:pPr>
              <w:ind w:left="40"/>
              <w:spacing w:after="0"/>
              <w:rPr>
                <w:sz w:val="20"/>
                <w:szCs w:val="20"/>
                <w:color w:val="auto"/>
              </w:rPr>
            </w:pPr>
            <w:r>
              <w:rPr>
                <w:rFonts w:ascii="Arial" w:cs="Arial" w:eastAsia="Arial" w:hAnsi="Arial"/>
                <w:sz w:val="14"/>
                <w:szCs w:val="14"/>
                <w:color w:val="auto"/>
              </w:rPr>
              <w:t>Net income</w:t>
            </w:r>
          </w:p>
        </w:tc>
        <w:tc>
          <w:tcPr>
            <w:tcW w:w="4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83,599</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103,389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143,381</w:t>
            </w:r>
          </w:p>
        </w:tc>
        <w:tc>
          <w:tcPr>
            <w:tcW w:w="100" w:type="dxa"/>
            <w:vAlign w:val="bottom"/>
          </w:tcPr>
          <w:p>
            <w:pPr>
              <w:spacing w:after="0"/>
              <w:rPr>
                <w:sz w:val="21"/>
                <w:szCs w:val="21"/>
                <w:color w:val="auto"/>
              </w:rPr>
            </w:pPr>
          </w:p>
        </w:tc>
        <w:tc>
          <w:tcPr>
            <w:tcW w:w="280" w:type="dxa"/>
            <w:vAlign w:val="bottom"/>
          </w:tcPr>
          <w:p>
            <w:pPr>
              <w:jc w:val="right"/>
              <w:ind w:right="10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w w:val="94"/>
              </w:rPr>
              <w:t>151,882</w:t>
            </w:r>
          </w:p>
        </w:tc>
      </w:tr>
      <w:tr>
        <w:trPr>
          <w:trHeight w:val="269"/>
        </w:trPr>
        <w:tc>
          <w:tcPr>
            <w:tcW w:w="318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4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Defined benefit pension plans:</w:t>
            </w:r>
          </w:p>
        </w:tc>
        <w:tc>
          <w:tcPr>
            <w:tcW w:w="4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31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Net actuarial loss</w:t>
            </w:r>
          </w:p>
        </w:tc>
        <w:tc>
          <w:tcPr>
            <w:tcW w:w="4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(15,524)</w:t>
            </w:r>
          </w:p>
        </w:tc>
      </w:tr>
      <w:tr>
        <w:trPr>
          <w:trHeight w:val="264"/>
        </w:trPr>
        <w:tc>
          <w:tcPr>
            <w:tcW w:w="60" w:type="dxa"/>
            <w:vAlign w:val="bottom"/>
          </w:tcPr>
          <w:p>
            <w:pPr>
              <w:spacing w:after="0"/>
              <w:rPr>
                <w:sz w:val="22"/>
                <w:szCs w:val="22"/>
                <w:color w:val="auto"/>
              </w:rPr>
            </w:pPr>
          </w:p>
        </w:tc>
        <w:tc>
          <w:tcPr>
            <w:tcW w:w="3120" w:type="dxa"/>
            <w:vAlign w:val="bottom"/>
            <w:gridSpan w:val="3"/>
          </w:tcPr>
          <w:p>
            <w:pPr>
              <w:ind w:left="220"/>
              <w:spacing w:after="0"/>
              <w:rPr>
                <w:sz w:val="20"/>
                <w:szCs w:val="20"/>
                <w:color w:val="auto"/>
              </w:rPr>
            </w:pPr>
            <w:r>
              <w:rPr>
                <w:rFonts w:ascii="Arial" w:cs="Arial" w:eastAsia="Arial" w:hAnsi="Arial"/>
                <w:sz w:val="14"/>
                <w:szCs w:val="14"/>
                <w:color w:val="auto"/>
              </w:rPr>
              <w:t>Amortization of prior service cost</w:t>
            </w:r>
          </w:p>
        </w:tc>
        <w:tc>
          <w:tcPr>
            <w:tcW w:w="4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1,002</w:t>
            </w:r>
          </w:p>
        </w:tc>
      </w:tr>
      <w:tr>
        <w:trPr>
          <w:trHeight w:val="276"/>
        </w:trPr>
        <w:tc>
          <w:tcPr>
            <w:tcW w:w="60" w:type="dxa"/>
            <w:vAlign w:val="bottom"/>
            <w:shd w:val="clear" w:color="auto" w:fill="CCEEFF"/>
          </w:tcPr>
          <w:p>
            <w:pPr>
              <w:spacing w:after="0"/>
              <w:rPr>
                <w:sz w:val="24"/>
                <w:szCs w:val="24"/>
                <w:color w:val="auto"/>
              </w:rPr>
            </w:pPr>
          </w:p>
        </w:tc>
        <w:tc>
          <w:tcPr>
            <w:tcW w:w="31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Prior service cost</w:t>
            </w:r>
          </w:p>
        </w:tc>
        <w:tc>
          <w:tcPr>
            <w:tcW w:w="4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 w:type="dxa"/>
            <w:vAlign w:val="bottom"/>
          </w:tcPr>
          <w:p>
            <w:pPr>
              <w:spacing w:after="0"/>
              <w:rPr>
                <w:sz w:val="22"/>
                <w:szCs w:val="22"/>
                <w:color w:val="auto"/>
              </w:rPr>
            </w:pPr>
          </w:p>
        </w:tc>
        <w:tc>
          <w:tcPr>
            <w:tcW w:w="3120" w:type="dxa"/>
            <w:vAlign w:val="bottom"/>
            <w:gridSpan w:val="3"/>
          </w:tcPr>
          <w:p>
            <w:pPr>
              <w:ind w:left="220"/>
              <w:spacing w:after="0"/>
              <w:rPr>
                <w:sz w:val="20"/>
                <w:szCs w:val="20"/>
                <w:color w:val="auto"/>
              </w:rPr>
            </w:pPr>
            <w:r>
              <w:rPr>
                <w:rFonts w:ascii="Arial" w:cs="Arial" w:eastAsia="Arial" w:hAnsi="Arial"/>
                <w:sz w:val="14"/>
                <w:szCs w:val="14"/>
                <w:color w:val="auto"/>
              </w:rPr>
              <w:t>Amortization of net actuarial loss</w:t>
            </w:r>
          </w:p>
        </w:tc>
        <w:tc>
          <w:tcPr>
            <w:tcW w:w="4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7,188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4,441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20,513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23,603</w:t>
            </w:r>
          </w:p>
        </w:tc>
      </w:tr>
      <w:tr>
        <w:trPr>
          <w:trHeight w:val="270"/>
        </w:trPr>
        <w:tc>
          <w:tcPr>
            <w:tcW w:w="60" w:type="dxa"/>
            <w:vAlign w:val="bottom"/>
            <w:shd w:val="clear" w:color="auto" w:fill="CCEEFF"/>
          </w:tcPr>
          <w:p>
            <w:pPr>
              <w:spacing w:after="0"/>
              <w:rPr>
                <w:sz w:val="23"/>
                <w:szCs w:val="23"/>
                <w:color w:val="auto"/>
              </w:rPr>
            </w:pPr>
          </w:p>
        </w:tc>
        <w:tc>
          <w:tcPr>
            <w:tcW w:w="31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Regulatory adjustment</w:t>
            </w:r>
          </w:p>
        </w:tc>
        <w:tc>
          <w:tcPr>
            <w:tcW w:w="4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(6,380)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25,760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(4,574)</w:t>
            </w:r>
          </w:p>
        </w:tc>
      </w:tr>
      <w:tr>
        <w:trPr>
          <w:trHeight w:val="250"/>
        </w:trPr>
        <w:tc>
          <w:tcPr>
            <w:tcW w:w="60" w:type="dxa"/>
            <w:vAlign w:val="bottom"/>
            <w:tcBorders>
              <w:bottom w:val="single" w:sz="8" w:color="CCEEFF"/>
            </w:tcBorders>
          </w:tcPr>
          <w:p>
            <w:pPr>
              <w:spacing w:after="0"/>
              <w:rPr>
                <w:sz w:val="21"/>
                <w:szCs w:val="21"/>
                <w:color w:val="auto"/>
              </w:rPr>
            </w:pPr>
          </w:p>
        </w:tc>
        <w:tc>
          <w:tcPr>
            <w:tcW w:w="312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defined benefit pension plans</w:t>
            </w:r>
          </w:p>
        </w:tc>
        <w:tc>
          <w:tcPr>
            <w:tcW w:w="4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4,507</w:t>
            </w:r>
          </w:p>
        </w:tc>
      </w:tr>
      <w:tr>
        <w:trPr>
          <w:trHeight w:val="270"/>
        </w:trPr>
        <w:tc>
          <w:tcPr>
            <w:tcW w:w="60" w:type="dxa"/>
            <w:vAlign w:val="bottom"/>
            <w:shd w:val="clear" w:color="auto" w:fill="CCEEFF"/>
          </w:tcPr>
          <w:p>
            <w:pPr>
              <w:spacing w:after="0"/>
              <w:rPr>
                <w:sz w:val="23"/>
                <w:szCs w:val="23"/>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Forward-starting interest rate swaps (“FSIRS”):</w:t>
            </w:r>
          </w:p>
        </w:tc>
        <w:tc>
          <w:tcPr>
            <w:tcW w:w="4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312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Amounts reclassified into net income</w:t>
            </w:r>
          </w:p>
        </w:tc>
        <w:tc>
          <w:tcPr>
            <w:tcW w:w="4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2,542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2,541</w:t>
            </w:r>
          </w:p>
        </w:tc>
      </w:tr>
      <w:tr>
        <w:trPr>
          <w:trHeight w:val="250"/>
        </w:trPr>
        <w:tc>
          <w:tcPr>
            <w:tcW w:w="60" w:type="dxa"/>
            <w:vAlign w:val="bottom"/>
            <w:shd w:val="clear" w:color="auto" w:fill="CCEEFF"/>
          </w:tcPr>
          <w:p>
            <w:pPr>
              <w:spacing w:after="0"/>
              <w:rPr>
                <w:sz w:val="21"/>
                <w:szCs w:val="21"/>
                <w:color w:val="auto"/>
              </w:rPr>
            </w:pPr>
          </w:p>
        </w:tc>
        <w:tc>
          <w:tcPr>
            <w:tcW w:w="312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4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r>
      <w:tr>
        <w:trPr>
          <w:trHeight w:val="250"/>
        </w:trPr>
        <w:tc>
          <w:tcPr>
            <w:tcW w:w="318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w w:val="98"/>
              </w:rPr>
              <w:t>Total other comprehensive income (loss), net of tax</w:t>
            </w:r>
          </w:p>
        </w:tc>
        <w:tc>
          <w:tcPr>
            <w:tcW w:w="4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7,048</w:t>
            </w:r>
          </w:p>
        </w:tc>
      </w:tr>
      <w:tr>
        <w:trPr>
          <w:trHeight w:val="243"/>
        </w:trPr>
        <w:tc>
          <w:tcPr>
            <w:tcW w:w="31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4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104,643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137,689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158,930</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0" w:right="3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00"/>
          </w:cols>
          <w:pgMar w:left="36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-287020</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72390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current assets and liabilities:</w:t>
      </w:r>
    </w:p>
    <w:p>
      <w:pPr>
        <w:spacing w:after="0" w:line="10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Accounts receivable, net of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Accrued utility revenue</w:t>
      </w:r>
    </w:p>
    <w:p>
      <w:pPr>
        <w:spacing w:after="0" w:line="10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Deferred purchased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Other current assets and liabilities</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undistributed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Equity AFUDC</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deferred charges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other liabilities and deferred credits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INVESTING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Construction expenditures and property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Changes in customer advances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Contributions from parent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Issuance of long-term debt,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credit facility and commercial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short-term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Withholding remittance -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SUPPLEMENTAL INFORMATION: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paid,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Income taxes paid (received), net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880" w:type="dxa"/>
            <w:vAlign w:val="bottom"/>
            <w:gridSpan w:val="4"/>
          </w:tcPr>
          <w:p>
            <w:pPr>
              <w:jc w:val="right"/>
              <w:ind w:right="308"/>
              <w:spacing w:after="0"/>
              <w:rPr>
                <w:sz w:val="20"/>
                <w:szCs w:val="20"/>
                <w:color w:val="auto"/>
              </w:rPr>
            </w:pPr>
            <w:r>
              <w:rPr>
                <w:rFonts w:ascii="Arial" w:cs="Arial" w:eastAsia="Arial" w:hAnsi="Arial"/>
                <w:sz w:val="14"/>
                <w:szCs w:val="14"/>
                <w:color w:val="auto"/>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83,599</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103,389</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143,381</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151,882</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64,725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57,612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222,733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199,467</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7,707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26,270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15,118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50,593</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(30,414)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21,652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(22,522)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30,200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10,155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(67,863)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19,527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25,339</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(41,899)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(39,574)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18,398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53,335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28,704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33,526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(17,504)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99,257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81,625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106,803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(12,982)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5,834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(4,358)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(23,289)</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(55,910)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(66,294)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16,805</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259,037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170,371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456,460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387,963</w:t>
            </w:r>
          </w:p>
        </w:tc>
      </w:tr>
      <w:tr>
        <w:trPr>
          <w:trHeight w:val="528"/>
        </w:trPr>
        <w:tc>
          <w:tcPr>
            <w:tcW w:w="24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(173,353)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(163,636)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(788,465)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(714,762)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3,078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21,356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13,503</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(167,951)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(160,636)</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(767,157)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(701,616)</w:t>
            </w:r>
          </w:p>
        </w:tc>
      </w:tr>
      <w:tr>
        <w:trPr>
          <w:trHeight w:val="528"/>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22,842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187,094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136,391</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(25,200)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(23,500)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(97,600)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(89,500)</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297,222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111,000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(97,000)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188,000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(2,096)</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(75,051)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33,451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292,073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343,012</w:t>
            </w:r>
          </w:p>
        </w:tc>
      </w:tr>
      <w:tr>
        <w:trPr>
          <w:trHeight w:val="50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16,035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43,186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29,359</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40,489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31,962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75,148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45,789</w:t>
            </w:r>
          </w:p>
        </w:tc>
      </w:tr>
      <w:tr>
        <w:trPr>
          <w:trHeight w:val="236"/>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56,524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75,148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56,524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75,148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0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10,204</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11,585</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87,277</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75,094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20" w:space="720"/>
            <w:col w:w="4360"/>
          </w:cols>
          <w:pgMar w:left="360" w:top="270" w:right="339" w:bottom="1440" w:gutter="0" w:footer="0" w:header="0"/>
          <w:type w:val="continuous"/>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200"/>
          </w:cols>
          <w:pgMar w:left="360" w:top="2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60" w:top="270"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4"/>
              </w:rPr>
              <w:t>March 31, 2020</w:t>
            </w:r>
          </w:p>
        </w:tc>
      </w:tr>
      <w:tr>
        <w:trPr>
          <w:trHeight w:val="78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5"/>
              </w:rPr>
              <w:t>SOUTHWEST GAS CORPORATION AND SUBSIDIARIES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5"/>
              </w:rPr>
              <w:t>CONDENSED CONSOLIDATED STATEMENTS OF EQUITY</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0"/>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55"/>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4"/>
          </w:tcPr>
          <w:p>
            <w:pPr>
              <w:jc w:val="right"/>
              <w:ind w:right="718"/>
              <w:spacing w:after="0"/>
              <w:rPr>
                <w:sz w:val="20"/>
                <w:szCs w:val="20"/>
                <w:color w:val="auto"/>
              </w:rPr>
            </w:pPr>
            <w:r>
              <w:rPr>
                <w:rFonts w:ascii="Arial" w:cs="Arial" w:eastAsia="Arial" w:hAnsi="Arial"/>
                <w:sz w:val="16"/>
                <w:szCs w:val="16"/>
                <w:color w:val="auto"/>
              </w:rPr>
              <w:t>Three Months Ended</w:t>
            </w:r>
          </w:p>
        </w:tc>
      </w:tr>
      <w:tr>
        <w:trPr>
          <w:trHeight w:val="20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1078"/>
              <w:spacing w:after="0"/>
              <w:rPr>
                <w:sz w:val="20"/>
                <w:szCs w:val="20"/>
                <w:color w:val="auto"/>
              </w:rPr>
            </w:pPr>
            <w:r>
              <w:rPr>
                <w:rFonts w:ascii="Arial" w:cs="Arial" w:eastAsia="Arial" w:hAnsi="Arial"/>
                <w:sz w:val="16"/>
                <w:szCs w:val="16"/>
                <w:color w:val="auto"/>
              </w:rPr>
              <w:t>March 31,</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78"/>
              <w:spacing w:after="0"/>
              <w:rPr>
                <w:sz w:val="20"/>
                <w:szCs w:val="20"/>
                <w:color w:val="auto"/>
              </w:rPr>
            </w:pPr>
            <w:r>
              <w:rPr>
                <w:rFonts w:ascii="Arial" w:cs="Arial" w:eastAsia="Arial" w:hAnsi="Arial"/>
                <w:sz w:val="16"/>
                <w:szCs w:val="16"/>
                <w:color w:val="auto"/>
              </w:rPr>
              <w:t>2019</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shares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83"/>
        </w:trPr>
        <w:tc>
          <w:tcPr>
            <w:tcW w:w="60" w:type="dxa"/>
            <w:vAlign w:val="bottom"/>
            <w:tcBorders>
              <w:bottom w:val="single" w:sz="8" w:color="CCEEFF"/>
            </w:tcBorders>
          </w:tcPr>
          <w:p>
            <w:pPr>
              <w:spacing w:after="0"/>
              <w:rPr>
                <w:sz w:val="24"/>
                <w:szCs w:val="24"/>
                <w:color w:val="auto"/>
              </w:rPr>
            </w:pPr>
          </w:p>
        </w:tc>
        <w:tc>
          <w:tcPr>
            <w:tcW w:w="816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color w:val="auto"/>
              </w:rPr>
              <w:t>Beginning and ending balances</w:t>
            </w: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47,482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47,482</w:t>
            </w:r>
          </w:p>
        </w:tc>
      </w:tr>
      <w:tr>
        <w:trPr>
          <w:trHeight w:val="257"/>
        </w:trPr>
        <w:tc>
          <w:tcPr>
            <w:tcW w:w="8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amount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17"/>
        </w:trPr>
        <w:tc>
          <w:tcPr>
            <w:tcW w:w="60" w:type="dxa"/>
            <w:vAlign w:val="bottom"/>
          </w:tcPr>
          <w:p>
            <w:pPr>
              <w:spacing w:after="0"/>
              <w:rPr>
                <w:sz w:val="18"/>
                <w:szCs w:val="18"/>
                <w:color w:val="auto"/>
              </w:rPr>
            </w:pPr>
          </w:p>
        </w:tc>
        <w:tc>
          <w:tcPr>
            <w:tcW w:w="8160" w:type="dxa"/>
            <w:vAlign w:val="bottom"/>
            <w:gridSpan w:val="3"/>
          </w:tcPr>
          <w:p>
            <w:pPr>
              <w:ind w:left="200"/>
              <w:spacing w:after="0"/>
              <w:rPr>
                <w:sz w:val="20"/>
                <w:szCs w:val="20"/>
                <w:color w:val="auto"/>
              </w:rPr>
            </w:pPr>
            <w:r>
              <w:rPr>
                <w:rFonts w:ascii="Arial" w:cs="Arial" w:eastAsia="Arial" w:hAnsi="Arial"/>
                <w:sz w:val="16"/>
                <w:szCs w:val="16"/>
                <w:color w:val="auto"/>
              </w:rPr>
              <w:t>Beginning and ending balances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49,112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49,112</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8160" w:type="dxa"/>
            <w:vAlign w:val="bottom"/>
            <w:gridSpan w:val="3"/>
          </w:tcPr>
          <w:p>
            <w:pPr>
              <w:ind w:left="200"/>
              <w:spacing w:after="0"/>
              <w:rPr>
                <w:sz w:val="20"/>
                <w:szCs w:val="20"/>
                <w:color w:val="auto"/>
              </w:rPr>
            </w:pPr>
            <w:r>
              <w:rPr>
                <w:rFonts w:ascii="Arial" w:cs="Arial" w:eastAsia="Arial" w:hAnsi="Arial"/>
                <w:sz w:val="16"/>
                <w:szCs w:val="16"/>
                <w:color w:val="auto"/>
              </w:rPr>
              <w:t>Beginning balances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1,229,083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1,065,242</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918</w:t>
            </w:r>
          </w:p>
        </w:tc>
      </w:tr>
      <w:tr>
        <w:trPr>
          <w:trHeight w:val="237"/>
        </w:trPr>
        <w:tc>
          <w:tcPr>
            <w:tcW w:w="60" w:type="dxa"/>
            <w:vAlign w:val="bottom"/>
          </w:tcPr>
          <w:p>
            <w:pPr>
              <w:spacing w:after="0"/>
              <w:rPr>
                <w:sz w:val="20"/>
                <w:szCs w:val="20"/>
                <w:color w:val="auto"/>
              </w:rPr>
            </w:pPr>
          </w:p>
        </w:tc>
        <w:tc>
          <w:tcPr>
            <w:tcW w:w="8160" w:type="dxa"/>
            <w:vAlign w:val="bottom"/>
            <w:gridSpan w:val="3"/>
          </w:tcPr>
          <w:p>
            <w:pPr>
              <w:ind w:left="540"/>
              <w:spacing w:after="0"/>
              <w:rPr>
                <w:sz w:val="20"/>
                <w:szCs w:val="20"/>
                <w:color w:val="auto"/>
              </w:rPr>
            </w:pPr>
            <w:r>
              <w:rPr>
                <w:rFonts w:ascii="Arial" w:cs="Arial" w:eastAsia="Arial" w:hAnsi="Arial"/>
                <w:sz w:val="16"/>
                <w:szCs w:val="16"/>
                <w:color w:val="auto"/>
              </w:rPr>
              <w:t>Contributions from Southwest Gas Holdings, Inc.</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22,842</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Ending balances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1,089,002</w:t>
            </w:r>
          </w:p>
        </w:tc>
      </w:tr>
      <w:tr>
        <w:trPr>
          <w:trHeight w:val="231"/>
        </w:trPr>
        <w:tc>
          <w:tcPr>
            <w:tcW w:w="8220" w:type="dxa"/>
            <w:vAlign w:val="bottom"/>
            <w:gridSpan w:val="4"/>
          </w:tcPr>
          <w:p>
            <w:pPr>
              <w:ind w:left="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Beginning balances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(49,049)</w:t>
            </w:r>
          </w:p>
        </w:tc>
      </w:tr>
      <w:tr>
        <w:trPr>
          <w:trHeight w:val="237"/>
        </w:trPr>
        <w:tc>
          <w:tcPr>
            <w:tcW w:w="60" w:type="dxa"/>
            <w:vAlign w:val="bottom"/>
          </w:tcPr>
          <w:p>
            <w:pPr>
              <w:spacing w:after="0"/>
              <w:rPr>
                <w:sz w:val="20"/>
                <w:szCs w:val="20"/>
                <w:color w:val="auto"/>
              </w:rPr>
            </w:pPr>
          </w:p>
        </w:tc>
        <w:tc>
          <w:tcPr>
            <w:tcW w:w="8160" w:type="dxa"/>
            <w:vAlign w:val="bottom"/>
            <w:gridSpan w:val="3"/>
          </w:tcPr>
          <w:p>
            <w:pPr>
              <w:ind w:left="540"/>
              <w:spacing w:after="0"/>
              <w:rPr>
                <w:sz w:val="20"/>
                <w:szCs w:val="20"/>
                <w:color w:val="auto"/>
              </w:rPr>
            </w:pPr>
            <w:r>
              <w:rPr>
                <w:rFonts w:ascii="Arial" w:cs="Arial" w:eastAsia="Arial" w:hAnsi="Arial"/>
                <w:sz w:val="16"/>
                <w:szCs w:val="16"/>
                <w:color w:val="auto"/>
              </w:rPr>
              <w:t>Net actuarial gain arising during period, less amortization of unamortized benefit plan cost, net of tax</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619</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FSIRS amounts reclassified to net income,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635</w:t>
            </w:r>
          </w:p>
        </w:tc>
      </w:tr>
      <w:tr>
        <w:trPr>
          <w:trHeight w:val="217"/>
        </w:trPr>
        <w:tc>
          <w:tcPr>
            <w:tcW w:w="60" w:type="dxa"/>
            <w:vAlign w:val="bottom"/>
          </w:tcPr>
          <w:p>
            <w:pPr>
              <w:spacing w:after="0"/>
              <w:rPr>
                <w:sz w:val="18"/>
                <w:szCs w:val="18"/>
                <w:color w:val="auto"/>
              </w:rPr>
            </w:pPr>
          </w:p>
        </w:tc>
        <w:tc>
          <w:tcPr>
            <w:tcW w:w="8160" w:type="dxa"/>
            <w:vAlign w:val="bottom"/>
            <w:gridSpan w:val="3"/>
          </w:tcPr>
          <w:p>
            <w:pPr>
              <w:ind w:left="200"/>
              <w:spacing w:after="0"/>
              <w:rPr>
                <w:sz w:val="20"/>
                <w:szCs w:val="20"/>
                <w:color w:val="auto"/>
              </w:rPr>
            </w:pPr>
            <w:r>
              <w:rPr>
                <w:rFonts w:ascii="Arial" w:cs="Arial" w:eastAsia="Arial" w:hAnsi="Arial"/>
                <w:sz w:val="16"/>
                <w:szCs w:val="16"/>
                <w:color w:val="auto"/>
              </w:rPr>
              <w:t>Ending balances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(47,795)</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8160" w:type="dxa"/>
            <w:vAlign w:val="bottom"/>
            <w:gridSpan w:val="3"/>
          </w:tcPr>
          <w:p>
            <w:pPr>
              <w:ind w:left="200"/>
              <w:spacing w:after="0"/>
              <w:rPr>
                <w:sz w:val="20"/>
                <w:szCs w:val="20"/>
                <w:color w:val="auto"/>
              </w:rPr>
            </w:pPr>
            <w:r>
              <w:rPr>
                <w:rFonts w:ascii="Arial" w:cs="Arial" w:eastAsia="Arial" w:hAnsi="Arial"/>
                <w:sz w:val="16"/>
                <w:szCs w:val="16"/>
                <w:color w:val="auto"/>
              </w:rPr>
              <w:t>Beginning balances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782,108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717,155</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103,389</w:t>
            </w:r>
          </w:p>
        </w:tc>
      </w:tr>
      <w:tr>
        <w:trPr>
          <w:trHeight w:val="237"/>
        </w:trPr>
        <w:tc>
          <w:tcPr>
            <w:tcW w:w="60" w:type="dxa"/>
            <w:vAlign w:val="bottom"/>
          </w:tcPr>
          <w:p>
            <w:pPr>
              <w:spacing w:after="0"/>
              <w:rPr>
                <w:sz w:val="20"/>
                <w:szCs w:val="20"/>
                <w:color w:val="auto"/>
              </w:rPr>
            </w:pPr>
          </w:p>
        </w:tc>
        <w:tc>
          <w:tcPr>
            <w:tcW w:w="8160" w:type="dxa"/>
            <w:vAlign w:val="bottom"/>
            <w:gridSpan w:val="3"/>
          </w:tcPr>
          <w:p>
            <w:pPr>
              <w:ind w:left="54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Dividends declared to Southwest Gas Holdings, Inc.</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(22,800)</w:t>
            </w:r>
          </w:p>
        </w:tc>
      </w:tr>
      <w:tr>
        <w:trPr>
          <w:trHeight w:val="217"/>
        </w:trPr>
        <w:tc>
          <w:tcPr>
            <w:tcW w:w="60" w:type="dxa"/>
            <w:vAlign w:val="bottom"/>
          </w:tcPr>
          <w:p>
            <w:pPr>
              <w:spacing w:after="0"/>
              <w:rPr>
                <w:sz w:val="18"/>
                <w:szCs w:val="18"/>
                <w:color w:val="auto"/>
              </w:rPr>
            </w:pPr>
          </w:p>
        </w:tc>
        <w:tc>
          <w:tcPr>
            <w:tcW w:w="8160" w:type="dxa"/>
            <w:vAlign w:val="bottom"/>
            <w:gridSpan w:val="3"/>
          </w:tcPr>
          <w:p>
            <w:pPr>
              <w:ind w:left="200"/>
              <w:spacing w:after="0"/>
              <w:rPr>
                <w:sz w:val="20"/>
                <w:szCs w:val="20"/>
                <w:color w:val="auto"/>
              </w:rPr>
            </w:pPr>
            <w:r>
              <w:rPr>
                <w:rFonts w:ascii="Arial" w:cs="Arial" w:eastAsia="Arial" w:hAnsi="Arial"/>
                <w:sz w:val="16"/>
                <w:szCs w:val="16"/>
                <w:color w:val="auto"/>
              </w:rPr>
              <w:t>Ending balances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839,443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797,584</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Southwest Gas Corporation equity ending balances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2,114,276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1,887,903</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0"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is a holding company, owning all of the shares of common stock of Southwest Gas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or the “natural gas operations” segment) and all of the shares of common stock of Centuri Group, Inc. (“Centuri,” or the “utility infrastructure services” segment).</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of Southwest Gas Holdings, Inc. and subsidiaries (the “Company”) and Southwest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herein have been prepared pursuant to the rules and regulations of the Securities and Exchange Commission (the “SEC”). The year-end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 Globally, the novel Coronavirus (“COVID-19”) pandemic has created volatility, uncertainty, and economic disruption. Utility operations have been deemed “essential services” and utility infrastructure services have, to a large extent, been similarly characterized by government officials. Management has considered the impact of the pandemic and adjusted certain estimates, where relevant, used in the preparation of the condensed consolidated financial statements.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suggested that these condensed consolidated financial statements be read in conjunction with the consolidated financial statements and the notes thereto included in the 2019 Annual Report to Stockholders, which is incorporated by reference into the 2019 Form 10-K.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0"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primarily used quoted market prices and other observable market pricing information in valuing cash and cash equivalents, derivatives, long-term debt outstanding, and assets of the qualified pension plan and postretirement benefit plans required to be recorded and/or disclosed at fair value.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Condensed Consolidated Balance Sheets includes: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March 31, 2020</w:t>
            </w: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2019</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surrender value of COLI policies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116,615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132,072</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Southwest Gas Corporation</w:t>
            </w: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118,547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133,787</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property, equipment, and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983,905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Centuri accumulated provision for depreciation and amortization</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(363,074)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(352,333)</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18,814</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Southwest Gas Holdings, Inc.</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785,522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784,173</w:t>
            </w: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Balances reflect impacts of equity and fixed-income securities underlying the cash surrender values at each reporting date; however, ultimately, only the insurance proceeds are ever actually received, due to management’s intent to hold the policies to maturity.</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original maturities of three months or less. Such investments are carried at cost, which approximates market value. Cash and cash equivalents for Southwest and the Company also include money market fund investments totaling approximately $40,000 and $49,000, respectively, at March 31, 2020, and $23.5 million and $26.7 million, respectively, at December 31, 2019, which fall within Level 2 of the fair value hierarchy, due to the asset valuation methods used by money market funds.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Typical non-cash investing activities for Southwest include customer advances applied as contributions toward utility construction activity, capital expenditures that were not paid as of period end reporting dates but rather included in accounts payable, and right-of use assets obtained in exchange for lease liabilities, which are non-cash investing and financing activities. Amounts related to such activities were immaterial for the periods presented herein.</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7 – Segment Information</w:t>
      </w:r>
      <w:r>
        <w:rPr>
          <w:rFonts w:ascii="Arial" w:cs="Arial" w:eastAsia="Arial" w:hAnsi="Arial"/>
          <w:sz w:val="18"/>
          <w:szCs w:val="18"/>
          <w:color w:val="auto"/>
        </w:rPr>
        <w:t>).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balance, revenues, and associated profits are included in the condensed consolidated financial statements of the Company and Southwest and were not eliminated during consolidation in accordance with accounting treatment for rate-regulated entities.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Accounts Receivable, net of allowances. </w:t>
      </w:r>
      <w:r>
        <w:rPr>
          <w:rFonts w:ascii="Arial" w:cs="Arial" w:eastAsia="Arial" w:hAnsi="Arial"/>
          <w:sz w:val="17"/>
          <w:szCs w:val="17"/>
          <w:color w:val="auto"/>
        </w:rPr>
        <w:t>On January 2, 2020, the Company adopted the Financial Accounting Standards Board’s (the “FASB”)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Update (“ASU”) 2016-13 “Financial Instruments—Credit Losses: Measurement of Credit Losses on Financial Instruments,” which replaces the incurred loss methodology with an expected loss methodology that is referred to as the current expected credit loss, or CECL, methodology. The Company adopted ASU 2016-13 using the modified retrospective method, and therefore, results for reporting periods beginning prior to January 1, 2020 are presented under previously accepted U.S. GAAP. See </w:t>
      </w:r>
      <w:r>
        <w:rPr>
          <w:rFonts w:ascii="Arial" w:cs="Arial" w:eastAsia="Arial" w:hAnsi="Arial"/>
          <w:sz w:val="17"/>
          <w:szCs w:val="17"/>
          <w:i w:val="1"/>
          <w:iCs w:val="1"/>
          <w:color w:val="auto"/>
        </w:rPr>
        <w:t>Recent Accounting Standards Updates</w:t>
      </w:r>
      <w:r>
        <w:rPr>
          <w:rFonts w:ascii="Arial" w:cs="Arial" w:eastAsia="Arial" w:hAnsi="Arial"/>
          <w:sz w:val="17"/>
          <w:szCs w:val="17"/>
          <w:color w:val="auto"/>
        </w:rPr>
        <w:t xml:space="preserve"> below.</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Business activity with respect to natural gas utility operations is conducted with customers located within the three-state region of Arizona, Nevada, and California. Southwest’s Accounts receivable are short-term in nature with no billing due dates customarily extending beyond one month, with customers’ credit worthiness assessed upon account creation by evaluation of other utility service and related payments history. Although Southwest seeks to minimize its credit risk related to utility operations by requiring security deposits from new customers, imposing late fees, and actively pursuing collection on overdue accounts, some accounts are ultimately not collected. Customer accounts are subject to collection procedures that vary by jurisdiction (late fee assessment, noticing requirements for disconnection of service, and procedures for actual disconnection and/or reestablishment of service). After disconnection of service, accounts are customarily written off approximately two months after inactivation. Dependent upon the jurisdiction, reestablishment of service requires both payment of previously unpaid balances and additional deposit requirements. Provisions for uncollectible accounts are recorded monthly based on experience, consideration of current and expected future conditions, customer and rate composition, and write-off processes. They are included in the ratemaking process as a cost of service. The Nevada jurisdictions have a regulatory mechanism associated with the gas cost-related portion of uncollectible accounts. Such amounts are deferred and collected through a surcharge in the ratemaking process. </w:t>
      </w:r>
      <w:r>
        <w:rPr>
          <w:rFonts w:ascii="Arial" w:cs="Arial" w:eastAsia="Arial" w:hAnsi="Arial"/>
          <w:sz w:val="16"/>
          <w:szCs w:val="16"/>
          <w:color w:val="212529"/>
        </w:rPr>
        <w:t>Due to the</w:t>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0"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COVID-19 pandemic, and as utility service is an essential service to the residents in the states in which Southwest operates, Southwest implemented a temporary moratorium on disconnection of natural gas service for non-payment and it also ceased charging late fees until further notice. Southwest is also actively working with customers experiencing financial hardship by means of flexible payment options. Management is monitoring expected credit losses in light of the evolving financial impact of COVID-19, and has adjusted the allowance for uncollectibles as of March 31, 2020 as a result of the anticipated impact on Southwest’s customers’ ability to pay amounts due both currently and when the moratorium is lifted. The adjustment was not material to the financial statements overall, and entering the summer season, during which time monthly billing amounts are substantially reduced, management does not expect a material increase to the allowance for uncollectibles.</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contracts receivable are recorded at face amounts less an allowance for doubtful accounts. Centuri’s customers are generally investment-grade gas and electric utility companies for which Centuri has historically recognized an insignificant amount of write-offs. Centuri’s trade accounts receivable balances carry standard payment terms of up to 60 days. Centuri maintains an allowance that is an estimate based on historical collection experience, current and forward-looking estimated economic and market conditions, and a review of the current status of each customer's trade accounts receivable balance. Account balances are monitored at least monthly, and are charged-off against the allowance when management determines it is probable the balance will not be recovered. Centuri has not been significantly impacted, nor does it anticipate it will experience significant difficulty in collecting amounts due as a result of COVID-19 given the nature of its customers.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Activity in the allowance for uncollectibles and the balances as of the periods presented within the Company’s and Southwest’s financial statements are not material to the condensed consolidated financial statements.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On March 27, 2020, the Coronavirus Aid, Relief, and Economic Security (“CARES”) Act was enacted. The CARES Act provides a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tax provisions and stimulus measures, including changes to prior and future limitations on interest deductions, the ability to accelerate refund of Alternative Minimum Tax credits, elective deferment of payment related to the employer portion of Social Security taxes, and the creation of certain refundable employee retention credits, among other things. Management does not anticipate the impacts, if any, related to the CARES Act to have a material effect on the Company’s or Southwest’s results of operations, financial position, or liquidity.</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Prepaid and other current assets. </w:t>
      </w:r>
      <w:r>
        <w:rPr>
          <w:rFonts w:ascii="Arial" w:cs="Arial" w:eastAsia="Arial" w:hAnsi="Arial"/>
          <w:sz w:val="16"/>
          <w:szCs w:val="16"/>
          <w:color w:val="auto"/>
        </w:rPr>
        <w:t>Prepaid and other current assets includes gas pipe materials and operating supplies of $53 million at March 31,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$57 million at December 31, 2019 (carried at weighted average cost), in addition to $33 million at December 31, 2019 related to a regulatory asset associated with the Arizona decoupling mechanism (an alternative revenue program), with no corresponding asset balance at March 31, 2020.</w:t>
      </w:r>
    </w:p>
    <w:p>
      <w:pPr>
        <w:spacing w:after="0" w:line="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assessed as of October 1</w:t>
      </w:r>
      <w:r>
        <w:rPr>
          <w:rFonts w:ascii="Arial" w:cs="Arial" w:eastAsia="Arial" w:hAnsi="Arial"/>
          <w:sz w:val="16"/>
          <w:szCs w:val="16"/>
          <w:color w:val="auto"/>
        </w:rPr>
        <w:t>st</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 for impairment, or more frequently, if circumstances indicate an impairment to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goodwill may have occurred. Management of the Company and Southwest considered its reporting units and segments and determined that its segments and reporting units remain consistent between periods presented below, and that no change was necessary with regard to the level at which goodwill is assessed for impairment. Since December 31, 2019, management also qualitatively assessed whether events during the 1st quarter of 2020 may have resulted in conditions whereby the carrying value of goodwill was higher than its fair value, which if the case, could be an indication of a permanent impairment. Through this assessment, no such condition was believed to have existed and therefore, no impairment was deemed to have occurred in the first three months of 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rPr>
              <w:t>Utility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Natural Gas</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Infrastructure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6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Operations</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w w:val="91"/>
              </w:rPr>
              <w:t>Total Company</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343,023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(9,080)</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323,848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333,943</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Management recognizes in its balance sheets various liabilities that are expected to be settled through future cash payment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Southwest include $25.9 million and $25.2 million of dividends declared by Southwest Gas Corporation, but not yet paid to Southwest Gas Holdings, Inc. as of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0"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6"/>
          </w:tcPr>
          <w:p>
            <w:pPr>
              <w:jc w:val="right"/>
              <w:spacing w:after="0"/>
              <w:rPr>
                <w:sz w:val="20"/>
                <w:szCs w:val="20"/>
                <w:color w:val="auto"/>
              </w:rPr>
            </w:pPr>
            <w:r>
              <w:rPr>
                <w:rFonts w:ascii="Arial" w:cs="Arial" w:eastAsia="Arial" w:hAnsi="Arial"/>
                <w:sz w:val="16"/>
                <w:szCs w:val="16"/>
                <w:color w:val="auto"/>
                <w:w w:val="96"/>
              </w:rPr>
              <w:t>Twelve Months Ended March</w:t>
            </w:r>
          </w:p>
        </w:tc>
      </w:tr>
      <w:tr>
        <w:trPr>
          <w:trHeight w:val="206"/>
        </w:trPr>
        <w:tc>
          <w:tcPr>
            <w:tcW w:w="6860" w:type="dxa"/>
            <w:vAlign w:val="bottom"/>
          </w:tcPr>
          <w:p>
            <w:pPr>
              <w:spacing w:after="0"/>
              <w:rPr>
                <w:sz w:val="17"/>
                <w:szCs w:val="17"/>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color w:val="auto"/>
                <w:w w:val="97"/>
              </w:rPr>
              <w:t>Three Months ended March 31,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gridSpan w:val="3"/>
          </w:tcPr>
          <w:p>
            <w:pPr>
              <w:jc w:val="right"/>
              <w:ind w:right="79"/>
              <w:spacing w:after="0"/>
              <w:rPr>
                <w:sz w:val="20"/>
                <w:szCs w:val="20"/>
                <w:color w:val="auto"/>
              </w:rPr>
            </w:pPr>
            <w:r>
              <w:rPr>
                <w:rFonts w:ascii="Arial" w:cs="Arial" w:eastAsia="Arial" w:hAnsi="Arial"/>
                <w:sz w:val="16"/>
                <w:szCs w:val="16"/>
                <w:color w:val="auto"/>
                <w:w w:val="89"/>
              </w:rPr>
              <w:t>31,</w:t>
            </w:r>
          </w:p>
        </w:tc>
        <w:tc>
          <w:tcPr>
            <w:tcW w:w="780" w:type="dxa"/>
            <w:vAlign w:val="bottom"/>
          </w:tcPr>
          <w:p>
            <w:pPr>
              <w:spacing w:after="0"/>
              <w:rPr>
                <w:sz w:val="17"/>
                <w:szCs w:val="17"/>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12"/>
        </w:trPr>
        <w:tc>
          <w:tcPr>
            <w:tcW w:w="6860" w:type="dxa"/>
            <w:vAlign w:val="bottom"/>
          </w:tcPr>
          <w:p>
            <w:pPr>
              <w:ind w:left="40"/>
              <w:spacing w:after="0"/>
              <w:rPr>
                <w:sz w:val="20"/>
                <w:szCs w:val="20"/>
                <w:color w:val="auto"/>
              </w:rPr>
            </w:pPr>
            <w:r>
              <w:rPr>
                <w:rFonts w:ascii="Arial" w:cs="Arial" w:eastAsia="Arial" w:hAnsi="Arial"/>
                <w:sz w:val="16"/>
                <w:szCs w:val="16"/>
                <w:color w:val="auto"/>
              </w:rPr>
              <w:t>(Thousands of dollars)</w:t>
            </w:r>
          </w:p>
        </w:tc>
        <w:tc>
          <w:tcPr>
            <w:tcW w:w="240" w:type="dxa"/>
            <w:vAlign w:val="bottom"/>
          </w:tcPr>
          <w:p>
            <w:pPr>
              <w:spacing w:after="0"/>
              <w:rPr>
                <w:sz w:val="24"/>
                <w:szCs w:val="24"/>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2019</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Southwest Gas Corporation - natural gas operations segment: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Change in COLI policies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(15,500)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7,600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(5,700)</w:t>
            </w:r>
          </w:p>
        </w:tc>
        <w:tc>
          <w:tcPr>
            <w:tcW w:w="38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5,100</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6,199</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Equity AFUDC</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4,358</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components of net periodic benefit cost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(19,560)</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Miscellaneous income and (expense)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(2,788)</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Southwest Gas Corporation - total other income (deductions)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(6,691)</w:t>
            </w:r>
          </w:p>
        </w:tc>
      </w:tr>
      <w:tr>
        <w:trPr>
          <w:trHeight w:val="203"/>
        </w:trPr>
        <w:tc>
          <w:tcPr>
            <w:tcW w:w="6860" w:type="dxa"/>
            <w:vAlign w:val="bottom"/>
          </w:tcPr>
          <w:p>
            <w:pPr>
              <w:ind w:left="40"/>
              <w:spacing w:after="0"/>
              <w:rPr>
                <w:sz w:val="20"/>
                <w:szCs w:val="20"/>
                <w:color w:val="auto"/>
              </w:rPr>
            </w:pPr>
            <w:r>
              <w:rPr>
                <w:rFonts w:ascii="Arial" w:cs="Arial" w:eastAsia="Arial" w:hAnsi="Arial"/>
                <w:sz w:val="16"/>
                <w:szCs w:val="16"/>
                <w:color w:val="auto"/>
              </w:rPr>
              <w:t>Utility infrastructure services segment:</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60"/>
        </w:trPr>
        <w:tc>
          <w:tcPr>
            <w:tcW w:w="6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Foreign transaction gain (loss)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Miscellaneous income and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color w:val="auto"/>
              </w:rPr>
              <w:t>Centuri - total other income (deductions)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43"/>
        </w:trPr>
        <w:tc>
          <w:tcPr>
            <w:tcW w:w="6860" w:type="dxa"/>
            <w:vAlign w:val="bottom"/>
          </w:tcPr>
          <w:p>
            <w:pPr>
              <w:ind w:left="40"/>
              <w:spacing w:after="0"/>
              <w:rPr>
                <w:sz w:val="20"/>
                <w:szCs w:val="20"/>
                <w:color w:val="auto"/>
              </w:rPr>
            </w:pPr>
            <w:r>
              <w:rPr>
                <w:rFonts w:ascii="Arial" w:cs="Arial" w:eastAsia="Arial" w:hAnsi="Arial"/>
                <w:sz w:val="16"/>
                <w:szCs w:val="16"/>
                <w:color w:val="auto"/>
              </w:rPr>
              <w:t>Consolidated Southwest Gas Holdings, Inc. - total other income (deductions)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(20,770)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6,839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(17,524)</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(6,253)</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to </w:t>
      </w:r>
      <w:r>
        <w:rPr>
          <w:rFonts w:ascii="Arial" w:cs="Arial" w:eastAsia="Arial" w:hAnsi="Arial"/>
          <w:sz w:val="18"/>
          <w:szCs w:val="18"/>
          <w:i w:val="1"/>
          <w:iCs w:val="1"/>
          <w:color w:val="auto"/>
        </w:rPr>
        <w:t>Other Property and Investments</w:t>
      </w:r>
      <w:r>
        <w:rPr>
          <w:rFonts w:ascii="Arial" w:cs="Arial" w:eastAsia="Arial" w:hAnsi="Arial"/>
          <w:sz w:val="18"/>
          <w:szCs w:val="18"/>
          <w:color w:val="auto"/>
        </w:rPr>
        <w:t xml:space="preserve"> above and also to </w:t>
      </w:r>
      <w:r>
        <w:rPr>
          <w:rFonts w:ascii="Arial" w:cs="Arial" w:eastAsia="Arial" w:hAnsi="Arial"/>
          <w:sz w:val="18"/>
          <w:szCs w:val="18"/>
          <w:b w:val="1"/>
          <w:bCs w:val="1"/>
          <w:color w:val="auto"/>
        </w:rPr>
        <w:t>Note 2 –</w:t>
      </w:r>
      <w:r>
        <w:rPr>
          <w:rFonts w:ascii="Arial" w:cs="Arial" w:eastAsia="Arial" w:hAnsi="Arial"/>
          <w:sz w:val="18"/>
          <w:szCs w:val="18"/>
          <w:color w:val="auto"/>
        </w:rPr>
        <w:t xml:space="preserve"> </w:t>
      </w:r>
      <w:r>
        <w:rPr>
          <w:rFonts w:ascii="Arial" w:cs="Arial" w:eastAsia="Arial" w:hAnsi="Arial"/>
          <w:sz w:val="18"/>
          <w:szCs w:val="18"/>
          <w:b w:val="1"/>
          <w:bCs w:val="1"/>
          <w:color w:val="auto"/>
        </w:rPr>
        <w:t>Components of Net Periodic Benefit Cost</w:t>
      </w:r>
      <w:r>
        <w:rPr>
          <w:rFonts w:ascii="Arial" w:cs="Arial" w:eastAsia="Arial" w:hAnsi="Arial"/>
          <w:sz w:val="18"/>
          <w:szCs w:val="18"/>
          <w:color w:val="auto"/>
        </w:rPr>
        <w: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In managing its natural gas supply portfolios, Southwest has historically entered into fixed- and variable-price contracts, which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Additionally, Southwest has utilized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prices are the prevailing prices at the future transaction dates, the contracts have no determinable fair value. The Swap contract prices are determined at the beginning of each month to reflect that month’s published first of month index price and are recorded at fair value (Level 2). Southwest does not utilize derivative financial instruments for speculative purposes, nor does it have trading operations.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currently anticipate entering into new Swaps in the near term; the longest maturity date of the Swaps as of March 31, 2020 is October 2020.</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 gas adjustment (“PGA”) mechanism in determining the deferred PGA balances. Neither changes in fair value nor settled amounts of Swaps have a direct effect on earnings or other comprehensive income, since following settlement, amounts are reflected in Net cost of gas sold at the same time they are included in Gas operating revenues through updates to the PGA component of rates.</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Master netting arrangements exist with each counterparty that provide for the net settlement (in the settlement month) of all contracts through a single payment. As applicable, management has elected to reflect the net amounts in its balance sheets, which were immaterial at March 31, 2020. There was no outstanding collateral associated with the Swaps during any period reflected on the Condensed Consolidated Balance Sheets.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Southwest entered into forward-starting interest rate swaps (“FSIRS”), the settled positions for which are immaterial and continue to be amortized from Accumulated other comprehensive income (loss) into interest expense.</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Redeemable Noncontrolling Interest. </w:t>
      </w:r>
      <w:r>
        <w:rPr>
          <w:rFonts w:ascii="Arial" w:cs="Arial" w:eastAsia="Arial" w:hAnsi="Arial"/>
          <w:sz w:val="17"/>
          <w:szCs w:val="17"/>
          <w:color w:val="auto"/>
        </w:rPr>
        <w:t>In connection with the acquisition of Linetec in November 2018, the previous owner retained a 20% equity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Linetec, the reduction of which is subject to certain rights based on the passage of time or upon the occurrence of certain triggering events.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w:t>
      </w:r>
    </w:p>
    <w:p>
      <w:pPr>
        <w:sectPr>
          <w:pgSz w:w="11900" w:h="16838" w:orient="portrait"/>
          <w:cols w:equalWidth="0" w:num="1">
            <w:col w:w="11240"/>
          </w:cols>
          <w:pgMar w:left="320" w:top="270" w:right="339" w:bottom="1440" w:gutter="0" w:footer="0" w:header="0"/>
        </w:sect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270" w:right="339" w:bottom="1440" w:gutter="0" w:footer="0" w:header="0"/>
          <w:type w:val="continuous"/>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market approach that utilizes certain financial metrics from guideline public companies of similar industry and operating characteristics. However, the carrying value was greater than the fair value as of March 31, 2020, and no previous upward redemption value adjustments were made following the acquisition date. SEC guidance indicates that a redemption value adjustment would not be made under these circumstances. The following depicts the change to the balance of the redeemable noncontrolling interest: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Redeemable</w:t>
            </w:r>
          </w:p>
        </w:tc>
      </w:tr>
      <w:tr>
        <w:trPr>
          <w:trHeight w:val="230"/>
        </w:trPr>
        <w:tc>
          <w:tcPr>
            <w:tcW w:w="94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w w:val="95"/>
              </w:rPr>
              <w:t>Noncontrolling Interest</w:t>
            </w:r>
          </w:p>
        </w:tc>
      </w:tr>
      <w:tr>
        <w:trPr>
          <w:trHeight w:val="27"/>
        </w:trPr>
        <w:tc>
          <w:tcPr>
            <w:tcW w:w="9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84,542</w:t>
            </w:r>
          </w:p>
        </w:tc>
      </w:tr>
      <w:tr>
        <w:trPr>
          <w:trHeight w:val="243"/>
        </w:trPr>
        <w:tc>
          <w:tcPr>
            <w:tcW w:w="9440" w:type="dxa"/>
            <w:vAlign w:val="bottom"/>
          </w:tcPr>
          <w:p>
            <w:pPr>
              <w:ind w:left="200"/>
              <w:spacing w:after="0"/>
              <w:rPr>
                <w:sz w:val="20"/>
                <w:szCs w:val="20"/>
                <w:color w:val="auto"/>
              </w:rPr>
            </w:pPr>
            <w:r>
              <w:rPr>
                <w:rFonts w:ascii="Arial" w:cs="Arial" w:eastAsia="Arial" w:hAnsi="Arial"/>
                <w:sz w:val="18"/>
                <w:szCs w:val="18"/>
                <w:color w:val="auto"/>
              </w:rPr>
              <w:t>Net income attributable to redeemable noncontrolling interest</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
        </w:trPr>
        <w:tc>
          <w:tcPr>
            <w:tcW w:w="9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85,005</w:t>
            </w:r>
          </w:p>
        </w:tc>
      </w:tr>
      <w:tr>
        <w:trPr>
          <w:trHeight w:val="20"/>
        </w:trPr>
        <w:tc>
          <w:tcPr>
            <w:tcW w:w="9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the Basic and Diluted EPS calculations is shown in the following table: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2320" w:type="dxa"/>
            <w:vAlign w:val="bottom"/>
            <w:gridSpan w:val="4"/>
          </w:tcPr>
          <w:p>
            <w:pPr>
              <w:jc w:val="center"/>
              <w:spacing w:after="0"/>
              <w:rPr>
                <w:sz w:val="20"/>
                <w:szCs w:val="20"/>
                <w:color w:val="auto"/>
              </w:rPr>
            </w:pPr>
            <w:r>
              <w:rPr>
                <w:rFonts w:ascii="Arial" w:cs="Arial" w:eastAsia="Arial" w:hAnsi="Arial"/>
                <w:sz w:val="18"/>
                <w:szCs w:val="18"/>
                <w:color w:val="auto"/>
                <w:w w:val="90"/>
              </w:rPr>
              <w:t>Twelve Months Ended</w:t>
            </w:r>
          </w:p>
        </w:tc>
      </w:tr>
      <w:tr>
        <w:trPr>
          <w:trHeight w:val="230"/>
        </w:trPr>
        <w:tc>
          <w:tcPr>
            <w:tcW w:w="6420" w:type="dxa"/>
            <w:vAlign w:val="bottom"/>
          </w:tcPr>
          <w:p>
            <w:pPr>
              <w:spacing w:after="0"/>
              <w:rPr>
                <w:sz w:val="20"/>
                <w:szCs w:val="20"/>
                <w:color w:val="auto"/>
              </w:rPr>
            </w:pPr>
          </w:p>
        </w:tc>
        <w:tc>
          <w:tcPr>
            <w:tcW w:w="16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2019</w:t>
            </w:r>
          </w:p>
        </w:tc>
      </w:tr>
      <w:tr>
        <w:trPr>
          <w:trHeight w:val="27"/>
        </w:trPr>
        <w:tc>
          <w:tcPr>
            <w:tcW w:w="6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basic shares</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53,369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50,640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Management Incentive Plan shares</w:t>
            </w:r>
          </w:p>
        </w:tc>
        <w:tc>
          <w:tcPr>
            <w:tcW w:w="16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Restricted stock units (1)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8"/>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shares</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53,424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jc w:val="both"/>
        <w:ind w:left="180" w:hanging="10"/>
        <w:spacing w:after="0" w:line="254" w:lineRule="auto"/>
        <w:tabs>
          <w:tab w:leader="none" w:pos="41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securities granted included 50,000 and 40,000 performance shares during the three months ending March 31, 2020 and 2019 and 48,000 and 29,000 performance shares during the twelve months ending March 31, 2020 and 2019, respectively, the total of which was derived by assuming that target performance will be achieved during the relevant performance period.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2020:</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update “Financial Instruments—Credit Losses (Topic 326): Measurement of Credit Losses on Financial Instruments.” The update requires the measurement of all expected credit losses for financial assets held at the reporting date based on historical experience, current conditions, and reasonable and supportable forecasts. The Company and Southwest adopted the update in the first quarter of 2020, and concluded the impact was not material to the condensed consolidated financial statements of the Company or Southwest. See </w:t>
      </w:r>
      <w:r>
        <w:rPr>
          <w:rFonts w:ascii="Arial" w:cs="Arial" w:eastAsia="Arial" w:hAnsi="Arial"/>
          <w:sz w:val="18"/>
          <w:szCs w:val="18"/>
          <w:i w:val="1"/>
          <w:iCs w:val="1"/>
          <w:color w:val="auto"/>
        </w:rPr>
        <w:t>Accounts receivable, net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allowances </w:t>
      </w:r>
      <w:r>
        <w:rPr>
          <w:rFonts w:ascii="Arial" w:cs="Arial" w:eastAsia="Arial" w:hAnsi="Arial"/>
          <w:sz w:val="18"/>
          <w:szCs w:val="18"/>
          <w:color w:val="auto"/>
        </w:rPr>
        <w:t>above.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Under the update, an entity will apply a one-step quantitative test as opposed to a two-step test as currently required, and record the amount of goodwill impairment as the excess of a reporting unit's carrying amount over its fair value, not to exceed the total amount of goodwill allocated to the reporting unit. The new guidance does not amend the optional qualitative assessment. The Company and Southwest adopted the update in the first quarter of 2020 and will apply the update prospectively in any future goodwill impairment tests.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 contract) with the requirements for capitalizing implementation costs incurred to develop or obtain internal-use software, with the exception that such costs are to be included in the same line item in the balance sheet that a prepayment of the fees associated with the arrangement would be presented. Once capitalized, the update requires the entity to expense the amount capitalized over the term of the hosting arrangement, including reasonably certain renewal periods. The Company and Southwest adopted the update in the first quarter of 2020 using the prospective transition method. There were no material implementation costs related to cloud computing arrangements for the Company and Southwest in the first quarter of 2020.</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270" w:right="339" w:bottom="1440" w:gutter="0" w:footer="0" w:header="0"/>
          <w:type w:val="continuous"/>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after 2020:</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2018, the FASB issued ASU 2018-14 “Compensation—Retirement Benefits—Defined Benefit Plans—General (Subtopic 715-20): Disclosure Framework—Changes to the Disclosure Requirements for Defined Benefit Plans.” This update removes disclosures that are no longer considered cost-beneficial, clarifies the specific requirements of disclosures, and adds disclosure requirements identified as relevant. The update applies to all employers that sponsor defined benefit pension or other postretirement plans. The update is effective for fiscal years ending after December 15, 2020. Upon adoption, the Company and Southwest will modify their disclosures to conform to the requirements of the update.</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update simplifies the accounting for income taxes by removing certain exceptions to the general principles, as well as improving consistent application in Topic 740 by clarifying and amending existing guidance. The update is effective for fiscal years beginning after December 15, 2021, and interim periods within fiscal years beginning after December 15, 2022. Early adoption is permitted for periods for which financial statements have not yet been made available for issuance. Management is evaluating the impacts this update might have on the Company’s and Southwest’s consolidated financial statements and disclosures.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2020,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The update applies only to contracts and hedging relationships that reference LIBOR or another reference rate expected to be discontinued due to reference rate reform. The expedients and exceptions provided by the amendments do not apply to contract modifications made or entered into after December 31, 2022. Management is evaluating the impacts this update might have on the Company’s and Southwest’s consolidated financial statements and disclosures. See also LIBOR discussion in </w:t>
      </w:r>
      <w:r>
        <w:rPr>
          <w:rFonts w:ascii="Arial" w:cs="Arial" w:eastAsia="Arial" w:hAnsi="Arial"/>
          <w:sz w:val="17"/>
          <w:szCs w:val="17"/>
          <w:b w:val="1"/>
          <w:bCs w:val="1"/>
          <w:color w:val="auto"/>
        </w:rPr>
        <w:t>Note 5 – Debt</w:t>
      </w:r>
      <w:r>
        <w:rPr>
          <w:rFonts w:ascii="Arial" w:cs="Arial" w:eastAsia="Arial" w:hAnsi="Arial"/>
          <w:sz w:val="17"/>
          <w:szCs w:val="17"/>
          <w:color w:val="auto"/>
        </w:rPr>
        <w:t>.</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0"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service cost component of net periodic benefit costs included in the table below are components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each entity.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Qualified Retirement Plan</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54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20"/>
                <w:szCs w:val="20"/>
                <w:color w:val="auto"/>
              </w:rPr>
            </w:pPr>
          </w:p>
        </w:tc>
        <w:tc>
          <w:tcPr>
            <w:tcW w:w="2200" w:type="dxa"/>
            <w:vAlign w:val="bottom"/>
            <w:gridSpan w:val="4"/>
          </w:tcPr>
          <w:p>
            <w:pPr>
              <w:jc w:val="right"/>
              <w:ind w:right="610"/>
              <w:spacing w:after="0"/>
              <w:rPr>
                <w:sz w:val="20"/>
                <w:szCs w:val="20"/>
                <w:color w:val="auto"/>
              </w:rPr>
            </w:pPr>
            <w:r>
              <w:rPr>
                <w:rFonts w:ascii="Arial" w:cs="Arial" w:eastAsia="Arial" w:hAnsi="Arial"/>
                <w:sz w:val="18"/>
                <w:szCs w:val="18"/>
                <w:color w:val="auto"/>
              </w:rPr>
              <w:t>Twelve Months</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8,574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27,972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27,882</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45,383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(59,127)</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29,675</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12,645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9,246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40,381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43,813</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93"/>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left="530"/>
              <w:spacing w:after="0"/>
              <w:rPr>
                <w:sz w:val="20"/>
                <w:szCs w:val="20"/>
                <w:color w:val="auto"/>
              </w:rPr>
            </w:pPr>
            <w:r>
              <w:rPr>
                <w:rFonts w:ascii="Arial" w:cs="Arial" w:eastAsia="Arial" w:hAnsi="Arial"/>
                <w:sz w:val="18"/>
                <w:szCs w:val="18"/>
                <w:color w:val="auto"/>
                <w:w w:val="85"/>
              </w:rPr>
              <w:t>SERP</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54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20"/>
                <w:szCs w:val="20"/>
                <w:color w:val="auto"/>
              </w:rPr>
            </w:pPr>
          </w:p>
        </w:tc>
        <w:tc>
          <w:tcPr>
            <w:tcW w:w="2200" w:type="dxa"/>
            <w:vAlign w:val="bottom"/>
            <w:gridSpan w:val="4"/>
          </w:tcPr>
          <w:p>
            <w:pPr>
              <w:jc w:val="right"/>
              <w:ind w:right="610"/>
              <w:spacing w:after="0"/>
              <w:rPr>
                <w:sz w:val="20"/>
                <w:szCs w:val="20"/>
                <w:color w:val="auto"/>
              </w:rPr>
            </w:pPr>
            <w:r>
              <w:rPr>
                <w:rFonts w:ascii="Arial" w:cs="Arial" w:eastAsia="Arial" w:hAnsi="Arial"/>
                <w:sz w:val="18"/>
                <w:szCs w:val="18"/>
                <w:color w:val="auto"/>
              </w:rPr>
              <w:t>Twelve Months</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1,382</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PBOP</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54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20"/>
                <w:szCs w:val="20"/>
                <w:color w:val="auto"/>
              </w:rPr>
            </w:pPr>
          </w:p>
        </w:tc>
        <w:tc>
          <w:tcPr>
            <w:tcW w:w="2200" w:type="dxa"/>
            <w:vAlign w:val="bottom"/>
            <w:gridSpan w:val="4"/>
          </w:tcPr>
          <w:p>
            <w:pPr>
              <w:jc w:val="right"/>
              <w:ind w:right="610"/>
              <w:spacing w:after="0"/>
              <w:rPr>
                <w:sz w:val="20"/>
                <w:szCs w:val="20"/>
                <w:color w:val="auto"/>
              </w:rPr>
            </w:pPr>
            <w:r>
              <w:rPr>
                <w:rFonts w:ascii="Arial" w:cs="Arial" w:eastAsia="Arial" w:hAnsi="Arial"/>
                <w:sz w:val="18"/>
                <w:szCs w:val="18"/>
                <w:color w:val="auto"/>
              </w:rPr>
              <w:t>Twelve Months</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1,424</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(3,577)</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w:t>
            </w: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1,988</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0"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operations segment and Centuri encompasses the utility infrastructure services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1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100" w:type="dxa"/>
            <w:vAlign w:val="bottom"/>
            <w:gridSpan w:val="4"/>
          </w:tcPr>
          <w:p>
            <w:pPr>
              <w:jc w:val="right"/>
              <w:ind w:right="259"/>
              <w:spacing w:after="0"/>
              <w:rPr>
                <w:sz w:val="20"/>
                <w:szCs w:val="20"/>
                <w:color w:val="auto"/>
              </w:rPr>
            </w:pPr>
            <w:r>
              <w:rPr>
                <w:rFonts w:ascii="Arial" w:cs="Arial" w:eastAsia="Arial" w:hAnsi="Arial"/>
                <w:sz w:val="18"/>
                <w:szCs w:val="18"/>
                <w:color w:val="auto"/>
                <w:w w:val="97"/>
              </w:rPr>
              <w:t>Twelve Months Ended</w:t>
            </w:r>
          </w:p>
        </w:tc>
      </w:tr>
      <w:tr>
        <w:trPr>
          <w:trHeight w:val="230"/>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420" w:type="dxa"/>
            <w:vAlign w:val="bottom"/>
          </w:tcPr>
          <w:p>
            <w:pPr>
              <w:ind w:left="40"/>
              <w:spacing w:after="0"/>
              <w:rPr>
                <w:sz w:val="20"/>
                <w:szCs w:val="20"/>
                <w:color w:val="auto"/>
              </w:rPr>
            </w:pPr>
            <w:r>
              <w:rPr>
                <w:rFonts w:ascii="Arial" w:cs="Arial" w:eastAsia="Arial" w:hAnsi="Arial"/>
                <w:sz w:val="16"/>
                <w:szCs w:val="16"/>
                <w:color w:val="auto"/>
              </w:rPr>
              <w:t>(Thousands of dollars)</w:t>
            </w:r>
          </w:p>
        </w:tc>
        <w:tc>
          <w:tcPr>
            <w:tcW w:w="260" w:type="dxa"/>
            <w:vAlign w:val="bottom"/>
          </w:tcPr>
          <w:p>
            <w:pPr>
              <w:spacing w:after="0"/>
              <w:rPr>
                <w:sz w:val="20"/>
                <w:szCs w:val="20"/>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8"/>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color w:val="auto"/>
                <w:w w:val="95"/>
              </w:rPr>
              <w:t>2019</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378,555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934,115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959,837</w:t>
            </w: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Small commercial</w:t>
            </w:r>
          </w:p>
        </w:tc>
        <w:tc>
          <w:tcPr>
            <w:tcW w:w="26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82,463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89,610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241,970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256,750</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Large commercial</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12,667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47,640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51,714</w:t>
            </w: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Industrial/other</w:t>
            </w:r>
          </w:p>
        </w:tc>
        <w:tc>
          <w:tcPr>
            <w:tcW w:w="26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6,702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6,478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22,298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23,457</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24,406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91,884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87,838</w:t>
            </w:r>
          </w:p>
        </w:tc>
      </w:tr>
      <w:tr>
        <w:trPr>
          <w:trHeight w:val="217"/>
        </w:trPr>
        <w:tc>
          <w:tcPr>
            <w:tcW w:w="6420" w:type="dxa"/>
            <w:vAlign w:val="bottom"/>
          </w:tcPr>
          <w:p>
            <w:pPr>
              <w:ind w:left="380"/>
              <w:spacing w:after="0"/>
              <w:rPr>
                <w:sz w:val="20"/>
                <w:szCs w:val="20"/>
                <w:color w:val="auto"/>
              </w:rPr>
            </w:pPr>
            <w:r>
              <w:rPr>
                <w:rFonts w:ascii="Arial" w:cs="Arial" w:eastAsia="Arial" w:hAnsi="Arial"/>
                <w:sz w:val="16"/>
                <w:szCs w:val="16"/>
                <w:color w:val="auto"/>
              </w:rPr>
              <w:t>Revenue from contracts with customers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504,793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552,180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1,337,907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1,379,596</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Alternative revenue program revenues (deferrals)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5,668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(15,775)</w:t>
            </w: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Other revenues</w:t>
            </w:r>
          </w:p>
        </w:tc>
        <w:tc>
          <w:tcPr>
            <w:tcW w:w="26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1,799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7,514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20,271</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Gas operating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502,827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520,677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1,351,089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1,384,092</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18"/>
                <w:szCs w:val="18"/>
                <w:color w:val="auto"/>
              </w:rPr>
            </w:pPr>
          </w:p>
        </w:tc>
        <w:tc>
          <w:tcPr>
            <w:tcW w:w="230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Twelve Months Ended</w:t>
            </w:r>
          </w:p>
        </w:tc>
      </w:tr>
      <w:tr>
        <w:trPr>
          <w:trHeight w:val="230"/>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2019</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Types: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Gas infrastructure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217,709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197,893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1,258,790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1,128,048</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 power infrastructure services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267,736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79,528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43,464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62,668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245,083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367,554</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333,493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312,862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1,771,609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1,575,130</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r>
      <w:tr>
        <w:trPr>
          <w:trHeight w:val="351"/>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4"/>
                <w:szCs w:val="24"/>
                <w:color w:val="auto"/>
              </w:rPr>
            </w:pPr>
          </w:p>
        </w:tc>
        <w:tc>
          <w:tcPr>
            <w:tcW w:w="230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Twelve Months Ended</w:t>
            </w:r>
          </w:p>
        </w:tc>
      </w:tr>
      <w:tr>
        <w:trPr>
          <w:trHeight w:val="230"/>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2019</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Types: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Master services agreement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263,545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235,655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1,411,267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1,143,603</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Bid contract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69,948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360,342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431,527</w:t>
            </w:r>
          </w:p>
        </w:tc>
      </w:tr>
      <w:tr>
        <w:trPr>
          <w:trHeight w:val="297"/>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333,493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312,862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1,771,609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1,575,130</w:t>
            </w:r>
          </w:p>
        </w:tc>
      </w:tr>
      <w:tr>
        <w:trPr>
          <w:trHeight w:val="284"/>
        </w:trPr>
        <w:tc>
          <w:tcPr>
            <w:tcW w:w="5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Unit price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243,136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235,686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1,387,706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1,296,783</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price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130,295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Time and materials contracts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62,812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38,638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281,972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148,052</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333,493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312,862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1,771,609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1,575,130</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270" w:right="339" w:bottom="1440" w:gutter="0" w:footer="0" w:header="0"/>
          <w:type w:val="continuous"/>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 which are both included within Accounts receivable, net of allowances, as well as amounts billed in excess of revenue earned on contracts (contract liability), which are included in Other current liabilities as of March 31, 2020 and December 31, 2019 on the Company’s Condensed 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March 31, 2020</w:t>
            </w: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2019</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receivable,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223,904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Revenue earned on contracts in progress in excess of billings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99,967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99,399</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billed in excess of revenue earned on contracts</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4,525</w:t>
            </w:r>
          </w:p>
        </w:tc>
      </w:tr>
      <w:tr>
        <w:trPr>
          <w:trHeight w:val="27"/>
        </w:trPr>
        <w:tc>
          <w:tcPr>
            <w:tcW w:w="7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revenue earned on contracts in progress in excess of billings (contract asset) primarily relates to Centuri’s rights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2019 to March 31, 2020 is due to revenue recognized of $4.5 million that was included in this item as of January 1, 2020, after which time it became earned and the balance was reduced, and to increases due to cash received, net of revenue recognized during the period related to contracts that commenced during the period.</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2020, Centuri had 23 contracts with an original duration of more than one year. The aggregate amount of the transaction price allocated to the unsatisfied performance obligations of these contracts as of March 31, 2020 was $68.2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are provided by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80" w:type="dxa"/>
            <w:vAlign w:val="bottom"/>
          </w:tcPr>
          <w:p>
            <w:pPr>
              <w:spacing w:after="0"/>
              <w:rPr>
                <w:sz w:val="20"/>
                <w:szCs w:val="20"/>
                <w:color w:val="auto"/>
              </w:rPr>
            </w:pPr>
          </w:p>
        </w:tc>
        <w:tc>
          <w:tcPr>
            <w:tcW w:w="2100" w:type="dxa"/>
            <w:vAlign w:val="bottom"/>
            <w:gridSpan w:val="2"/>
          </w:tcPr>
          <w:p>
            <w:pPr>
              <w:ind w:left="240"/>
              <w:spacing w:after="0"/>
              <w:rPr>
                <w:sz w:val="20"/>
                <w:szCs w:val="20"/>
                <w:color w:val="auto"/>
              </w:rPr>
            </w:pPr>
            <w:r>
              <w:rPr>
                <w:rFonts w:ascii="Arial" w:cs="Arial" w:eastAsia="Arial" w:hAnsi="Arial"/>
                <w:sz w:val="18"/>
                <w:szCs w:val="18"/>
                <w:color w:val="auto"/>
              </w:rPr>
              <w:t>March 31, 2020</w:t>
            </w:r>
          </w:p>
        </w:tc>
        <w:tc>
          <w:tcPr>
            <w:tcW w:w="30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8"/>
              </w:rPr>
              <w:t>December 31, 2019</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 on completed contracts and contracts in progress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216,268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8,456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gross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224,724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223,904</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70"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8, 2019, the Company filed with the SEC an automatic shelf registration statement on Form S-3 (File No. 333-231297), which became effective upon filing, for the offer and sale of up to $300 million of common stock from time to time in at-the-market offerings under the prospectus included therein and in accordance with the Sales Agency Agreement, dated May 8, 2019, between the Company and BNY Mellon Capital Markets, LLC (the “Equity Shelf Program”). The Company sold no shares under the Equity Shelf Program during the three months ended March 31, 2020. The following table provides the activity under the Equity Shelf Program for the life-to-date period ended March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4"/>
              </w:rPr>
              <w:t>Life-To-Date Ended</w:t>
            </w:r>
          </w:p>
        </w:tc>
      </w:tr>
      <w:tr>
        <w:trPr>
          <w:trHeight w:val="27"/>
        </w:trPr>
        <w:tc>
          <w:tcPr>
            <w:tcW w:w="9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9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92"/>
              </w:rPr>
              <w:t>March 31, 2020</w:t>
            </w:r>
          </w:p>
        </w:tc>
      </w:tr>
      <w:tr>
        <w:trPr>
          <w:trHeight w:val="27"/>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124,337,247</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Less: agent commissions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(1,243,372)</w:t>
            </w:r>
          </w:p>
        </w:tc>
      </w:tr>
      <w:tr>
        <w:trPr>
          <w:trHeight w:val="27"/>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123,093,875</w:t>
            </w: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9680" w:type="dxa"/>
            <w:vAlign w:val="bottom"/>
          </w:tcPr>
          <w:p>
            <w:pPr>
              <w:ind w:left="40"/>
              <w:spacing w:after="0"/>
              <w:rPr>
                <w:sz w:val="20"/>
                <w:szCs w:val="20"/>
                <w:color w:val="auto"/>
              </w:rPr>
            </w:pPr>
            <w:r>
              <w:rPr>
                <w:rFonts w:ascii="Arial" w:cs="Arial" w:eastAsia="Arial" w:hAnsi="Arial"/>
                <w:sz w:val="18"/>
                <w:szCs w:val="18"/>
                <w:color w:val="auto"/>
              </w:rPr>
              <w:t>Number of shares sold</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1,478,945</w:t>
            </w:r>
          </w:p>
        </w:tc>
      </w:tr>
      <w:tr>
        <w:trPr>
          <w:trHeight w:val="27"/>
        </w:trPr>
        <w:tc>
          <w:tcPr>
            <w:tcW w:w="9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price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84.07</w:t>
            </w:r>
          </w:p>
        </w:tc>
      </w:tr>
      <w:tr>
        <w:trPr>
          <w:trHeight w:val="27"/>
        </w:trPr>
        <w:tc>
          <w:tcPr>
            <w:tcW w:w="9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2020, the Company had up to $175,662,753 of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the Company issued approximately 72,000 shares of common stock through the Restricted Stock/Unit Plan and Management Incentive Plan.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during the three months ended March 31, 2020, the Company issued 47,000 shares of common stock through the Dividend Reinvestment and Stock Purchase Plan, raising approximately $3.1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Long-term debt is recognized in the Company’s and Southwest’s Condensed Consolidated Balance Sheets generally at the carrying value of the obligations outstanding. However, details surrounding the fair value and individual carrying values of instruments are discussed below or provided in the table that follows.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Southwest’s revolving credit facility (including commercial paper) and the variable-rate Industrial Development Revenue Bonds (“IDRBs”) approximate their carrying values. The fair values of the revolving credit facility and IDRBs are categorized as Level 1 based on the FASB’s fair value hierarchy, due to Southwest’s ability to access similar debt arrangements at measurement dates with comparable terms, including variable/market rates. Additionally, the borrowings by Southwest under its revolving credit facility are generally repaid quickly and the IDRBs have interest rates that reset frequently.</w:t>
      </w:r>
    </w:p>
    <w:p>
      <w:pPr>
        <w:spacing w:after="0" w:line="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values of Southwest’s debentures (which include senior and medium-term notes)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are categorized as Level 2.</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Centuri secured revolving credit and term loan facility and Centuri’s other debt obligations (not actively traded) are categorized as Level 3. Because Centuri’s debt is not publicly traded, fair values for its secured revolving credit and term loan facility and other debt obligations were based on a conventional discounted cash flow methodology utilizing current market pricing yield curves, across Centuri’s debt maturity spectrum, of other industrial bonds with an assumed credit rating comparable to the Company’s.</w:t>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7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rPr>
              <w:t>March 31, 2020</w:t>
            </w:r>
          </w:p>
        </w:tc>
        <w:tc>
          <w:tcPr>
            <w:tcW w:w="0" w:type="dxa"/>
            <w:vAlign w:val="bottom"/>
          </w:tcPr>
          <w:p>
            <w:pPr>
              <w:spacing w:after="0"/>
              <w:rPr>
                <w:sz w:val="1"/>
                <w:szCs w:val="1"/>
                <w:color w:val="auto"/>
              </w:rPr>
            </w:pPr>
          </w:p>
        </w:tc>
      </w:tr>
      <w:tr>
        <w:trPr>
          <w:trHeight w:val="965"/>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ind w:left="440"/>
              <w:spacing w:after="0"/>
              <w:rPr>
                <w:sz w:val="20"/>
                <w:szCs w:val="20"/>
                <w:color w:val="auto"/>
              </w:rPr>
            </w:pPr>
            <w:r>
              <w:rPr>
                <w:rFonts w:ascii="Arial" w:cs="Arial" w:eastAsia="Arial" w:hAnsi="Arial"/>
                <w:sz w:val="18"/>
                <w:szCs w:val="18"/>
                <w:color w:val="auto"/>
              </w:rPr>
              <w:t>March 31, 2020</w:t>
            </w:r>
          </w:p>
        </w:tc>
        <w:tc>
          <w:tcPr>
            <w:tcW w:w="180" w:type="dxa"/>
            <w:vAlign w:val="bottom"/>
          </w:tcPr>
          <w:p>
            <w:pPr>
              <w:spacing w:after="0"/>
              <w:rPr>
                <w:sz w:val="24"/>
                <w:szCs w:val="24"/>
                <w:color w:val="auto"/>
              </w:rPr>
            </w:pPr>
          </w:p>
        </w:tc>
        <w:tc>
          <w:tcPr>
            <w:tcW w:w="2060" w:type="dxa"/>
            <w:vAlign w:val="bottom"/>
            <w:gridSpan w:val="4"/>
          </w:tcPr>
          <w:p>
            <w:pPr>
              <w:jc w:val="right"/>
              <w:ind w:right="31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Market</w:t>
            </w:r>
          </w:p>
        </w:tc>
        <w:tc>
          <w:tcPr>
            <w:tcW w:w="18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9"/>
              </w:rPr>
              <w:t>Carrying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Debentures: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60" w:type="dxa"/>
            <w:vAlign w:val="bottom"/>
            <w:gridSpan w:val="3"/>
          </w:tcPr>
          <w:p>
            <w:pPr>
              <w:ind w:left="120"/>
              <w:spacing w:after="0"/>
              <w:rPr>
                <w:sz w:val="20"/>
                <w:szCs w:val="20"/>
                <w:color w:val="auto"/>
              </w:rPr>
            </w:pPr>
            <w:r>
              <w:rPr>
                <w:rFonts w:ascii="Arial" w:cs="Arial" w:eastAsia="Arial" w:hAnsi="Arial"/>
                <w:sz w:val="18"/>
                <w:szCs w:val="18"/>
                <w:color w:val="auto"/>
              </w:rPr>
              <w:t>Notes, 4.45%, due 2020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125,975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126,673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Notes, 6.1%, due 2041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162,666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60" w:type="dxa"/>
            <w:vAlign w:val="bottom"/>
            <w:gridSpan w:val="3"/>
          </w:tcPr>
          <w:p>
            <w:pPr>
              <w:ind w:left="120"/>
              <w:spacing w:after="0"/>
              <w:rPr>
                <w:sz w:val="20"/>
                <w:szCs w:val="20"/>
                <w:color w:val="auto"/>
              </w:rPr>
            </w:pPr>
            <w:r>
              <w:rPr>
                <w:rFonts w:ascii="Arial" w:cs="Arial" w:eastAsia="Arial" w:hAnsi="Arial"/>
                <w:sz w:val="18"/>
                <w:szCs w:val="18"/>
                <w:color w:val="auto"/>
              </w:rPr>
              <w:t>Notes, 3.875%, due 2022</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252,688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258,550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Notes, 4.875%, due 2043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291,928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60" w:type="dxa"/>
            <w:vAlign w:val="bottom"/>
            <w:gridSpan w:val="3"/>
          </w:tcPr>
          <w:p>
            <w:pPr>
              <w:ind w:left="120"/>
              <w:spacing w:after="0"/>
              <w:rPr>
                <w:sz w:val="20"/>
                <w:szCs w:val="20"/>
                <w:color w:val="auto"/>
              </w:rPr>
            </w:pPr>
            <w:r>
              <w:rPr>
                <w:rFonts w:ascii="Arial" w:cs="Arial" w:eastAsia="Arial" w:hAnsi="Arial"/>
                <w:sz w:val="18"/>
                <w:szCs w:val="18"/>
                <w:color w:val="auto"/>
              </w:rPr>
              <w:t>Notes, 3.8%, due 2046</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278,106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308,307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Notes, 3.7%, due 2028</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320,685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60" w:type="dxa"/>
            <w:vAlign w:val="bottom"/>
            <w:gridSpan w:val="3"/>
          </w:tcPr>
          <w:p>
            <w:pPr>
              <w:ind w:left="120"/>
              <w:spacing w:after="0"/>
              <w:rPr>
                <w:sz w:val="20"/>
                <w:szCs w:val="20"/>
                <w:color w:val="auto"/>
              </w:rPr>
            </w:pPr>
            <w:r>
              <w:rPr>
                <w:rFonts w:ascii="Arial" w:cs="Arial" w:eastAsia="Arial" w:hAnsi="Arial"/>
                <w:sz w:val="18"/>
                <w:szCs w:val="18"/>
                <w:color w:val="auto"/>
              </w:rPr>
              <w:t>Notes, 4.15%, due 2049</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297,987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330,138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8% Series, due 2026</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96,905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60" w:type="dxa"/>
            <w:vAlign w:val="bottom"/>
            <w:gridSpan w:val="3"/>
          </w:tcPr>
          <w:p>
            <w:pPr>
              <w:ind w:left="120"/>
              <w:spacing w:after="0"/>
              <w:rPr>
                <w:sz w:val="20"/>
                <w:szCs w:val="20"/>
                <w:color w:val="auto"/>
              </w:rPr>
            </w:pPr>
            <w:r>
              <w:rPr>
                <w:rFonts w:ascii="Arial" w:cs="Arial" w:eastAsia="Arial" w:hAnsi="Arial"/>
                <w:sz w:val="18"/>
                <w:szCs w:val="18"/>
                <w:color w:val="auto"/>
              </w:rPr>
              <w:t>Medium-term notes, 7.78% series, due 2022</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Medium-term notes, 7.92% series, due 2027</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60" w:type="dxa"/>
            <w:vAlign w:val="bottom"/>
            <w:gridSpan w:val="3"/>
          </w:tcPr>
          <w:p>
            <w:pPr>
              <w:ind w:left="120"/>
              <w:spacing w:after="0"/>
              <w:rPr>
                <w:sz w:val="20"/>
                <w:szCs w:val="20"/>
                <w:color w:val="auto"/>
              </w:rPr>
            </w:pPr>
            <w:r>
              <w:rPr>
                <w:rFonts w:ascii="Arial" w:cs="Arial" w:eastAsia="Arial" w:hAnsi="Arial"/>
                <w:sz w:val="18"/>
                <w:szCs w:val="18"/>
                <w:color w:val="auto"/>
              </w:rPr>
              <w:t>Medium-term notes, 6.76% series, due 2027</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1,768,280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1,768,050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Revolving credit facility and commercial paper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3"/>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Industrial development revenue bonds: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Variable-rate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60" w:type="dxa"/>
            <w:vAlign w:val="bottom"/>
            <w:gridSpan w:val="3"/>
          </w:tcPr>
          <w:p>
            <w:pPr>
              <w:ind w:left="120"/>
              <w:spacing w:after="0"/>
              <w:rPr>
                <w:sz w:val="20"/>
                <w:szCs w:val="20"/>
                <w:color w:val="auto"/>
              </w:rPr>
            </w:pPr>
            <w:r>
              <w:rPr>
                <w:rFonts w:ascii="Arial" w:cs="Arial" w:eastAsia="Arial" w:hAnsi="Arial"/>
                <w:sz w:val="18"/>
                <w:szCs w:val="18"/>
                <w:color w:val="auto"/>
              </w:rPr>
              <w:t>Tax-exempt Series A, due 2028</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2003 Series A, due 2038</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60" w:type="dxa"/>
            <w:vAlign w:val="bottom"/>
            <w:gridSpan w:val="3"/>
          </w:tcPr>
          <w:p>
            <w:pPr>
              <w:ind w:left="120"/>
              <w:spacing w:after="0"/>
              <w:rPr>
                <w:sz w:val="20"/>
                <w:szCs w:val="20"/>
                <w:color w:val="auto"/>
              </w:rPr>
            </w:pPr>
            <w:r>
              <w:rPr>
                <w:rFonts w:ascii="Arial" w:cs="Arial" w:eastAsia="Arial" w:hAnsi="Arial"/>
                <w:sz w:val="18"/>
                <w:szCs w:val="18"/>
                <w:color w:val="auto"/>
              </w:rPr>
              <w:t>2008 Series A, due 2038</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2009 Series A, due 2039</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60" w:type="dxa"/>
            <w:vAlign w:val="bottom"/>
            <w:gridSpan w:val="3"/>
          </w:tcPr>
          <w:p>
            <w:pPr>
              <w:ind w:left="12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198,344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Southwest Gas Corporation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1,991,624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1,991,333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Centuri:</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Centuri term loan facility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232,642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244,812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252,182</w:t>
            </w:r>
          </w:p>
        </w:tc>
        <w:tc>
          <w:tcPr>
            <w:tcW w:w="0" w:type="dxa"/>
            <w:vAlign w:val="bottom"/>
          </w:tcPr>
          <w:p>
            <w:pPr>
              <w:spacing w:after="0"/>
              <w:rPr>
                <w:sz w:val="1"/>
                <w:szCs w:val="1"/>
                <w:color w:val="auto"/>
              </w:rPr>
            </w:pPr>
          </w:p>
        </w:tc>
      </w:tr>
      <w:tr>
        <w:trPr>
          <w:trHeight w:val="243"/>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Centuri secured revolving credit facility</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42,658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60,057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Centuri other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44,787</w:t>
            </w:r>
          </w:p>
        </w:tc>
        <w:tc>
          <w:tcPr>
            <w:tcW w:w="0" w:type="dxa"/>
            <w:vAlign w:val="bottom"/>
          </w:tcPr>
          <w:p>
            <w:pPr>
              <w:spacing w:after="0"/>
              <w:rPr>
                <w:sz w:val="1"/>
                <w:szCs w:val="1"/>
                <w:color w:val="auto"/>
              </w:rPr>
            </w:pPr>
          </w:p>
        </w:tc>
      </w:tr>
      <w:tr>
        <w:trPr>
          <w:trHeight w:val="243"/>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Centuri</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Consolidated Southwest Gas Holdings, Inc.: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Southwest Gas Corporation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2,116,624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2,116,333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Centuri long-term debt</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363,034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347,661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Long-term debt, less current maturities - Southwest Gas Holdings, Inc.</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2,310,084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2,300,482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has a $400 million credit facility, for which it has designated $150 million of associated capacity as long-term debt and the remaining $250 million, for working capital purposes. Interest rates for the credit facility are calculated at either the London Interbank Offered Rate (“LIBOR”) or an “alternate base rate,” plus in each case an applicable margin that is determined based on Southwest’s senior unsecured debt rating. At March 31, 2020, the applicable margin is 1% for loans bearing interest with reference to LIBOR and 0% for loans bearing interest with reference to the alternative base rate. At March 31, 2020, the full $150 million was outstanding on the long-term portion of the facility.</w:t>
      </w:r>
    </w:p>
    <w:p>
      <w:pPr>
        <w:sectPr>
          <w:pgSz w:w="11900" w:h="16838" w:orient="portrait"/>
          <w:cols w:equalWidth="0" w:num="1">
            <w:col w:w="11240"/>
          </w:cols>
          <w:pgMar w:left="320" w:top="270" w:right="339" w:bottom="1006" w:gutter="0" w:footer="0" w:header="0"/>
        </w:sectPr>
      </w:pPr>
    </w:p>
    <w:p>
      <w:pPr>
        <w:spacing w:after="0" w:line="33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270" w:right="339" w:bottom="1006" w:gutter="0" w:footer="0" w:header="0"/>
          <w:type w:val="continuous"/>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10, 2020, Southwest amended its credit facility agreement; total borrowing capacity under the amended agreement remains $400 million. The amended agreement extends the maturity date from March 2022 to April 2025. Interest rates for the facility are calculated at either LIBOR or an “alternate base rate,” plus in each case an applicable margin determined based on Southwest’s senior unsecured long-term debt rating. The applicable margin ranges from 0.750% to 1.500% for loans bearing interest with reference to LIBOR and from 0.000% to 0.500% for loans bearing interest with reference to an alternate base rate. Upon the occurrence of certain events providing for a transition away from LIBOR, or if LIBOR is no longer a widely recognized benchmark rate, Southwest may amend the credit facility with a replacement rate as set forth in the amended agreement. Southwest is also required to pay a commitment fee on the unfunded portion of the commitments based on its senior unsecured long-term debt rating. The commitment fee ranges from 0.075% to 0.200% per annum. The amended agreement contains certain representations and warranties and affirmative and negative covenants similar to those contained in the previous agreement. In addition, the amended agreement contains a financial covenant requiring Southwest to maintain a ratio of funded debt to total capitalization not to exceed 0.70 to 1.00 as of the end of any quarter of any fiscal year.</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revolving credit facility and, therefore, do not represent additional borrowing capacity under the credit facility. Borrowings under the commercial paper program are designated as long-term debt. Interest rates for the program are calculated at the then current commercial paper rate. At March 31, 2020, no borrowings were outstanding under the commercial paper program.</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Centuri has a $590 million senior secured revolving credit and term loan facility, scheduled to expire in November 2023. The capacity of the line of credit portion of the facility is $325 million; amounts borrowed and repaid are available to be re-borrowed. The term loan portion of the facility has a limit of approximately $265 million. The $590 million facility is secured by substantially all of Centuri’s assets except those explicitly excluded under the terms of the agreement (including owned real estate and certain certificated vehicles). Centuri’s assets securing the facility at March 31, 2020 totaled $1.2 billion. At March 31, 2020, $275 million in borrowings were outstanding under the Centuri’s combined secured revolving credit and term loan facility. Centuri also received proceeds of $50 million in equipment loans in 2020, which were used for repayment of outstanding borrowings on the line of credit.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$100 million credit facility that is primarily used for short-term financing needs. There was $60 million outstanding under this credit facility as of March 31, 2020.</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10, 2020, Southwest Gas Holdings, Inc. amended its existing credit facility, extending the maturity date to April 2025. The revolving borrowing capacity under the amended agreement remains at $100 million. Interest rates for the amended facility are calculated at either LIBOR or an “alternate base rate,” plus in each case an applicable margin that is determined based on Southwest Gas Holdings, Inc.’s senior unsecured long-term debt rating. The applicable margin ranges from 0.750% to 1.500% for loans bearing interest with reference to LIBOR and from 0.000% to 0.500% for loans bearing interest with reference to the alternate base rate. Upon the occurrence of certain events providing for a transition away from LIBOR, or if LIBOR is no longer a widely recognized benchmark rate, Southwest Gas Holdings, Inc. may amend the credit facility agreement with a replacement rate, as set forth in the amended agreement. Southwest Gas Holdings, Inc. is also required to pay a commitment fee on the unfunded portion of the commitments based on its senior unsecured long-term debt rating. The commitment fee ranges from 0.075% to 0.200% per annum. The amended agreement contains certain representations and warranties and affirmative and negative covenants similar to those contained in the previous agreement. In addition, the amended agreement contains a financial covenant requiring Southwest Gas Holdings, Inc. to maintain a ratio of funded debt to total capitalization not to exceed 0.70 to 1.00 as of the end of any quarter of any fiscal year.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As discussed previously, under Southwest’s $400 million credit facility, $250 million has been designated by management for working capital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Southwest had $97 million of short-term borrowings outstanding at March 31, 2020 under this facility.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It is currently anticipated that LIBOR may be discontinued as a benchmark or reference rate after 2021. As of March 31, 2020, $60 million, $247 million, and $177 million, respectively, for the holding company, Southwest, and Centuri was outstanding under their credit facilities whereby interest was with reference to LIBOR and for which maturity dates extend beyond 2021. These amounts reflect approximately 11% of Southwest’s total debt, and 18% of total debt (including current maturities) for the Company overall. Southwest and Southwest Gas Holdings, Inc. (see above) in amending their respective facilities in April 2020 may make further amendments with replacement rates if LIBOR is discontinued. However, replacement rates are not currently determinable. In order to mitigate the impact of a discontinuance on the Company’s and Southwest’s financial condition and results of operations, management will continue to monitor developments and work with lenders to determine the appropriate replacement/alternative reference rate for variable rate debt. At this time the Company and Southwest can provide no assurances as to the impact a LIBOR</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70"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40"/>
        <w:spacing w:after="0" w:line="375" w:lineRule="auto"/>
        <w:rPr>
          <w:sz w:val="20"/>
          <w:szCs w:val="20"/>
          <w:color w:val="auto"/>
        </w:rPr>
      </w:pPr>
      <w:r>
        <w:rPr>
          <w:rFonts w:ascii="Arial" w:cs="Arial" w:eastAsia="Arial" w:hAnsi="Arial"/>
          <w:sz w:val="18"/>
          <w:szCs w:val="18"/>
          <w:color w:val="auto"/>
        </w:rPr>
        <w:t xml:space="preserve">discontinuance will have on their financial condition or results of operations. Any alternative rate may be less predicable or less attractive than LIBOR. </w:t>
      </w:r>
      <w:r>
        <w:rPr>
          <w:rFonts w:ascii="Arial" w:cs="Arial" w:eastAsia="Arial" w:hAnsi="Arial"/>
          <w:sz w:val="18"/>
          <w:szCs w:val="18"/>
          <w:b w:val="1"/>
          <w:bCs w:val="1"/>
          <w:color w:val="auto"/>
        </w:rPr>
        <w:t>Note 6 – Other Comprehensive Income and Accumulated Other Comprehensive Income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provides insight into amounts impacting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3"/>
              </w:rPr>
              <w:t>Three Months Ended March 31, 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3"/>
              </w:rPr>
              <w:t>Three Months Ended March 31, 2019</w:t>
            </w:r>
          </w:p>
        </w:tc>
      </w:tr>
      <w:tr>
        <w:trPr>
          <w:trHeight w:val="156"/>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80"/>
              <w:spacing w:after="0" w:line="156" w:lineRule="exact"/>
              <w:rPr>
                <w:sz w:val="20"/>
                <w:szCs w:val="20"/>
                <w:color w:val="auto"/>
              </w:rPr>
            </w:pPr>
            <w:r>
              <w:rPr>
                <w:rFonts w:ascii="Arial" w:cs="Arial" w:eastAsia="Arial" w:hAnsi="Arial"/>
                <w:sz w:val="14"/>
                <w:szCs w:val="14"/>
                <w:color w:val="auto"/>
                <w:w w:val="95"/>
              </w:rPr>
              <w:t>Before-</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6"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640" w:type="dxa"/>
            <w:vAlign w:val="bottom"/>
          </w:tcPr>
          <w:p>
            <w:pPr>
              <w:jc w:val="center"/>
              <w:ind w:right="68"/>
              <w:spacing w:after="0" w:line="156" w:lineRule="exact"/>
              <w:rPr>
                <w:sz w:val="20"/>
                <w:szCs w:val="20"/>
                <w:color w:val="auto"/>
              </w:rPr>
            </w:pPr>
            <w:r>
              <w:rPr>
                <w:rFonts w:ascii="Arial" w:cs="Arial" w:eastAsia="Arial" w:hAnsi="Arial"/>
                <w:sz w:val="14"/>
                <w:szCs w:val="14"/>
                <w:color w:val="auto"/>
                <w:w w:val="98"/>
              </w:rPr>
              <w:t>Net-of-</w:t>
            </w: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6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Tax</w:t>
            </w:r>
          </w:p>
        </w:tc>
      </w:tr>
      <w:tr>
        <w:trPr>
          <w:trHeight w:val="188"/>
        </w:trPr>
        <w:tc>
          <w:tcPr>
            <w:tcW w:w="530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64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r>
      <w:tr>
        <w:trPr>
          <w:trHeight w:val="269"/>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64"/>
        </w:trPr>
        <w:tc>
          <w:tcPr>
            <w:tcW w:w="5300" w:type="dxa"/>
            <w:vAlign w:val="bottom"/>
          </w:tcPr>
          <w:p>
            <w:pPr>
              <w:ind w:left="180"/>
              <w:spacing w:after="0"/>
              <w:rPr>
                <w:sz w:val="20"/>
                <w:szCs w:val="20"/>
                <w:color w:val="auto"/>
              </w:rPr>
            </w:pPr>
            <w:r>
              <w:rPr>
                <w:rFonts w:ascii="Arial" w:cs="Arial" w:eastAsia="Arial" w:hAnsi="Arial"/>
                <w:sz w:val="14"/>
                <w:szCs w:val="14"/>
                <w:color w:val="auto"/>
              </w:rPr>
              <w:t>Amortization of prior service cost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241</w:t>
            </w:r>
          </w:p>
        </w:tc>
      </w:tr>
      <w:tr>
        <w:trPr>
          <w:trHeight w:val="276"/>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net actuarial (gain)/loss</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9,458</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4,441</w:t>
            </w:r>
          </w:p>
        </w:tc>
      </w:tr>
      <w:tr>
        <w:trPr>
          <w:trHeight w:val="264"/>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Regulatory adjustment</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(8,395)</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(4,063)</w:t>
            </w:r>
          </w:p>
        </w:tc>
      </w:tr>
      <w:tr>
        <w:trPr>
          <w:trHeight w:val="256"/>
        </w:trPr>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plans other comprehensive income (loss)</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FSIRS (designated hedging activities):</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reclassified into net income</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837</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r>
      <w:tr>
        <w:trPr>
          <w:trHeight w:val="250"/>
        </w:trPr>
        <w:tc>
          <w:tcPr>
            <w:tcW w:w="5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FSIRS other comprehensive income (loss)</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w:t>
            </w:r>
          </w:p>
        </w:tc>
      </w:tr>
      <w:tr>
        <w:trPr>
          <w:trHeight w:val="25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2,189</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1,254</w:t>
            </w:r>
          </w:p>
        </w:tc>
      </w:tr>
      <w:tr>
        <w:trPr>
          <w:trHeight w:val="258"/>
        </w:trPr>
        <w:tc>
          <w:tcPr>
            <w:tcW w:w="530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Translation adjustments</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(4,005)</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r>
      <w:tr>
        <w:trPr>
          <w:trHeight w:val="250"/>
        </w:trPr>
        <w:tc>
          <w:tcPr>
            <w:tcW w:w="5300" w:type="dxa"/>
            <w:vAlign w:val="bottom"/>
          </w:tcPr>
          <w:p>
            <w:pPr>
              <w:ind w:left="280"/>
              <w:spacing w:after="0"/>
              <w:rPr>
                <w:sz w:val="20"/>
                <w:szCs w:val="20"/>
                <w:color w:val="auto"/>
              </w:rPr>
            </w:pPr>
            <w:r>
              <w:rPr>
                <w:rFonts w:ascii="Arial" w:cs="Arial" w:eastAsia="Arial" w:hAnsi="Arial"/>
                <w:sz w:val="14"/>
                <w:szCs w:val="14"/>
                <w:color w:val="auto"/>
              </w:rPr>
              <w:t>Foreign currency other comprehensive income (loss)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(4,005)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791</w:t>
            </w:r>
          </w:p>
        </w:tc>
      </w:tr>
      <w:tr>
        <w:trPr>
          <w:trHeight w:val="242"/>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2,045</w:t>
            </w: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380"/>
        </w:trPr>
        <w:tc>
          <w:tcPr>
            <w:tcW w:w="5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3"/>
              </w:rPr>
              <w:t>Twelve Months Ended March 31, 2020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3"/>
              </w:rPr>
              <w:t>Twelve Months Ended March 31, 2019</w:t>
            </w:r>
          </w:p>
        </w:tc>
      </w:tr>
      <w:tr>
        <w:trPr>
          <w:trHeight w:val="156"/>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80"/>
              <w:spacing w:after="0" w:line="156" w:lineRule="exact"/>
              <w:rPr>
                <w:sz w:val="20"/>
                <w:szCs w:val="20"/>
                <w:color w:val="auto"/>
              </w:rPr>
            </w:pPr>
            <w:r>
              <w:rPr>
                <w:rFonts w:ascii="Arial" w:cs="Arial" w:eastAsia="Arial" w:hAnsi="Arial"/>
                <w:sz w:val="14"/>
                <w:szCs w:val="14"/>
                <w:color w:val="auto"/>
                <w:w w:val="95"/>
              </w:rPr>
              <w:t>Before-</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6"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640" w:type="dxa"/>
            <w:vAlign w:val="bottom"/>
          </w:tcPr>
          <w:p>
            <w:pPr>
              <w:jc w:val="center"/>
              <w:ind w:right="68"/>
              <w:spacing w:after="0" w:line="156" w:lineRule="exact"/>
              <w:rPr>
                <w:sz w:val="20"/>
                <w:szCs w:val="20"/>
                <w:color w:val="auto"/>
              </w:rPr>
            </w:pPr>
            <w:r>
              <w:rPr>
                <w:rFonts w:ascii="Arial" w:cs="Arial" w:eastAsia="Arial" w:hAnsi="Arial"/>
                <w:sz w:val="14"/>
                <w:szCs w:val="14"/>
                <w:color w:val="auto"/>
                <w:w w:val="98"/>
              </w:rPr>
              <w:t>Net-of-</w:t>
            </w: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6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Tax</w:t>
            </w:r>
          </w:p>
        </w:tc>
      </w:tr>
      <w:tr>
        <w:trPr>
          <w:trHeight w:val="188"/>
        </w:trPr>
        <w:tc>
          <w:tcPr>
            <w:tcW w:w="530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64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r>
      <w:tr>
        <w:trPr>
          <w:trHeight w:val="270"/>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64"/>
        </w:trPr>
        <w:tc>
          <w:tcPr>
            <w:tcW w:w="5300" w:type="dxa"/>
            <w:vAlign w:val="bottom"/>
          </w:tcPr>
          <w:p>
            <w:pPr>
              <w:ind w:left="180"/>
              <w:spacing w:after="0"/>
              <w:rPr>
                <w:sz w:val="20"/>
                <w:szCs w:val="20"/>
                <w:color w:val="auto"/>
              </w:rPr>
            </w:pPr>
            <w:r>
              <w:rPr>
                <w:rFonts w:ascii="Arial" w:cs="Arial" w:eastAsia="Arial" w:hAnsi="Arial"/>
                <w:sz w:val="14"/>
                <w:szCs w:val="14"/>
                <w:color w:val="auto"/>
              </w:rPr>
              <w:t>Net actuarial gain/(loss)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(71,087)</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17,061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(54,026)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(20,426)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(15,524)</w:t>
            </w:r>
          </w:p>
        </w:tc>
      </w:tr>
      <w:tr>
        <w:trPr>
          <w:trHeight w:val="276"/>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prior service cost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1,243</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1,002</w:t>
            </w:r>
          </w:p>
        </w:tc>
      </w:tr>
      <w:tr>
        <w:trPr>
          <w:trHeight w:val="264"/>
        </w:trPr>
        <w:tc>
          <w:tcPr>
            <w:tcW w:w="5300" w:type="dxa"/>
            <w:vAlign w:val="bottom"/>
          </w:tcPr>
          <w:p>
            <w:pPr>
              <w:ind w:left="180"/>
              <w:spacing w:after="0"/>
              <w:rPr>
                <w:sz w:val="20"/>
                <w:szCs w:val="20"/>
                <w:color w:val="auto"/>
              </w:rPr>
            </w:pPr>
            <w:r>
              <w:rPr>
                <w:rFonts w:ascii="Arial" w:cs="Arial" w:eastAsia="Arial" w:hAnsi="Arial"/>
                <w:sz w:val="14"/>
                <w:szCs w:val="14"/>
                <w:color w:val="auto"/>
              </w:rPr>
              <w:t>Amortization of net actuarial (gain)/loss</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26,990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(6,477)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20,513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31,057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23,603</w:t>
            </w:r>
          </w:p>
        </w:tc>
      </w:tr>
      <w:tr>
        <w:trPr>
          <w:trHeight w:val="276"/>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Regulatory adjustment</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33,896</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25,760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(4,574)</w:t>
            </w:r>
          </w:p>
        </w:tc>
      </w:tr>
      <w:tr>
        <w:trPr>
          <w:trHeight w:val="256"/>
        </w:trPr>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plans other comprehensive income (loss)</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4,507</w:t>
            </w: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FSIRS (designated hedging activities):</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reclassified into net income</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3,345</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r>
      <w:tr>
        <w:trPr>
          <w:trHeight w:val="250"/>
        </w:trPr>
        <w:tc>
          <w:tcPr>
            <w:tcW w:w="5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FSIRS other comprehensive income (loss)</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2,541</w:t>
            </w:r>
          </w:p>
        </w:tc>
      </w:tr>
      <w:tr>
        <w:trPr>
          <w:trHeight w:val="25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(7,491)</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9,273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7,048</w:t>
            </w:r>
          </w:p>
        </w:tc>
      </w:tr>
      <w:tr>
        <w:trPr>
          <w:trHeight w:val="258"/>
        </w:trPr>
        <w:tc>
          <w:tcPr>
            <w:tcW w:w="530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Translation adjustments</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r>
      <w:tr>
        <w:trPr>
          <w:trHeight w:val="250"/>
        </w:trPr>
        <w:tc>
          <w:tcPr>
            <w:tcW w:w="5300" w:type="dxa"/>
            <w:vAlign w:val="bottom"/>
          </w:tcPr>
          <w:p>
            <w:pPr>
              <w:ind w:left="280"/>
              <w:spacing w:after="0"/>
              <w:rPr>
                <w:sz w:val="20"/>
                <w:szCs w:val="20"/>
                <w:color w:val="auto"/>
              </w:rPr>
            </w:pPr>
            <w:r>
              <w:rPr>
                <w:rFonts w:ascii="Arial" w:cs="Arial" w:eastAsia="Arial" w:hAnsi="Arial"/>
                <w:sz w:val="14"/>
                <w:szCs w:val="14"/>
                <w:color w:val="auto"/>
              </w:rPr>
              <w:t>Foreign currency other comprehensive income (loss)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(2,758)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(1,308)</w:t>
            </w:r>
          </w:p>
        </w:tc>
      </w:tr>
      <w:tr>
        <w:trPr>
          <w:trHeight w:val="243"/>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5,740</w:t>
            </w: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jc w:val="both"/>
        <w:ind w:left="180" w:hanging="10"/>
        <w:spacing w:after="0" w:line="296" w:lineRule="auto"/>
        <w:tabs>
          <w:tab w:leader="none" w:pos="8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Tax amounts are calculated using a 24% rate. The Company has elected to indefinitely reinvest the earnings of Centuri’s Canadian subsidiaries in Canada,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5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Approximately $2.2 million of realized losses (net of tax) related to Southwest’s forward-starting interest rate swaps (“FSIRS”), included in AOCI at March 31, 2020, will be reclassified into interest expense within the next 12 months as the related interest payments on long-term debt occur.</w:t>
      </w:r>
    </w:p>
    <w:p>
      <w:pPr>
        <w:sectPr>
          <w:pgSz w:w="11900" w:h="16838" w:orient="portrait"/>
          <w:cols w:equalWidth="0" w:num="1">
            <w:col w:w="11240"/>
          </w:cols>
          <w:pgMar w:left="320" w:top="270" w:right="339" w:bottom="1440" w:gutter="0" w:footer="0" w:header="0"/>
        </w:sect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270" w:right="339" w:bottom="1440" w:gutter="0" w:footer="0" w:header="0"/>
          <w:type w:val="continuous"/>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 and its Condensed Consolidated Statements of Equity: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4"/>
          </w:tcPr>
          <w:p>
            <w:pPr>
              <w:jc w:val="center"/>
              <w:spacing w:after="0"/>
              <w:rPr>
                <w:sz w:val="20"/>
                <w:szCs w:val="20"/>
                <w:color w:val="auto"/>
              </w:rPr>
            </w:pPr>
            <w:r>
              <w:rPr>
                <w:rFonts w:ascii="Arial" w:cs="Arial" w:eastAsia="Arial" w:hAnsi="Arial"/>
                <w:sz w:val="13"/>
                <w:szCs w:val="13"/>
                <w:color w:val="auto"/>
                <w:w w:val="89"/>
              </w:rPr>
              <w:t>Defined Benefit Plans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FSIRS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ind w:left="520"/>
              <w:spacing w:after="0"/>
              <w:rPr>
                <w:sz w:val="20"/>
                <w:szCs w:val="20"/>
                <w:color w:val="auto"/>
              </w:rPr>
            </w:pPr>
            <w:r>
              <w:rPr>
                <w:rFonts w:ascii="Arial" w:cs="Arial" w:eastAsia="Arial" w:hAnsi="Arial"/>
                <w:sz w:val="13"/>
                <w:szCs w:val="13"/>
                <w:color w:val="auto"/>
              </w:rPr>
              <w:t>Foreign Currency Items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240"/>
              <w:spacing w:after="0" w:line="148" w:lineRule="exact"/>
              <w:rPr>
                <w:sz w:val="20"/>
                <w:szCs w:val="20"/>
                <w:color w:val="auto"/>
              </w:rPr>
            </w:pPr>
            <w:r>
              <w:rPr>
                <w:rFonts w:ascii="Arial" w:cs="Arial" w:eastAsia="Arial" w:hAnsi="Arial"/>
                <w:sz w:val="13"/>
                <w:szCs w:val="13"/>
                <w:color w:val="auto"/>
                <w:w w:val="82"/>
              </w:rPr>
              <w:t>Tax</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240"/>
              <w:spacing w:after="0" w:line="148" w:lineRule="exact"/>
              <w:rPr>
                <w:sz w:val="20"/>
                <w:szCs w:val="20"/>
                <w:color w:val="auto"/>
              </w:rPr>
            </w:pPr>
            <w:r>
              <w:rPr>
                <w:rFonts w:ascii="Arial" w:cs="Arial" w:eastAsia="Arial" w:hAnsi="Arial"/>
                <w:sz w:val="13"/>
                <w:szCs w:val="13"/>
                <w:color w:val="auto"/>
                <w:w w:val="92"/>
              </w:rPr>
              <w:t>Tax</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right="200"/>
              <w:spacing w:after="0" w:line="148" w:lineRule="exact"/>
              <w:rPr>
                <w:sz w:val="20"/>
                <w:szCs w:val="20"/>
                <w:color w:val="auto"/>
              </w:rPr>
            </w:pPr>
            <w:r>
              <w:rPr>
                <w:rFonts w:ascii="Arial" w:cs="Arial" w:eastAsia="Arial" w:hAnsi="Arial"/>
                <w:sz w:val="13"/>
                <w:szCs w:val="13"/>
                <w:color w:val="auto"/>
                <w:w w:val="82"/>
              </w:rPr>
              <w:t>Tax</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4"/>
              </w:rPr>
              <w:t>(Expense)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(Expense)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7"/>
              </w:rPr>
              <w:t>(Expense)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(Thousands of dollars)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Before-Tax</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89"/>
              </w:rPr>
              <w:t>Benefit (4)</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After-Tax</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Before-Tax</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Benefit (4)</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After-Tax</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Before-Tax</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88"/>
              </w:rPr>
              <w:t>Benefit</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After-Tax</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Balance AOCI December 31, 2019</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5"/>
              </w:rPr>
              <w:t>$  (66,601)</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15,985</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8"/>
              </w:rPr>
              <w:t>$  (50,616)</w:t>
            </w:r>
          </w:p>
        </w:tc>
        <w:tc>
          <w:tcPr>
            <w:tcW w:w="12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(5,966)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1,431</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 (4,535)</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(1,581)</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8"/>
              </w:rPr>
              <w:t>$ (1,581)</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 (56,732)</w:t>
            </w:r>
          </w:p>
        </w:tc>
        <w:tc>
          <w:tcPr>
            <w:tcW w:w="0" w:type="dxa"/>
            <w:vAlign w:val="bottom"/>
          </w:tcPr>
          <w:p>
            <w:pPr>
              <w:spacing w:after="0"/>
              <w:rPr>
                <w:sz w:val="1"/>
                <w:szCs w:val="1"/>
                <w:color w:val="auto"/>
              </w:rPr>
            </w:pPr>
          </w:p>
        </w:tc>
      </w:tr>
      <w:tr>
        <w:trPr>
          <w:trHeight w:val="153"/>
        </w:trPr>
        <w:tc>
          <w:tcPr>
            <w:tcW w:w="3160" w:type="dxa"/>
            <w:vAlign w:val="bottom"/>
          </w:tcPr>
          <w:p>
            <w:pPr>
              <w:ind w:left="40"/>
              <w:spacing w:after="0"/>
              <w:rPr>
                <w:sz w:val="20"/>
                <w:szCs w:val="20"/>
                <w:color w:val="auto"/>
              </w:rPr>
            </w:pPr>
            <w:r>
              <w:rPr>
                <w:rFonts w:ascii="Arial" w:cs="Arial" w:eastAsia="Arial" w:hAnsi="Arial"/>
                <w:sz w:val="13"/>
                <w:szCs w:val="13"/>
                <w:color w:val="auto"/>
              </w:rPr>
              <w:t>Translation adjustments</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(4,005)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(4,005)</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(4,005)</w:t>
            </w:r>
          </w:p>
        </w:tc>
        <w:tc>
          <w:tcPr>
            <w:tcW w:w="0" w:type="dxa"/>
            <w:vAlign w:val="bottom"/>
          </w:tcPr>
          <w:p>
            <w:pPr>
              <w:spacing w:after="0"/>
              <w:rPr>
                <w:sz w:val="1"/>
                <w:szCs w:val="1"/>
                <w:color w:val="auto"/>
              </w:rPr>
            </w:pPr>
          </w:p>
        </w:tc>
      </w:tr>
      <w:tr>
        <w:trPr>
          <w:trHeight w:val="90"/>
        </w:trPr>
        <w:tc>
          <w:tcPr>
            <w:tcW w:w="3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60" w:type="dxa"/>
            <w:vAlign w:val="bottom"/>
            <w:tcBorders>
              <w:top w:val="single" w:sz="8" w:color="CCEEFF"/>
            </w:tcBorders>
            <w:shd w:val="clear" w:color="auto" w:fill="CCEEFF"/>
          </w:tcPr>
          <w:p>
            <w:pPr>
              <w:ind w:left="180"/>
              <w:spacing w:after="0" w:line="134" w:lineRule="exact"/>
              <w:rPr>
                <w:sz w:val="20"/>
                <w:szCs w:val="20"/>
                <w:color w:val="auto"/>
              </w:rPr>
            </w:pPr>
            <w:r>
              <w:rPr>
                <w:rFonts w:ascii="Arial" w:cs="Arial" w:eastAsia="Arial" w:hAnsi="Arial"/>
                <w:sz w:val="13"/>
                <w:szCs w:val="13"/>
                <w:color w:val="auto"/>
              </w:rPr>
              <w:t>Other comprehensive income (loss) before</w:t>
            </w: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reclassifications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(4,005)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(4,005)</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270" w:right="339" w:bottom="1440" w:gutter="0" w:footer="0" w:header="0"/>
        </w:sectPr>
      </w:pPr>
    </w:p>
    <w:p>
      <w:pPr>
        <w:ind w:left="40"/>
        <w:spacing w:after="0"/>
        <w:rPr>
          <w:sz w:val="20"/>
          <w:szCs w:val="20"/>
          <w:color w:val="auto"/>
        </w:rPr>
      </w:pPr>
      <w:r>
        <w:rPr>
          <w:rFonts w:ascii="Arial" w:cs="Arial" w:eastAsia="Arial" w:hAnsi="Arial"/>
          <w:sz w:val="13"/>
          <w:szCs w:val="13"/>
          <w:color w:val="auto"/>
        </w:rPr>
        <w:t>FSIRS amounts reclassified from AOCI (1)</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(2)</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(2)</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(3)</w:t>
      </w:r>
    </w:p>
    <w:p>
      <w:pPr>
        <w:spacing w:after="0" w:line="40" w:lineRule="exact"/>
        <w:rPr>
          <w:sz w:val="20"/>
          <w:szCs w:val="20"/>
          <w:color w:val="auto"/>
        </w:rPr>
      </w:pPr>
    </w:p>
    <w:p>
      <w:pPr>
        <w:ind w:left="200" w:hanging="161"/>
        <w:spacing w:after="0" w:line="376" w:lineRule="auto"/>
        <w:rPr>
          <w:sz w:val="20"/>
          <w:szCs w:val="20"/>
          <w:color w:val="auto"/>
        </w:rPr>
      </w:pPr>
      <w:r>
        <w:rPr>
          <w:rFonts w:ascii="Arial" w:cs="Arial" w:eastAsia="Arial" w:hAnsi="Arial"/>
          <w:sz w:val="10"/>
          <w:szCs w:val="10"/>
          <w:color w:val="auto"/>
        </w:rPr>
        <w:t>Net current period other comprehensive income (loss) attributable to Southwest Gas Holdings, Inc.</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Ending Balance AOCI March 31, 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837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636</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289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220</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9,458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(2,270)</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7,188</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7,188</w:t>
            </w:r>
          </w:p>
        </w:tc>
      </w:tr>
      <w:tr>
        <w:trPr>
          <w:trHeight w:val="279"/>
        </w:trPr>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(8,395)</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2,015</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(6,380)</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(6,380)</w:t>
            </w:r>
          </w:p>
        </w:tc>
      </w:tr>
      <w:tr>
        <w:trPr>
          <w:trHeight w:val="304"/>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1,352</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1,028</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837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(4,005)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(4,005)</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(2,341)</w:t>
            </w:r>
          </w:p>
        </w:tc>
      </w:tr>
      <w:tr>
        <w:trPr>
          <w:trHeight w:val="237"/>
        </w:trPr>
        <w:tc>
          <w:tcPr>
            <w:tcW w:w="700" w:type="dxa"/>
            <w:vAlign w:val="bottom"/>
          </w:tcPr>
          <w:p>
            <w:pPr>
              <w:jc w:val="right"/>
              <w:ind w:right="17"/>
              <w:spacing w:after="0"/>
              <w:rPr>
                <w:sz w:val="20"/>
                <w:szCs w:val="20"/>
                <w:color w:val="auto"/>
              </w:rPr>
            </w:pPr>
            <w:r>
              <w:rPr>
                <w:rFonts w:ascii="Arial" w:cs="Arial" w:eastAsia="Arial" w:hAnsi="Arial"/>
                <w:sz w:val="13"/>
                <w:szCs w:val="13"/>
                <w:color w:val="auto"/>
                <w:w w:val="95"/>
              </w:rPr>
              <w:t>$  (65,249)</w:t>
            </w:r>
          </w:p>
        </w:tc>
        <w:tc>
          <w:tcPr>
            <w:tcW w:w="140" w:type="dxa"/>
            <w:vAlign w:val="bottom"/>
          </w:tcPr>
          <w:p>
            <w:pPr>
              <w:spacing w:after="0"/>
              <w:rPr>
                <w:sz w:val="20"/>
                <w:szCs w:val="20"/>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15,661</w:t>
            </w:r>
          </w:p>
        </w:tc>
        <w:tc>
          <w:tcPr>
            <w:tcW w:w="12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w w:val="98"/>
              </w:rPr>
              <w:t>$  (49,588)</w:t>
            </w:r>
          </w:p>
        </w:tc>
        <w:tc>
          <w:tcPr>
            <w:tcW w:w="12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  (5,129)</w:t>
            </w:r>
          </w:p>
        </w:tc>
        <w:tc>
          <w:tcPr>
            <w:tcW w:w="100" w:type="dxa"/>
            <w:vAlign w:val="bottom"/>
          </w:tcPr>
          <w:p>
            <w:pPr>
              <w:spacing w:after="0"/>
              <w:rPr>
                <w:sz w:val="20"/>
                <w:szCs w:val="20"/>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1,230</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2"/>
              </w:rPr>
              <w:t>$ (3,899)</w:t>
            </w:r>
          </w:p>
        </w:tc>
        <w:tc>
          <w:tcPr>
            <w:tcW w:w="100" w:type="dxa"/>
            <w:vAlign w:val="bottom"/>
          </w:tcPr>
          <w:p>
            <w:pPr>
              <w:spacing w:after="0"/>
              <w:rPr>
                <w:sz w:val="20"/>
                <w:szCs w:val="20"/>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  (5,586)</w:t>
            </w:r>
          </w:p>
        </w:tc>
        <w:tc>
          <w:tcPr>
            <w:tcW w:w="100" w:type="dxa"/>
            <w:vAlign w:val="bottom"/>
          </w:tcPr>
          <w:p>
            <w:pPr>
              <w:spacing w:after="0"/>
              <w:rPr>
                <w:sz w:val="20"/>
                <w:szCs w:val="20"/>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88"/>
              </w:rPr>
              <w:t>$ (5,586)</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7"/>
              </w:rPr>
              <w:t>$ (59,073)</w:t>
            </w: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-908050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-565150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2760" w:space="400"/>
            <w:col w:w="8080"/>
          </w:cols>
          <w:pgMar w:left="320" w:top="270" w:right="339" w:bottom="1440" w:gutter="0" w:footer="0" w:header="0"/>
          <w:type w:val="continuous"/>
        </w:sectPr>
      </w:pPr>
    </w:p>
    <w:p>
      <w:pPr>
        <w:ind w:left="840" w:hanging="670"/>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the Company’s Condensed Consolidated Statements of Income.</w:t>
      </w:r>
    </w:p>
    <w:p>
      <w:pPr>
        <w:spacing w:after="0" w:line="28" w:lineRule="exact"/>
        <w:rPr>
          <w:rFonts w:ascii="Arial" w:cs="Arial" w:eastAsia="Arial" w:hAnsi="Arial"/>
          <w:sz w:val="16"/>
          <w:szCs w:val="16"/>
          <w:color w:val="auto"/>
        </w:rPr>
      </w:pPr>
    </w:p>
    <w:p>
      <w:pPr>
        <w:ind w:left="840" w:hanging="670"/>
        <w:spacing w:after="0"/>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2 – Components of Net Periodic Benefit Cost</w:t>
      </w:r>
      <w:r>
        <w:rPr>
          <w:rFonts w:ascii="Arial" w:cs="Arial" w:eastAsia="Arial" w:hAnsi="Arial"/>
          <w:sz w:val="14"/>
          <w:szCs w:val="14"/>
          <w:color w:val="auto"/>
        </w:rPr>
        <w:t xml:space="preserve"> for additional</w:t>
      </w:r>
    </w:p>
    <w:p>
      <w:pPr>
        <w:spacing w:after="0" w:line="59"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6"/>
          <w:szCs w:val="16"/>
          <w:color w:val="auto"/>
        </w:rPr>
        <w:t>details).</w:t>
      </w:r>
    </w:p>
    <w:p>
      <w:pPr>
        <w:spacing w:after="0" w:line="32" w:lineRule="exact"/>
        <w:rPr>
          <w:rFonts w:ascii="Arial" w:cs="Arial" w:eastAsia="Arial" w:hAnsi="Arial"/>
          <w:sz w:val="14"/>
          <w:szCs w:val="14"/>
          <w:color w:val="auto"/>
        </w:rPr>
      </w:pPr>
    </w:p>
    <w:p>
      <w:pPr>
        <w:ind w:left="180" w:right="20" w:hanging="10"/>
        <w:spacing w:after="0" w:line="281" w:lineRule="auto"/>
        <w:tabs>
          <w:tab w:leader="none" w:pos="8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spacing w:after="0" w:line="1" w:lineRule="exact"/>
        <w:rPr>
          <w:rFonts w:ascii="Arial" w:cs="Arial" w:eastAsia="Arial" w:hAnsi="Arial"/>
          <w:sz w:val="16"/>
          <w:szCs w:val="16"/>
          <w:color w:val="auto"/>
        </w:rPr>
      </w:pPr>
    </w:p>
    <w:p>
      <w:pPr>
        <w:ind w:left="840" w:hanging="670"/>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ectPr>
          <w:pgSz w:w="11900" w:h="16838" w:orient="portrait"/>
          <w:cols w:equalWidth="0" w:num="1">
            <w:col w:w="11240"/>
          </w:cols>
          <w:pgMar w:left="320" w:top="2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(Thousands of dollars)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Beginning Balance AOCI December 31, 2019</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FSIRS amounts reclassified from AOCI (5)</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(6)</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(6)</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0"/>
          <w:szCs w:val="10"/>
          <w:color w:val="auto"/>
        </w:rPr>
        <w:t>Net current period other comprehensive income attributable to Southwest Gas Corporation</w:t>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Ending Balance AOCI March 31, 2020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color w:val="auto"/>
                <w:w w:val="89"/>
              </w:rPr>
              <w:t>Defined Benefit Plans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8"/>
              </w:rPr>
              <w:t>FSIRS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8"/>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8" w:lineRule="exact"/>
              <w:rPr>
                <w:sz w:val="20"/>
                <w:szCs w:val="20"/>
                <w:color w:val="auto"/>
              </w:rPr>
            </w:pPr>
            <w:r>
              <w:rPr>
                <w:rFonts w:ascii="Arial" w:cs="Arial" w:eastAsia="Arial" w:hAnsi="Arial"/>
                <w:sz w:val="13"/>
                <w:szCs w:val="13"/>
                <w:color w:val="auto"/>
                <w:w w:val="82"/>
              </w:rPr>
              <w:t>Tax</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8" w:lineRule="exact"/>
              <w:rPr>
                <w:sz w:val="20"/>
                <w:szCs w:val="20"/>
                <w:color w:val="auto"/>
              </w:rPr>
            </w:pPr>
            <w:r>
              <w:rPr>
                <w:rFonts w:ascii="Arial" w:cs="Arial" w:eastAsia="Arial" w:hAnsi="Arial"/>
                <w:sz w:val="13"/>
                <w:szCs w:val="13"/>
                <w:color w:val="auto"/>
                <w:w w:val="92"/>
              </w:rPr>
              <w:t>Tax</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7"/>
              </w:rPr>
              <w:t>(Expense)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7"/>
              </w:rPr>
              <w:t>(Expense)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0"/>
        </w:trPr>
        <w:tc>
          <w:tcPr>
            <w:tcW w:w="7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93"/>
              </w:rPr>
              <w:t>Before-Tax</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color w:val="auto"/>
                <w:w w:val="89"/>
              </w:rPr>
              <w:t>Benefit (8)</w:t>
            </w:r>
          </w:p>
        </w:tc>
        <w:tc>
          <w:tcPr>
            <w:tcW w:w="10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After-Tax</w:t>
            </w: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0"/>
              </w:rPr>
              <w:t>Before-Tax</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3"/>
              </w:rPr>
              <w:t>Benefit (8)</w:t>
            </w: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rPr>
              <w:t>After-Tax</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AOCI</w:t>
            </w:r>
          </w:p>
        </w:tc>
      </w:tr>
      <w:tr>
        <w:trPr>
          <w:trHeight w:val="25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(66,601)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15,985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(50,616)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7"/>
              </w:rPr>
              <w:t>(5,966)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1,431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(4,535)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(55,151)</w:t>
            </w:r>
          </w:p>
        </w:tc>
      </w:tr>
      <w:tr>
        <w:trPr>
          <w:trHeight w:val="240"/>
        </w:trPr>
        <w:tc>
          <w:tcPr>
            <w:tcW w:w="14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636</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220</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9,458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(2,270)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7,188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7,188</w:t>
            </w:r>
          </w:p>
        </w:tc>
      </w:tr>
      <w:tr>
        <w:trPr>
          <w:trHeight w:val="280"/>
        </w:trPr>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(8,395)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(6,380)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(6,380)</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1,352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1,028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837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1,664</w:t>
            </w:r>
          </w:p>
        </w:tc>
      </w:tr>
      <w:tr>
        <w:trPr>
          <w:trHeight w:val="227"/>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(65,249)</w:t>
            </w:r>
          </w:p>
        </w:tc>
        <w:tc>
          <w:tcPr>
            <w:tcW w:w="2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15,661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0"/>
              </w:rPr>
              <w:t>(49,588)</w:t>
            </w:r>
          </w:p>
        </w:tc>
        <w:tc>
          <w:tcPr>
            <w:tcW w:w="120" w:type="dxa"/>
            <w:vAlign w:val="bottom"/>
          </w:tcPr>
          <w:p>
            <w:pPr>
              <w:spacing w:after="0"/>
              <w:rPr>
                <w:sz w:val="19"/>
                <w:szCs w:val="19"/>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w w:val="97"/>
              </w:rPr>
              <w:t>(5,129)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1,230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(3,899)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(53,487)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-1180465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-837565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-494665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-151765</wp:posOffset>
            </wp:positionV>
            <wp:extent cx="71323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4600" w:space="600"/>
            <w:col w:w="6040"/>
          </w:cols>
          <w:pgMar w:left="320" w:top="270" w:right="339" w:bottom="1440" w:gutter="0" w:footer="0" w:header="0"/>
          <w:type w:val="continuous"/>
        </w:sectPr>
      </w:pPr>
    </w:p>
    <w:p>
      <w:pPr>
        <w:ind w:left="520" w:hanging="350"/>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Southwest’s Condensed Consolidated Statements of Income.</w:t>
      </w:r>
    </w:p>
    <w:p>
      <w:pPr>
        <w:spacing w:after="0" w:line="22" w:lineRule="exact"/>
        <w:rPr>
          <w:rFonts w:ascii="Arial" w:cs="Arial" w:eastAsia="Arial" w:hAnsi="Arial"/>
          <w:sz w:val="16"/>
          <w:szCs w:val="16"/>
          <w:color w:val="auto"/>
        </w:rPr>
      </w:pPr>
    </w:p>
    <w:p>
      <w:pPr>
        <w:ind w:left="840" w:hanging="670"/>
        <w:spacing w:after="0"/>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2 – Components of Net Periodic Benefit Cost</w:t>
      </w:r>
      <w:r>
        <w:rPr>
          <w:rFonts w:ascii="Arial" w:cs="Arial" w:eastAsia="Arial" w:hAnsi="Arial"/>
          <w:sz w:val="14"/>
          <w:szCs w:val="14"/>
          <w:color w:val="auto"/>
        </w:rPr>
        <w:t xml:space="preserve"> for additional</w:t>
      </w:r>
    </w:p>
    <w:p>
      <w:pPr>
        <w:spacing w:after="0" w:line="51"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6"/>
          <w:szCs w:val="16"/>
          <w:color w:val="auto"/>
        </w:rPr>
        <w:t>details).</w:t>
      </w:r>
    </w:p>
    <w:p>
      <w:pPr>
        <w:spacing w:after="0" w:line="32" w:lineRule="exact"/>
        <w:rPr>
          <w:rFonts w:ascii="Arial" w:cs="Arial" w:eastAsia="Arial" w:hAnsi="Arial"/>
          <w:sz w:val="14"/>
          <w:szCs w:val="14"/>
          <w:color w:val="auto"/>
        </w:rPr>
      </w:pPr>
    </w:p>
    <w:p>
      <w:pPr>
        <w:ind w:left="180" w:right="20" w:hanging="10"/>
        <w:spacing w:after="0" w:line="281" w:lineRule="auto"/>
        <w:tabs>
          <w:tab w:leader="none" w:pos="8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spacing w:after="0" w:line="1" w:lineRule="exact"/>
        <w:rPr>
          <w:rFonts w:ascii="Arial" w:cs="Arial" w:eastAsia="Arial" w:hAnsi="Arial"/>
          <w:sz w:val="16"/>
          <w:szCs w:val="16"/>
          <w:color w:val="auto"/>
        </w:rPr>
      </w:pPr>
    </w:p>
    <w:p>
      <w:pPr>
        <w:ind w:left="840" w:hanging="670"/>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March 31, 2020</w:t>
            </w: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2019</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(483,074)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recognized in regulatory assets</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411,719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420,114</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Recognized in AOCI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(66,601)</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270" w:right="339" w:bottom="1440" w:gutter="0" w:footer="0" w:header="0"/>
          <w:type w:val="continuous"/>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accounts for the services provided to Southwest at contractual prices at contract inception. Accounts receivable for these services, which are not eliminated during consolidation, are presented in the table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March 31, 2020</w:t>
            </w: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2019</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accounts receivable for services provided to Southwest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15,235</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of corporate and administrative activities related to Southwest Gas Holdings, Inc. The financial information pertaining to the natural gas operations and utility infrastructure services segments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Natural Gas</w:t>
            </w: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Utility Infrastructure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Operations</w:t>
            </w: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502,827</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300,291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803,118</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33,202</w:t>
            </w:r>
          </w:p>
        </w:tc>
      </w:tr>
      <w:tr>
        <w:trPr>
          <w:trHeight w:val="297"/>
        </w:trPr>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502,827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333,493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836,320</w:t>
            </w:r>
          </w:p>
        </w:tc>
      </w:tr>
      <w:tr>
        <w:trPr>
          <w:trHeight w:val="25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72,542</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520,677</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274,189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794,866</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38,673</w:t>
            </w:r>
          </w:p>
        </w:tc>
      </w:tr>
      <w:tr>
        <w:trPr>
          <w:trHeight w:val="297"/>
        </w:trPr>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520,677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312,862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833,539</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94,809</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67"/>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Natural Gas</w:t>
            </w: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Utility Infrastructure</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Operations</w:t>
            </w: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Twelve Months Ended March 31, 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1,351,089</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1,618,354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2,969,443</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153,255</w:t>
            </w:r>
          </w:p>
        </w:tc>
      </w:tr>
      <w:tr>
        <w:trPr>
          <w:trHeight w:val="236"/>
        </w:trPr>
        <w:tc>
          <w:tcPr>
            <w:tcW w:w="462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1,351,089</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1,771,609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3,122,698</w:t>
            </w:r>
          </w:p>
        </w:tc>
      </w:tr>
      <w:tr>
        <w:trPr>
          <w:trHeight w:val="67"/>
        </w:trPr>
        <w:tc>
          <w:tcPr>
            <w:tcW w:w="4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55"/>
        </w:trPr>
        <w:tc>
          <w:tcPr>
            <w:tcW w:w="4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191,669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Twelve Months Ended March 31, 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1,384,092</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1,427,701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2,811,793</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147,429</w:t>
            </w: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1,384,092</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1,575,130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2,959,222</w:t>
            </w:r>
          </w:p>
        </w:tc>
      </w:tr>
      <w:tr>
        <w:trPr>
          <w:trHeight w:val="67"/>
        </w:trPr>
        <w:tc>
          <w:tcPr>
            <w:tcW w:w="4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55"/>
        </w:trPr>
        <w:tc>
          <w:tcPr>
            <w:tcW w:w="4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197,995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70"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Southwest Gas Holdings, Inc. and its subsidiaries are collectively referred to as the “Company.”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2020, Southwest had 2,091,000 residential, commercial, industrial, and other natural gas customers, of which 1,115,000 customers were located in Arizona, 777,000 in Nevada, and 199,000 in California. Residential and small commercial customers represented over 99% of the total customer base. During the twelve months ended March 31, 2020, 53% of operating margin (gas operating revenues less the net cost of gas sold) was earned in Arizona, 36% in Nevada, and 11% in California. During this same period, Southwest earned 85% of its operating margin from residential and small commercial customers, 3% from other sales customers, and 12% from transportation customers. While these general patterns are expected to remain materially consistent for the foreseeable future, the global COVID-19 pandemic, as discussed below, could impact these patterns in the short term.</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such as with the current Arizona general rate case, for which hearings have been deferred amidst the current pandemic environment, discussed below. Refer to the Summary Operating Results table for a reconciliation of revenues to operating margin, and refer to </w:t>
      </w:r>
      <w:r>
        <w:rPr>
          <w:rFonts w:ascii="Arial" w:cs="Arial" w:eastAsia="Arial" w:hAnsi="Arial"/>
          <w:sz w:val="16"/>
          <w:szCs w:val="16"/>
          <w:i w:val="1"/>
          <w:iCs w:val="1"/>
          <w:color w:val="auto"/>
        </w:rPr>
        <w:t>Arizona Jurisdiction</w:t>
      </w:r>
      <w:r>
        <w:rPr>
          <w:rFonts w:ascii="Arial" w:cs="Arial" w:eastAsia="Arial" w:hAnsi="Arial"/>
          <w:sz w:val="16"/>
          <w:szCs w:val="16"/>
          <w:color w:val="auto"/>
        </w:rPr>
        <w:t xml:space="preserve"> under Rates and Regulatory Proceedings in this Management’s Discussion and Analysis.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operates in 54 primary locations across 40 states and provinces in the United States (“U.S.”) and Canada. Centuri operates in the U.S. primarily as NPL, Neuco, and Linetec, and in Canada primarily as NPL Canada.</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Utility infrastructure services activity can be impacted by changes in infrastructure replacement programs of utilities, weather, and local and federal regulation (including tax rates and incentives). During the past few years, utilities have implemented or modified system integrity management programs to enhance safety pursuant to federal and state mandates. These programs have resulted in a significant increase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significantly impact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70"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In March 2020, the World Health Organization categorized the novel coronavirus (“COVID-19”) as a pandemic, and President Donald Trump declared the COVID-19 outbreak a national emergency. The outbreak has resulted in government officials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mitigate financial impacts of COVID-19 on individuals and businesses.</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Our utility operations are considered an essential service and Southwest continues to provide services to meet the demand of its customers. Consistent with federal and state guidelines, Southwest continues to operate across its territories. Similarly, the majority of Centuri’s largest clients have issued essential service letters to Centuri companies in keeping with the federal definition of “essential” set out by the Department of Homeland Security. This has allowed Centuri to continue nearly all operations, and demand has not significantly diminished. While the ability of employees to work has been and may continue to be impacted by individuals contracting or being exposed to COVID-19, it has not had a significant impact on the Company’s ability to maintain operations. The Company has instructed employees at many offices (including corporate headquarters) to work from home on a temporary basis and implemented travel restrictions. Both segments have implemented business continuity plans, including the deployment of technology to conduct administrative and critical functions remotely, where possible, and employees and management teams are in place to communicate and respond to changes quickly and effectively. To date, there has not been a significant disruption in the Company’s supply chains, transportation network, or ability to serve customers.</w:t>
      </w:r>
    </w:p>
    <w:p>
      <w:pPr>
        <w:spacing w:after="0" w:line="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 xml:space="preserve">As an essential service provider, Southwest implemented several important measures with regard to its customers. It initiated a temporary moratorium on natural gas disconnections for non-payment; it is working with customers who are experiencing financial hardship through flexible payment arrangements; and it also ceased charging late fees until further notice. See </w:t>
      </w:r>
      <w:r>
        <w:rPr>
          <w:rFonts w:ascii="Arial" w:cs="Arial" w:eastAsia="Arial" w:hAnsi="Arial"/>
          <w:sz w:val="17"/>
          <w:szCs w:val="17"/>
          <w:i w:val="1"/>
          <w:iCs w:val="1"/>
          <w:color w:val="212529"/>
        </w:rPr>
        <w:t>Accounts receivable, net of allowances</w:t>
      </w:r>
      <w:r>
        <w:rPr>
          <w:rFonts w:ascii="Arial" w:cs="Arial" w:eastAsia="Arial" w:hAnsi="Arial"/>
          <w:sz w:val="17"/>
          <w:szCs w:val="17"/>
          <w:color w:val="212529"/>
        </w:rPr>
        <w:t xml:space="preserve"> in </w:t>
      </w:r>
      <w:r>
        <w:rPr>
          <w:rFonts w:ascii="Arial" w:cs="Arial" w:eastAsia="Arial" w:hAnsi="Arial"/>
          <w:sz w:val="17"/>
          <w:szCs w:val="17"/>
          <w:b w:val="1"/>
          <w:bCs w:val="1"/>
          <w:color w:val="212529"/>
        </w:rPr>
        <w:t>Note 1 – Background, Organization, and</w:t>
      </w:r>
      <w:r>
        <w:rPr>
          <w:rFonts w:ascii="Arial" w:cs="Arial" w:eastAsia="Arial" w:hAnsi="Arial"/>
          <w:sz w:val="17"/>
          <w:szCs w:val="17"/>
          <w:color w:val="212529"/>
        </w:rPr>
        <w:t xml:space="preserve"> </w:t>
      </w:r>
      <w:r>
        <w:rPr>
          <w:rFonts w:ascii="Arial" w:cs="Arial" w:eastAsia="Arial" w:hAnsi="Arial"/>
          <w:sz w:val="17"/>
          <w:szCs w:val="17"/>
          <w:b w:val="1"/>
          <w:bCs w:val="1"/>
          <w:color w:val="212529"/>
        </w:rPr>
        <w:t>Summary of Significant Accounting Policies</w:t>
      </w:r>
      <w:r>
        <w:rPr>
          <w:rFonts w:ascii="Arial" w:cs="Arial" w:eastAsia="Arial" w:hAnsi="Arial"/>
          <w:sz w:val="17"/>
          <w:szCs w:val="17"/>
          <w:color w:val="212529"/>
        </w:rPr>
        <w:t>. In the utility infrastructure services segment, a limited number of Centuri customers have delayed some</w:t>
      </w:r>
      <w:r>
        <w:rPr>
          <w:rFonts w:ascii="Arial" w:cs="Arial" w:eastAsia="Arial" w:hAnsi="Arial"/>
          <w:sz w:val="17"/>
          <w:szCs w:val="17"/>
          <w:b w:val="1"/>
          <w:bCs w:val="1"/>
          <w:color w:val="212529"/>
        </w:rPr>
        <w:t xml:space="preserve"> </w:t>
      </w:r>
      <w:r>
        <w:rPr>
          <w:rFonts w:ascii="Arial" w:cs="Arial" w:eastAsia="Arial" w:hAnsi="Arial"/>
          <w:sz w:val="17"/>
          <w:szCs w:val="17"/>
          <w:color w:val="212529"/>
        </w:rPr>
        <w:t>projects primarily in response to local governmental restrictions. Project delays, whether due to governmental restrictions or reassessments of timing by Centuri’s customers, have resulted in temporary reductions of workforce crews. Some crew reductions are ongoing and the associated revenue impacts are expected to be more pronounced in the second quarter of 2020. Management is monitoring the dynamic nature of these circumstances, the full impacts of which are not currently known, including the impact from business curtailments, weak market conditions, or governmental restrictions, including any restrictions which could limit the fulfillment by Centuri of its contractual obligations.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 xml:space="preserve">The Company has incurred additional expenses in connection with its response to these conditions, including costs of disinfecting work locations and equipment, costs related to enabling employees to support customers while working remotely, and impacts from the moratorium on customer disconnection and late fee assessment. These additional costs were not material to the Company’s first quarter fiscal 2020 results, and certain of Southwest’s regulatory commissions have implemented measures to mitigate impacts of these conditions on Southwest, and we are in discussion with others to explore options for relief. See </w:t>
      </w:r>
      <w:r>
        <w:rPr>
          <w:rFonts w:ascii="Arial" w:cs="Arial" w:eastAsia="Arial" w:hAnsi="Arial"/>
          <w:sz w:val="17"/>
          <w:szCs w:val="17"/>
          <w:i w:val="1"/>
          <w:iCs w:val="1"/>
          <w:color w:val="212529"/>
        </w:rPr>
        <w:t>Rates and Regulatory Proceedings</w:t>
      </w:r>
      <w:r>
        <w:rPr>
          <w:rFonts w:ascii="Arial" w:cs="Arial" w:eastAsia="Arial" w:hAnsi="Arial"/>
          <w:sz w:val="17"/>
          <w:szCs w:val="17"/>
          <w:color w:val="212529"/>
        </w:rPr>
        <w:t xml:space="preserve"> below for additional detail.</w:t>
      </w:r>
    </w:p>
    <w:p>
      <w:pPr>
        <w:spacing w:after="0" w:line="6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212529"/>
        </w:rPr>
        <w:t xml:space="preserve">On March 27, 2020, the Coronavirus Aid, Relief and Economic Security (“CARES”) Act was enacted, as discussed in </w:t>
      </w:r>
      <w:r>
        <w:rPr>
          <w:rFonts w:ascii="Arial" w:cs="Arial" w:eastAsia="Arial" w:hAnsi="Arial"/>
          <w:sz w:val="16"/>
          <w:szCs w:val="16"/>
          <w:b w:val="1"/>
          <w:bCs w:val="1"/>
          <w:color w:val="212529"/>
        </w:rPr>
        <w:t>Note 1 – Background,</w:t>
      </w:r>
      <w:r>
        <w:rPr>
          <w:rFonts w:ascii="Arial" w:cs="Arial" w:eastAsia="Arial" w:hAnsi="Arial"/>
          <w:sz w:val="16"/>
          <w:szCs w:val="16"/>
          <w:color w:val="212529"/>
        </w:rPr>
        <w:t xml:space="preserve"> </w:t>
      </w:r>
      <w:r>
        <w:rPr>
          <w:rFonts w:ascii="Arial" w:cs="Arial" w:eastAsia="Arial" w:hAnsi="Arial"/>
          <w:sz w:val="16"/>
          <w:szCs w:val="16"/>
          <w:b w:val="1"/>
          <w:bCs w:val="1"/>
          <w:color w:val="212529"/>
        </w:rPr>
        <w:t xml:space="preserve">Organization, and Summary of Significant Accounting Policies </w:t>
      </w:r>
      <w:r>
        <w:rPr>
          <w:rFonts w:ascii="Arial" w:cs="Arial" w:eastAsia="Arial" w:hAnsi="Arial"/>
          <w:sz w:val="16"/>
          <w:szCs w:val="16"/>
          <w:color w:val="212529"/>
        </w:rPr>
        <w:t>of this Quarterly Report on Form 10-Q.</w:t>
      </w:r>
      <w:r>
        <w:rPr>
          <w:rFonts w:ascii="Arial" w:cs="Arial" w:eastAsia="Arial" w:hAnsi="Arial"/>
          <w:sz w:val="16"/>
          <w:szCs w:val="16"/>
          <w:b w:val="1"/>
          <w:bCs w:val="1"/>
          <w:color w:val="212529"/>
        </w:rPr>
        <w:t xml:space="preserve"> </w:t>
      </w:r>
      <w:r>
        <w:rPr>
          <w:rFonts w:ascii="Arial" w:cs="Arial" w:eastAsia="Arial" w:hAnsi="Arial"/>
          <w:sz w:val="16"/>
          <w:szCs w:val="16"/>
          <w:color w:val="000000"/>
        </w:rPr>
        <w:t>Management does not anticipate the impacts, if</w:t>
      </w:r>
      <w:r>
        <w:rPr>
          <w:rFonts w:ascii="Arial" w:cs="Arial" w:eastAsia="Arial" w:hAnsi="Arial"/>
          <w:sz w:val="16"/>
          <w:szCs w:val="16"/>
          <w:b w:val="1"/>
          <w:bCs w:val="1"/>
          <w:color w:val="212529"/>
        </w:rPr>
        <w:t xml:space="preserve"> </w:t>
      </w:r>
      <w:r>
        <w:rPr>
          <w:rFonts w:ascii="Arial" w:cs="Arial" w:eastAsia="Arial" w:hAnsi="Arial"/>
          <w:sz w:val="16"/>
          <w:szCs w:val="16"/>
          <w:color w:val="000000"/>
        </w:rPr>
        <w:t>any, related to the CARES Act to have a material effect on the Company’s or Southwest’s results of operations, financial position, or liquidity.</w:t>
      </w:r>
    </w:p>
    <w:p>
      <w:pPr>
        <w:spacing w:after="0" w:line="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12529"/>
        </w:rPr>
        <w:t>The extent to which COVID-19 may adversely impact the Company’s business depends on future developments, which are highly uncertain and unpredictable, including the timing of, or continued deferment by government officials related to, the resumption of commerce across the service territories of all our businesses, the magnitude of further spread of the virus in advance of and following such resumption, impacts of these conditions on our customers, the state of the North American economy following that resumption, and possible other unmitigated effects related to the virus. While management does not currently expect the impact of these conditions to be material to its liquidity and financial position, the current level of uncertainty over the economic and operational impacts of COVID-19 means the related financial impact cannot be fully estimated at this time. In anticipation of a redeployment of employees to their normal work locations, management has created a multi-phase reintegration plan to safeguard the wellbeing of our teams, including hygiene, sanitization, and social distancing practices, as well as the use of personal protective equipment for employees and visitors. Events and changes in circumstances arising after March 31, 2020, including those resulting from the impacts of COVID-19, will be reflected in management’s estimates for future periods. For further discussion of this matter, refer to “Item 1A. Risk Factors” in Part II of this report.</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unaudited consolidated financial statements and the notes thereto included in this Quarterly Report on Form</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70"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10-Q and the audited financial statements and the notes thereto, as well as MD&amp;A, included in the 2019 Annual Report to Shareholders, which is incorporated by reference into the 2019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8"/>
          <w:szCs w:val="18"/>
          <w:color w:val="auto"/>
        </w:rPr>
        <w:t>As reflected in the table below, the natural gas operations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an average of 76% of twelve-month-to-date consolidated net income over the past two years. As such, MD&amp;A is primarily focused on that segment. Natural gas sales are seasonal, peaking during the winter months; therefore, results of operations for interim periods are not necessarily indicative of results for a full year.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ind w:left="80"/>
              <w:spacing w:after="0"/>
              <w:rPr>
                <w:sz w:val="20"/>
                <w:szCs w:val="20"/>
                <w:color w:val="auto"/>
              </w:rPr>
            </w:pPr>
            <w:r>
              <w:rPr>
                <w:rFonts w:ascii="Arial" w:cs="Arial" w:eastAsia="Arial" w:hAnsi="Arial"/>
                <w:sz w:val="18"/>
                <w:szCs w:val="18"/>
                <w:color w:val="auto"/>
              </w:rPr>
              <w:t>Period Ended March 31,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42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20"/>
                <w:szCs w:val="20"/>
                <w:color w:val="auto"/>
              </w:rPr>
            </w:pPr>
          </w:p>
        </w:tc>
        <w:tc>
          <w:tcPr>
            <w:tcW w:w="2140" w:type="dxa"/>
            <w:vAlign w:val="bottom"/>
            <w:gridSpan w:val="4"/>
          </w:tcPr>
          <w:p>
            <w:pPr>
              <w:jc w:val="right"/>
              <w:ind w:right="51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1"/>
              </w:rPr>
              <w:t>Contribution to net income</w:t>
            </w:r>
          </w:p>
        </w:tc>
        <w:tc>
          <w:tcPr>
            <w:tcW w:w="4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4"/>
          </w:tcPr>
          <w:p>
            <w:pPr>
              <w:ind w:left="240"/>
              <w:spacing w:after="0"/>
              <w:rPr>
                <w:sz w:val="20"/>
                <w:szCs w:val="20"/>
                <w:color w:val="auto"/>
              </w:rPr>
            </w:pPr>
            <w:r>
              <w:rPr>
                <w:rFonts w:ascii="Arial" w:cs="Arial" w:eastAsia="Arial" w:hAnsi="Arial"/>
                <w:sz w:val="18"/>
                <w:szCs w:val="18"/>
                <w:color w:val="auto"/>
              </w:rPr>
              <w:t>Natural gas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83,599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103,389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143,381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151,882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Utility infrastructure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4"/>
          </w:tcPr>
          <w:p>
            <w:pPr>
              <w:ind w:left="240"/>
              <w:spacing w:after="0"/>
              <w:rPr>
                <w:sz w:val="20"/>
                <w:szCs w:val="20"/>
                <w:color w:val="auto"/>
              </w:rPr>
            </w:pPr>
            <w:r>
              <w:rPr>
                <w:rFonts w:ascii="Arial" w:cs="Arial" w:eastAsia="Arial" w:hAnsi="Arial"/>
                <w:sz w:val="18"/>
                <w:szCs w:val="18"/>
                <w:color w:val="auto"/>
              </w:rPr>
              <w:t>Corporate and administrative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72,542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191,669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197,995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638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80" w:type="dxa"/>
            <w:vAlign w:val="bottom"/>
            <w:gridSpan w:val="4"/>
            <w:vMerge w:val="restart"/>
          </w:tcPr>
          <w:p>
            <w:pPr>
              <w:spacing w:after="0"/>
              <w:rPr>
                <w:sz w:val="20"/>
                <w:szCs w:val="20"/>
                <w:color w:val="auto"/>
              </w:rPr>
            </w:pPr>
            <w:r>
              <w:rPr>
                <w:rFonts w:ascii="Arial" w:cs="Arial" w:eastAsia="Arial" w:hAnsi="Arial"/>
                <w:sz w:val="18"/>
                <w:szCs w:val="18"/>
                <w:color w:val="auto"/>
              </w:rPr>
              <w:t>Natural Gas Operations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638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Reconciliation of Revenue to Operating Margin (Non-GAAP measure)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4"/>
          </w:tcPr>
          <w:p>
            <w:pPr>
              <w:ind w:left="240"/>
              <w:spacing w:after="0"/>
              <w:rPr>
                <w:sz w:val="20"/>
                <w:szCs w:val="20"/>
                <w:color w:val="auto"/>
              </w:rPr>
            </w:pPr>
            <w:r>
              <w:rPr>
                <w:rFonts w:ascii="Arial" w:cs="Arial" w:eastAsia="Arial" w:hAnsi="Arial"/>
                <w:sz w:val="18"/>
                <w:szCs w:val="18"/>
                <w:color w:val="auto"/>
              </w:rPr>
              <w:t>Gas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502,827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520,677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1,351,089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1,384,092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Less: Net cost of gas sold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353,381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426,260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380" w:type="dxa"/>
            <w:vAlign w:val="bottom"/>
            <w:gridSpan w:val="4"/>
          </w:tcPr>
          <w:p>
            <w:pPr>
              <w:ind w:left="240"/>
              <w:spacing w:after="0"/>
              <w:rPr>
                <w:sz w:val="20"/>
                <w:szCs w:val="20"/>
                <w:color w:val="auto"/>
              </w:rPr>
            </w:pPr>
            <w:r>
              <w:rPr>
                <w:rFonts w:ascii="Arial" w:cs="Arial" w:eastAsia="Arial" w:hAnsi="Arial"/>
                <w:sz w:val="18"/>
                <w:szCs w:val="18"/>
                <w:color w:val="auto"/>
              </w:rPr>
              <w:t>Operating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342,006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328,073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997,708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957,832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1st Quarter 2020 Overview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Natural gas operations highlights include the following:</w:t>
      </w:r>
    </w:p>
    <w:p>
      <w:pPr>
        <w:spacing w:after="0" w:line="131" w:lineRule="exact"/>
        <w:rPr>
          <w:sz w:val="20"/>
          <w:szCs w:val="20"/>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33,000 net new customers (1.6% growth rate) during the last 12 months</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margin increased $14 million</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Company-Owned Life Insurance (“COLI”) income decreased $23 million between quarters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general rate case in Nevada</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131" w:lineRule="exact"/>
        <w:rPr>
          <w:sz w:val="20"/>
          <w:szCs w:val="20"/>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Utility infrastructure services revenues increased $21 million, or 6.6%</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Utility infrastructure services expenses increased $19 million, or 6.3%</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Equipment purchases during the past 12 months resulted in a $3 million increase in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7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4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912"/>
        </w:trPr>
        <w:tc>
          <w:tcPr>
            <w:tcW w:w="752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1"/>
        </w:trPr>
        <w:tc>
          <w:tcPr>
            <w:tcW w:w="752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84"/>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4"/>
          </w:tcPr>
          <w:p>
            <w:pPr>
              <w:jc w:val="right"/>
              <w:ind w:right="990"/>
              <w:spacing w:after="0"/>
              <w:rPr>
                <w:sz w:val="20"/>
                <w:szCs w:val="20"/>
                <w:color w:val="auto"/>
              </w:rPr>
            </w:pPr>
            <w:r>
              <w:rPr>
                <w:rFonts w:ascii="Arial" w:cs="Arial" w:eastAsia="Arial" w:hAnsi="Arial"/>
                <w:sz w:val="18"/>
                <w:szCs w:val="18"/>
                <w:color w:val="auto"/>
              </w:rPr>
              <w:t>Three Months Ended</w:t>
            </w:r>
          </w:p>
        </w:tc>
      </w:tr>
      <w:tr>
        <w:trPr>
          <w:trHeight w:val="230"/>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3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520" w:type="dxa"/>
            <w:vAlign w:val="bottom"/>
            <w:gridSpan w:val="5"/>
          </w:tcPr>
          <w:p>
            <w:pPr>
              <w:ind w:left="40"/>
              <w:spacing w:after="0"/>
              <w:rPr>
                <w:sz w:val="20"/>
                <w:szCs w:val="20"/>
                <w:color w:val="auto"/>
              </w:rPr>
            </w:pPr>
            <w:r>
              <w:rPr>
                <w:rFonts w:ascii="Arial" w:cs="Arial" w:eastAsia="Arial" w:hAnsi="Arial"/>
                <w:sz w:val="18"/>
                <w:szCs w:val="18"/>
                <w:color w:val="auto"/>
              </w:rPr>
              <w:t>(Thousands of dollars)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jc w:val="right"/>
              <w:ind w:right="630"/>
              <w:spacing w:after="0"/>
              <w:rPr>
                <w:sz w:val="20"/>
                <w:szCs w:val="20"/>
                <w:color w:val="auto"/>
              </w:rPr>
            </w:pPr>
            <w:r>
              <w:rPr>
                <w:rFonts w:ascii="Arial" w:cs="Arial" w:eastAsia="Arial" w:hAnsi="Arial"/>
                <w:sz w:val="18"/>
                <w:szCs w:val="18"/>
                <w:color w:val="auto"/>
              </w:rPr>
              <w:t>2019</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502,827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520,677</w:t>
            </w:r>
          </w:p>
        </w:tc>
      </w:tr>
      <w:tr>
        <w:trPr>
          <w:trHeight w:val="243"/>
        </w:trPr>
        <w:tc>
          <w:tcPr>
            <w:tcW w:w="752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160,821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192,604</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328,073</w:t>
            </w:r>
          </w:p>
        </w:tc>
      </w:tr>
      <w:tr>
        <w:trPr>
          <w:trHeight w:val="243"/>
        </w:trPr>
        <w:tc>
          <w:tcPr>
            <w:tcW w:w="752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103,088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105,542</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57,612</w:t>
            </w:r>
          </w:p>
        </w:tc>
      </w:tr>
      <w:tr>
        <w:trPr>
          <w:trHeight w:val="243"/>
        </w:trPr>
        <w:tc>
          <w:tcPr>
            <w:tcW w:w="752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16,378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16,206</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148,713</w:t>
            </w:r>
          </w:p>
        </w:tc>
      </w:tr>
      <w:tr>
        <w:trPr>
          <w:trHeight w:val="243"/>
        </w:trPr>
        <w:tc>
          <w:tcPr>
            <w:tcW w:w="75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5,946</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23,099</w:t>
            </w:r>
          </w:p>
        </w:tc>
      </w:tr>
      <w:tr>
        <w:trPr>
          <w:trHeight w:val="237"/>
        </w:trPr>
        <w:tc>
          <w:tcPr>
            <w:tcW w:w="60" w:type="dxa"/>
            <w:vAlign w:val="bottom"/>
          </w:tcPr>
          <w:p>
            <w:pPr>
              <w:spacing w:after="0"/>
              <w:rPr>
                <w:sz w:val="20"/>
                <w:szCs w:val="20"/>
                <w:color w:val="auto"/>
              </w:rPr>
            </w:pPr>
          </w:p>
        </w:tc>
        <w:tc>
          <w:tcPr>
            <w:tcW w:w="7460" w:type="dxa"/>
            <w:vAlign w:val="bottom"/>
            <w:gridSpan w:val="4"/>
          </w:tcPr>
          <w:p>
            <w:pPr>
              <w:ind w:left="48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112,221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131,560</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28,171</w:t>
            </w:r>
          </w:p>
        </w:tc>
      </w:tr>
      <w:tr>
        <w:trPr>
          <w:trHeight w:val="257"/>
        </w:trPr>
        <w:tc>
          <w:tcPr>
            <w:tcW w:w="60" w:type="dxa"/>
            <w:vAlign w:val="bottom"/>
          </w:tcPr>
          <w:p>
            <w:pPr>
              <w:spacing w:after="0"/>
              <w:rPr>
                <w:sz w:val="22"/>
                <w:szCs w:val="22"/>
                <w:color w:val="auto"/>
              </w:rPr>
            </w:pPr>
          </w:p>
        </w:tc>
        <w:tc>
          <w:tcPr>
            <w:tcW w:w="746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83,599</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103,389</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operations to consolidated net income decreased $19.8 million between the first quarters of 2020 and 2019. The decline was primarily due to decreases in Other income and increases in Depreciation and amortization and Net interest deductions, partially offset by an increase in rate relief and customer growth and lower Operations and maintenance expense.</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margin increased $14 million. Approximately $5 million of incremental margin was attributable to customer growth, as 33,000 net new customers were added during the last twelve months. Rate relief, primarily in California, contributed $1 million in incremental operating margin in the current quarter. The prior-year quarter included an approximate $5 million reduction in margin resulting from a one-time adjustment by the Arizona Corporation Commission (the “ACC”) to reflect the impacts of U.S. tax reform on the Arizona decoupling mechanism. The remaining increase primarily resulted from the net recovery of regulatory program balances (collectively, having an offsetting impact in amortization expense), in addition to margin from customers outside the decoupling mechanisms and other miscellaneous revenues.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and maintenance expense decreased $2.5 million between quarters. Lower pipeline integrity management costs and legal claims experience contributed to the decline between periods.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$7.1 million, or 12%, between quarters, primarily due to a $684 million, or 10%, increase in average gas plant in service compared to the corresponding quarter a year ago, and to an increase in regulatory account amortization, as discussed above. The increase in gas plant was attributable to pipeline capacity reinforcement work, franchise requirements, scheduled and accelerated pipe replacement activities, and new infrastructure.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income decreased $26.5 million between quarters primarily due to a decline in income from company-owned life insurance (“COLI”) policies. The current quarter reflects a $15.5 million decline in COLI policy cash surrender values, while the prior-year quarter reflected a $7.6 million increase in COLI policy cash surrender values. These values are significantly impacted by fluctuations in equity securities associated with the cash surrender values, and values in both periods were impacted directionally consistent with the broader securities markets. Additionally, the non-service-related components of employee pension and other postretirement benefit costs were $1.2 million higher between quarters.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$2 million in the first quarter of 2020, as compared to the prior-year quarter, primarily due to the issuance of $300 million of Senior Notes in May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7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912"/>
        </w:trPr>
        <w:tc>
          <w:tcPr>
            <w:tcW w:w="730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730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84"/>
        </w:trPr>
        <w:tc>
          <w:tcPr>
            <w:tcW w:w="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gridSpan w:val="4"/>
          </w:tcPr>
          <w:p>
            <w:pPr>
              <w:jc w:val="right"/>
              <w:ind w:right="1050"/>
              <w:spacing w:after="0"/>
              <w:rPr>
                <w:sz w:val="20"/>
                <w:szCs w:val="20"/>
                <w:color w:val="auto"/>
              </w:rPr>
            </w:pPr>
            <w:r>
              <w:rPr>
                <w:rFonts w:ascii="Arial" w:cs="Arial" w:eastAsia="Arial" w:hAnsi="Arial"/>
                <w:sz w:val="18"/>
                <w:szCs w:val="18"/>
                <w:color w:val="auto"/>
              </w:rPr>
              <w:t>Twelve Months Ended</w:t>
            </w:r>
          </w:p>
        </w:tc>
      </w:tr>
      <w:tr>
        <w:trPr>
          <w:trHeight w:val="230"/>
        </w:trPr>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gridSpan w:val="3"/>
          </w:tcPr>
          <w:p>
            <w:pPr>
              <w:jc w:val="right"/>
              <w:ind w:right="110"/>
              <w:spacing w:after="0"/>
              <w:rPr>
                <w:sz w:val="20"/>
                <w:szCs w:val="20"/>
                <w:color w:val="auto"/>
              </w:rPr>
            </w:pPr>
            <w:r>
              <w:rPr>
                <w:rFonts w:ascii="Arial" w:cs="Arial" w:eastAsia="Arial" w:hAnsi="Arial"/>
                <w:sz w:val="18"/>
                <w:szCs w:val="18"/>
                <w:color w:val="auto"/>
              </w:rPr>
              <w:t>March 31,</w:t>
            </w:r>
          </w:p>
        </w:tc>
        <w:tc>
          <w:tcPr>
            <w:tcW w:w="138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(Thousands of dollars)</w:t>
            </w: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jc w:val="right"/>
              <w:ind w:right="690"/>
              <w:spacing w:after="0"/>
              <w:rPr>
                <w:sz w:val="20"/>
                <w:szCs w:val="20"/>
                <w:color w:val="auto"/>
              </w:rPr>
            </w:pPr>
            <w:r>
              <w:rPr>
                <w:rFonts w:ascii="Arial" w:cs="Arial" w:eastAsia="Arial" w:hAnsi="Arial"/>
                <w:sz w:val="18"/>
                <w:szCs w:val="18"/>
                <w:color w:val="auto"/>
              </w:rPr>
              <w:t>2019</w:t>
            </w:r>
          </w:p>
        </w:tc>
      </w:tr>
      <w:tr>
        <w:trPr>
          <w:trHeight w:val="27"/>
        </w:trPr>
        <w:tc>
          <w:tcPr>
            <w:tcW w:w="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1,351,089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1,384,092</w:t>
            </w:r>
          </w:p>
        </w:tc>
      </w:tr>
      <w:tr>
        <w:trPr>
          <w:trHeight w:val="243"/>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353,381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426,260</w:t>
            </w:r>
          </w:p>
        </w:tc>
      </w:tr>
      <w:tr>
        <w:trPr>
          <w:trHeight w:val="27"/>
        </w:trPr>
        <w:tc>
          <w:tcPr>
            <w:tcW w:w="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6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997,708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957,832</w:t>
            </w:r>
          </w:p>
        </w:tc>
      </w:tr>
      <w:tr>
        <w:trPr>
          <w:trHeight w:val="243"/>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419,720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408,165</w:t>
            </w:r>
          </w:p>
        </w:tc>
      </w:tr>
      <w:tr>
        <w:trPr>
          <w:trHeight w:val="27"/>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199,467</w:t>
            </w:r>
          </w:p>
        </w:tc>
      </w:tr>
      <w:tr>
        <w:trPr>
          <w:trHeight w:val="243"/>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60,847</w:t>
            </w:r>
          </w:p>
        </w:tc>
      </w:tr>
      <w:tr>
        <w:trPr>
          <w:trHeight w:val="27"/>
        </w:trPr>
        <w:tc>
          <w:tcPr>
            <w:tcW w:w="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6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292,755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289,353</w:t>
            </w:r>
          </w:p>
        </w:tc>
      </w:tr>
      <w:tr>
        <w:trPr>
          <w:trHeight w:val="243"/>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(6,691)</w:t>
            </w:r>
          </w:p>
        </w:tc>
      </w:tr>
      <w:tr>
        <w:trPr>
          <w:trHeight w:val="27"/>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96,985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85,584</w:t>
            </w:r>
          </w:p>
        </w:tc>
      </w:tr>
      <w:tr>
        <w:trPr>
          <w:trHeight w:val="237"/>
        </w:trPr>
        <w:tc>
          <w:tcPr>
            <w:tcW w:w="60" w:type="dxa"/>
            <w:vAlign w:val="bottom"/>
          </w:tcPr>
          <w:p>
            <w:pPr>
              <w:spacing w:after="0"/>
              <w:rPr>
                <w:sz w:val="20"/>
                <w:szCs w:val="20"/>
                <w:color w:val="auto"/>
              </w:rPr>
            </w:pPr>
          </w:p>
        </w:tc>
        <w:tc>
          <w:tcPr>
            <w:tcW w:w="7240" w:type="dxa"/>
            <w:vAlign w:val="bottom"/>
            <w:gridSpan w:val="4"/>
          </w:tcPr>
          <w:p>
            <w:pPr>
              <w:ind w:left="48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178,805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197,078</w:t>
            </w:r>
          </w:p>
        </w:tc>
      </w:tr>
      <w:tr>
        <w:trPr>
          <w:trHeight w:val="27"/>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35,424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45,196</w:t>
            </w:r>
          </w:p>
        </w:tc>
      </w:tr>
      <w:tr>
        <w:trPr>
          <w:trHeight w:val="257"/>
        </w:trPr>
        <w:tc>
          <w:tcPr>
            <w:tcW w:w="60" w:type="dxa"/>
            <w:vAlign w:val="bottom"/>
          </w:tcPr>
          <w:p>
            <w:pPr>
              <w:spacing w:after="0"/>
              <w:rPr>
                <w:sz w:val="22"/>
                <w:szCs w:val="22"/>
                <w:color w:val="auto"/>
              </w:rPr>
            </w:pPr>
          </w:p>
        </w:tc>
        <w:tc>
          <w:tcPr>
            <w:tcW w:w="724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143,381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151,882</w:t>
            </w:r>
          </w:p>
        </w:tc>
      </w:tr>
      <w:tr>
        <w:trPr>
          <w:trHeight w:val="20"/>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Contribution to consolidated net income from natural gas operations decreased by $8.5 million between the twelve-month periods ended March 2020 and 2019. The decline was primarily due to higher Operations and maintenance expense, Depreciation and amortization expense, and Net interest deductions, and lower Other income, partially offset by an increase in operating margin and lower Income tax expense.</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margin increased $40 million between periods. Customer growth provided $12 million, and combined rate relief, primarily in Nevada and California, provided $9 million of incremental operating margin. The prior-year period included an approximate $5 million reduction in margin resulting from the one-time adjustment by the ACC to reflect the impacts of U.S. tax reform on the Arizona decoupling mechanism. The remaining net increase resulted from recoveries of regulatory assets (see corresponding $9.2 million increase in amortization below), infrastructure replacement mechanisms, customers outside the decoupling mechanisms, and other miscellaneous revenues.</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Operations and maintenance expense increased $11.6 million, or 3%, between periods primarily due to general cost increases, expenditures for pipeline damage prevention programs, and higher legal claims experience. Incremental information technology costs also contributed to the increase.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$23.3 million, or 12%, between periods primarily due to a $625 million, or 9%, increase in average gas plant in service for the current period as compared to the prior period. Amortization related to regulatory account recoveries increased $9.2 million between periods.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$1.7 million, or 3%, between periods primarily due to higher property balances (and rates, in the case of California and Nevada) and higher Nevada Commerce Tax.</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income decreased $10.3 million between the twelve-month periods of 2020 and 2019 primarily due to a decline in COLI policy values. The current period reflects a $5.7 million decline in COLI policy cash surrender values, while the prior year period reflected a $5.1 million increase.</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$11.4 million between periods primarily due to higher interest associated with the issuance of $300 million of Senior Notes in May 2019.</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reduction in income taxes between periods was partially due to lower state income taxes (due to apportionment changes) and $2.6 million in amortization of excess deferred income taxes following U.S. tax reform.</w:t>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7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4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912"/>
        </w:trPr>
        <w:tc>
          <w:tcPr>
            <w:tcW w:w="752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3"/>
        </w:trPr>
        <w:tc>
          <w:tcPr>
            <w:tcW w:w="752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84"/>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4"/>
          </w:tcPr>
          <w:p>
            <w:pPr>
              <w:jc w:val="right"/>
              <w:ind w:right="990"/>
              <w:spacing w:after="0"/>
              <w:rPr>
                <w:sz w:val="20"/>
                <w:szCs w:val="20"/>
                <w:color w:val="auto"/>
              </w:rPr>
            </w:pPr>
            <w:r>
              <w:rPr>
                <w:rFonts w:ascii="Arial" w:cs="Arial" w:eastAsia="Arial" w:hAnsi="Arial"/>
                <w:sz w:val="18"/>
                <w:szCs w:val="18"/>
                <w:color w:val="auto"/>
              </w:rPr>
              <w:t>Three Months Ended</w:t>
            </w:r>
          </w:p>
        </w:tc>
      </w:tr>
      <w:tr>
        <w:trPr>
          <w:trHeight w:val="230"/>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3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520" w:type="dxa"/>
            <w:vAlign w:val="bottom"/>
            <w:gridSpan w:val="5"/>
          </w:tcPr>
          <w:p>
            <w:pPr>
              <w:ind w:left="40"/>
              <w:spacing w:after="0"/>
              <w:rPr>
                <w:sz w:val="20"/>
                <w:szCs w:val="20"/>
                <w:color w:val="auto"/>
              </w:rPr>
            </w:pPr>
            <w:r>
              <w:rPr>
                <w:rFonts w:ascii="Arial" w:cs="Arial" w:eastAsia="Arial" w:hAnsi="Arial"/>
                <w:sz w:val="18"/>
                <w:szCs w:val="18"/>
                <w:color w:val="auto"/>
              </w:rPr>
              <w:t>(Thousands of dollars)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jc w:val="right"/>
              <w:ind w:right="630"/>
              <w:spacing w:after="0"/>
              <w:rPr>
                <w:sz w:val="20"/>
                <w:szCs w:val="20"/>
                <w:color w:val="auto"/>
              </w:rPr>
            </w:pPr>
            <w:r>
              <w:rPr>
                <w:rFonts w:ascii="Arial" w:cs="Arial" w:eastAsia="Arial" w:hAnsi="Arial"/>
                <w:sz w:val="18"/>
                <w:szCs w:val="18"/>
                <w:color w:val="auto"/>
              </w:rPr>
              <w:t>2019</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333,493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312,862</w:t>
            </w:r>
          </w:p>
        </w:tc>
      </w:tr>
      <w:tr>
        <w:trPr>
          <w:trHeight w:val="243"/>
        </w:trPr>
        <w:tc>
          <w:tcPr>
            <w:tcW w:w="75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300,465</w:t>
            </w:r>
          </w:p>
        </w:tc>
      </w:tr>
      <w:tr>
        <w:trPr>
          <w:trHeight w:val="243"/>
        </w:trPr>
        <w:tc>
          <w:tcPr>
            <w:tcW w:w="60" w:type="dxa"/>
            <w:vAlign w:val="bottom"/>
          </w:tcPr>
          <w:p>
            <w:pPr>
              <w:spacing w:after="0"/>
              <w:rPr>
                <w:sz w:val="21"/>
                <w:szCs w:val="21"/>
                <w:color w:val="auto"/>
              </w:rPr>
            </w:pPr>
          </w:p>
        </w:tc>
        <w:tc>
          <w:tcPr>
            <w:tcW w:w="746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22,928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19,927</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r>
      <w:tr>
        <w:trPr>
          <w:trHeight w:val="243"/>
        </w:trPr>
        <w:tc>
          <w:tcPr>
            <w:tcW w:w="75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875</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3,269</w:t>
            </w:r>
          </w:p>
        </w:tc>
      </w:tr>
      <w:tr>
        <w:trPr>
          <w:trHeight w:val="237"/>
        </w:trPr>
        <w:tc>
          <w:tcPr>
            <w:tcW w:w="60" w:type="dxa"/>
            <w:vAlign w:val="bottom"/>
          </w:tcPr>
          <w:p>
            <w:pPr>
              <w:spacing w:after="0"/>
              <w:rPr>
                <w:sz w:val="20"/>
                <w:szCs w:val="20"/>
                <w:color w:val="auto"/>
              </w:rPr>
            </w:pPr>
          </w:p>
        </w:tc>
        <w:tc>
          <w:tcPr>
            <w:tcW w:w="7460" w:type="dxa"/>
            <w:vAlign w:val="bottom"/>
            <w:gridSpan w:val="4"/>
          </w:tcPr>
          <w:p>
            <w:pPr>
              <w:ind w:left="320"/>
              <w:spacing w:after="0"/>
              <w:rPr>
                <w:sz w:val="20"/>
                <w:szCs w:val="20"/>
                <w:color w:val="auto"/>
              </w:rPr>
            </w:pPr>
            <w:r>
              <w:rPr>
                <w:rFonts w:ascii="Arial" w:cs="Arial" w:eastAsia="Arial" w:hAnsi="Arial"/>
                <w:sz w:val="18"/>
                <w:szCs w:val="18"/>
                <w:color w:val="auto"/>
              </w:rPr>
              <w:t>Loss before income taxes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(9,924)</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37"/>
        </w:trPr>
        <w:tc>
          <w:tcPr>
            <w:tcW w:w="60" w:type="dxa"/>
            <w:vAlign w:val="bottom"/>
          </w:tcPr>
          <w:p>
            <w:pPr>
              <w:spacing w:after="0"/>
              <w:rPr>
                <w:sz w:val="20"/>
                <w:szCs w:val="20"/>
                <w:color w:val="auto"/>
              </w:rPr>
            </w:pPr>
          </w:p>
        </w:tc>
        <w:tc>
          <w:tcPr>
            <w:tcW w:w="7460" w:type="dxa"/>
            <w:vAlign w:val="bottom"/>
            <w:gridSpan w:val="4"/>
          </w:tcPr>
          <w:p>
            <w:pPr>
              <w:ind w:left="320"/>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(7,456)</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r>
      <w:tr>
        <w:trPr>
          <w:trHeight w:val="257"/>
        </w:trPr>
        <w:tc>
          <w:tcPr>
            <w:tcW w:w="752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(loss) attributable to Centuri</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(8,031)</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Utility infrastructure services revenues increased $20.6 million in the first quarter of 2020 when compared to the prior-year quarter, due to a higher volume of electric infrastructure and pipe replacement work under blanket and bid contracts. Centuri achieved this increase in revenues despite a shut-down of certain crews in response to local government requirements to postpone some business services and precautions to ensure employee safety during the COVID-19 outbreak.</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Utility infrastructure services expenses increased $18.8 million in the first quarter of 2020 when compared to the prior-year quarter, due primarily to costs to complete additional electric infrastructure and pipe replacement work. Expenses were also affected by increased costs and workforce inefficiencies associated with the implementation of new safety standards in response to the COVID-19 pandemic. Results during the first quarter of 2019 reflect incremental profit from customer requested strike support that did not recur in 2020. Included in total Utility infrastructure services expenses were general and administrative costs, which increased $1.6 million in 2020 compared to 2019, associated primarily with growth of the business.</w:t>
      </w:r>
    </w:p>
    <w:p>
      <w:pPr>
        <w:spacing w:after="0" w:line="5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Depreciation and amortization expense increased $3 million between quarters attributable to additional equipment purchased to support the growing volume of work being performed, primarily at Linetec. Depreciation expense was higher, relative to the revenues recorded, during the first quarter of 2020 compared to the prior-year quarter as a result of some equipment being idle while certain crews were shut-down during the COVID-19 outbreak.</w:t>
      </w:r>
    </w:p>
    <w:p>
      <w:pPr>
        <w:spacing w:after="0" w:line="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(deductions) decreased $1.1 million in the first quarter of 2020 when compared to the prior-year quarter, due to a realized gain on foreign exchange recognized in 2019 and lower equity earnings from W.S. Nicholls Western, an equity method investee.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270"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912"/>
        </w:trPr>
        <w:tc>
          <w:tcPr>
            <w:tcW w:w="730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3"/>
        </w:trPr>
        <w:tc>
          <w:tcPr>
            <w:tcW w:w="730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84"/>
        </w:trPr>
        <w:tc>
          <w:tcPr>
            <w:tcW w:w="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gridSpan w:val="4"/>
          </w:tcPr>
          <w:p>
            <w:pPr>
              <w:jc w:val="right"/>
              <w:ind w:right="1050"/>
              <w:spacing w:after="0"/>
              <w:rPr>
                <w:sz w:val="20"/>
                <w:szCs w:val="20"/>
                <w:color w:val="auto"/>
              </w:rPr>
            </w:pPr>
            <w:r>
              <w:rPr>
                <w:rFonts w:ascii="Arial" w:cs="Arial" w:eastAsia="Arial" w:hAnsi="Arial"/>
                <w:sz w:val="18"/>
                <w:szCs w:val="18"/>
                <w:color w:val="auto"/>
              </w:rPr>
              <w:t>Twelve Months Ended</w:t>
            </w:r>
          </w:p>
        </w:tc>
      </w:tr>
      <w:tr>
        <w:trPr>
          <w:trHeight w:val="230"/>
        </w:trPr>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gridSpan w:val="3"/>
          </w:tcPr>
          <w:p>
            <w:pPr>
              <w:jc w:val="right"/>
              <w:ind w:right="110"/>
              <w:spacing w:after="0"/>
              <w:rPr>
                <w:sz w:val="20"/>
                <w:szCs w:val="20"/>
                <w:color w:val="auto"/>
              </w:rPr>
            </w:pPr>
            <w:r>
              <w:rPr>
                <w:rFonts w:ascii="Arial" w:cs="Arial" w:eastAsia="Arial" w:hAnsi="Arial"/>
                <w:sz w:val="18"/>
                <w:szCs w:val="18"/>
                <w:color w:val="auto"/>
              </w:rPr>
              <w:t>March 31,</w:t>
            </w:r>
          </w:p>
        </w:tc>
        <w:tc>
          <w:tcPr>
            <w:tcW w:w="138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(Thousands of dollars)</w:t>
            </w: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jc w:val="right"/>
              <w:ind w:right="690"/>
              <w:spacing w:after="0"/>
              <w:rPr>
                <w:sz w:val="20"/>
                <w:szCs w:val="20"/>
                <w:color w:val="auto"/>
              </w:rPr>
            </w:pPr>
            <w:r>
              <w:rPr>
                <w:rFonts w:ascii="Arial" w:cs="Arial" w:eastAsia="Arial" w:hAnsi="Arial"/>
                <w:sz w:val="18"/>
                <w:szCs w:val="18"/>
                <w:color w:val="auto"/>
              </w:rPr>
              <w:t>2019</w:t>
            </w:r>
          </w:p>
        </w:tc>
      </w:tr>
      <w:tr>
        <w:trPr>
          <w:trHeight w:val="27"/>
        </w:trPr>
        <w:tc>
          <w:tcPr>
            <w:tcW w:w="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1,771,609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1,575,130</w:t>
            </w:r>
          </w:p>
        </w:tc>
      </w:tr>
      <w:tr>
        <w:trPr>
          <w:trHeight w:val="243"/>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1,592,076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1,429,202</w:t>
            </w:r>
          </w:p>
        </w:tc>
      </w:tr>
      <w:tr>
        <w:trPr>
          <w:trHeight w:val="243"/>
        </w:trPr>
        <w:tc>
          <w:tcPr>
            <w:tcW w:w="60" w:type="dxa"/>
            <w:vAlign w:val="bottom"/>
          </w:tcPr>
          <w:p>
            <w:pPr>
              <w:spacing w:after="0"/>
              <w:rPr>
                <w:sz w:val="21"/>
                <w:szCs w:val="21"/>
                <w:color w:val="auto"/>
              </w:rPr>
            </w:pPr>
          </w:p>
        </w:tc>
        <w:tc>
          <w:tcPr>
            <w:tcW w:w="724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90,618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64,806</w:t>
            </w:r>
          </w:p>
        </w:tc>
      </w:tr>
      <w:tr>
        <w:trPr>
          <w:trHeight w:val="27"/>
        </w:trPr>
        <w:tc>
          <w:tcPr>
            <w:tcW w:w="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6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81,122</w:t>
            </w:r>
          </w:p>
        </w:tc>
      </w:tr>
      <w:tr>
        <w:trPr>
          <w:trHeight w:val="243"/>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374</w:t>
            </w:r>
          </w:p>
        </w:tc>
      </w:tr>
      <w:tr>
        <w:trPr>
          <w:trHeight w:val="27"/>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14,263</w:t>
            </w:r>
          </w:p>
        </w:tc>
      </w:tr>
      <w:tr>
        <w:trPr>
          <w:trHeight w:val="237"/>
        </w:trPr>
        <w:tc>
          <w:tcPr>
            <w:tcW w:w="60" w:type="dxa"/>
            <w:vAlign w:val="bottom"/>
          </w:tcPr>
          <w:p>
            <w:pPr>
              <w:spacing w:after="0"/>
              <w:rPr>
                <w:sz w:val="20"/>
                <w:szCs w:val="20"/>
                <w:color w:val="auto"/>
              </w:rPr>
            </w:pPr>
          </w:p>
        </w:tc>
        <w:tc>
          <w:tcPr>
            <w:tcW w:w="724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74,548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67,233</w:t>
            </w:r>
          </w:p>
        </w:tc>
      </w:tr>
      <w:tr>
        <w:trPr>
          <w:trHeight w:val="27"/>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18,539</w:t>
            </w:r>
          </w:p>
        </w:tc>
      </w:tr>
      <w:tr>
        <w:trPr>
          <w:trHeight w:val="237"/>
        </w:trPr>
        <w:tc>
          <w:tcPr>
            <w:tcW w:w="60" w:type="dxa"/>
            <w:vAlign w:val="bottom"/>
          </w:tcPr>
          <w:p>
            <w:pPr>
              <w:spacing w:after="0"/>
              <w:rPr>
                <w:sz w:val="20"/>
                <w:szCs w:val="20"/>
                <w:color w:val="auto"/>
              </w:rPr>
            </w:pPr>
          </w:p>
        </w:tc>
        <w:tc>
          <w:tcPr>
            <w:tcW w:w="724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52,830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48,694</w:t>
            </w:r>
          </w:p>
        </w:tc>
      </w:tr>
      <w:tr>
        <w:trPr>
          <w:trHeight w:val="27"/>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r>
      <w:tr>
        <w:trPr>
          <w:trHeight w:val="257"/>
        </w:trPr>
        <w:tc>
          <w:tcPr>
            <w:tcW w:w="730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50,231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47,947</w:t>
            </w:r>
          </w:p>
        </w:tc>
      </w:tr>
      <w:tr>
        <w:trPr>
          <w:trHeight w:val="20"/>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revenues increased $196.5 million overall in the current twelve-month period compared to the corresponding period of 2019, primarily due to incremental revenues from Linetec (acquired in November 2018) of $192.2 million as well as continued growth with existing customers under master service and bid agreements. Partially offsetting these increases were decreased revenues from certain non-routine projects, including customer-requested support in 2018 and early 2019 during strike-related and emergency response situations, in addition to a multi-year water pipe replacement project that expired in July 2019 and was not renewed. The prior-year period also included the settlement of an earlier contract dispute related to that project ($9 million). Implementation of new regulatory requirements for operating locations within certain eastern states in the U.S. resulted in lower revenues during the current period as Centuri worked with customers to adopt the new requirements.</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expenses increased $162.9 million between periods, primarily due to incremental expenses related to Linetec of $157.6 million along with additional electric infrastructure and pipe replacement work and higher labor-related operating expenses to support growth in operations. Additionally, efforts to complete an industrial construction project in Canada resulted in additional losses of approximately $4 million during the current twelve-month period as a result of delays in commissioning the project. Included in total Utility infrastructure services expenses were general and administrative costs, which decreased $4.4 million in the twelve-month period ended March 2020 when compared to the corresponding period ended March 2019, due primarily to the impact of deal costs from the acquisition of Linetec during 2018 ($6.9 million). The 2020 period included higher operating costs overall, associated with the growth of the business. Net gains on sale of equipment (reflected as an offset to Utility infrastructure services expenses) were $5.3 million and $1.7 million for the twelve-month periods of 2020 and 2019, respectively.</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$25.8 million between the current and prior-year period. The increase was primarily attributable to the incremental costs related to Linetec of $17.7 million as well as depreciation on additional property and equipment purchased to support the growing volume of work being performed.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decreased $547,000 between periods due primarily to lower rates associated with outstanding borrowings under the $590 million secured revolving credit and term loan facility.</w:t>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70"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the volatility in prices to customers and stabilizing returns to investors. Such rate structures were in place in all of Southwest’s operating areas during all periods for which results of natural gas operations are disclosed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On May 1, 2019, Southwest filed a general rate case application requesting to increase revenue by approximately $57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to update the cost of service to reflect recent U.S. tax reform changes, including the return of excess deferred income taxes to customers, and to reflect capital investments of approximately $670 million, including certain post-test year additions, which include the southern Arizona LNG facility discussed below. The application also includes a proposed 10.3% return on equity (“ROE”) relative to a capital structure of 51.1% equity. At the time of the filing, the Company estimated the return of approximately $20.6 million of excess deferred income taxes. Following the original filing, in October 2019, Southwest filed an amendment to its application, updating for $5.7 million in actual amortization of excess deferred income taxes known after the Company’s 2018 federal income tax return was filed in 2019, at which point, the actual amount could be computed based on the prescribed methodology for computing the amount that could be returned to customers. The difference of $14.9 million would result in an increase in revenue and income tax expense, thereby having no impact on earnings overall. In association with the amendment, Southwest also included additional post-test year plant in the amount of $124.5 million associated with its COYL and VSP programs, discussed further below. The amendment overall increased the deficiency by $36 million, to $93 million. Through the exchange of discovery and following the exchange of testimony, Southwest updated certain aspects of its cost of service, including a revised proposed ROE of 10.15%, to reflect an updated proposed increase of $90.6 million. It also includes the retention of a fully decoupled rate design, other previously approved regulatory mechanisms, and a new infrastructure tracking mechanism for specific plastic pipe. The request also includes a proposal for a renewable natural gas program that authorizes Southwest to purchase renewable natural gas for its customers and to recover the cost as part of its PGA mechanism. A hearing in this matter was previously scheduled for April 2020; however, due to the current status of the COVID-19 pandemic, the hearing will be reset at a later date.</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Delivery Charge Adjustment. </w:t>
      </w:r>
      <w:r>
        <w:rPr>
          <w:rFonts w:ascii="Arial" w:cs="Arial" w:eastAsia="Arial" w:hAnsi="Arial"/>
          <w:sz w:val="17"/>
          <w:szCs w:val="17"/>
          <w:color w:val="auto"/>
        </w:rPr>
        <w:t>The annual Delivery Charge Adjustment (“DCA”) is filed each April, which along with other reporting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contemplates a rate to recover the over- or under-collected margin tracker amounts based on the balance at the end of the preceding calendar year. The DCA rate adjustment request filed in April 2018 reflected the December 31, 2017 balance, but was later updated to include the balance at December 31, 2018; after a one-time modification to reflect benefits attributable to the impact of U.S. tax reform on the balance then existing, the ACC approved an annualized recovery of $69 million, with the associated rate effective in May 2019. In the process to address the 2019 activity, in April 2020, Southwest filed a request to adjust the existing rate to consider the 14-month period of January 1, 2019 through February 29, 2020.</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In February 2018, the ACC directed all Arizona utilities to address tax savings from the enactment of U.S. tax reform beginning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2018, through one of various means. In April 2018, Southwest filed an application with the ACC, requesting approval for a tax refund process or, in the alternative, the authority to file a general rate case to reflect the impacts of tax reform. Ultimately, Southwest was instructed to refund customers $20 million annually, as compared to rate levels established in the previously concluded general rate case, until cost-of-service rates are updated in association with the pending general rate case. The current method to return this amount (in advance of the conclusion of the current general rate proceeding) is through a per-therm surcredit. Southwest has been tracking monthly differences between amounts expected to be returned and amounts actually returned to customers during 2018 and 2019, and continuing in 2020, which has resulted in an asset balance of $1.5 million as of March 31, 2020.</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Liquefied Natural Gas (“LNG”) Facility</w:t>
      </w:r>
      <w:r>
        <w:rPr>
          <w:rFonts w:ascii="Arial" w:cs="Arial" w:eastAsia="Arial" w:hAnsi="Arial"/>
          <w:sz w:val="18"/>
          <w:szCs w:val="18"/>
          <w:color w:val="auto"/>
        </w:rPr>
        <w:t>. In January 2014, Southwest filed an application with the ACC seeking preapproval to construct, operate,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233,000 dekatherm LNG facility in southern Arizona. This facility is intended to enhance service reliability and flexibility related to natural gas deliveries in the southern Arizona area by providing a local storage option, to be</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70"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operated by Southwest and connected directly to its distribution system. Southwest was ultimately granted approval for construction and deferral of costs not to exceed $80 million. Construction began during the third quarter of 2017 and the facility was placed in service in December 2019. Southwest incurred approximately $75.3 million in capital expenditures toward the project (including land acquisition costs), which will be considered as part of Southwest’s pending rate case. In addition to tracking the revenue requirement associated with the capital investment in a regulatory asset, operating expenses associated with the plant are also authorized to be included in a regulatory asset, to be addressed as part of the pending general rate case.</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Customer-Owned Yard Line (“COYL”) Program. </w:t>
      </w:r>
      <w:r>
        <w:rPr>
          <w:rFonts w:ascii="Arial" w:cs="Arial" w:eastAsia="Arial" w:hAnsi="Arial"/>
          <w:sz w:val="16"/>
          <w:szCs w:val="16"/>
          <w:color w:val="auto"/>
        </w:rPr>
        <w:t>Southwest received approval, in connection with its 2010 Arizona general rate case, to implement a</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to conduct leak surveys, and if leaks were present, to replace and relocate service lines and meters for Arizona customers whose meters were set off from the customer’s home, representing a non-traditional configuration. “Phase II” of the COYL program included the replacement of non-leaking COYLs. The surcharge is designed to collect the annual revenue requirement as the program progresses. In the filing made in February 2019, Southwest requested to increase its surcharge to recover a revenue requirement of $6.7 million (an increase of $3.2 million) related to the revenue requirement associated with $26.6 million in capital projects completed in 2018. The ACC ultimately issued an Order in October 2019 authorizing Southwest to retain the existing annual surcharge of $3.5 million and indicating it would review the program as part of the pending general rate case. Neither the ACC Staff nor the consumer advocate oppose the continuation of the COYL program. Southwest also proposed to have the ACC review an estimated $21.1 million of 2019 COYL capital projects, and if authorized, to also render a decision regarding cost recovery as part of the pending rate case.</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Vintage Steel Pipe (“VSP”) Program. </w:t>
      </w:r>
      <w:r>
        <w:rPr>
          <w:rFonts w:ascii="Arial" w:cs="Arial" w:eastAsia="Arial" w:hAnsi="Arial"/>
          <w:sz w:val="17"/>
          <w:szCs w:val="17"/>
          <w:color w:val="auto"/>
        </w:rPr>
        <w:t>Southwest received approval, in connection with its 2016 Arizona general rate case, to implement a VSP</w:t>
      </w:r>
      <w:r>
        <w:rPr>
          <w:rFonts w:ascii="Arial" w:cs="Arial" w:eastAsia="Arial" w:hAnsi="Arial"/>
          <w:sz w:val="17"/>
          <w:szCs w:val="17"/>
          <w:i w:val="1"/>
          <w:iCs w:val="1"/>
          <w:color w:val="auto"/>
        </w:rPr>
        <w:t xml:space="preserve"> </w:t>
      </w:r>
      <w:r>
        <w:rPr>
          <w:rFonts w:ascii="Arial" w:cs="Arial" w:eastAsia="Arial" w:hAnsi="Arial"/>
          <w:sz w:val="17"/>
          <w:szCs w:val="17"/>
          <w:color w:val="auto"/>
        </w:rPr>
        <w:t>replacement program. Southwest currently has a substantial amount of pre-1970s vintage steel pipe in Arizona. As part of the program, Southwest proposed to start replacing the pipe on an accelerated basis and to recover the costs through an annual surcharge filing. A surcharge related thereto has been customarily designed to be revised annually as the program progresses to collect the annual revenue requirement associated with the related capital expenditures. In the most recent VSP filing, in February 2019, Southwest requested to increase its surcharge revenue by $9.5 million (to $11.9 million) related to 2018 expenditures; Southwest replaced approximately $100 million of VSP in connection with 2018 VSP capital projects. The ACC issued an Order in October 2019 authorizing Southwest to retain the current annual surcharge of $2.4 million and indicated it would review the program as part of the pending rate general case. Southwest also proposed to have the ACC review an estimated $103.4 million of 2019 VSP capital projects, and if authorized, to also render a decision regarding cost recovery as part of the pending rate case.</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Southwest has embarked on an initiative to replace its customer service system and its gas transaction system,</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which is utilized to support all Southwest service territories. Combined, these undertakings are referred to as the Customer Data Modernization Initiative (the “CDMI”). In March 2019, Southwest filed an application with the ACC seeking an accounting order which, if approved, would authorize Southwest to track and defer all costs associated with the CDMI to mitigate adverse financial implications associated with this multi-year initiative. The total cost for the CDMI is estimated at $174 million, approximately $96 million of which would be allocable to the Arizona rate jurisdiction. The initiative is currently expected to be completed in the first half of 2021. A hearing in this matter was previously scheduled for April 2020; however, due to the current status of the COVID-19 pandemic, a hearing in this matter will be reset at a later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California General Rate Case. </w:t>
      </w:r>
      <w:r>
        <w:rPr>
          <w:rFonts w:ascii="Arial" w:cs="Arial" w:eastAsia="Arial" w:hAnsi="Arial"/>
          <w:sz w:val="16"/>
          <w:szCs w:val="16"/>
          <w:color w:val="auto"/>
        </w:rPr>
        <w:t>Southwest’s existing rates became effective June 2014, and included a Post-Test Year (“PTY”) Ratemaking Mechanism,</w:t>
      </w:r>
      <w:r>
        <w:rPr>
          <w:rFonts w:ascii="Arial" w:cs="Arial" w:eastAsia="Arial" w:hAnsi="Arial"/>
          <w:sz w:val="16"/>
          <w:szCs w:val="16"/>
          <w:i w:val="1"/>
          <w:iCs w:val="1"/>
          <w:color w:val="auto"/>
        </w:rPr>
        <w:t xml:space="preserve"> </w:t>
      </w:r>
      <w:r>
        <w:rPr>
          <w:rFonts w:ascii="Arial" w:cs="Arial" w:eastAsia="Arial" w:hAnsi="Arial"/>
          <w:sz w:val="16"/>
          <w:szCs w:val="16"/>
          <w:color w:val="auto"/>
        </w:rPr>
        <w:t>which allowed for attrition increases of 2.75% annually for 2015 through 2018, after which new rates from a subsequent rate case cycle would have been expected to be in effect. In December 2016, Southwest filed to modify the earlier (2014) general rate case decision to extend the rate case cycle by two years, and received CPUC approval in June 2017, including extension of the annual 2.75% PTY attrition adjustments for 2019 and 2020.</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30, 2019, Southwest filed the previously deferred California general rate case, based on a test year of 2021, seeking authority to increase rates in its California rate jurisdictions. The proposed combined revenue increase of $12.8 million is net of a $10.9 million revenue reduction associated with changes from U.S. tax reform, which includes the amortization of $9.8 million (approximately $2 million annually over five years) associated with the difference in authorized income tax expense and actual incurred income tax expense for years 2019 and 2020 (as discussed below), which when returned will impact cash flows but is not expected to have an impact on earnings overall. The overall revenue request also includes $1.6 million of excess accumulated deferred income taxes that are proposed to be returned to customers each year until the amount is reset as part of a future rate case. Southwest’s proposal includes a return on common equity of 10.5%, relative to a 53% equity ratio; continuation of the post-test year margin adjustments of 2.75%; implementation of various safety-related programs, including a targeted pipe replacement program and a meter protection program (which includes a combination of measures, such as snow sheds, excess flow valves, upgraded meter set piping and upgraded Encoder Receiver Transmitter protocol); as well as an expansion of the COYL replacement program. The case will be processed throughout 2020, including scheduled hearings in June, with rates requested to be effective January 2021.</w:t>
      </w: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70"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Tax Reform. </w:t>
      </w:r>
      <w:r>
        <w:rPr>
          <w:rFonts w:ascii="Arial" w:cs="Arial" w:eastAsia="Arial" w:hAnsi="Arial"/>
          <w:sz w:val="18"/>
          <w:szCs w:val="18"/>
          <w:color w:val="auto"/>
        </w:rPr>
        <w:t>In its 2017 decision approving Southwest’s request to extend the filing date of its next general rate case, the CPUC also directed Southwest to</w:t>
      </w:r>
      <w:r>
        <w:rPr>
          <w:rFonts w:ascii="Arial" w:cs="Arial" w:eastAsia="Arial" w:hAnsi="Arial"/>
          <w:sz w:val="18"/>
          <w:szCs w:val="18"/>
          <w:i w:val="1"/>
          <w:iCs w:val="1"/>
          <w:color w:val="auto"/>
        </w:rPr>
        <w:t xml:space="preserve"> </w:t>
      </w:r>
      <w:r>
        <w:rPr>
          <w:rFonts w:ascii="Arial" w:cs="Arial" w:eastAsia="Arial" w:hAnsi="Arial"/>
          <w:sz w:val="18"/>
          <w:szCs w:val="18"/>
          <w:color w:val="auto"/>
        </w:rPr>
        <w:t>track income tax expense resulting from mandatory or elective changes in tax law, procedure, or policy. The purpose is to identify differences between Southwest’s authorized income tax expense and its actual incurred income tax expense, the result of which would be reviewed in Southwest’s now currently applicable general rate case application. Through the first quarter of 2020, Southwest reflected $6.7 million as a reserve for amounts attributable to the impact of U.S. tax reform on the ratemaking revenue requirement, and expects to reserve an additional approximate $3 million during the remainder of 2020.</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Attrition Filing. </w:t>
      </w:r>
      <w:r>
        <w:rPr>
          <w:rFonts w:ascii="Arial" w:cs="Arial" w:eastAsia="Arial" w:hAnsi="Arial"/>
          <w:sz w:val="16"/>
          <w:szCs w:val="16"/>
          <w:color w:val="auto"/>
        </w:rPr>
        <w:t>In November 2019, Southwest made its latest annual PTY attrition filing, requesting annual revenue increases of $2.06 million in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$556,000 in northern California, and $278,000 for South Lake Tahoe. This filing was approved in December 2019 and rates were made effective in January 2020. At the same time, rates were updated to recover the regulatory asset associated with the revenue decoupling mechanism, or margin tracker.</w:t>
      </w:r>
    </w:p>
    <w:p>
      <w:pPr>
        <w:spacing w:after="0" w:line="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Greenhouse Gas (“GHG”) Compliance. </w:t>
      </w:r>
      <w:r>
        <w:rPr>
          <w:rFonts w:ascii="Arial" w:cs="Arial" w:eastAsia="Arial" w:hAnsi="Arial"/>
          <w:sz w:val="16"/>
          <w:szCs w:val="16"/>
          <w:color w:val="auto"/>
        </w:rPr>
        <w:t>California Assembly Bill Number 32 and the regulations promulgated by the California Air Resources Board,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for years 2015-2017 beginning in the second quarter of 2018.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following initial required credits in October 2018. GHG compliance costs recovered through rates (including transportation customer rates) have no impact on earnings.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Natural Gas. </w:t>
      </w:r>
      <w:r>
        <w:rPr>
          <w:rFonts w:ascii="Arial" w:cs="Arial" w:eastAsia="Arial" w:hAnsi="Arial"/>
          <w:sz w:val="18"/>
          <w:szCs w:val="18"/>
          <w:color w:val="auto"/>
        </w:rPr>
        <w:t>In February 2019, Southwest filed an application that, among other provisions, seeks to formally allow the inclusion of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(or biomethane) as a potential component of Southwest’s gas supply portfolio through the Biomethane Gas Program (“BGP”). This proposal is designed to further the goals of the California Global Warming Solutions Act of 2006, the California Low Carbon Fuel Standard, Senate Bills 1383 and 1440, as well as current or future legislative or regulatory efforts to reduce greenhouse gas emissions. Implementation of the BGP addresses cost recovery as part of Southwest’s existing Gas Cost Incentive Mechanism related to the purchase or sale of biomethane. The CPUC issued a final decision approving the proposal the end of March 2020.</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On April 26, 2019, Southwest filed an application with the CPUC seeking authority to establish a two-way,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bearing balancing account to record costs associated with the CDMI to mitigate adverse financial implications associated with this multi-year project. Approximately $19 million of the total cost for the CDMI would be allocable to the California rate jurisdiction. Southwest filed a separate request to establish a memorandum account while the CPUC considers its application request to establish a two-way balancing account. Effective October 2019, the CPUC granted Southwest’s memorandum account request, which will allow Southwest to track costs, including operations and maintenance costs and capital-related costs, such as depreciation, taxes, and return associated with California’s portion of the CMDI. The balance tracked in the memorandum account will be transferred to the two-way balancing account, if approved. In January 2020, Southwest and the Public Advocates Office reached a settlement agreement to adopt Southwest’s Application for Authority to Implement the CDMI. The proposed decision approving the settlement agreement is expected in the second quarter 2020.</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Emergency Relief Program Related to COVID-19. </w:t>
      </w:r>
      <w:r>
        <w:rPr>
          <w:rFonts w:ascii="Arial" w:cs="Arial" w:eastAsia="Arial" w:hAnsi="Arial"/>
          <w:sz w:val="17"/>
          <w:szCs w:val="17"/>
          <w:color w:val="auto"/>
        </w:rPr>
        <w:t>On March 25, 2020, Southwest filed an Advice Letter to establish a memorandum account to track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implementation of customer protections under Emergency Relief regulations implemented in 2019 in the event of a state or federal declared emergency or disaster. The CPUC passed an emergency resolution April 16, 2020 authorizing and directing utilities to implement customer protections and to establish memorandum accounts to track the financial impacts associated with complying with the resolution. On May 1, 2020, Southwest filed an Advice Letter to establish a COVID-19 Pandemic Protections Memorandum Account (“CPPMA”) to record all incremental costs and lost revenues incurred by Southwest associated with its implementation of the COVID-19 customer protections as outlined in the CPUC resolution. The customer protections were retroactively applied to March 4, 2020, the date Governor Gavin Newsom declared a state of emergency related to COVID-19. The CPPMA is effective March 4, 2020 through April 16, 2021. These customer protections focus on flexible payment plan options, additional protections for income-qualified customers, as well as the suspension of disconnections for non-payment and the waiver of deposit and late fee requirements. These costs will be considered by the CPUC for future recovery.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Nevada General Rate Case. </w:t>
      </w:r>
      <w:r>
        <w:rPr>
          <w:rFonts w:ascii="Arial" w:cs="Arial" w:eastAsia="Arial" w:hAnsi="Arial"/>
          <w:sz w:val="17"/>
          <w:szCs w:val="17"/>
          <w:color w:val="auto"/>
        </w:rPr>
        <w:t>Southwest filed a general rate case application with the PUCN on February 28, 2020. The filing requests a statewide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rate increase of approximately $38.3 million. The request seeks an ROE of 10% relative to a proposed capital structure of 50% equity and continuation of the General Revenues Adjustment (“GRA”) mechanism (full revenue decoupling). The request also proposes the recovery of previously excluded costs attributable to several software applications. A hearing in this matter is scheduled for August 2020.</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70"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PUCN issued a rate case decision in the previous general rate case application, which authorized an ROE of 9.25% relative to the Company’s proposed capital structure of 49.66% equity applicable to both southern and northern Nevada and provided for an overall revenue increase of $9.5 million in southern Nevada and a revenue decrease in northern Nevada of $2 million. Rates from this proceeding originally became effective in January 2019.</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part of that proceeding, management filed a request for reconsideration of several rate case issues during the same month of effective rates. The PUCN Staff also filed a Petition for Reconsideration requesting several technical clarifications on the rate case decision with respect to how to calculate the intended results of the decision. The PUCN, in turn, issued a decision regarding both petitions in February 2019 that modified certain parts of the original order, but granted no further rate relief. The modified final decision resulted in a revenue increase of $9.2 million in southern Nevada and a revenue decrease in northern Nevada of $2.1 million. The decision included a reduction in depreciation expense of $800,000 and overall, resulted in a net increase in revenues of $7.1 million and an increase in operating income of $7.9 million. The modified rates became effective March 2019. Management decided to seek judicial review of the PUCN’s rate order, which was considered in January 2020. The District Court Judge deferred to the PUCN’s original findings. In March 2020, Southwest filed an appeal with the Nevada Supreme Court, the resolution of which will likely take 12-24 months. Southwest expects consideration of the appeal to occur concurrently with the proceedings of the 2020 general rate case that was filed in February 2020.</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General Revenues Adjustment. </w:t>
      </w:r>
      <w:r>
        <w:rPr>
          <w:rFonts w:ascii="Arial" w:cs="Arial" w:eastAsia="Arial" w:hAnsi="Arial"/>
          <w:sz w:val="17"/>
          <w:szCs w:val="17"/>
          <w:color w:val="auto"/>
        </w:rPr>
        <w:t>The continuation of the GRA was affirmed as part of the December 2018 rate case decision and is again being requested as</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Southwest’s pending general rate case application filed in February 2020. In June 2019, Southwest made its 2019 Annual Rate Adjustment (“ARA”) filing in which it requested to update the GRA to reflect the current balances in both southern and northern Nevada. This most recent filing provided for a decrease of approximately $8 million for an over-collected balance in southern Nevada and an increase of approximately $2 million in northern Nevada. The proposed changes were approved, with rates effective January 2020. While there is no impact to net income overall from adjustments to recovery rates associated with the related regulatory balances, operating cash flows are impacted by such changes.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Infrastructure Replacement Mechanism. </w:t>
      </w:r>
      <w:r>
        <w:rPr>
          <w:rFonts w:ascii="Arial" w:cs="Arial" w:eastAsia="Arial" w:hAnsi="Arial"/>
          <w:sz w:val="16"/>
          <w:szCs w:val="16"/>
          <w:color w:val="auto"/>
        </w:rPr>
        <w:t>In 2014, the PUCN approved final rules for the GIR mechanism which defers and recovers certain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accelerated replacement of qualifying infrastructure that would not otherwise currently provide incremental revenues. Associated with the replacement of various types of pipe infrastructure under the mechanism (Early Vintage Plastic Pipe, COYL, and VSP), the related regulations provide Southwest with the opportunity to file a GIR “Advance Application” annually, generally in May, to seek preapproval of qualifying replacement projects.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a GIR Rate Application is generally filed each October to reset the GIR recovery surcharge rate related to previously approved and completed projects, with new rates typically becoming effective each January. On October 1, 2019, Southwest filed a Rate Application to reset the recovery surcharge to include cumulative deferrals through August 31, 2019. This surcharge rate became effective February 1, 2020 and is expected to result in a reduction in annual revenue of approximately $5.3 million in southern Nevada and no incremental revenue in northern Nevada</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Conservation and Energy Efficiency (“CEE”). </w:t>
      </w:r>
      <w:r>
        <w:rPr>
          <w:rFonts w:ascii="Arial" w:cs="Arial" w:eastAsia="Arial" w:hAnsi="Arial"/>
          <w:sz w:val="18"/>
          <w:szCs w:val="18"/>
          <w:color w:val="auto"/>
        </w:rPr>
        <w:t>The PUCN allows deferral (and later recovery) of approved conservation and energy efficiency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rates for which are adjusted in association with ARA filings. In June 2019, Southwest made its 2019 ARA filing, which proposed annualized margin increases of $3.2 million and $880,000 in southern and northern Nevada, respectively. However, Southwest entered into a stipulation and agreement to modify these amounts to $6.2 million and $1.1 million in southern and northern Nevada, respectively, which reflected the recovery of a related but separate program balance to be rolled into customer rates with the same effective date. The modification was approved, and rates became effective January 2020.</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to expand natural gas infrastructure to Mesquite. The order approved a capital investment of approximately $28 million and the construction of approximately 37 miles of distribution pipeline (including the approach main). A volumetric rate was implemented October 1, 2019, to recover the cost and is applicable to all southern Nevada customers (including new customers in Mesquite). The annual revenue requirement associated with the project is $2.8 million. Following preliminary design, Southwest began serving certain customers with an approved virtual pipeline network in February 2019, providing temporary natural gas supply using portions of the approved distribution system and compressed natural gas. It is estimated that permitting and construction of the approach main to bring the permanent supply to Mesquite and construction of the remaining approved distribution system will be placed in service in the first quarter of 2021.</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2019, Southwest filed for preapproval to construct the infrastructure necessary to expand natural gas service to Spring Creek, Nevada, and to implement a cost recovery methodology to timely recover the associated revenue requirement consistent</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270"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SB 151 regulations. Expansion to the Spring Creek area near Elko, Nevada, consists of a high-pressure approach main and associated regulator stations, an interior backbone, and the extension of the distribution system from the interior backbone system. The total capital investment is estimated to be $61.9 million. A stipulation in this matter was reached with the parties and approved by the PUCN in December 2019, which largely accepted Southwest’s proposal with modifications reflected in the rate recovery allocations split amongst northern Nevada, Elko, and Spring Creek expansion customers. Initial ground-breaking is expected in the summer of 2020.</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In March 2019, Southwest filed a request seeking authority to establish a regulatory asset to defer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related to the CDMI to mitigate the financial attrition associated with this multi-year project. Of the total estimated cost of the CDMI, approximately $59 million would be allocable to the Nevada rate jurisdictions. A hearing on this matter was held in August 2019 and the PUCN issued its decision in September 2019, denying the Southwest’s request for regulatory asset treatment, finding that a general rate case is the most appropriate venue to address such costs. In response to the PUCN’s decision, Southwest filed a Petition for Reconsideration in October 2019, which was denied. Southwest proposed to establish a level of expense of approximately $1.2 million in rates as part of its pending general rate case filing. The project is expected to be moved to production in 2021.</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Regulatory Asset Related to COVID-19. </w:t>
      </w:r>
      <w:r>
        <w:rPr>
          <w:rFonts w:ascii="Arial" w:cs="Arial" w:eastAsia="Arial" w:hAnsi="Arial"/>
          <w:sz w:val="18"/>
          <w:szCs w:val="18"/>
          <w:color w:val="auto"/>
        </w:rPr>
        <w:t>The PUCN issued an order directing utilities within the state to establish regulatory asset accounts to track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impacts associated with maintaining service for customersaffected by COVID-19, including those whose service would have been otherwise terminated/disconnected, effective March 12, 2020, the date Governor Steve Sisolak declared a state of emergency related to COVID-19. These costs will be considered by the PUCN for future recovery.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General Rate Case. </w:t>
      </w:r>
      <w:r>
        <w:rPr>
          <w:rFonts w:ascii="Arial" w:cs="Arial" w:eastAsia="Arial" w:hAnsi="Arial"/>
          <w:sz w:val="18"/>
          <w:szCs w:val="18"/>
          <w:color w:val="auto"/>
        </w:rPr>
        <w:t>Paiute Pipeline Company (“Paiute”), a wholly owned subsidiary of Southwest, filed a general rate case with the FERC in May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filing fulfilled an obligation from the settlement agreement reached in the 2014 Paiute general rate case. The application requested an increase in operating revenues of approximately $7 million, and included the continuation of term-differentiated rates.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2020, Paiute reached an agreement in principle with the FERC Staff and intervenors to settle its general rate case. In addition to continuing the rate structures with its shippers, the settlement, which was filed in March 2020, would result in a revenue reduction of approximately $700,000. The agreement-in-principle is based on a 9.90% pre-tax rate of return. Also, as part of this agreement, Paiute agreed not to file a rate case prior to January 1, 2022, but no later than May 31, 2025.</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2020, Paiute requested, and was granted, the authority to place the settlement rates into effect on an interim basis effective February 2020. These rates will remain in effect, subject to final FERC approval. Should the proceeding not be resolved by the agreement in principle, or if the settlement proceeds as a contested settlement, Paiute is authorized to receive the difference between the interim settlement rates and the separately filed motion rates from affected customers, retroactive to February 2020. On March 30, 2020, Paiute filed a proposed settlement agreement with the FERC for review and approval, which is expected later this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As of March 31, 2020, over-collections in each of Southwest’s service territories resulted in a liability of $26.5 million on the Company’s and Southwest’s Condensed Consolidated Balance Sheets. The balance in Arizona includes approximately $1.2 million related to excess amounts returned to Arizona customers that originated with a refund received by Southwest during the third quarter of 2018 from a rate case settlement associated with El Paso Natural Gas, L.L.C. (“El Paso”). Effective April 2020, the special per-therm PGA credit associated with the return of the El Paso refund to Southwest’s Arizona customers was terminated.</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70"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March 31, 2020</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December 31, 2019</w:t>
            </w:r>
          </w:p>
        </w:tc>
        <w:tc>
          <w:tcPr>
            <w:tcW w:w="320" w:type="dxa"/>
            <w:vAlign w:val="bottom"/>
          </w:tcPr>
          <w:p>
            <w:pPr>
              <w:spacing w:after="0"/>
              <w:rPr>
                <w:sz w:val="20"/>
                <w:szCs w:val="20"/>
                <w:color w:val="auto"/>
              </w:rPr>
            </w:pP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March 31, 2019</w:t>
            </w:r>
          </w:p>
        </w:tc>
      </w:tr>
      <w:tr>
        <w:trPr>
          <w:trHeight w:val="27"/>
        </w:trPr>
        <w:tc>
          <w:tcPr>
            <w:tcW w:w="4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(72,213)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Northern Nevada</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12,962</w:t>
            </w:r>
          </w:p>
        </w:tc>
      </w:tr>
      <w:tr>
        <w:trPr>
          <w:trHeight w:val="27"/>
        </w:trPr>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Nevada</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51,221</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1,059</w:t>
            </w:r>
          </w:p>
        </w:tc>
      </w:tr>
      <w:tr>
        <w:trPr>
          <w:trHeight w:val="27"/>
        </w:trPr>
        <w:tc>
          <w:tcPr>
            <w:tcW w:w="4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Historically, cash on hand and cash flows from operations have provided a substantial portion of cash used in investing activities (primarily for construction expenditures and property additions). In recent years, the Company has accelerated pipe replacement activities to fortify system integrity and reliability, notably in association with gas infrastructure replacement programs as discussed previously. This accelerated activity has necessitated the issuance of both debt and equity securities to supplement cash flows from operations. The Company endeavors to maintain an appropriate balance of equity and debt to maintain strong investment-grade credit ratings, which should minimize interest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increased $83 million in the first three months of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2019. The improvement in cash flows primarily resulted from collections of amounts under purchased gas adjustment mechanisms, collection of the remaining half ($35 million) of the Arizona decoupling mechanism balance that was outstanding as of the end of 2018, as well as benefits from depreciation and impacts of other working capital components overall. These impacts were offset by a decrease in net income and a $50 million supplemental contribution for pension funding made in January 2020 (reflected as a Changes in other liabilities and deferred credits in the Condensed Consolidated Statements of Cash Flows of both the Company and Southwest).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decreased $7 million in the first three months of 2020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2019. The change was primarily due to an increase in utility customer advances and proceeds from sales of equipment at the utility infrastructure services segment.</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Net cash used in consolidated financing activities increased $90 million in the first three months of 2020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of 2019. The change was primarily due to payments related to the portion of the credit facility utilized for working capital purposes at Southwest ($133 million) offset by higher borrowings at Southwest Gas Holdings, Inc. ($43 million) and a decrease of issuances of common stock under the Company’s Equity Shelf Program, as there were none during the first three months of 2020 as compared to $23 million during the first quarter of 2019. Additionally, Centuri received a net $26 million in additional proceeds between a $50 million equipment loan in 2020 and a net paydown of credit facility and long-term debt borrowings as compared to the same period in the prior year. See </w:t>
      </w:r>
      <w:r>
        <w:rPr>
          <w:rFonts w:ascii="Arial" w:cs="Arial" w:eastAsia="Arial" w:hAnsi="Arial"/>
          <w:sz w:val="16"/>
          <w:szCs w:val="16"/>
          <w:b w:val="1"/>
          <w:bCs w:val="1"/>
          <w:color w:val="auto"/>
        </w:rPr>
        <w:t>Note 4 – Common Stock</w:t>
      </w:r>
      <w:r>
        <w:rPr>
          <w:rFonts w:ascii="Arial" w:cs="Arial" w:eastAsia="Arial" w:hAnsi="Arial"/>
          <w:sz w:val="16"/>
          <w:szCs w:val="16"/>
          <w:color w:val="auto"/>
        </w:rPr>
        <w:t xml:space="preserve"> and </w:t>
      </w:r>
      <w:r>
        <w:rPr>
          <w:rFonts w:ascii="Arial" w:cs="Arial" w:eastAsia="Arial" w:hAnsi="Arial"/>
          <w:sz w:val="16"/>
          <w:szCs w:val="16"/>
          <w:b w:val="1"/>
          <w:bCs w:val="1"/>
          <w:color w:val="auto"/>
        </w:rPr>
        <w:t>Note 5 – Debt</w:t>
      </w:r>
      <w:r>
        <w:rPr>
          <w:rFonts w:ascii="Arial" w:cs="Arial" w:eastAsia="Arial" w:hAnsi="Arial"/>
          <w:sz w:val="16"/>
          <w:szCs w:val="16"/>
          <w:color w:val="auto"/>
        </w:rPr>
        <w:t>.</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the Company issued 47,000 shares of common stock through the Dividend Reinvestment and Stock Purchase Plan, raising approximately $3.1 million.</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capital requirements and resources of the Company generally are determined independently for the natural gas operations and utility infrastructure services segments. Each business activity is generally responsible for securing its own external debt financing sources. However, the holding company may raise funds through stock issuance or other external financing sources in support of each business segment, as discussed in </w:t>
      </w:r>
      <w:r>
        <w:rPr>
          <w:rFonts w:ascii="Arial" w:cs="Arial" w:eastAsia="Arial" w:hAnsi="Arial"/>
          <w:sz w:val="16"/>
          <w:szCs w:val="16"/>
          <w:b w:val="1"/>
          <w:bCs w:val="1"/>
          <w:color w:val="auto"/>
        </w:rPr>
        <w:t>Note 4 – Common Stock</w:t>
      </w:r>
      <w:r>
        <w:rPr>
          <w:rFonts w:ascii="Arial" w:cs="Arial" w:eastAsia="Arial" w:hAnsi="Arial"/>
          <w:sz w:val="16"/>
          <w:szCs w:val="16"/>
          <w:color w:val="auto"/>
        </w:rPr>
        <w: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increased $89 million in the first three months of 2020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2019. The improvement in operating cash flows was attributable to impacts related to deferred purchased gas costs and recoveries related to the Arizona decoupling mechanism noted above, as well as other working capital components overall, and benefits from depreciation, offset by a decrease in net income and the supplemental contribution for pension funding in 2020.</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$7 million in the first three months of 2020 as compared to the same period of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due to additional capital expenditures in 2020.</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70"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used in financing activities increased $109 million in the first three months of 2020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increase was primarily due to payments in the current period related to the portion of Southwest’s revolving credit facility designated for working capital purposes, offset by an increase in capital contributions from Southwest Gas Holdings, Inc.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March 31, 2020, construction expenditures for the natural gas operations segment were $788 million. The majority of these expenditures represented costs associated with scheduled and accelerated replacement of existing transmission, distribution, and general plant. Cash flows from operating activities of Southwest were $456 million during this time, and provided approximately 52% of construction expenditures and dividend requirements.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2022 will be approximately $2.1 billion. Of this amount, approximately $650 million to $700 million is scheduled to be incurred in 2020. Southwest plans to continue to request regulatory support as necessary and appropriate to accelerate projects that improve system flexibility and reliability (including replacement of early vintage plastic and steel pipe). Southwest may expand existing, or initiate new, programs. Significant replacement activities are currently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discussion of Nevada infrastructure, Arizona COYL and VSP programs, and Spring Creek in Nevada. During the three-year period, cash flows from operating activities of Southwest are expected to provide approximately 50% of the funding for gas operations total construction expenditures and dividend requirements. Any additional cash requirements are expected to be provided by existing credit facilities, equity contributions from the Company, and/or other external financing sources. The timing, types, and amounts of any additional external financings will be dependent on a number of factors, including the cost of gas purchases, conditions in the capital markets, timing and amounts of rate relief, timing differences between U.S. federal taxes embedded in customer rates and amounts implemented under tax reform, as well as growth levels in Southwest’s service areas and earnings. External financings could include the issuance of debt securities, bank and other short-term borrowings, and other forms of financing.</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2019, the Company filed with the SEC an automatic shelf registration statement for the offer and sale of up to $300 million of common stock from time to time in at-the-market offerings under the prospectus included therein in accordance with the Sales Agency Agreement, dated May 8, 2019, between the Company and BNY Mellon Capital Markets, LLC (the Equity Shelf Program). The Company issued no stock under this multi-year program during the first quarter of 2020; approximately $176 million is available under the program as of March 31, 2020.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twelve months ended March 31, 2020, 1,478,945 shares were issued in at-the-market offerings at an average price of $84.07 per share with gross proceeds of $124.3 million, agent commissions of $1.2 million, and net proceeds of $123.1 million under the Company’s equity shelf program noted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most public utility property. The Company estimates bonus depreciation will defer the payment of approximately $10 million of federal income taxes for 2020, none of which relates to utility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Dividends are payable on the Company’s common stock at the discretion of the Board of Directors (the “Board”). In setting the dividend rate, the Board currently targets a payout ratio of 55% to 65% of consolidated earnings per share and considers, among other factors, current and expected future earnings levels, our ongoing capital expenditure plans and expected external funding needs, in addition to our ability to maintain strong credit ratings and liquidity. The Company has paid dividends on its common stock since 1956 and has increased that dividend each year since 2007. In February 2020, the Board elected to increase the quarterly dividend from $0.545 to $0.570 per share, representing a 4.6% increase, effective with the June 2020 payment.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w:t>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270"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remains focused on the safety and well-being of our employees and on the service of our customers. The Company will continuously review and assess the ongoing impacts of the COVID-19 pandemic, including those on our customers, suppliers, and business. As of March 31, 2020, the Company’s Cash and cash equivalents were $61 million, and the Company had access to $454 million of borrowing capacity under the Company’s various credit facilities, which management believes will help manage the impacts of the COVID-19 pandemic on its business and address related liquidity needs if they should arise.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March 31, 2020, the combined balance in the PGA accounts totaled an over-collection of $26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has a credit facility with a borrowing capacity of $100 million; on April 10, 2020, the existing credit facility was amended to extend the maturity date to April 10, 2025, while maintaining the borrowing capacity at $100 million. The Company intends to utilize this facility for short-term financing needs. At March 31, 2020, $60 million was outstanding under this facility.</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Southwest has a credit facility, with a borrowing capacity of $400 million; on April 10, 2020, Southwest amended the credit facility agreement which extended the maturity date to April 10, 2025. The revolving borrowing capacity under the amended credit facility agreement remains at $400 million. Southwest designated $150 million of the facility for long-term borrowing needs and the remaining $250 million for working capital purposes. The maximum amount outstanding on the long-term portion of the credit facility (including a commercial paper program, as noted below) during the first three months of 2020 was $150 million, the same amount which was outstanding as of March 31, 2020. Additionally, the maximum amount outstanding on the short-term portion of the credit facility during the first three months of 2020 was $194 million. As of March 31, 2020, $97 million of borrowings were outstanding on the short-term portion of this credit facility. The credit facility can be used as necessary to meet liquidity requirements, including temporarily financing under-collected PGA balances, if any, or meeting the refund needs of over-collected balances. It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2020 will be designated as long-term debt. Interest rates for the commercial paper program are calculated at the current commercial paper rate during the borrowing term. At March 31, 2020, there were no borrowings outstanding under this program.</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Centuri has a senior secured revolving credit and term loan facility with borrowing capacity of $590 million (refer to </w:t>
      </w:r>
      <w:r>
        <w:rPr>
          <w:rFonts w:ascii="Arial" w:cs="Arial" w:eastAsia="Arial" w:hAnsi="Arial"/>
          <w:sz w:val="17"/>
          <w:szCs w:val="17"/>
          <w:b w:val="1"/>
          <w:bCs w:val="1"/>
          <w:color w:val="auto"/>
        </w:rPr>
        <w:t>Note 5 – Debt</w:t>
      </w:r>
      <w:r>
        <w:rPr>
          <w:rFonts w:ascii="Arial" w:cs="Arial" w:eastAsia="Arial" w:hAnsi="Arial"/>
          <w:sz w:val="17"/>
          <w:szCs w:val="17"/>
          <w:color w:val="auto"/>
        </w:rPr>
        <w:t>). The line of credit portion of the facility is $325 million; amounts borrowed and repaid under the revolving credit facility are available to be re-borrowed. The term loan facility portion has a limit of approximately $265 million. The $590 million credit and term loan facility expires in November 30, 2023. It is secured by substantially all of Centuri’s assets except those explicitly excluded under the terms of the agreement (including owned real estate and certain certificated vehicles). Centuri assets securing the facility at March 31, 2020 totaled $1.2 billion. The maximum amount outstanding on the facility during the first three months of 2020 was $286 million; of which $242 million was outstanding on the term portion. As of March 31, 2020, $43 million was outstanding on the revolving credit facility. As of March 31, 2020, there was $233 million outstanding on the term loan portion of the facility. Also at March 31, 2020, there was approximately $261 million, net of letters of credit, available under the line of credit.</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April 10, 2020, the holding company and Southwest amended their respective credit facility agreements, see above. Interest rates for the amended credit facilities are calculated at either LIBOR or an “alternate base rate,” plus in each case an applicable margin that is determined based on each entities respective senior unsecured long-term debt rating. Upon the occurrence of certain events providing for a transition away from LIBOR, or if LIBOR is no longer a widely recognized benchmark rate, each entity may amend their respective credit facility with a replacement rate as set forth in the amended credit facility agreement. It is currently anticipated that LIBOR may be discontinued as a benchmark or reference rate after 2021. As of March 31, 2020, $60 million borrowings were outstanding for the holding company under its credit facility (see </w:t>
      </w:r>
      <w:r>
        <w:rPr>
          <w:rFonts w:ascii="Arial" w:cs="Arial" w:eastAsia="Arial" w:hAnsi="Arial"/>
          <w:sz w:val="17"/>
          <w:szCs w:val="17"/>
          <w:b w:val="1"/>
          <w:bCs w:val="1"/>
          <w:color w:val="auto"/>
        </w:rPr>
        <w:t>Note 5 – Debt</w:t>
      </w:r>
      <w:r>
        <w:rPr>
          <w:rFonts w:ascii="Arial" w:cs="Arial" w:eastAsia="Arial" w:hAnsi="Arial"/>
          <w:sz w:val="17"/>
          <w:szCs w:val="17"/>
          <w:color w:val="auto"/>
        </w:rPr>
        <w:t>), all of Southwest’s outstanding borrowings of $247 million under its credit facility (other than from its commercial paper program), and $177 million of Centuri’s indebtedness under its facility have interest rates with reference to LIBOR and maturity dates that extend beyond 2021. The outstanding amounts reflect approximately 11% of Southwest’s total debt and 18% of total debt (including current maturities) for</w:t>
      </w: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70"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overall. In order to mitigate the impact of the discontinuation on the Company’s financial condition and results of operations, Southwest and Centuri will continue to monitor developments with respect to alternative rates and work with lenders to determine the appropriate alternative reference rate for variable rate indebtedness. However, at this time the Company and Southwest can provide no assurances as to the impact a LIBOR discontinuation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70" w:right="3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the Company’s COLI strategy, replacement market and new construction market, impacts from the novel Coronavirus (COVID-19), including on our employees, customers, supply chain, transportation network, our financial position, revenue, earnings, cash flows, debt covenants, operations, regulatory recovery, work deployment or resumption and related uncertainties stemming from this pandemic, expected impacts of valuation adjustments associated with the redeemable noncontrolling interest in Linetec, the impacts of the U.S. tax reform including disposition in regulatory proceedings and bonus depreciation tax deductions, the impact of recent PHMSA rulemaking, the amounts and timing for completion of estimated future construction expenditures, plans to pursue infrastructure programs or programs under SB151 legislation, forecasted operating cash flows and results of operations, net earnings impacts from gas infrastructure replacement surcharges, funding sources of cash requirements, amounts generally expected to be reflected in 2020 or future period revenues from regulatory rate proceedings including amounts requested from the recently filed and ongoing general rate cases, the outcome of judicial review of the recently concluded Nevada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Equity Shelf Program or otherwise, future dividend increases and the Board’s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including the ongoing general rate cases and the final resolution for recovery of the CDMI in all jurisdictions, and statements regarding approvals are forward-looking statements. All forward-looking statements are intended to be subject to the safe harbor protection provided by the Reform Act.</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sustained restriction on commerce by government officials, including impacts on employment in our territories, the health impacts to our customers and employees due to the persistence of the virus, the ability to collect on customer accounts due to the current or an extended moratorium on late fees or service disconnection, the ability to obtain regulatory recovery of all costs and financial impacts resulting form this pandemic, the ability of infrastructure services business to resume work with all customers and the impact of a delay or termination of work as a result thereof, the impacts of future restrictions placed on our business by government regulation including related to personnel distancing, investment in personal protective equipment and other protocols, the impact of a resurgence of the virus following the resumption of commerce in our territories, and decisions of Centuri customers as to whether to pursue capital projects due to economic impacts resulting from the pandemic, the ability to recover costs through the PGA mechanisms or other regulatory assets, the effects of regulation/deregulation, governmental or regulatory policy regarding natural gas or alternative energy, the regulatory support for ongoing infrastructure programs,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the impact of variable rate indebtedness associated with a discontinuance of LIBOR including in relation to amounts of indebtedness then outstanding,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the impact of weather on Centuri’s operations, future acquisition-related costs, impacts of changes in value of the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or reduction, the result of productivity inefficiencies from regulatory requirements or otherwise, delays in commissioning individual projects, acquisitions, and management’s plans related thereto, competition, our ability to raise capital in external financings, our ability to continue to remain within the ratios and other limits subject to our debt</w:t>
      </w: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70" w:right="3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8"/>
          <w:szCs w:val="18"/>
          <w:b w:val="1"/>
          <w:bCs w:val="1"/>
          <w:color w:val="auto"/>
        </w:rPr>
        <w:t>Item 1A. Risk Factors and Item 7A. Quantitative and Qualitative Disclosures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About Market Risk </w:t>
      </w:r>
      <w:r>
        <w:rPr>
          <w:rFonts w:ascii="Arial" w:cs="Arial" w:eastAsia="Arial" w:hAnsi="Arial"/>
          <w:sz w:val="18"/>
          <w:szCs w:val="18"/>
          <w:color w:val="auto"/>
        </w:rPr>
        <w:t>in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and</w:t>
      </w:r>
      <w:r>
        <w:rPr>
          <w:rFonts w:ascii="Arial" w:cs="Arial" w:eastAsia="Arial" w:hAnsi="Arial"/>
          <w:sz w:val="18"/>
          <w:szCs w:val="18"/>
          <w:b w:val="1"/>
          <w:bCs w:val="1"/>
          <w:color w:val="auto"/>
        </w:rPr>
        <w:t xml:space="preserve"> Item 1A. Risk Factors, </w:t>
      </w:r>
      <w:r>
        <w:rPr>
          <w:rFonts w:ascii="Arial" w:cs="Arial" w:eastAsia="Arial" w:hAnsi="Arial"/>
          <w:sz w:val="18"/>
          <w:szCs w:val="18"/>
          <w:color w:val="auto"/>
        </w:rPr>
        <w:t>as updated in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2019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March 31, 2020, management of Southwest Gas Holdings, Inc., including the Chief Executive Officer and Chief Financial Officer, believes the Company’s disclosure controls and procedures are effective at attaining the level of reasonable assurance noted above.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first quarter of 2020 that have materially affected, or are likely to materially affect, the Company’s internal control over financial reporting.</w:t>
      </w:r>
    </w:p>
    <w:p>
      <w:pPr>
        <w:spacing w:after="0" w:line="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Based on the most recent evaluation, as of March 31, 2020, management of Southwest Gas Corporation, including the Chief Executive Officer and Chief Financial Officer, believes Southwest’s disclosure controls and procedures are effective at attaining the level of reasonable assurance noted above.</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 over financial reporting (as defined in Rules 13a-15(f) and 15d-15(f) of the Exchange Act) during the first quarter of 2020 that have materially affected, or are likely to materially affect Southwest’s internal control over financial reporting.</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color w:val="auto"/>
        </w:rPr>
        <w:t>Part I, Item IA, “Risk Factors” of our most recently filed Annual Report on Form 10-K for the fiscal year ended December 31, 2019, filed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and Exchange Commission on March 2, 2020, sets forth information relating to important risks and uncertainties that could materially adversely affect our business, financial condition and operating results and, accordingly, you should review and consider such risk factors in making any investment decision with respect to our securities. The following risk factor is being provided to supplement and update the risk factors set forth in Part I, Item IA, “Risk Factors” of our most recently filed Annual Report on Form 10-K for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270" w:right="3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that applies to Southwest Gas Holdings, Inc., Natural Gas Operations, and Utility Infrastructure Services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Ongoing COVID-19 Pandemic and Measures Intended to Prevent its Spread Could Have a Material Adverse Effect on our Business, Results of Operations, Cash Flows and Financial Condition.</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being first reported in December 2019, COVID-19 has spread globally, including to every state in the United States. On March 11, 2020, the World Health Organization declared COVID-19 a pandemic, and on March 13, 2020, the United States declared a national emergency with respect to COVID-19. The pandemic has led governments and other authorities around the world, including federal, state and local authorities in the United States, to impose measures intended to control its spread, including restrictions on freedom of movement and business operations such as travel bans, border closings, business closures, quarantines and shelter-in-place orders. Substantially all of our properties are located in areas that are or have been subject to shelter-in-place orders and restrictions on the types of businesses that may continue to operate.</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our utility operations and, to a large extent, our utility infrastructure services segment have been deemed “essential services,” our business may be materially and adversely impacted by the COVID-19 pandemic and measures to prevent its spread in a number of ways. The COVID-19 pandemic has resulted in significant unemployment, which may impact our customers’ ability to timely pay their bills. We have implemented flexible payment plan options, additional protections for income-qualified customers, as well as the suspension of disconnections for non-payment and the waiver of deposit and late fee requirements. As a result, we have continued providing services even in scenarios where payment is not guaranteed. Although we may be able to seek recovery of some losses through the regulatory process, we can provide no assurances that we will be able to recover such losses in full or at all. In addition, our supply chain related to necessary equipment and materials may be significantly disrupted if the current crisis continues for an extended period of time.</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the COVID-19 pandemic has delayed certain construction projects in our utility infrastructure services segment. We can provide no assurances as to whether future delays will occur or as to the impact of such delays. In addition, there may be disruptions in the amount or timing of work awarded to our utility infrastructure services business. Our ability to perform work for which we are contracted could also be impacted by the pandemic if our workforce experiences significant infection. Any of the foregoing could have an adverse impact on our results of operations and financial condition.</w:t>
      </w:r>
    </w:p>
    <w:p>
      <w:pPr>
        <w:spacing w:after="0" w:line="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uncertainties have resulted in significant volatility in securities markets. If these disruptions were to continue, they may prevent us from accessing the equity or debt capital markets on attractive terms or at all for a period of time, which would have an adverse effect on our liquidity position.</w:t>
      </w:r>
    </w:p>
    <w:p>
      <w:pPr>
        <w:spacing w:after="0" w:line="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of the COVID-19 pandemic’s effect on our operational and financial performance will depend on future developments, including the duration, spread and intensity of the pandemic and the duration of government measures to mitigate the pandemic, all of which are uncertain and difficult to predict. Due to the speed with which the situation is developing, we are not able at this time to estimate the effect of these factors on our business, but the adverse impact on our business, results of operations, financial condition and cash flows could be material.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2 through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27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8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2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59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911"/>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24"/>
        </w:trPr>
        <w:tc>
          <w:tcPr>
            <w:tcW w:w="8900" w:type="dxa"/>
            <w:vAlign w:val="bottom"/>
            <w:gridSpan w:val="5"/>
          </w:tcPr>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tc>
        <w:tc>
          <w:tcPr>
            <w:tcW w:w="2280" w:type="dxa"/>
            <w:vAlign w:val="bottom"/>
          </w:tcPr>
          <w:p>
            <w:pPr>
              <w:spacing w:after="0"/>
              <w:rPr>
                <w:sz w:val="24"/>
                <w:szCs w:val="24"/>
                <w:color w:val="auto"/>
              </w:rPr>
            </w:pPr>
          </w:p>
        </w:tc>
      </w:tr>
      <w:tr>
        <w:trPr>
          <w:trHeight w:val="37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10.01</w:t>
            </w:r>
          </w:p>
        </w:tc>
        <w:tc>
          <w:tcPr>
            <w:tcW w:w="7240" w:type="dxa"/>
            <w:vAlign w:val="bottom"/>
            <w:gridSpan w:val="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0">
              <w:r>
                <w:rPr>
                  <w:rFonts w:ascii="Arial" w:cs="Arial" w:eastAsia="Arial" w:hAnsi="Arial"/>
                  <w:sz w:val="18"/>
                  <w:szCs w:val="18"/>
                  <w:u w:val="single" w:color="auto"/>
                  <w:color w:val="0000FF"/>
                </w:rPr>
                <w:t>Amendment to the Centuri Group, Inc. Executive Deferred Compensation Plan.</w:t>
              </w:r>
            </w:hyperlink>
          </w:p>
        </w:tc>
        <w:tc>
          <w:tcPr>
            <w:tcW w:w="228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31.01</w:t>
            </w:r>
          </w:p>
        </w:tc>
        <w:tc>
          <w:tcPr>
            <w:tcW w:w="7240" w:type="dxa"/>
            <w:vAlign w:val="bottom"/>
            <w:gridSpan w:val="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5">
              <w:r>
                <w:rPr>
                  <w:rFonts w:ascii="Arial" w:cs="Arial" w:eastAsia="Arial" w:hAnsi="Arial"/>
                  <w:sz w:val="18"/>
                  <w:szCs w:val="18"/>
                  <w:u w:val="single" w:color="auto"/>
                  <w:color w:val="0000FF"/>
                </w:rPr>
                <w:t>Section 302 Certifications–Southwest Gas Holdings, Inc.</w:t>
              </w:r>
            </w:hyperlink>
          </w:p>
        </w:tc>
        <w:tc>
          <w:tcPr>
            <w:tcW w:w="2280" w:type="dxa"/>
            <w:vAlign w:val="bottom"/>
          </w:tcPr>
          <w:p>
            <w:pPr>
              <w:spacing w:after="0"/>
              <w:rPr>
                <w:sz w:val="24"/>
                <w:szCs w:val="24"/>
                <w:color w:val="auto"/>
              </w:rPr>
            </w:pPr>
          </w:p>
        </w:tc>
      </w:tr>
      <w:tr>
        <w:trPr>
          <w:trHeight w:val="391"/>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31.02</w:t>
            </w:r>
          </w:p>
        </w:tc>
        <w:tc>
          <w:tcPr>
            <w:tcW w:w="7240" w:type="dxa"/>
            <w:vAlign w:val="bottom"/>
            <w:gridSpan w:val="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7">
              <w:r>
                <w:rPr>
                  <w:rFonts w:ascii="Arial" w:cs="Arial" w:eastAsia="Arial" w:hAnsi="Arial"/>
                  <w:sz w:val="18"/>
                  <w:szCs w:val="18"/>
                  <w:u w:val="single" w:color="auto"/>
                  <w:color w:val="0000FF"/>
                </w:rPr>
                <w:t>Section 302 Certifications–Southwest Gas Corporation</w:t>
              </w:r>
            </w:hyperlink>
          </w:p>
        </w:tc>
        <w:tc>
          <w:tcPr>
            <w:tcW w:w="228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32.01</w:t>
            </w:r>
          </w:p>
        </w:tc>
        <w:tc>
          <w:tcPr>
            <w:tcW w:w="7240" w:type="dxa"/>
            <w:vAlign w:val="bottom"/>
            <w:gridSpan w:val="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9">
              <w:r>
                <w:rPr>
                  <w:rFonts w:ascii="Arial" w:cs="Arial" w:eastAsia="Arial" w:hAnsi="Arial"/>
                  <w:sz w:val="18"/>
                  <w:szCs w:val="18"/>
                  <w:u w:val="single" w:color="auto"/>
                  <w:color w:val="0000FF"/>
                </w:rPr>
                <w:t>Section 906 Certifications–Southwest Gas Holdings, Inc.</w:t>
              </w:r>
            </w:hyperlink>
          </w:p>
        </w:tc>
        <w:tc>
          <w:tcPr>
            <w:tcW w:w="228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32.02</w:t>
            </w:r>
          </w:p>
        </w:tc>
        <w:tc>
          <w:tcPr>
            <w:tcW w:w="7240" w:type="dxa"/>
            <w:vAlign w:val="bottom"/>
            <w:gridSpan w:val="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0">
              <w:r>
                <w:rPr>
                  <w:rFonts w:ascii="Arial" w:cs="Arial" w:eastAsia="Arial" w:hAnsi="Arial"/>
                  <w:sz w:val="18"/>
                  <w:szCs w:val="18"/>
                  <w:u w:val="single" w:color="auto"/>
                  <w:color w:val="0000FF"/>
                </w:rPr>
                <w:t>Section 906 Certifications–Southwest Gas Corporation</w:t>
              </w:r>
            </w:hyperlink>
          </w:p>
        </w:tc>
        <w:tc>
          <w:tcPr>
            <w:tcW w:w="2280" w:type="dxa"/>
            <w:vAlign w:val="bottom"/>
          </w:tcPr>
          <w:p>
            <w:pPr>
              <w:spacing w:after="0"/>
              <w:rPr>
                <w:sz w:val="24"/>
                <w:szCs w:val="24"/>
                <w:color w:val="auto"/>
              </w:rPr>
            </w:pPr>
          </w:p>
        </w:tc>
      </w:tr>
      <w:tr>
        <w:trPr>
          <w:trHeight w:val="377"/>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9520" w:type="dxa"/>
            <w:vAlign w:val="bottom"/>
            <w:gridSpan w:val="4"/>
          </w:tcPr>
          <w:p>
            <w:pPr>
              <w:ind w:left="60"/>
              <w:spacing w:after="0"/>
              <w:rPr>
                <w:sz w:val="20"/>
                <w:szCs w:val="20"/>
                <w:color w:val="auto"/>
              </w:rPr>
            </w:pPr>
            <w:r>
              <w:rPr>
                <w:rFonts w:ascii="Arial" w:cs="Arial" w:eastAsia="Arial" w:hAnsi="Arial"/>
                <w:sz w:val="18"/>
                <w:szCs w:val="18"/>
                <w:color w:val="auto"/>
                <w:w w:val="95"/>
              </w:rPr>
              <w:t>-  XBRL Instance Document - the instance document does not appear in the Interactive Data File because its XBRL tags are</w:t>
            </w:r>
          </w:p>
        </w:tc>
      </w:tr>
      <w:tr>
        <w:trPr>
          <w:trHeight w:val="230"/>
        </w:trPr>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240" w:type="dxa"/>
            <w:vAlign w:val="bottom"/>
            <w:gridSpan w:val="3"/>
          </w:tcPr>
          <w:p>
            <w:pPr>
              <w:ind w:left="300"/>
              <w:spacing w:after="0"/>
              <w:rPr>
                <w:sz w:val="20"/>
                <w:szCs w:val="20"/>
                <w:color w:val="auto"/>
              </w:rPr>
            </w:pPr>
            <w:r>
              <w:rPr>
                <w:rFonts w:ascii="Arial" w:cs="Arial" w:eastAsia="Arial" w:hAnsi="Arial"/>
                <w:sz w:val="18"/>
                <w:szCs w:val="18"/>
                <w:color w:val="auto"/>
              </w:rPr>
              <w:t>embedded within the Inline XBRL document.</w:t>
            </w:r>
          </w:p>
        </w:tc>
        <w:tc>
          <w:tcPr>
            <w:tcW w:w="2280" w:type="dxa"/>
            <w:vAlign w:val="bottom"/>
          </w:tcPr>
          <w:p>
            <w:pPr>
              <w:spacing w:after="0"/>
              <w:rPr>
                <w:sz w:val="20"/>
                <w:szCs w:val="20"/>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7240" w:type="dxa"/>
            <w:vAlign w:val="bottom"/>
            <w:gridSpan w:val="3"/>
          </w:tcPr>
          <w:p>
            <w:pPr>
              <w:ind w:left="60"/>
              <w:spacing w:after="0"/>
              <w:rPr>
                <w:sz w:val="20"/>
                <w:szCs w:val="20"/>
                <w:color w:val="auto"/>
              </w:rPr>
            </w:pPr>
            <w:r>
              <w:rPr>
                <w:rFonts w:ascii="Arial" w:cs="Arial" w:eastAsia="Arial" w:hAnsi="Arial"/>
                <w:sz w:val="18"/>
                <w:szCs w:val="18"/>
                <w:color w:val="auto"/>
              </w:rPr>
              <w:t>-  XBRL Schema Document</w:t>
            </w:r>
          </w:p>
        </w:tc>
        <w:tc>
          <w:tcPr>
            <w:tcW w:w="2280" w:type="dxa"/>
            <w:vAlign w:val="bottom"/>
          </w:tcPr>
          <w:p>
            <w:pPr>
              <w:spacing w:after="0"/>
              <w:rPr>
                <w:sz w:val="24"/>
                <w:szCs w:val="24"/>
                <w:color w:val="auto"/>
              </w:rPr>
            </w:pPr>
          </w:p>
        </w:tc>
      </w:tr>
      <w:tr>
        <w:trPr>
          <w:trHeight w:val="391"/>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7240" w:type="dxa"/>
            <w:vAlign w:val="bottom"/>
            <w:gridSpan w:val="3"/>
          </w:tcPr>
          <w:p>
            <w:pPr>
              <w:ind w:left="60"/>
              <w:spacing w:after="0"/>
              <w:rPr>
                <w:sz w:val="20"/>
                <w:szCs w:val="20"/>
                <w:color w:val="auto"/>
              </w:rPr>
            </w:pPr>
            <w:r>
              <w:rPr>
                <w:rFonts w:ascii="Arial" w:cs="Arial" w:eastAsia="Arial" w:hAnsi="Arial"/>
                <w:sz w:val="18"/>
                <w:szCs w:val="18"/>
                <w:color w:val="auto"/>
              </w:rPr>
              <w:t>-  XBRL Calculation Linkbase Document</w:t>
            </w:r>
          </w:p>
        </w:tc>
        <w:tc>
          <w:tcPr>
            <w:tcW w:w="228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7240" w:type="dxa"/>
            <w:vAlign w:val="bottom"/>
            <w:gridSpan w:val="3"/>
          </w:tcPr>
          <w:p>
            <w:pPr>
              <w:ind w:left="60"/>
              <w:spacing w:after="0"/>
              <w:rPr>
                <w:sz w:val="20"/>
                <w:szCs w:val="20"/>
                <w:color w:val="auto"/>
              </w:rPr>
            </w:pPr>
            <w:r>
              <w:rPr>
                <w:rFonts w:ascii="Arial" w:cs="Arial" w:eastAsia="Arial" w:hAnsi="Arial"/>
                <w:sz w:val="18"/>
                <w:szCs w:val="18"/>
                <w:color w:val="auto"/>
              </w:rPr>
              <w:t>-  XBRL Definition Linkbase Document</w:t>
            </w:r>
          </w:p>
        </w:tc>
        <w:tc>
          <w:tcPr>
            <w:tcW w:w="228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7240" w:type="dxa"/>
            <w:vAlign w:val="bottom"/>
            <w:gridSpan w:val="3"/>
          </w:tcPr>
          <w:p>
            <w:pPr>
              <w:ind w:left="60"/>
              <w:spacing w:after="0"/>
              <w:rPr>
                <w:sz w:val="20"/>
                <w:szCs w:val="20"/>
                <w:color w:val="auto"/>
              </w:rPr>
            </w:pPr>
            <w:r>
              <w:rPr>
                <w:rFonts w:ascii="Arial" w:cs="Arial" w:eastAsia="Arial" w:hAnsi="Arial"/>
                <w:sz w:val="18"/>
                <w:szCs w:val="18"/>
                <w:color w:val="auto"/>
              </w:rPr>
              <w:t>-  XBRL Label Linkbase Document</w:t>
            </w:r>
          </w:p>
        </w:tc>
        <w:tc>
          <w:tcPr>
            <w:tcW w:w="228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7240" w:type="dxa"/>
            <w:vAlign w:val="bottom"/>
            <w:gridSpan w:val="3"/>
          </w:tcPr>
          <w:p>
            <w:pPr>
              <w:ind w:left="60"/>
              <w:spacing w:after="0"/>
              <w:rPr>
                <w:sz w:val="20"/>
                <w:szCs w:val="20"/>
                <w:color w:val="auto"/>
              </w:rPr>
            </w:pPr>
            <w:r>
              <w:rPr>
                <w:rFonts w:ascii="Arial" w:cs="Arial" w:eastAsia="Arial" w:hAnsi="Arial"/>
                <w:sz w:val="18"/>
                <w:szCs w:val="18"/>
                <w:color w:val="auto"/>
              </w:rPr>
              <w:t>-  XBRL Presentation Linkbase Document</w:t>
            </w:r>
          </w:p>
        </w:tc>
        <w:tc>
          <w:tcPr>
            <w:tcW w:w="2280" w:type="dxa"/>
            <w:vAlign w:val="bottom"/>
          </w:tcPr>
          <w:p>
            <w:pPr>
              <w:spacing w:after="0"/>
              <w:rPr>
                <w:sz w:val="24"/>
                <w:szCs w:val="24"/>
                <w:color w:val="auto"/>
              </w:rPr>
            </w:pPr>
          </w:p>
        </w:tc>
      </w:tr>
      <w:tr>
        <w:trPr>
          <w:trHeight w:val="391"/>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104</w:t>
            </w:r>
          </w:p>
        </w:tc>
        <w:tc>
          <w:tcPr>
            <w:tcW w:w="7240" w:type="dxa"/>
            <w:vAlign w:val="bottom"/>
            <w:gridSpan w:val="3"/>
          </w:tcPr>
          <w:p>
            <w:pPr>
              <w:ind w:left="60"/>
              <w:spacing w:after="0"/>
              <w:rPr>
                <w:sz w:val="20"/>
                <w:szCs w:val="20"/>
                <w:color w:val="auto"/>
              </w:rPr>
            </w:pPr>
            <w:r>
              <w:rPr>
                <w:rFonts w:ascii="Arial" w:cs="Arial" w:eastAsia="Arial" w:hAnsi="Arial"/>
                <w:sz w:val="18"/>
                <w:szCs w:val="18"/>
                <w:color w:val="auto"/>
              </w:rPr>
              <w:t>-  Cover Page Interactive Data File (embedded within the Inline XBRL document).</w:t>
            </w:r>
          </w:p>
        </w:tc>
        <w:tc>
          <w:tcPr>
            <w:tcW w:w="2280" w:type="dxa"/>
            <w:vAlign w:val="bottom"/>
          </w:tcPr>
          <w:p>
            <w:pPr>
              <w:spacing w:after="0"/>
              <w:rPr>
                <w:sz w:val="24"/>
                <w:szCs w:val="24"/>
                <w:color w:val="auto"/>
              </w:rPr>
            </w:pPr>
          </w:p>
        </w:tc>
      </w:tr>
      <w:tr>
        <w:trPr>
          <w:trHeight w:val="837"/>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40" w:type="dxa"/>
            <w:vAlign w:val="bottom"/>
            <w:gridSpan w:val="3"/>
          </w:tcPr>
          <w:p>
            <w:pPr>
              <w:ind w:left="3940"/>
              <w:spacing w:after="0"/>
              <w:rPr>
                <w:sz w:val="20"/>
                <w:szCs w:val="20"/>
                <w:color w:val="auto"/>
              </w:rPr>
            </w:pPr>
            <w:r>
              <w:rPr>
                <w:rFonts w:ascii="Arial" w:cs="Arial" w:eastAsia="Arial" w:hAnsi="Arial"/>
                <w:sz w:val="18"/>
                <w:szCs w:val="18"/>
                <w:color w:val="auto"/>
              </w:rPr>
              <w:t>47</w:t>
            </w:r>
          </w:p>
        </w:tc>
        <w:tc>
          <w:tcPr>
            <w:tcW w:w="2280" w:type="dxa"/>
            <w:vAlign w:val="bottom"/>
          </w:tcPr>
          <w:p>
            <w:pPr>
              <w:spacing w:after="0"/>
              <w:rPr>
                <w:sz w:val="24"/>
                <w:szCs w:val="24"/>
                <w:color w:val="auto"/>
              </w:rPr>
            </w:pPr>
          </w:p>
        </w:tc>
      </w:tr>
    </w:tbl>
    <w:p>
      <w:pPr>
        <w:sectPr>
          <w:pgSz w:w="11900" w:h="16838" w:orient="portrait"/>
          <w:cols w:equalWidth="0" w:num="1">
            <w:col w:w="11180"/>
          </w:cols>
          <w:pgMar w:left="320" w:top="270" w:right="399" w:bottom="1440" w:gutter="0" w:footer="0" w:header="0"/>
        </w:sectPr>
      </w:pPr>
    </w:p>
    <w:bookmarkStart w:id="48" w:name="page49"/>
    <w:bookmarkEnd w:id="48"/>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40" w:type="dxa"/>
            <w:vAlign w:val="bottom"/>
          </w:tcPr>
          <w:p>
            <w:pPr>
              <w:spacing w:after="0"/>
              <w:rPr>
                <w:sz w:val="21"/>
                <w:szCs w:val="21"/>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2020</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2160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7"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95" w:lineRule="exact"/>
        <w:rPr>
          <w:sz w:val="20"/>
          <w:szCs w:val="20"/>
          <w:color w:val="auto"/>
        </w:rPr>
      </w:pPr>
    </w:p>
    <w:p>
      <w:pPr>
        <w:jc w:val="center"/>
        <w:ind w:left="19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2588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7" w:lineRule="exact"/>
        <w:rPr>
          <w:sz w:val="20"/>
          <w:szCs w:val="20"/>
          <w:color w:val="auto"/>
        </w:rPr>
      </w:pPr>
    </w:p>
    <w:p>
      <w:pPr>
        <w:jc w:val="center"/>
        <w:ind w:left="192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920"/>
        <w:spacing w:after="0"/>
        <w:rPr>
          <w:sz w:val="20"/>
          <w:szCs w:val="20"/>
          <w:color w:val="auto"/>
        </w:rPr>
      </w:pPr>
      <w:r>
        <w:rPr>
          <w:rFonts w:ascii="Arial" w:cs="Arial" w:eastAsia="Arial" w:hAnsi="Arial"/>
          <w:sz w:val="18"/>
          <w:szCs w:val="18"/>
          <w:color w:val="auto"/>
        </w:rPr>
        <w:t>Vice President/Controller and Chief Accounting Officer</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2160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7"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95" w:lineRule="exact"/>
        <w:rPr>
          <w:sz w:val="20"/>
          <w:szCs w:val="20"/>
          <w:color w:val="auto"/>
        </w:rPr>
      </w:pPr>
    </w:p>
    <w:p>
      <w:pPr>
        <w:jc w:val="center"/>
        <w:ind w:left="19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7" w:lineRule="exact"/>
        <w:rPr>
          <w:sz w:val="20"/>
          <w:szCs w:val="20"/>
          <w:color w:val="auto"/>
        </w:rPr>
      </w:pPr>
    </w:p>
    <w:p>
      <w:pPr>
        <w:jc w:val="center"/>
        <w:ind w:left="192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92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270" w:right="339" w:bottom="1440" w:gutter="0" w:footer="0" w:header="0"/>
        </w:sectPr>
      </w:pPr>
    </w:p>
    <w:bookmarkStart w:id="49" w:name="page50"/>
    <w:bookmarkEnd w:id="49"/>
    <w:p>
      <w:pPr>
        <w:ind w:left="260"/>
        <w:spacing w:after="0"/>
        <w:rPr>
          <w:sz w:val="20"/>
          <w:szCs w:val="20"/>
          <w:color w:val="auto"/>
        </w:rPr>
      </w:pPr>
      <w:r>
        <w:rPr>
          <w:rFonts w:ascii="Arial" w:cs="Arial" w:eastAsia="Arial" w:hAnsi="Arial"/>
          <w:sz w:val="13"/>
          <w:szCs w:val="13"/>
          <w:color w:val="212121"/>
        </w:rPr>
        <w:t>Final 2</w:t>
      </w:r>
      <w:r>
        <w:rPr>
          <w:rFonts w:ascii="Arial" w:cs="Arial" w:eastAsia="Arial" w:hAnsi="Arial"/>
          <w:sz w:val="13"/>
          <w:szCs w:val="13"/>
          <w:color w:val="3D3D3D"/>
        </w:rPr>
        <w:t>-</w:t>
      </w:r>
      <w:r>
        <w:rPr>
          <w:rFonts w:ascii="Arial" w:cs="Arial" w:eastAsia="Arial" w:hAnsi="Arial"/>
          <w:sz w:val="13"/>
          <w:szCs w:val="13"/>
          <w:color w:val="111111"/>
        </w:rPr>
        <w:t>12-20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3260"/>
        <w:spacing w:after="0"/>
        <w:rPr>
          <w:sz w:val="20"/>
          <w:szCs w:val="20"/>
          <w:color w:val="auto"/>
        </w:rPr>
      </w:pPr>
      <w:r>
        <w:rPr>
          <w:rFonts w:ascii="Arial" w:cs="Arial" w:eastAsia="Arial" w:hAnsi="Arial"/>
          <w:sz w:val="23"/>
          <w:szCs w:val="23"/>
          <w:color w:val="111111"/>
        </w:rPr>
        <w:t>AMENDMENT NO. 06 RESTATING THE CENTURI GROUP, INC.</w:t>
      </w:r>
    </w:p>
    <w:p>
      <w:pPr>
        <w:spacing w:after="0" w:line="73" w:lineRule="exact"/>
        <w:rPr>
          <w:sz w:val="20"/>
          <w:szCs w:val="20"/>
          <w:color w:val="auto"/>
        </w:rPr>
      </w:pPr>
    </w:p>
    <w:p>
      <w:pPr>
        <w:jc w:val="center"/>
        <w:ind w:left="3260"/>
        <w:spacing w:after="0"/>
        <w:rPr>
          <w:sz w:val="20"/>
          <w:szCs w:val="20"/>
          <w:color w:val="auto"/>
        </w:rPr>
      </w:pPr>
      <w:r>
        <w:rPr>
          <w:rFonts w:ascii="Arial" w:cs="Arial" w:eastAsia="Arial" w:hAnsi="Arial"/>
          <w:sz w:val="23"/>
          <w:szCs w:val="23"/>
          <w:color w:val="111111"/>
        </w:rPr>
        <w:t>EXECUTIVE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0"/>
        <w:spacing w:after="0"/>
        <w:rPr>
          <w:sz w:val="20"/>
          <w:szCs w:val="20"/>
          <w:color w:val="auto"/>
        </w:rPr>
      </w:pPr>
      <w:r>
        <w:rPr>
          <w:rFonts w:ascii="Arial" w:cs="Arial" w:eastAsia="Arial" w:hAnsi="Arial"/>
          <w:sz w:val="23"/>
          <w:szCs w:val="23"/>
          <w:color w:val="111111"/>
        </w:rPr>
        <w:t xml:space="preserve">AMENDED AND RESTATED, EFFECTIVE JANUARY </w:t>
      </w:r>
      <w:r>
        <w:rPr>
          <w:rFonts w:ascii="Arial" w:cs="Arial" w:eastAsia="Arial" w:hAnsi="Arial"/>
          <w:sz w:val="26"/>
          <w:szCs w:val="26"/>
          <w:color w:val="111111"/>
        </w:rPr>
        <w:t>01, 2020</w:t>
      </w:r>
    </w:p>
    <w:p>
      <w:pPr>
        <w:sectPr>
          <w:pgSz w:w="11900" w:h="16838" w:orient="portrait"/>
          <w:cols w:equalWidth="0" w:num="1">
            <w:col w:w="9540"/>
          </w:cols>
          <w:pgMar w:left="1440" w:top="628" w:right="919" w:bottom="1440" w:gutter="0" w:footer="0" w:header="0"/>
        </w:sectPr>
      </w:pPr>
    </w:p>
    <w:bookmarkStart w:id="50" w:name="page51"/>
    <w:bookmarkEnd w:id="50"/>
    <w:p>
      <w:pPr>
        <w:ind w:left="1000"/>
        <w:spacing w:after="0"/>
        <w:rPr>
          <w:sz w:val="20"/>
          <w:szCs w:val="20"/>
          <w:color w:val="auto"/>
        </w:rPr>
      </w:pPr>
      <w:r>
        <w:rPr>
          <w:rFonts w:ascii="Arial" w:cs="Arial" w:eastAsia="Arial" w:hAnsi="Arial"/>
          <w:sz w:val="21"/>
          <w:szCs w:val="21"/>
          <w:b w:val="1"/>
          <w:bCs w:val="1"/>
          <w:color w:val="333333"/>
        </w:rPr>
        <w:t>ARTICLE I</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20"/>
          <w:szCs w:val="20"/>
          <w:i w:val="1"/>
          <w:iCs w:val="1"/>
          <w:color w:val="333333"/>
        </w:rPr>
        <w:t>Establishment and Purpose</w:t>
      </w:r>
    </w:p>
    <w:p>
      <w:pPr>
        <w:spacing w:after="0" w:line="231" w:lineRule="exact"/>
        <w:rPr>
          <w:sz w:val="20"/>
          <w:szCs w:val="20"/>
          <w:color w:val="auto"/>
        </w:rPr>
      </w:pPr>
    </w:p>
    <w:p>
      <w:pPr>
        <w:jc w:val="both"/>
        <w:ind w:left="260" w:firstLine="27"/>
        <w:spacing w:after="0" w:line="270" w:lineRule="auto"/>
        <w:rPr>
          <w:sz w:val="20"/>
          <w:szCs w:val="20"/>
          <w:color w:val="auto"/>
        </w:rPr>
      </w:pPr>
      <w:r>
        <w:rPr>
          <w:rFonts w:ascii="Arial" w:cs="Arial" w:eastAsia="Arial" w:hAnsi="Arial"/>
          <w:sz w:val="19"/>
          <w:szCs w:val="19"/>
          <w:color w:val="333333"/>
        </w:rPr>
        <w:t>Centuri Group, Inc., a Nevada corporation ("Centuri") (the "Company"), hereby amends and restates the Centuri Group, Inc. Executive Deferred Compensation Plan (the "Plan") in its entirety, effective January 1, 2020, (the "Restatement Effective Date"). The Plan was originally adopted, effective June 27, 2002, and was most recently amended and restated effective January 1, 2012. The Plan has been amended by the following amendments</w:t>
      </w:r>
      <w:r>
        <w:rPr>
          <w:rFonts w:ascii="Arial" w:cs="Arial" w:eastAsia="Arial" w:hAnsi="Arial"/>
          <w:sz w:val="19"/>
          <w:szCs w:val="19"/>
          <w:color w:val="4F4F4F"/>
        </w:rPr>
        <w:t>:</w:t>
      </w:r>
      <w:r>
        <w:rPr>
          <w:rFonts w:ascii="Arial" w:cs="Arial" w:eastAsia="Arial" w:hAnsi="Arial"/>
          <w:sz w:val="19"/>
          <w:szCs w:val="19"/>
          <w:color w:val="333333"/>
        </w:rPr>
        <w:t xml:space="preserve"> Amendment No.1 effective January 1, 2013, Amendment No. 2 effective July 01, 2015, Amendment No. 3 effective April 1, 2018, Amendment No. 4 effective January 1, 2019, and Amendment No. 5 effective January 1, 2020. The Plan was assigned to Centuri Construction Group, Inc. effective as of July 1, 2015, as a result of a reorganization of the subsidiary structure of Southwest Gas Corporation (formerly the direct parent of NPL Construction Co.), whereupon NPL Construction Co. became an operating subsidiary of Centuri Construction Group, Inc. The name of Centuri Construction Group Inc. was changed to Centuri Group, Inc. by Amendment No. 5 to the Plan. This Plan restatement also merges into the Plan the terms of the Centuri Group, Inc. Long Term Capital Investment Plan</w:t>
      </w:r>
      <w:r>
        <w:rPr>
          <w:rFonts w:ascii="Arial" w:cs="Arial" w:eastAsia="Arial" w:hAnsi="Arial"/>
          <w:sz w:val="19"/>
          <w:szCs w:val="19"/>
          <w:color w:val="4F4F4F"/>
        </w:rPr>
        <w:t>.</w:t>
      </w:r>
    </w:p>
    <w:p>
      <w:pPr>
        <w:spacing w:after="0" w:line="185" w:lineRule="exact"/>
        <w:rPr>
          <w:sz w:val="20"/>
          <w:szCs w:val="20"/>
          <w:color w:val="auto"/>
        </w:rPr>
      </w:pPr>
    </w:p>
    <w:p>
      <w:pPr>
        <w:jc w:val="both"/>
        <w:ind w:left="260"/>
        <w:spacing w:after="0" w:line="260" w:lineRule="auto"/>
        <w:rPr>
          <w:sz w:val="20"/>
          <w:szCs w:val="20"/>
          <w:color w:val="auto"/>
        </w:rPr>
      </w:pPr>
      <w:r>
        <w:rPr>
          <w:rFonts w:ascii="Arial" w:cs="Arial" w:eastAsia="Arial" w:hAnsi="Arial"/>
          <w:sz w:val="20"/>
          <w:szCs w:val="20"/>
          <w:color w:val="333333"/>
        </w:rPr>
        <w:t>The purpose of the Plan is to attract and retain key employees by providing Participants with an opportunity to defer receipt of a portion of their Salary, Bonus and other specified compensation. The Plan is not intended to meet the qualification requirements of Code Section 401 (a), but is intended to meet the requirements of Code Section 409A, and shall be operated and interpreted consistent with that intent.</w:t>
      </w:r>
    </w:p>
    <w:p>
      <w:pPr>
        <w:spacing w:after="0" w:line="191" w:lineRule="exact"/>
        <w:rPr>
          <w:sz w:val="20"/>
          <w:szCs w:val="20"/>
          <w:color w:val="auto"/>
        </w:rPr>
      </w:pPr>
    </w:p>
    <w:p>
      <w:pPr>
        <w:jc w:val="both"/>
        <w:ind w:left="220" w:firstLine="13"/>
        <w:spacing w:after="0" w:line="256" w:lineRule="auto"/>
        <w:rPr>
          <w:sz w:val="20"/>
          <w:szCs w:val="20"/>
          <w:color w:val="auto"/>
        </w:rPr>
      </w:pPr>
      <w:r>
        <w:rPr>
          <w:rFonts w:ascii="Arial" w:cs="Arial" w:eastAsia="Arial" w:hAnsi="Arial"/>
          <w:sz w:val="20"/>
          <w:szCs w:val="20"/>
          <w:color w:val="333333"/>
        </w:rPr>
        <w:t>The Plan constitutes an unsecured promise by each Participating Employer to pay Plan benefits in the future. Participants in the Plan shall have the status of general unsecured creditors of the Company or the Adopting Employer, as applicable</w:t>
      </w:r>
      <w:r>
        <w:rPr>
          <w:rFonts w:ascii="Arial" w:cs="Arial" w:eastAsia="Arial" w:hAnsi="Arial"/>
          <w:sz w:val="20"/>
          <w:szCs w:val="20"/>
          <w:color w:val="4F4F4F"/>
        </w:rPr>
        <w:t>.</w:t>
      </w:r>
      <w:r>
        <w:rPr>
          <w:rFonts w:ascii="Arial" w:cs="Arial" w:eastAsia="Arial" w:hAnsi="Arial"/>
          <w:sz w:val="20"/>
          <w:szCs w:val="20"/>
          <w:color w:val="333333"/>
        </w:rPr>
        <w:t xml:space="preserve"> Each Participating Employer shall be solely responsible for the payment of the Plan benefits of its employees and their beneficiaries. The Plan is unfunded for federal tax purposes, and is intended to be an unfunded arrangement for eligible employees who are part of a select group of management or highly compensated employees of the Employer within the meaning of Sections 201(2), 301(a)(3), and 401(a)(1) of ERISA. Any amounts set aside to defray the liabilities assumed by the Company or an Adopting Employer will remain the general assets of the Company or the Adopting Employer, and shall remain subject to the claims of the Company's or the Adopting Employer's creditors, until such amounts are distributed to the Participants.</w:t>
      </w:r>
    </w:p>
    <w:p>
      <w:pPr>
        <w:spacing w:after="0" w:line="179"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333333"/>
        </w:rPr>
        <w:t>ARTICLE II</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333333"/>
        </w:rPr>
        <w:t>Defin</w:t>
      </w:r>
      <w:r>
        <w:rPr>
          <w:rFonts w:ascii="Arial" w:cs="Arial" w:eastAsia="Arial" w:hAnsi="Arial"/>
          <w:sz w:val="20"/>
          <w:szCs w:val="20"/>
          <w:i w:val="1"/>
          <w:iCs w:val="1"/>
          <w:color w:val="4F4F4F"/>
        </w:rPr>
        <w:t>i</w:t>
      </w:r>
      <w:r>
        <w:rPr>
          <w:rFonts w:ascii="Arial" w:cs="Arial" w:eastAsia="Arial" w:hAnsi="Arial"/>
          <w:sz w:val="20"/>
          <w:szCs w:val="20"/>
          <w:i w:val="1"/>
          <w:iCs w:val="1"/>
          <w:color w:val="333333"/>
        </w:rPr>
        <w:t>tions</w:t>
      </w:r>
    </w:p>
    <w:p>
      <w:pPr>
        <w:spacing w:after="0" w:line="218" w:lineRule="exact"/>
        <w:rPr>
          <w:sz w:val="20"/>
          <w:szCs w:val="20"/>
          <w:color w:val="auto"/>
        </w:rPr>
      </w:pPr>
    </w:p>
    <w:p>
      <w:pPr>
        <w:jc w:val="both"/>
        <w:ind w:left="840" w:hanging="633"/>
        <w:spacing w:after="0" w:line="273" w:lineRule="auto"/>
        <w:tabs>
          <w:tab w:leader="none" w:pos="820" w:val="left"/>
        </w:tabs>
        <w:rPr>
          <w:sz w:val="20"/>
          <w:szCs w:val="20"/>
          <w:color w:val="auto"/>
        </w:rPr>
      </w:pPr>
      <w:r>
        <w:rPr>
          <w:rFonts w:ascii="Arial" w:cs="Arial" w:eastAsia="Arial" w:hAnsi="Arial"/>
          <w:sz w:val="20"/>
          <w:szCs w:val="20"/>
          <w:color w:val="333333"/>
        </w:rPr>
        <w:t>2.1</w:t>
      </w:r>
      <w:r>
        <w:rPr>
          <w:sz w:val="20"/>
          <w:szCs w:val="20"/>
          <w:color w:val="auto"/>
        </w:rPr>
        <w:tab/>
      </w:r>
      <w:r>
        <w:rPr>
          <w:rFonts w:ascii="Arial" w:cs="Arial" w:eastAsia="Arial" w:hAnsi="Arial"/>
          <w:sz w:val="19"/>
          <w:szCs w:val="19"/>
          <w:u w:val="single" w:color="auto"/>
          <w:color w:val="333333"/>
        </w:rPr>
        <w:t>Account</w:t>
      </w:r>
      <w:r>
        <w:rPr>
          <w:rFonts w:ascii="Arial" w:cs="Arial" w:eastAsia="Arial" w:hAnsi="Arial"/>
          <w:sz w:val="19"/>
          <w:szCs w:val="19"/>
          <w:color w:val="333333"/>
        </w:rPr>
        <w:t>. Account means a bookkeeping account maintained by the Committee to record the payment obligation of a</w:t>
      </w:r>
      <w:r>
        <w:rPr>
          <w:rFonts w:ascii="Arial" w:cs="Arial" w:eastAsia="Arial" w:hAnsi="Arial"/>
          <w:sz w:val="19"/>
          <w:szCs w:val="19"/>
          <w:u w:val="single" w:color="auto"/>
          <w:color w:val="333333"/>
        </w:rPr>
        <w:t xml:space="preserve"> </w:t>
      </w:r>
      <w:r>
        <w:rPr>
          <w:rFonts w:ascii="Arial" w:cs="Arial" w:eastAsia="Arial" w:hAnsi="Arial"/>
          <w:sz w:val="19"/>
          <w:szCs w:val="19"/>
          <w:color w:val="333333"/>
        </w:rPr>
        <w:t>Participating Employer to a Participant as determined under the terms of the Plan. The Committee may maintain an Account to record the total obligation to a Participant, and component Accounts to reflect amounts payable at different times and in different forms. Reference to an Account means any such Account established by the Committee, as the context requires. Accounts are intended to constitute unfunded obligations within the meaning of Sections 201(2), 301(a)(3) and 401(a)(1) of ERISA.</w:t>
      </w:r>
    </w:p>
    <w:p>
      <w:pPr>
        <w:spacing w:after="0" w:line="183" w:lineRule="exact"/>
        <w:rPr>
          <w:sz w:val="20"/>
          <w:szCs w:val="20"/>
          <w:color w:val="auto"/>
        </w:rPr>
      </w:pPr>
    </w:p>
    <w:p>
      <w:pPr>
        <w:jc w:val="both"/>
        <w:ind w:left="840" w:right="20" w:hanging="652"/>
        <w:spacing w:after="0" w:line="274" w:lineRule="auto"/>
        <w:tabs>
          <w:tab w:leader="none" w:pos="820" w:val="left"/>
        </w:tabs>
        <w:rPr>
          <w:sz w:val="20"/>
          <w:szCs w:val="20"/>
          <w:color w:val="auto"/>
        </w:rPr>
      </w:pPr>
      <w:r>
        <w:rPr>
          <w:rFonts w:ascii="Arial" w:cs="Arial" w:eastAsia="Arial" w:hAnsi="Arial"/>
          <w:sz w:val="20"/>
          <w:szCs w:val="20"/>
          <w:color w:val="333333"/>
        </w:rPr>
        <w:t>2.2</w:t>
      </w:r>
      <w:r>
        <w:rPr>
          <w:sz w:val="20"/>
          <w:szCs w:val="20"/>
          <w:color w:val="auto"/>
        </w:rPr>
        <w:tab/>
      </w:r>
      <w:r>
        <w:rPr>
          <w:rFonts w:ascii="Arial" w:cs="Arial" w:eastAsia="Arial" w:hAnsi="Arial"/>
          <w:sz w:val="20"/>
          <w:szCs w:val="20"/>
          <w:u w:val="single" w:color="auto"/>
          <w:color w:val="333333"/>
        </w:rPr>
        <w:t>Account Balance</w:t>
      </w:r>
      <w:r>
        <w:rPr>
          <w:rFonts w:ascii="Arial" w:cs="Arial" w:eastAsia="Arial" w:hAnsi="Arial"/>
          <w:sz w:val="20"/>
          <w:szCs w:val="20"/>
          <w:color w:val="4F4F4F"/>
        </w:rPr>
        <w:t>.</w:t>
      </w:r>
      <w:r>
        <w:rPr>
          <w:rFonts w:ascii="Arial" w:cs="Arial" w:eastAsia="Arial" w:hAnsi="Arial"/>
          <w:sz w:val="20"/>
          <w:szCs w:val="20"/>
          <w:u w:val="single" w:color="auto"/>
          <w:color w:val="333333"/>
        </w:rPr>
        <w:t xml:space="preserve"> </w:t>
      </w:r>
      <w:r>
        <w:rPr>
          <w:rFonts w:ascii="Arial" w:cs="Arial" w:eastAsia="Arial" w:hAnsi="Arial"/>
          <w:sz w:val="20"/>
          <w:szCs w:val="20"/>
          <w:color w:val="333333"/>
        </w:rPr>
        <w:t>Account Balance means, with respect to any Account, the total payment obligation owed to a</w:t>
      </w:r>
      <w:r>
        <w:rPr>
          <w:rFonts w:ascii="Arial" w:cs="Arial" w:eastAsia="Arial" w:hAnsi="Arial"/>
          <w:sz w:val="20"/>
          <w:szCs w:val="20"/>
          <w:u w:val="single" w:color="auto"/>
          <w:color w:val="333333"/>
        </w:rPr>
        <w:t xml:space="preserve"> </w:t>
      </w:r>
      <w:r>
        <w:rPr>
          <w:rFonts w:ascii="Arial" w:cs="Arial" w:eastAsia="Arial" w:hAnsi="Arial"/>
          <w:sz w:val="20"/>
          <w:szCs w:val="20"/>
          <w:color w:val="333333"/>
        </w:rPr>
        <w:t>Participant from such Account as of the most recent Valuation Date.</w:t>
      </w:r>
    </w:p>
    <w:p>
      <w:pPr>
        <w:sectPr>
          <w:pgSz w:w="11900" w:h="16838" w:orient="portrait"/>
          <w:cols w:equalWidth="0" w:num="1">
            <w:col w:w="10120"/>
          </w:cols>
          <w:pgMar w:left="1440" w:top="795" w:right="339" w:bottom="1440" w:gutter="0" w:footer="0" w:header="0"/>
        </w:sectPr>
      </w:pPr>
    </w:p>
    <w:bookmarkStart w:id="51" w:name="page52"/>
    <w:bookmarkEnd w:id="51"/>
    <w:p>
      <w:pPr>
        <w:jc w:val="both"/>
        <w:ind w:left="940" w:hanging="647"/>
        <w:spacing w:after="0" w:line="274" w:lineRule="auto"/>
        <w:tabs>
          <w:tab w:leader="none" w:pos="920" w:val="left"/>
        </w:tabs>
        <w:rPr>
          <w:sz w:val="20"/>
          <w:szCs w:val="20"/>
          <w:color w:val="auto"/>
        </w:rPr>
      </w:pPr>
      <w:r>
        <w:rPr>
          <w:rFonts w:ascii="Arial" w:cs="Arial" w:eastAsia="Arial" w:hAnsi="Arial"/>
          <w:sz w:val="20"/>
          <w:szCs w:val="20"/>
          <w:color w:val="333333"/>
        </w:rPr>
        <w:t>2.3</w:t>
      </w:r>
      <w:r>
        <w:rPr>
          <w:sz w:val="20"/>
          <w:szCs w:val="20"/>
          <w:color w:val="auto"/>
        </w:rPr>
        <w:tab/>
      </w:r>
      <w:r>
        <w:rPr>
          <w:rFonts w:ascii="Arial" w:cs="Arial" w:eastAsia="Arial" w:hAnsi="Arial"/>
          <w:sz w:val="20"/>
          <w:szCs w:val="20"/>
          <w:u w:val="single" w:color="auto"/>
          <w:color w:val="333333"/>
        </w:rPr>
        <w:t>Adopting Employer</w:t>
      </w:r>
      <w:r>
        <w:rPr>
          <w:rFonts w:ascii="Arial" w:cs="Arial" w:eastAsia="Arial" w:hAnsi="Arial"/>
          <w:sz w:val="20"/>
          <w:szCs w:val="20"/>
          <w:color w:val="333333"/>
        </w:rPr>
        <w:t>. Adopting Employer means an Affiliate of the Company who, with the consent of the</w:t>
      </w:r>
      <w:r>
        <w:rPr>
          <w:rFonts w:ascii="Arial" w:cs="Arial" w:eastAsia="Arial" w:hAnsi="Arial"/>
          <w:sz w:val="20"/>
          <w:szCs w:val="20"/>
          <w:u w:val="single" w:color="auto"/>
          <w:color w:val="333333"/>
        </w:rPr>
        <w:t xml:space="preserve"> </w:t>
      </w:r>
      <w:r>
        <w:rPr>
          <w:rFonts w:ascii="Arial" w:cs="Arial" w:eastAsia="Arial" w:hAnsi="Arial"/>
          <w:sz w:val="20"/>
          <w:szCs w:val="20"/>
          <w:color w:val="333333"/>
        </w:rPr>
        <w:t>Company, has adopted the Plan for the benefit of its eligible employees.</w:t>
      </w:r>
    </w:p>
    <w:p>
      <w:pPr>
        <w:spacing w:after="0" w:line="190" w:lineRule="exact"/>
        <w:rPr>
          <w:sz w:val="20"/>
          <w:szCs w:val="20"/>
          <w:color w:val="auto"/>
        </w:rPr>
      </w:pPr>
    </w:p>
    <w:p>
      <w:pPr>
        <w:jc w:val="both"/>
        <w:ind w:left="920" w:hanging="638"/>
        <w:spacing w:after="0" w:line="262" w:lineRule="auto"/>
        <w:tabs>
          <w:tab w:leader="none" w:pos="900" w:val="left"/>
        </w:tabs>
        <w:rPr>
          <w:sz w:val="20"/>
          <w:szCs w:val="20"/>
          <w:color w:val="auto"/>
        </w:rPr>
      </w:pPr>
      <w:r>
        <w:rPr>
          <w:rFonts w:ascii="Arial" w:cs="Arial" w:eastAsia="Arial" w:hAnsi="Arial"/>
          <w:sz w:val="20"/>
          <w:szCs w:val="20"/>
          <w:color w:val="333333"/>
        </w:rPr>
        <w:t>2.4</w:t>
      </w:r>
      <w:r>
        <w:rPr>
          <w:sz w:val="20"/>
          <w:szCs w:val="20"/>
          <w:color w:val="auto"/>
        </w:rPr>
        <w:tab/>
      </w:r>
      <w:r>
        <w:rPr>
          <w:rFonts w:ascii="Arial" w:cs="Arial" w:eastAsia="Arial" w:hAnsi="Arial"/>
          <w:sz w:val="20"/>
          <w:szCs w:val="20"/>
          <w:u w:val="single" w:color="auto"/>
          <w:color w:val="525252"/>
        </w:rPr>
        <w:t>A</w:t>
      </w:r>
      <w:r>
        <w:rPr>
          <w:rFonts w:ascii="Arial" w:cs="Arial" w:eastAsia="Arial" w:hAnsi="Arial"/>
          <w:sz w:val="20"/>
          <w:szCs w:val="20"/>
          <w:u w:val="single" w:color="auto"/>
          <w:color w:val="333333"/>
        </w:rPr>
        <w:t>ffiliate</w:t>
      </w:r>
      <w:r>
        <w:rPr>
          <w:rFonts w:ascii="Arial" w:cs="Arial" w:eastAsia="Arial" w:hAnsi="Arial"/>
          <w:sz w:val="20"/>
          <w:szCs w:val="20"/>
          <w:color w:val="333333"/>
        </w:rPr>
        <w:t>. Affiliate of an Employer means any corporation, trade or business that, together with such Employer, is</w:t>
      </w:r>
      <w:r>
        <w:rPr>
          <w:rFonts w:ascii="Arial" w:cs="Arial" w:eastAsia="Arial" w:hAnsi="Arial"/>
          <w:sz w:val="20"/>
          <w:szCs w:val="20"/>
          <w:u w:val="single" w:color="auto"/>
          <w:color w:val="525252"/>
        </w:rPr>
        <w:t xml:space="preserve"> </w:t>
      </w:r>
      <w:r>
        <w:rPr>
          <w:rFonts w:ascii="Arial" w:cs="Arial" w:eastAsia="Arial" w:hAnsi="Arial"/>
          <w:sz w:val="20"/>
          <w:szCs w:val="20"/>
          <w:color w:val="333333"/>
        </w:rPr>
        <w:t xml:space="preserve">treated as a single employer under Code Section 414(b) or (c). As of the Restatement Effective Date the following Affiliates are Adopting Employers: Linetec Services, LLC; NPL Construction Co.; Centuri U.S. Division, Inc.; National Powerline LLC, Meritus Oil </w:t>
      </w:r>
      <w:r>
        <w:rPr>
          <w:rFonts w:ascii="Arial" w:cs="Arial" w:eastAsia="Arial" w:hAnsi="Arial"/>
          <w:sz w:val="17"/>
          <w:szCs w:val="17"/>
          <w:color w:val="333333"/>
        </w:rPr>
        <w:t>&amp;</w:t>
      </w:r>
      <w:r>
        <w:rPr>
          <w:rFonts w:ascii="Arial" w:cs="Arial" w:eastAsia="Arial" w:hAnsi="Arial"/>
          <w:sz w:val="20"/>
          <w:szCs w:val="20"/>
          <w:color w:val="333333"/>
        </w:rPr>
        <w:t xml:space="preserve"> Gas Division LLC; Canyon Pipeline Construction, Inc</w:t>
      </w:r>
      <w:r>
        <w:rPr>
          <w:rFonts w:ascii="Arial" w:cs="Arial" w:eastAsia="Arial" w:hAnsi="Arial"/>
          <w:sz w:val="20"/>
          <w:szCs w:val="20"/>
          <w:color w:val="525252"/>
        </w:rPr>
        <w:t>.</w:t>
      </w:r>
      <w:r>
        <w:rPr>
          <w:rFonts w:ascii="Arial" w:cs="Arial" w:eastAsia="Arial" w:hAnsi="Arial"/>
          <w:sz w:val="20"/>
          <w:szCs w:val="20"/>
          <w:color w:val="333333"/>
        </w:rPr>
        <w:t>; New England Utility Constructors, Inc</w:t>
      </w:r>
      <w:r>
        <w:rPr>
          <w:rFonts w:ascii="Arial" w:cs="Arial" w:eastAsia="Arial" w:hAnsi="Arial"/>
          <w:sz w:val="20"/>
          <w:szCs w:val="20"/>
          <w:color w:val="525252"/>
        </w:rPr>
        <w:t>.</w:t>
      </w:r>
      <w:r>
        <w:rPr>
          <w:rFonts w:ascii="Arial" w:cs="Arial" w:eastAsia="Arial" w:hAnsi="Arial"/>
          <w:sz w:val="20"/>
          <w:szCs w:val="20"/>
          <w:color w:val="333333"/>
        </w:rPr>
        <w:t>; and Centuri Power Group LLC.</w:t>
      </w:r>
    </w:p>
    <w:p>
      <w:pPr>
        <w:spacing w:after="0" w:line="189" w:lineRule="exact"/>
        <w:rPr>
          <w:sz w:val="20"/>
          <w:szCs w:val="20"/>
          <w:color w:val="auto"/>
        </w:rPr>
      </w:pPr>
    </w:p>
    <w:p>
      <w:pPr>
        <w:jc w:val="both"/>
        <w:ind w:left="920" w:hanging="620"/>
        <w:spacing w:after="0" w:line="272" w:lineRule="auto"/>
        <w:tabs>
          <w:tab w:leader="none" w:pos="900" w:val="left"/>
        </w:tabs>
        <w:rPr>
          <w:sz w:val="20"/>
          <w:szCs w:val="20"/>
          <w:color w:val="auto"/>
        </w:rPr>
      </w:pPr>
      <w:r>
        <w:rPr>
          <w:rFonts w:ascii="Arial" w:cs="Arial" w:eastAsia="Arial" w:hAnsi="Arial"/>
          <w:sz w:val="20"/>
          <w:szCs w:val="20"/>
          <w:color w:val="333333"/>
        </w:rPr>
        <w:t>2.5</w:t>
      </w:r>
      <w:r>
        <w:rPr>
          <w:sz w:val="20"/>
          <w:szCs w:val="20"/>
          <w:color w:val="auto"/>
        </w:rPr>
        <w:tab/>
      </w:r>
      <w:r>
        <w:rPr>
          <w:rFonts w:ascii="Arial" w:cs="Arial" w:eastAsia="Arial" w:hAnsi="Arial"/>
          <w:sz w:val="19"/>
          <w:szCs w:val="19"/>
          <w:u w:val="single" w:color="auto"/>
          <w:color w:val="333333"/>
        </w:rPr>
        <w:t>Annual Deferral Amount</w:t>
      </w:r>
      <w:r>
        <w:rPr>
          <w:rFonts w:ascii="Arial" w:cs="Arial" w:eastAsia="Arial" w:hAnsi="Arial"/>
          <w:sz w:val="19"/>
          <w:szCs w:val="19"/>
          <w:color w:val="333333"/>
        </w:rPr>
        <w:t>. Annual Deferral Amount means that portion of a Participant's Compensation that a</w:t>
      </w:r>
      <w:r>
        <w:rPr>
          <w:rFonts w:ascii="Arial" w:cs="Arial" w:eastAsia="Arial" w:hAnsi="Arial"/>
          <w:sz w:val="19"/>
          <w:szCs w:val="19"/>
          <w:u w:val="single" w:color="auto"/>
          <w:color w:val="333333"/>
        </w:rPr>
        <w:t xml:space="preserve"> </w:t>
      </w:r>
      <w:r>
        <w:rPr>
          <w:rFonts w:ascii="Arial" w:cs="Arial" w:eastAsia="Arial" w:hAnsi="Arial"/>
          <w:sz w:val="19"/>
          <w:szCs w:val="19"/>
          <w:color w:val="333333"/>
        </w:rPr>
        <w:t>Participant elects to have, and is deferred for any one Plan Year, including, in the event of a Participant's Separation from Service, amounts withheld pursuant to the election of the Participant at any time after such event. The Annual Deferral Amount for any Plan Year during or after which a Participant dies shall include the amounts that would have been so withheld had the Participant not died, except to the extent Code Section 409A requires otherwise. Unless the context of the Plan clearly indicates otherwise, a reference to Annual Deferral Amount includes Earnings attributable to such Deferrals.</w:t>
      </w:r>
    </w:p>
    <w:p>
      <w:pPr>
        <w:spacing w:after="0" w:line="184" w:lineRule="exact"/>
        <w:rPr>
          <w:sz w:val="20"/>
          <w:szCs w:val="20"/>
          <w:color w:val="auto"/>
        </w:rPr>
      </w:pPr>
    </w:p>
    <w:p>
      <w:pPr>
        <w:jc w:val="both"/>
        <w:ind w:left="900" w:hanging="633"/>
        <w:spacing w:after="0" w:line="288" w:lineRule="auto"/>
        <w:tabs>
          <w:tab w:leader="none" w:pos="880" w:val="left"/>
        </w:tabs>
        <w:rPr>
          <w:sz w:val="20"/>
          <w:szCs w:val="20"/>
          <w:color w:val="auto"/>
        </w:rPr>
      </w:pPr>
      <w:r>
        <w:rPr>
          <w:rFonts w:ascii="Arial" w:cs="Arial" w:eastAsia="Arial" w:hAnsi="Arial"/>
          <w:sz w:val="20"/>
          <w:szCs w:val="20"/>
          <w:color w:val="333333"/>
        </w:rPr>
        <w:t>2.6</w:t>
      </w:r>
      <w:r>
        <w:rPr>
          <w:sz w:val="20"/>
          <w:szCs w:val="20"/>
          <w:color w:val="auto"/>
        </w:rPr>
        <w:tab/>
      </w:r>
      <w:r>
        <w:rPr>
          <w:rFonts w:ascii="Arial" w:cs="Arial" w:eastAsia="Arial" w:hAnsi="Arial"/>
          <w:sz w:val="18"/>
          <w:szCs w:val="18"/>
          <w:u w:val="single" w:color="auto"/>
          <w:color w:val="333333"/>
        </w:rPr>
        <w:t>Bonus</w:t>
      </w:r>
      <w:r>
        <w:rPr>
          <w:rFonts w:ascii="Arial" w:cs="Arial" w:eastAsia="Arial" w:hAnsi="Arial"/>
          <w:sz w:val="18"/>
          <w:szCs w:val="18"/>
          <w:color w:val="333333"/>
        </w:rPr>
        <w:t>. Bonus means any cash compensation, in addition to Salary, for services performed by a Participant for a</w:t>
      </w:r>
      <w:r>
        <w:rPr>
          <w:rFonts w:ascii="Arial" w:cs="Arial" w:eastAsia="Arial" w:hAnsi="Arial"/>
          <w:sz w:val="18"/>
          <w:szCs w:val="18"/>
          <w:u w:val="single" w:color="auto"/>
          <w:color w:val="333333"/>
        </w:rPr>
        <w:t xml:space="preserve"> </w:t>
      </w:r>
      <w:r>
        <w:rPr>
          <w:rFonts w:ascii="Arial" w:cs="Arial" w:eastAsia="Arial" w:hAnsi="Arial"/>
          <w:sz w:val="18"/>
          <w:szCs w:val="18"/>
          <w:color w:val="333333"/>
        </w:rPr>
        <w:t>Service Recipient during the applicable Plan Year (or applicable Plan Years), whether or not paid in such Plan Year or included on such Participant's federal income tax form W-2 for such Plan Year (or Plan Years), payable to a Participant under any Employer's Central Leadership, Operations Leadership, Senior Management, or any other bonus plans deemed eligible by the Company for deferral under this Plan, excluding any cash that may be payable with respect to any long-term incentive plans, stock options, stock appreciation rights, and/or restricted stock</w:t>
      </w:r>
      <w:r>
        <w:rPr>
          <w:rFonts w:ascii="Arial" w:cs="Arial" w:eastAsia="Arial" w:hAnsi="Arial"/>
          <w:sz w:val="18"/>
          <w:szCs w:val="18"/>
          <w:color w:val="525252"/>
        </w:rPr>
        <w:t>.</w:t>
      </w:r>
      <w:r>
        <w:rPr>
          <w:rFonts w:ascii="Arial" w:cs="Arial" w:eastAsia="Arial" w:hAnsi="Arial"/>
          <w:sz w:val="18"/>
          <w:szCs w:val="18"/>
          <w:color w:val="333333"/>
        </w:rPr>
        <w:t xml:space="preserve"> Bonus shall be calculated before reduction for compensation voluntarily deferred or contributed by the Participant pursuant to all qualified or nonqualified plans of any Employer.</w:t>
      </w:r>
    </w:p>
    <w:p>
      <w:pPr>
        <w:spacing w:after="0" w:line="173"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20"/>
          <w:szCs w:val="20"/>
          <w:color w:val="333333"/>
        </w:rPr>
        <w:t>2.7</w:t>
      </w:r>
      <w:r>
        <w:rPr>
          <w:sz w:val="20"/>
          <w:szCs w:val="20"/>
          <w:color w:val="auto"/>
        </w:rPr>
        <w:tab/>
      </w:r>
      <w:r>
        <w:rPr>
          <w:rFonts w:ascii="Arial" w:cs="Arial" w:eastAsia="Arial" w:hAnsi="Arial"/>
          <w:sz w:val="18"/>
          <w:szCs w:val="18"/>
          <w:u w:val="single" w:color="auto"/>
          <w:color w:val="333333"/>
        </w:rPr>
        <w:t>Beneficiary</w:t>
      </w:r>
      <w:r>
        <w:rPr>
          <w:rFonts w:ascii="Arial" w:cs="Arial" w:eastAsia="Arial" w:hAnsi="Arial"/>
          <w:sz w:val="18"/>
          <w:szCs w:val="18"/>
          <w:color w:val="333333"/>
        </w:rPr>
        <w:t>. Beneficiary means a natural person, estate, or trust designated by a Participant to receive payments to</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9"/>
          <w:szCs w:val="19"/>
          <w:color w:val="333333"/>
        </w:rPr>
        <w:t>which a Beneficiary is entitled upon the death of a Participant in accordance with the provisions of the Plan.</w:t>
      </w:r>
    </w:p>
    <w:p>
      <w:pPr>
        <w:spacing w:after="0" w:line="233"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20"/>
          <w:szCs w:val="20"/>
          <w:color w:val="333333"/>
        </w:rPr>
        <w:t>2.8</w:t>
      </w:r>
      <w:r>
        <w:rPr>
          <w:sz w:val="20"/>
          <w:szCs w:val="20"/>
          <w:color w:val="auto"/>
        </w:rPr>
        <w:tab/>
      </w:r>
      <w:r>
        <w:rPr>
          <w:rFonts w:ascii="Arial" w:cs="Arial" w:eastAsia="Arial" w:hAnsi="Arial"/>
          <w:sz w:val="18"/>
          <w:szCs w:val="18"/>
          <w:u w:val="single" w:color="auto"/>
          <w:color w:val="333333"/>
        </w:rPr>
        <w:t>Board of Directors or Board</w:t>
      </w:r>
      <w:r>
        <w:rPr>
          <w:rFonts w:ascii="Arial" w:cs="Arial" w:eastAsia="Arial" w:hAnsi="Arial"/>
          <w:sz w:val="18"/>
          <w:szCs w:val="18"/>
          <w:color w:val="333333"/>
        </w:rPr>
        <w:t>. Board of Directors or Board means the board of directors of the Company.</w:t>
      </w:r>
    </w:p>
    <w:p>
      <w:pPr>
        <w:spacing w:after="0" w:line="243"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333333"/>
        </w:rPr>
        <w:t>2.9</w:t>
      </w:r>
      <w:r>
        <w:rPr>
          <w:sz w:val="20"/>
          <w:szCs w:val="20"/>
          <w:color w:val="auto"/>
        </w:rPr>
        <w:tab/>
      </w:r>
      <w:r>
        <w:rPr>
          <w:rFonts w:ascii="Arial" w:cs="Arial" w:eastAsia="Arial" w:hAnsi="Arial"/>
          <w:sz w:val="16"/>
          <w:szCs w:val="16"/>
          <w:u w:val="single" w:color="auto"/>
          <w:color w:val="333333"/>
        </w:rPr>
        <w:t>Business Day</w:t>
      </w:r>
      <w:r>
        <w:rPr>
          <w:rFonts w:ascii="Arial" w:cs="Arial" w:eastAsia="Arial" w:hAnsi="Arial"/>
          <w:sz w:val="16"/>
          <w:szCs w:val="16"/>
          <w:color w:val="333333"/>
        </w:rPr>
        <w:t>. Business Day means each day on which the New York Stock Exchange is open for business.</w:t>
      </w:r>
    </w:p>
    <w:p>
      <w:pPr>
        <w:spacing w:after="0" w:line="243" w:lineRule="exact"/>
        <w:rPr>
          <w:sz w:val="20"/>
          <w:szCs w:val="20"/>
          <w:color w:val="auto"/>
        </w:rPr>
      </w:pPr>
    </w:p>
    <w:p>
      <w:pPr>
        <w:jc w:val="both"/>
        <w:ind w:left="860" w:hanging="620"/>
        <w:spacing w:after="0" w:line="272" w:lineRule="auto"/>
        <w:tabs>
          <w:tab w:leader="none" w:pos="840" w:val="left"/>
        </w:tabs>
        <w:rPr>
          <w:sz w:val="20"/>
          <w:szCs w:val="20"/>
          <w:color w:val="auto"/>
        </w:rPr>
      </w:pPr>
      <w:r>
        <w:rPr>
          <w:rFonts w:ascii="Arial" w:cs="Arial" w:eastAsia="Arial" w:hAnsi="Arial"/>
          <w:sz w:val="20"/>
          <w:szCs w:val="20"/>
          <w:color w:val="333333"/>
        </w:rPr>
        <w:t>2.10</w:t>
      </w:r>
      <w:r>
        <w:rPr>
          <w:sz w:val="20"/>
          <w:szCs w:val="20"/>
          <w:color w:val="auto"/>
        </w:rPr>
        <w:tab/>
      </w:r>
      <w:r>
        <w:rPr>
          <w:rFonts w:ascii="Arial" w:cs="Arial" w:eastAsia="Arial" w:hAnsi="Arial"/>
          <w:sz w:val="19"/>
          <w:szCs w:val="19"/>
          <w:u w:val="single" w:color="auto"/>
          <w:color w:val="333333"/>
        </w:rPr>
        <w:t>Change in Control</w:t>
      </w:r>
      <w:r>
        <w:rPr>
          <w:rFonts w:ascii="Arial" w:cs="Arial" w:eastAsia="Arial" w:hAnsi="Arial"/>
          <w:sz w:val="19"/>
          <w:szCs w:val="19"/>
          <w:color w:val="333333"/>
        </w:rPr>
        <w:t>. Change in Control means the occurrence of a "change in the ownership," a "change in the</w:t>
      </w:r>
      <w:r>
        <w:rPr>
          <w:rFonts w:ascii="Arial" w:cs="Arial" w:eastAsia="Arial" w:hAnsi="Arial"/>
          <w:sz w:val="19"/>
          <w:szCs w:val="19"/>
          <w:u w:val="single" w:color="auto"/>
          <w:color w:val="333333"/>
        </w:rPr>
        <w:t xml:space="preserve"> </w:t>
      </w:r>
      <w:r>
        <w:rPr>
          <w:rFonts w:ascii="Arial" w:cs="Arial" w:eastAsia="Arial" w:hAnsi="Arial"/>
          <w:sz w:val="19"/>
          <w:szCs w:val="19"/>
          <w:color w:val="333333"/>
        </w:rPr>
        <w:t>effective control" or a "change in the ownership of a substantial portion of the assets" of a corporation, as determined in accordance with this Section and which, in the determination of the Committee, is not due to, caused by, or resulting from, the internal restructuring of the Company or one or more Affiliates. In order for an event described below to constitute a Change in Control with respect to a Participant, except as otherwise provided in part (b)(ii) of this Section, the applicable event must relate to the corporation for which the Participant is providing services, the corporation that is liable for payment of the Participant's</w:t>
      </w:r>
    </w:p>
    <w:p>
      <w:pPr>
        <w:spacing w:after="0" w:line="232" w:lineRule="exact"/>
        <w:rPr>
          <w:sz w:val="20"/>
          <w:szCs w:val="20"/>
          <w:color w:val="auto"/>
        </w:rPr>
      </w:pPr>
    </w:p>
    <w:p>
      <w:pPr>
        <w:jc w:val="both"/>
        <w:ind w:left="920"/>
        <w:spacing w:after="0" w:line="278" w:lineRule="auto"/>
        <w:rPr>
          <w:sz w:val="20"/>
          <w:szCs w:val="20"/>
          <w:color w:val="auto"/>
        </w:rPr>
      </w:pPr>
      <w:r>
        <w:rPr>
          <w:rFonts w:ascii="Arial" w:cs="Arial" w:eastAsia="Arial" w:hAnsi="Arial"/>
          <w:sz w:val="19"/>
          <w:szCs w:val="19"/>
          <w:color w:val="2A2A2A"/>
        </w:rPr>
        <w:t>Account Balance (or all corporations liable for payment if more than one), as determined in accordance with Treas. Reg. §1.409A-3(i)(5)(ii)(A)(2), or such other corporation as is determined in accordance with Treas. Reg. §1.409A-3(i)(5)(ii) (A)(3).</w:t>
      </w:r>
    </w:p>
    <w:p>
      <w:pPr>
        <w:spacing w:after="0" w:line="178" w:lineRule="exact"/>
        <w:rPr>
          <w:sz w:val="20"/>
          <w:szCs w:val="20"/>
          <w:color w:val="auto"/>
        </w:rPr>
      </w:pPr>
    </w:p>
    <w:p>
      <w:pPr>
        <w:jc w:val="both"/>
        <w:ind w:left="920"/>
        <w:spacing w:after="0" w:line="314" w:lineRule="auto"/>
        <w:rPr>
          <w:sz w:val="20"/>
          <w:szCs w:val="20"/>
          <w:color w:val="auto"/>
        </w:rPr>
      </w:pPr>
      <w:r>
        <w:rPr>
          <w:rFonts w:ascii="Arial" w:cs="Arial" w:eastAsia="Arial" w:hAnsi="Arial"/>
          <w:sz w:val="19"/>
          <w:szCs w:val="19"/>
          <w:color w:val="2A2A2A"/>
        </w:rPr>
        <w:t xml:space="preserve">In </w:t>
      </w:r>
      <w:r>
        <w:rPr>
          <w:rFonts w:ascii="Arial" w:cs="Arial" w:eastAsia="Arial" w:hAnsi="Arial"/>
          <w:sz w:val="17"/>
          <w:szCs w:val="17"/>
          <w:color w:val="2A2A2A"/>
        </w:rPr>
        <w:t>determining whether an event shall be considered a "change in the ownership," a "change in the effective control" or a</w:t>
      </w:r>
      <w:r>
        <w:rPr>
          <w:rFonts w:ascii="Arial" w:cs="Arial" w:eastAsia="Arial" w:hAnsi="Arial"/>
          <w:sz w:val="19"/>
          <w:szCs w:val="19"/>
          <w:color w:val="2A2A2A"/>
        </w:rPr>
        <w:t xml:space="preserve"> </w:t>
      </w:r>
      <w:r>
        <w:rPr>
          <w:rFonts w:ascii="Arial" w:cs="Arial" w:eastAsia="Arial" w:hAnsi="Arial"/>
          <w:sz w:val="17"/>
          <w:szCs w:val="17"/>
          <w:color w:val="2A2A2A"/>
        </w:rPr>
        <w:t>"change in the ownership of a substantial portion of the assets" of a corporation, the following provisions shall apply:</w:t>
      </w:r>
    </w:p>
    <w:p>
      <w:pPr>
        <w:spacing w:after="0" w:line="152" w:lineRule="exact"/>
        <w:rPr>
          <w:sz w:val="20"/>
          <w:szCs w:val="20"/>
          <w:color w:val="auto"/>
        </w:rPr>
      </w:pPr>
    </w:p>
    <w:p>
      <w:pPr>
        <w:jc w:val="both"/>
        <w:ind w:left="1540" w:hanging="600"/>
        <w:spacing w:after="0" w:line="308" w:lineRule="auto"/>
        <w:tabs>
          <w:tab w:leader="none" w:pos="1540" w:val="left"/>
        </w:tabs>
        <w:numPr>
          <w:ilvl w:val="1"/>
          <w:numId w:val="9"/>
        </w:numPr>
        <w:rPr>
          <w:rFonts w:ascii="Arial" w:cs="Arial" w:eastAsia="Arial" w:hAnsi="Arial"/>
          <w:sz w:val="17"/>
          <w:szCs w:val="17"/>
          <w:color w:val="2A2A2A"/>
        </w:rPr>
      </w:pPr>
      <w:r>
        <w:rPr>
          <w:rFonts w:ascii="Arial" w:cs="Arial" w:eastAsia="Arial" w:hAnsi="Arial"/>
          <w:sz w:val="17"/>
          <w:szCs w:val="17"/>
          <w:color w:val="2A2A2A"/>
        </w:rPr>
        <w:t>A "change in the ownership" of the applicable corporation shall occur on the date on which any one person, or more than one person acting as a group, acquires ownership of stock of such corporation that, together with stock held by such person or group, constitutes more than 50% of the total fair market value or total voting power of the stock of such corporation, as determined in accordance with Treas. Reg. §1.409A- 3(i)(5)(v). If a person or group is considered either to own more than 50% of the total fair market value or total voting power of the stock of such corporation, or to have effective control of such corporation within the meaning of part (b) of this Section, and such person or group acquires additional stock of such corporation, the acquisition of additional stock by such person or group shall not be considered to cause a "change in the ownership" of such corporation.</w:t>
      </w:r>
    </w:p>
    <w:p>
      <w:pPr>
        <w:spacing w:after="0" w:line="45" w:lineRule="exact"/>
        <w:rPr>
          <w:rFonts w:ascii="Arial" w:cs="Arial" w:eastAsia="Arial" w:hAnsi="Arial"/>
          <w:sz w:val="17"/>
          <w:szCs w:val="17"/>
          <w:color w:val="2A2A2A"/>
        </w:rPr>
      </w:pPr>
    </w:p>
    <w:p>
      <w:pPr>
        <w:ind w:left="1500" w:hanging="614"/>
        <w:spacing w:after="0"/>
        <w:tabs>
          <w:tab w:leader="none" w:pos="1500" w:val="left"/>
        </w:tabs>
        <w:numPr>
          <w:ilvl w:val="0"/>
          <w:numId w:val="10"/>
        </w:numPr>
        <w:rPr>
          <w:rFonts w:ascii="Arial" w:cs="Arial" w:eastAsia="Arial" w:hAnsi="Arial"/>
          <w:sz w:val="20"/>
          <w:szCs w:val="20"/>
          <w:color w:val="2A2A2A"/>
        </w:rPr>
      </w:pPr>
      <w:r>
        <w:rPr>
          <w:rFonts w:ascii="Arial" w:cs="Arial" w:eastAsia="Arial" w:hAnsi="Arial"/>
          <w:sz w:val="18"/>
          <w:szCs w:val="18"/>
          <w:color w:val="2A2A2A"/>
        </w:rPr>
        <w:t>A "change in the effective control" of the applicable corporation shall occur on either of the following dates:</w:t>
      </w:r>
    </w:p>
    <w:p>
      <w:pPr>
        <w:spacing w:after="0" w:line="134" w:lineRule="exact"/>
        <w:rPr>
          <w:rFonts w:ascii="Arial" w:cs="Arial" w:eastAsia="Arial" w:hAnsi="Arial"/>
          <w:sz w:val="20"/>
          <w:szCs w:val="20"/>
          <w:color w:val="2A2A2A"/>
        </w:rPr>
      </w:pPr>
    </w:p>
    <w:p>
      <w:pPr>
        <w:jc w:val="both"/>
        <w:ind w:left="2180" w:hanging="633"/>
        <w:spacing w:after="0" w:line="281" w:lineRule="auto"/>
        <w:tabs>
          <w:tab w:leader="none" w:pos="2162" w:val="left"/>
        </w:tabs>
        <w:numPr>
          <w:ilvl w:val="2"/>
          <w:numId w:val="10"/>
        </w:numPr>
        <w:rPr>
          <w:rFonts w:ascii="Arial" w:cs="Arial" w:eastAsia="Arial" w:hAnsi="Arial"/>
          <w:sz w:val="18"/>
          <w:szCs w:val="18"/>
          <w:color w:val="2A2A2A"/>
        </w:rPr>
      </w:pPr>
      <w:r>
        <w:rPr>
          <w:rFonts w:ascii="Arial" w:cs="Arial" w:eastAsia="Arial" w:hAnsi="Arial"/>
          <w:sz w:val="18"/>
          <w:szCs w:val="18"/>
          <w:color w:val="2A2A2A"/>
        </w:rPr>
        <w:t>The date on which any one person, or more than one person acting as a group, acquires (or has acquired during the 12-month period ending on the date of the most recent acquisition by such person or persons) ownership of stock of such corporation possessing 30% or more of the total voting power of the stock of such corporation, as determined in accordance with Treas. Reg.</w:t>
      </w:r>
    </w:p>
    <w:p>
      <w:pPr>
        <w:spacing w:after="0" w:line="2" w:lineRule="exact"/>
        <w:rPr>
          <w:rFonts w:ascii="Arial" w:cs="Arial" w:eastAsia="Arial" w:hAnsi="Arial"/>
          <w:sz w:val="18"/>
          <w:szCs w:val="18"/>
          <w:color w:val="2A2A2A"/>
        </w:rPr>
      </w:pPr>
    </w:p>
    <w:p>
      <w:pPr>
        <w:jc w:val="both"/>
        <w:ind w:left="2160" w:firstLine="13"/>
        <w:spacing w:after="0" w:line="274" w:lineRule="auto"/>
        <w:rPr>
          <w:rFonts w:ascii="Arial" w:cs="Arial" w:eastAsia="Arial" w:hAnsi="Arial"/>
          <w:sz w:val="18"/>
          <w:szCs w:val="18"/>
          <w:color w:val="2A2A2A"/>
        </w:rPr>
      </w:pPr>
      <w:r>
        <w:rPr>
          <w:rFonts w:ascii="Arial" w:cs="Arial" w:eastAsia="Arial" w:hAnsi="Arial"/>
          <w:sz w:val="19"/>
          <w:szCs w:val="19"/>
          <w:color w:val="2A2A2A"/>
        </w:rPr>
        <w:t>§1.409A-3(i)(5)(vi). If a person or group is considered to possess 30% or more of the total voting power of the stock of a corporation, and such person or group acquires additional stock of such corporation, the acquisition of additional stock by such person or group shall not be considered to cause a "change in the effective control" of such corporation; or</w:t>
      </w:r>
    </w:p>
    <w:p>
      <w:pPr>
        <w:sectPr>
          <w:pgSz w:w="11900" w:h="16838" w:orient="portrait"/>
          <w:cols w:equalWidth="0" w:num="1">
            <w:col w:w="10120"/>
          </w:cols>
          <w:pgMar w:left="1440" w:top="636" w:right="339" w:bottom="0" w:gutter="0" w:footer="0" w:header="0"/>
        </w:sectPr>
      </w:pPr>
    </w:p>
    <w:bookmarkStart w:id="52" w:name="page53"/>
    <w:bookmarkEnd w:id="52"/>
    <w:p>
      <w:pPr>
        <w:jc w:val="both"/>
        <w:ind w:left="2140" w:hanging="633"/>
        <w:spacing w:after="0" w:line="303" w:lineRule="auto"/>
        <w:tabs>
          <w:tab w:leader="none" w:pos="2140" w:val="left"/>
        </w:tabs>
        <w:numPr>
          <w:ilvl w:val="1"/>
          <w:numId w:val="11"/>
        </w:numPr>
        <w:rPr>
          <w:rFonts w:ascii="Arial" w:cs="Arial" w:eastAsia="Arial" w:hAnsi="Arial"/>
          <w:sz w:val="18"/>
          <w:szCs w:val="18"/>
          <w:color w:val="2A2A2A"/>
        </w:rPr>
      </w:pPr>
      <w:r>
        <w:rPr>
          <w:rFonts w:ascii="Arial" w:cs="Arial" w:eastAsia="Arial" w:hAnsi="Arial"/>
          <w:sz w:val="18"/>
          <w:szCs w:val="18"/>
          <w:color w:val="2A2A2A"/>
        </w:rPr>
        <w:t>The date on which a majority of the members of the applicable corporation's board of directors is replaced during any 12-month period by directors whose appointment or election is not endorsed by a majority of the members of such corporation's board of directors before the date of the appointment or election, as determined in accordance with Treas. Reg. §1.409A-3(i)(5)(vi). In determining whether the event described in the preceding sentence has occurred, the applicable corporation to which the event must relate shall only include a corporation identified in accordance with Treas. Reg. §1.409A-3(i) (5)(ii) for which no other corporation is a majority shareholder.</w:t>
      </w:r>
    </w:p>
    <w:p>
      <w:pPr>
        <w:spacing w:after="0" w:line="20" w:lineRule="exact"/>
        <w:rPr>
          <w:rFonts w:ascii="Arial" w:cs="Arial" w:eastAsia="Arial" w:hAnsi="Arial"/>
          <w:sz w:val="18"/>
          <w:szCs w:val="18"/>
          <w:color w:val="2A2A2A"/>
        </w:rPr>
      </w:pPr>
    </w:p>
    <w:p>
      <w:pPr>
        <w:jc w:val="both"/>
        <w:ind w:left="1660" w:hanging="693"/>
        <w:spacing w:after="0" w:line="292" w:lineRule="auto"/>
        <w:tabs>
          <w:tab w:leader="none" w:pos="1606" w:val="left"/>
        </w:tabs>
        <w:numPr>
          <w:ilvl w:val="0"/>
          <w:numId w:val="12"/>
        </w:numPr>
        <w:rPr>
          <w:rFonts w:ascii="Arial" w:cs="Arial" w:eastAsia="Arial" w:hAnsi="Arial"/>
          <w:sz w:val="21"/>
          <w:szCs w:val="21"/>
          <w:color w:val="2A2A2A"/>
        </w:rPr>
      </w:pPr>
      <w:r>
        <w:rPr>
          <w:rFonts w:ascii="Arial" w:cs="Arial" w:eastAsia="Arial" w:hAnsi="Arial"/>
          <w:sz w:val="19"/>
          <w:szCs w:val="19"/>
          <w:color w:val="2A2A2A"/>
        </w:rPr>
        <w:t xml:space="preserve">A "change in the ownership of a substantial portion of the assets" of the applicable corporation shall occur on the date on which any one person, or more than one person acting as a group, acquires (or has acquired during the 12-month period ending on the date of the most recent acquisition by such person or persons) assets from the corporation that have a total gross fair market value equal to or more than 40% of the total gross fair market value of all of the assets of the corporation immediately before </w:t>
      </w:r>
      <w:r>
        <w:rPr>
          <w:rFonts w:ascii="Arial" w:cs="Arial" w:eastAsia="Arial" w:hAnsi="Arial"/>
          <w:sz w:val="19"/>
          <w:szCs w:val="19"/>
          <w:color w:val="343434"/>
        </w:rPr>
        <w:t>such</w:t>
      </w:r>
      <w:r>
        <w:rPr>
          <w:rFonts w:ascii="Arial" w:cs="Arial" w:eastAsia="Arial" w:hAnsi="Arial"/>
          <w:sz w:val="19"/>
          <w:szCs w:val="19"/>
          <w:color w:val="2A2A2A"/>
        </w:rPr>
        <w:t xml:space="preserve"> acquisition </w:t>
      </w:r>
      <w:r>
        <w:rPr>
          <w:rFonts w:ascii="Arial" w:cs="Arial" w:eastAsia="Arial" w:hAnsi="Arial"/>
          <w:sz w:val="19"/>
          <w:szCs w:val="19"/>
          <w:color w:val="343434"/>
        </w:rPr>
        <w:t>or acquisitions, as determined</w:t>
      </w:r>
      <w:r>
        <w:rPr>
          <w:rFonts w:ascii="Arial" w:cs="Arial" w:eastAsia="Arial" w:hAnsi="Arial"/>
          <w:sz w:val="19"/>
          <w:szCs w:val="19"/>
          <w:color w:val="2A2A2A"/>
        </w:rPr>
        <w:t xml:space="preserve"> </w:t>
      </w:r>
      <w:r>
        <w:rPr>
          <w:rFonts w:ascii="Arial" w:cs="Arial" w:eastAsia="Arial" w:hAnsi="Arial"/>
          <w:sz w:val="19"/>
          <w:szCs w:val="19"/>
          <w:color w:val="343434"/>
        </w:rPr>
        <w:t>in accordance with Treas. Reg.</w:t>
      </w:r>
    </w:p>
    <w:p>
      <w:pPr>
        <w:spacing w:after="0" w:line="3" w:lineRule="exact"/>
        <w:rPr>
          <w:sz w:val="20"/>
          <w:szCs w:val="20"/>
          <w:color w:val="auto"/>
        </w:rPr>
      </w:pPr>
    </w:p>
    <w:p>
      <w:pPr>
        <w:jc w:val="both"/>
        <w:ind w:left="1580" w:firstLine="13"/>
        <w:spacing w:after="0" w:line="306" w:lineRule="auto"/>
        <w:rPr>
          <w:sz w:val="20"/>
          <w:szCs w:val="20"/>
          <w:color w:val="auto"/>
        </w:rPr>
      </w:pPr>
      <w:r>
        <w:rPr>
          <w:rFonts w:ascii="Arial" w:cs="Arial" w:eastAsia="Arial" w:hAnsi="Arial"/>
          <w:sz w:val="18"/>
          <w:szCs w:val="18"/>
          <w:color w:val="343434"/>
        </w:rPr>
        <w:t>§1.409A-3(i)(S)(vii). A transfer of assets shall not be treated as a "change in the ownership of a substantial portion of the assets" when such transfer is made to an entity that is controlled by the shareholders of the transferor corporation, as determined in accordance with Treas. Reg. §1.409A-3(i)(S)(vii)(B).</w:t>
      </w:r>
    </w:p>
    <w:p>
      <w:pPr>
        <w:spacing w:after="0" w:line="153" w:lineRule="exact"/>
        <w:rPr>
          <w:sz w:val="20"/>
          <w:szCs w:val="20"/>
          <w:color w:val="auto"/>
        </w:rPr>
      </w:pPr>
    </w:p>
    <w:p>
      <w:pPr>
        <w:jc w:val="both"/>
        <w:ind w:left="1540" w:hanging="641"/>
        <w:spacing w:after="0" w:line="288" w:lineRule="auto"/>
        <w:tabs>
          <w:tab w:leader="none" w:pos="1540" w:val="left"/>
        </w:tabs>
        <w:numPr>
          <w:ilvl w:val="0"/>
          <w:numId w:val="13"/>
        </w:numPr>
        <w:rPr>
          <w:rFonts w:ascii="Arial" w:cs="Arial" w:eastAsia="Arial" w:hAnsi="Arial"/>
          <w:sz w:val="20"/>
          <w:szCs w:val="20"/>
          <w:color w:val="2A2A2A"/>
        </w:rPr>
      </w:pPr>
      <w:r>
        <w:rPr>
          <w:rFonts w:ascii="Arial" w:cs="Arial" w:eastAsia="Arial" w:hAnsi="Arial"/>
          <w:sz w:val="19"/>
          <w:szCs w:val="19"/>
          <w:color w:val="343434"/>
        </w:rPr>
        <w:t>The determination of whether an event constitutes a Change in Control shall be made in compliance with Treas. Reg. §1.409A</w:t>
      </w:r>
      <w:r>
        <w:rPr>
          <w:rFonts w:ascii="Arial" w:cs="Arial" w:eastAsia="Arial" w:hAnsi="Arial"/>
          <w:sz w:val="19"/>
          <w:szCs w:val="19"/>
          <w:color w:val="505050"/>
        </w:rPr>
        <w:t>-</w:t>
      </w:r>
      <w:r>
        <w:rPr>
          <w:rFonts w:ascii="Arial" w:cs="Arial" w:eastAsia="Arial" w:hAnsi="Arial"/>
          <w:sz w:val="19"/>
          <w:szCs w:val="19"/>
          <w:color w:val="343434"/>
        </w:rPr>
        <w:t>3(i)(S). Additionally, for purposes of this Plan, an event shall not constitute a Change in Control if, in the determination of the Committee, such event is due to, caused by, or resulting from, the internal restructuring of the Company or one or more Affiliates.</w:t>
      </w:r>
    </w:p>
    <w:p>
      <w:pPr>
        <w:spacing w:after="0" w:line="179" w:lineRule="exact"/>
        <w:rPr>
          <w:sz w:val="20"/>
          <w:szCs w:val="20"/>
          <w:color w:val="auto"/>
        </w:rPr>
      </w:pPr>
    </w:p>
    <w:p>
      <w:pPr>
        <w:ind w:left="920" w:hanging="620"/>
        <w:spacing w:after="0" w:line="274" w:lineRule="auto"/>
        <w:tabs>
          <w:tab w:leader="none" w:pos="900" w:val="left"/>
        </w:tabs>
        <w:rPr>
          <w:sz w:val="20"/>
          <w:szCs w:val="20"/>
          <w:color w:val="auto"/>
        </w:rPr>
      </w:pPr>
      <w:r>
        <w:rPr>
          <w:rFonts w:ascii="Arial" w:cs="Arial" w:eastAsia="Arial" w:hAnsi="Arial"/>
          <w:sz w:val="20"/>
          <w:szCs w:val="20"/>
          <w:color w:val="333333"/>
        </w:rPr>
        <w:t>2.11</w:t>
      </w:r>
      <w:r>
        <w:rPr>
          <w:sz w:val="20"/>
          <w:szCs w:val="20"/>
          <w:color w:val="auto"/>
        </w:rPr>
        <w:tab/>
      </w:r>
      <w:r>
        <w:rPr>
          <w:rFonts w:ascii="Arial" w:cs="Arial" w:eastAsia="Arial" w:hAnsi="Arial"/>
          <w:sz w:val="20"/>
          <w:szCs w:val="20"/>
          <w:u w:val="single" w:color="auto"/>
          <w:color w:val="343434"/>
        </w:rPr>
        <w:t>Change in Control B</w:t>
      </w:r>
      <w:r>
        <w:rPr>
          <w:rFonts w:ascii="Arial" w:cs="Arial" w:eastAsia="Arial" w:hAnsi="Arial"/>
          <w:sz w:val="20"/>
          <w:szCs w:val="20"/>
          <w:color w:val="343434"/>
        </w:rPr>
        <w:t>enefit. Change in Control Benefit means the benefit payable to a Participant under the Plan in</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the event of a Change in Control, as provided herein.</w:t>
      </w:r>
    </w:p>
    <w:p>
      <w:pPr>
        <w:spacing w:after="0" w:line="177"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20"/>
          <w:szCs w:val="20"/>
          <w:color w:val="333333"/>
        </w:rPr>
        <w:t>2.12</w:t>
      </w:r>
      <w:r>
        <w:rPr>
          <w:sz w:val="20"/>
          <w:szCs w:val="20"/>
          <w:color w:val="auto"/>
        </w:rPr>
        <w:tab/>
      </w:r>
      <w:r>
        <w:rPr>
          <w:rFonts w:ascii="Arial" w:cs="Arial" w:eastAsia="Arial" w:hAnsi="Arial"/>
          <w:sz w:val="18"/>
          <w:szCs w:val="18"/>
          <w:u w:val="single" w:color="auto"/>
          <w:color w:val="343434"/>
        </w:rPr>
        <w:t>Claimant</w:t>
      </w:r>
      <w:r>
        <w:rPr>
          <w:rFonts w:ascii="Arial" w:cs="Arial" w:eastAsia="Arial" w:hAnsi="Arial"/>
          <w:sz w:val="18"/>
          <w:szCs w:val="18"/>
          <w:color w:val="343434"/>
        </w:rPr>
        <w:t>. Claimant means a Participant or Beneficiary filing a claim under Article XII of this Plan.</w:t>
      </w:r>
    </w:p>
    <w:p>
      <w:pPr>
        <w:spacing w:after="0" w:line="216"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20"/>
          <w:szCs w:val="20"/>
          <w:color w:val="333333"/>
        </w:rPr>
        <w:t>2.13</w:t>
      </w:r>
      <w:r>
        <w:rPr>
          <w:sz w:val="20"/>
          <w:szCs w:val="20"/>
          <w:color w:val="auto"/>
        </w:rPr>
        <w:tab/>
      </w:r>
      <w:r>
        <w:rPr>
          <w:rFonts w:ascii="Arial" w:cs="Arial" w:eastAsia="Arial" w:hAnsi="Arial"/>
          <w:sz w:val="16"/>
          <w:szCs w:val="16"/>
          <w:u w:val="single" w:color="auto"/>
          <w:color w:val="343434"/>
        </w:rPr>
        <w:t>Code</w:t>
      </w:r>
      <w:r>
        <w:rPr>
          <w:rFonts w:ascii="Arial" w:cs="Arial" w:eastAsia="Arial" w:hAnsi="Arial"/>
          <w:sz w:val="16"/>
          <w:szCs w:val="16"/>
          <w:color w:val="343434"/>
        </w:rPr>
        <w:t>. Code means the Internal Revenue Code of 1986, as amended from time to time.</w:t>
      </w:r>
    </w:p>
    <w:p>
      <w:pPr>
        <w:spacing w:after="0" w:line="243" w:lineRule="exact"/>
        <w:rPr>
          <w:sz w:val="20"/>
          <w:szCs w:val="20"/>
          <w:color w:val="auto"/>
        </w:rPr>
      </w:pPr>
    </w:p>
    <w:p>
      <w:pPr>
        <w:ind w:left="900" w:hanging="624"/>
        <w:spacing w:after="0" w:line="274" w:lineRule="auto"/>
        <w:tabs>
          <w:tab w:leader="none" w:pos="880" w:val="left"/>
        </w:tabs>
        <w:rPr>
          <w:sz w:val="20"/>
          <w:szCs w:val="20"/>
          <w:color w:val="auto"/>
        </w:rPr>
      </w:pPr>
      <w:r>
        <w:rPr>
          <w:rFonts w:ascii="Arial" w:cs="Arial" w:eastAsia="Arial" w:hAnsi="Arial"/>
          <w:sz w:val="20"/>
          <w:szCs w:val="20"/>
          <w:color w:val="333333"/>
        </w:rPr>
        <w:t>2.14</w:t>
      </w:r>
      <w:r>
        <w:rPr>
          <w:sz w:val="20"/>
          <w:szCs w:val="20"/>
          <w:color w:val="auto"/>
        </w:rPr>
        <w:tab/>
      </w:r>
      <w:r>
        <w:rPr>
          <w:rFonts w:ascii="Arial" w:cs="Arial" w:eastAsia="Arial" w:hAnsi="Arial"/>
          <w:sz w:val="20"/>
          <w:szCs w:val="20"/>
          <w:u w:val="single" w:color="auto"/>
          <w:color w:val="343434"/>
        </w:rPr>
        <w:t>Code Section 409A</w:t>
      </w:r>
      <w:r>
        <w:rPr>
          <w:rFonts w:ascii="Arial" w:cs="Arial" w:eastAsia="Arial" w:hAnsi="Arial"/>
          <w:sz w:val="20"/>
          <w:szCs w:val="20"/>
          <w:color w:val="343434"/>
        </w:rPr>
        <w:t>. Code Section 409A means Section 409A of the Code, and regulations and other guidance</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issued by the Treasury Department and Internal Revenue Service thereunder.</w:t>
      </w:r>
    </w:p>
    <w:p>
      <w:pPr>
        <w:spacing w:after="0" w:line="177" w:lineRule="exact"/>
        <w:rPr>
          <w:sz w:val="20"/>
          <w:szCs w:val="20"/>
          <w:color w:val="auto"/>
        </w:rPr>
      </w:pPr>
    </w:p>
    <w:p>
      <w:pPr>
        <w:jc w:val="both"/>
        <w:ind w:left="900" w:right="20" w:hanging="633"/>
        <w:spacing w:after="0" w:line="264" w:lineRule="auto"/>
        <w:tabs>
          <w:tab w:leader="none" w:pos="880" w:val="left"/>
        </w:tabs>
        <w:rPr>
          <w:sz w:val="20"/>
          <w:szCs w:val="20"/>
          <w:color w:val="auto"/>
        </w:rPr>
      </w:pPr>
      <w:r>
        <w:rPr>
          <w:rFonts w:ascii="Arial" w:cs="Arial" w:eastAsia="Arial" w:hAnsi="Arial"/>
          <w:sz w:val="20"/>
          <w:szCs w:val="20"/>
          <w:color w:val="333333"/>
        </w:rPr>
        <w:t>2.15</w:t>
      </w:r>
      <w:r>
        <w:rPr>
          <w:sz w:val="20"/>
          <w:szCs w:val="20"/>
          <w:color w:val="auto"/>
        </w:rPr>
        <w:tab/>
      </w:r>
      <w:r>
        <w:rPr>
          <w:rFonts w:ascii="Arial" w:cs="Arial" w:eastAsia="Arial" w:hAnsi="Arial"/>
          <w:sz w:val="20"/>
          <w:szCs w:val="20"/>
          <w:u w:val="single" w:color="auto"/>
          <w:color w:val="343434"/>
        </w:rPr>
        <w:t>Committee</w:t>
      </w:r>
      <w:r>
        <w:rPr>
          <w:rFonts w:ascii="Arial" w:cs="Arial" w:eastAsia="Arial" w:hAnsi="Arial"/>
          <w:sz w:val="20"/>
          <w:szCs w:val="20"/>
          <w:color w:val="343434"/>
        </w:rPr>
        <w:t>. Committee means the committee appointed by the Compensation Committee to administer the Plan. If</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no designation is made, the Chief Executive Officer of the Company, or his or her delegate, shall have and exercise the powers of the Committee.</w:t>
      </w:r>
    </w:p>
    <w:p>
      <w:pPr>
        <w:spacing w:after="0" w:line="173"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20"/>
          <w:szCs w:val="20"/>
          <w:color w:val="333333"/>
        </w:rPr>
        <w:t>2.16</w:t>
      </w:r>
      <w:r>
        <w:rPr>
          <w:sz w:val="20"/>
          <w:szCs w:val="20"/>
          <w:color w:val="auto"/>
        </w:rPr>
        <w:tab/>
      </w:r>
      <w:r>
        <w:rPr>
          <w:rFonts w:ascii="Arial" w:cs="Arial" w:eastAsia="Arial" w:hAnsi="Arial"/>
          <w:sz w:val="16"/>
          <w:szCs w:val="16"/>
          <w:u w:val="single" w:color="auto"/>
          <w:color w:val="343434"/>
        </w:rPr>
        <w:t>Company</w:t>
      </w:r>
      <w:r>
        <w:rPr>
          <w:rFonts w:ascii="Arial" w:cs="Arial" w:eastAsia="Arial" w:hAnsi="Arial"/>
          <w:sz w:val="16"/>
          <w:szCs w:val="16"/>
          <w:color w:val="343434"/>
        </w:rPr>
        <w:t>. Company means Centuri Group, Inc., a Nevada corporation.</w:t>
      </w:r>
    </w:p>
    <w:p>
      <w:pPr>
        <w:spacing w:after="0" w:line="243" w:lineRule="exact"/>
        <w:rPr>
          <w:sz w:val="20"/>
          <w:szCs w:val="20"/>
          <w:color w:val="auto"/>
        </w:rPr>
      </w:pPr>
    </w:p>
    <w:p>
      <w:pPr>
        <w:jc w:val="both"/>
        <w:ind w:left="880" w:hanging="634"/>
        <w:spacing w:after="0" w:line="260" w:lineRule="auto"/>
        <w:tabs>
          <w:tab w:leader="none" w:pos="860" w:val="left"/>
        </w:tabs>
        <w:rPr>
          <w:sz w:val="20"/>
          <w:szCs w:val="20"/>
          <w:color w:val="auto"/>
        </w:rPr>
      </w:pPr>
      <w:r>
        <w:rPr>
          <w:rFonts w:ascii="Arial" w:cs="Arial" w:eastAsia="Arial" w:hAnsi="Arial"/>
          <w:sz w:val="20"/>
          <w:szCs w:val="20"/>
          <w:color w:val="333333"/>
        </w:rPr>
        <w:t>2.17</w:t>
      </w:r>
      <w:r>
        <w:rPr>
          <w:sz w:val="20"/>
          <w:szCs w:val="20"/>
          <w:color w:val="auto"/>
        </w:rPr>
        <w:tab/>
      </w:r>
      <w:r>
        <w:rPr>
          <w:rFonts w:ascii="Arial" w:cs="Arial" w:eastAsia="Arial" w:hAnsi="Arial"/>
          <w:sz w:val="20"/>
          <w:szCs w:val="20"/>
          <w:u w:val="single" w:color="auto"/>
          <w:color w:val="343434"/>
        </w:rPr>
        <w:t>Compensation</w:t>
      </w:r>
      <w:r>
        <w:rPr>
          <w:rFonts w:ascii="Arial" w:cs="Arial" w:eastAsia="Arial" w:hAnsi="Arial"/>
          <w:sz w:val="20"/>
          <w:szCs w:val="20"/>
          <w:color w:val="343434"/>
        </w:rPr>
        <w:t>. Compensation means a Participant's Salary, Bonus, and such other cash or equity-based</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compensation (if any) approved by the Committee as Compensation that may be deferred under this Plan. Compensation shall not include any compensation that has been previously deferred under this Plan or any other arrangement subject to Code Section 409A.</w:t>
      </w:r>
    </w:p>
    <w:p>
      <w:pPr>
        <w:spacing w:after="0" w:line="191" w:lineRule="exact"/>
        <w:rPr>
          <w:sz w:val="20"/>
          <w:szCs w:val="20"/>
          <w:color w:val="auto"/>
        </w:rPr>
      </w:pPr>
    </w:p>
    <w:p>
      <w:pPr>
        <w:jc w:val="both"/>
        <w:ind w:left="880" w:hanging="634"/>
        <w:spacing w:after="0" w:line="288" w:lineRule="auto"/>
        <w:tabs>
          <w:tab w:leader="none" w:pos="860" w:val="left"/>
        </w:tabs>
        <w:rPr>
          <w:sz w:val="20"/>
          <w:szCs w:val="20"/>
          <w:color w:val="auto"/>
        </w:rPr>
      </w:pPr>
      <w:r>
        <w:rPr>
          <w:rFonts w:ascii="Arial" w:cs="Arial" w:eastAsia="Arial" w:hAnsi="Arial"/>
          <w:sz w:val="20"/>
          <w:szCs w:val="20"/>
          <w:color w:val="333333"/>
        </w:rPr>
        <w:t>2.18</w:t>
      </w:r>
      <w:r>
        <w:rPr>
          <w:sz w:val="20"/>
          <w:szCs w:val="20"/>
          <w:color w:val="auto"/>
        </w:rPr>
        <w:tab/>
      </w:r>
      <w:r>
        <w:rPr>
          <w:rFonts w:ascii="Arial" w:cs="Arial" w:eastAsia="Arial" w:hAnsi="Arial"/>
          <w:sz w:val="20"/>
          <w:szCs w:val="20"/>
          <w:u w:val="single" w:color="auto"/>
          <w:color w:val="343434"/>
        </w:rPr>
        <w:t>Compensation Commit</w:t>
      </w:r>
      <w:r>
        <w:rPr>
          <w:rFonts w:ascii="Arial" w:cs="Arial" w:eastAsia="Arial" w:hAnsi="Arial"/>
          <w:sz w:val="20"/>
          <w:szCs w:val="20"/>
          <w:u w:val="single" w:color="auto"/>
          <w:color w:val="505050"/>
        </w:rPr>
        <w:t>t</w:t>
      </w:r>
      <w:r>
        <w:rPr>
          <w:rFonts w:ascii="Arial" w:cs="Arial" w:eastAsia="Arial" w:hAnsi="Arial"/>
          <w:sz w:val="20"/>
          <w:szCs w:val="20"/>
          <w:u w:val="single" w:color="auto"/>
          <w:color w:val="343434"/>
        </w:rPr>
        <w:t>ee</w:t>
      </w:r>
      <w:r>
        <w:rPr>
          <w:rFonts w:ascii="Arial" w:cs="Arial" w:eastAsia="Arial" w:hAnsi="Arial"/>
          <w:sz w:val="20"/>
          <w:szCs w:val="20"/>
          <w:color w:val="343434"/>
        </w:rPr>
        <w:t>. Compensation Committee means the Compensation Committee of the Board of</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Directors.</w:t>
      </w:r>
    </w:p>
    <w:p>
      <w:pPr>
        <w:spacing w:after="0" w:line="177" w:lineRule="exact"/>
        <w:rPr>
          <w:sz w:val="20"/>
          <w:szCs w:val="20"/>
          <w:color w:val="auto"/>
        </w:rPr>
      </w:pPr>
    </w:p>
    <w:p>
      <w:pPr>
        <w:jc w:val="both"/>
        <w:ind w:left="860" w:hanging="620"/>
        <w:spacing w:after="0" w:line="306" w:lineRule="auto"/>
        <w:tabs>
          <w:tab w:leader="none" w:pos="840" w:val="left"/>
        </w:tabs>
        <w:rPr>
          <w:sz w:val="20"/>
          <w:szCs w:val="20"/>
          <w:color w:val="auto"/>
        </w:rPr>
      </w:pPr>
      <w:r>
        <w:rPr>
          <w:rFonts w:ascii="Arial" w:cs="Arial" w:eastAsia="Arial" w:hAnsi="Arial"/>
          <w:sz w:val="20"/>
          <w:szCs w:val="20"/>
          <w:color w:val="333333"/>
        </w:rPr>
        <w:t>2.19</w:t>
      </w:r>
      <w:r>
        <w:rPr>
          <w:sz w:val="20"/>
          <w:szCs w:val="20"/>
          <w:color w:val="auto"/>
        </w:rPr>
        <w:tab/>
      </w:r>
      <w:r>
        <w:rPr>
          <w:rFonts w:ascii="Arial" w:cs="Arial" w:eastAsia="Arial" w:hAnsi="Arial"/>
          <w:sz w:val="18"/>
          <w:szCs w:val="18"/>
          <w:u w:val="single" w:color="auto"/>
          <w:color w:val="343434"/>
        </w:rPr>
        <w:t>Compen</w:t>
      </w:r>
      <w:r>
        <w:rPr>
          <w:rFonts w:ascii="Arial" w:cs="Arial" w:eastAsia="Arial" w:hAnsi="Arial"/>
          <w:sz w:val="18"/>
          <w:szCs w:val="18"/>
          <w:u w:val="single" w:color="auto"/>
          <w:color w:val="505050"/>
        </w:rPr>
        <w:t>s</w:t>
      </w:r>
      <w:r>
        <w:rPr>
          <w:rFonts w:ascii="Arial" w:cs="Arial" w:eastAsia="Arial" w:hAnsi="Arial"/>
          <w:sz w:val="18"/>
          <w:szCs w:val="18"/>
          <w:u w:val="single" w:color="auto"/>
          <w:color w:val="343434"/>
        </w:rPr>
        <w:t>ation Deferral Agreement</w:t>
      </w:r>
      <w:r>
        <w:rPr>
          <w:rFonts w:ascii="Arial" w:cs="Arial" w:eastAsia="Arial" w:hAnsi="Arial"/>
          <w:sz w:val="18"/>
          <w:szCs w:val="18"/>
          <w:color w:val="343434"/>
        </w:rPr>
        <w:t>. Compensation Deferral Agreement means one or more agreements between a</w:t>
      </w:r>
      <w:r>
        <w:rPr>
          <w:rFonts w:ascii="Arial" w:cs="Arial" w:eastAsia="Arial" w:hAnsi="Arial"/>
          <w:sz w:val="18"/>
          <w:szCs w:val="18"/>
          <w:u w:val="single" w:color="auto"/>
          <w:color w:val="343434"/>
        </w:rPr>
        <w:t xml:space="preserve"> </w:t>
      </w:r>
      <w:r>
        <w:rPr>
          <w:rFonts w:ascii="Arial" w:cs="Arial" w:eastAsia="Arial" w:hAnsi="Arial"/>
          <w:sz w:val="18"/>
          <w:szCs w:val="18"/>
          <w:color w:val="343434"/>
        </w:rPr>
        <w:t>Participant and a Participating Employer that specifies: (a) the amount of each component of Compensation that the Participant has elected to defer to the Plan in accordance with the provisions of Article IV, and (b) the Payment Schedule applicable to one or more Accounts. The Committee may permit different deferral amounts for each component of Compensation and may establish a maximum deferral amount for each such component. Unless otherwise specified by the Committee in the Compensation Deferral Agreement, Participants may defer up to</w:t>
      </w:r>
      <w:r>
        <w:rPr>
          <w:rFonts w:ascii="Arial" w:cs="Arial" w:eastAsia="Arial" w:hAnsi="Arial"/>
          <w:sz w:val="18"/>
          <w:szCs w:val="18"/>
          <w:color w:val="505050"/>
        </w:rPr>
        <w:t>:</w:t>
      </w:r>
      <w:r>
        <w:rPr>
          <w:rFonts w:ascii="Arial" w:cs="Arial" w:eastAsia="Arial" w:hAnsi="Arial"/>
          <w:sz w:val="18"/>
          <w:szCs w:val="18"/>
          <w:color w:val="343434"/>
        </w:rPr>
        <w:t xml:space="preserve"> (i) 80% of Salary for a Plan Year and/ or (ii) 80% of Bonus for a Plan Year. A Compensation Deferral Agreement may also specify the investment allocation described in Section 8.4.</w:t>
      </w:r>
    </w:p>
    <w:p>
      <w:pPr>
        <w:spacing w:after="0" w:line="224" w:lineRule="exact"/>
        <w:rPr>
          <w:sz w:val="20"/>
          <w:szCs w:val="20"/>
          <w:color w:val="auto"/>
        </w:rPr>
      </w:pPr>
    </w:p>
    <w:p>
      <w:pPr>
        <w:jc w:val="both"/>
        <w:ind w:left="900" w:right="20" w:hanging="633"/>
        <w:spacing w:after="0" w:line="288" w:lineRule="auto"/>
        <w:tabs>
          <w:tab w:leader="none" w:pos="880" w:val="left"/>
        </w:tabs>
        <w:rPr>
          <w:sz w:val="20"/>
          <w:szCs w:val="20"/>
          <w:color w:val="auto"/>
        </w:rPr>
      </w:pPr>
      <w:r>
        <w:rPr>
          <w:rFonts w:ascii="Arial" w:cs="Arial" w:eastAsia="Arial" w:hAnsi="Arial"/>
          <w:sz w:val="20"/>
          <w:szCs w:val="20"/>
          <w:color w:val="333333"/>
        </w:rPr>
        <w:t>2.20</w:t>
      </w:r>
      <w:r>
        <w:rPr>
          <w:sz w:val="20"/>
          <w:szCs w:val="20"/>
          <w:color w:val="auto"/>
        </w:rPr>
        <w:tab/>
      </w:r>
      <w:r>
        <w:rPr>
          <w:rFonts w:ascii="Arial" w:cs="Arial" w:eastAsia="Arial" w:hAnsi="Arial"/>
          <w:sz w:val="20"/>
          <w:szCs w:val="20"/>
          <w:u w:val="single" w:color="auto"/>
          <w:color w:val="313131"/>
        </w:rPr>
        <w:t>Death Benefit</w:t>
      </w:r>
      <w:r>
        <w:rPr>
          <w:rFonts w:ascii="Arial" w:cs="Arial" w:eastAsia="Arial" w:hAnsi="Arial"/>
          <w:sz w:val="20"/>
          <w:szCs w:val="20"/>
          <w:color w:val="313131"/>
        </w:rPr>
        <w:t>. Death Benefit means the benefit payable to a Participant's Beneficiary(ies) upon the Participant's</w:t>
      </w:r>
      <w:r>
        <w:rPr>
          <w:rFonts w:ascii="Arial" w:cs="Arial" w:eastAsia="Arial" w:hAnsi="Arial"/>
          <w:sz w:val="20"/>
          <w:szCs w:val="20"/>
          <w:u w:val="single" w:color="auto"/>
          <w:color w:val="313131"/>
        </w:rPr>
        <w:t xml:space="preserve"> </w:t>
      </w:r>
      <w:r>
        <w:rPr>
          <w:rFonts w:ascii="Arial" w:cs="Arial" w:eastAsia="Arial" w:hAnsi="Arial"/>
          <w:sz w:val="20"/>
          <w:szCs w:val="20"/>
          <w:color w:val="313131"/>
        </w:rPr>
        <w:t>death as provided herein.</w:t>
      </w:r>
    </w:p>
    <w:p>
      <w:pPr>
        <w:spacing w:after="0" w:line="177" w:lineRule="exact"/>
        <w:rPr>
          <w:sz w:val="20"/>
          <w:szCs w:val="20"/>
          <w:color w:val="auto"/>
        </w:rPr>
      </w:pPr>
    </w:p>
    <w:p>
      <w:pPr>
        <w:jc w:val="both"/>
        <w:ind w:left="880" w:hanging="634"/>
        <w:spacing w:after="0" w:line="258" w:lineRule="auto"/>
        <w:tabs>
          <w:tab w:leader="none" w:pos="860" w:val="left"/>
        </w:tabs>
        <w:rPr>
          <w:sz w:val="20"/>
          <w:szCs w:val="20"/>
          <w:color w:val="auto"/>
        </w:rPr>
      </w:pPr>
      <w:r>
        <w:rPr>
          <w:rFonts w:ascii="Arial" w:cs="Arial" w:eastAsia="Arial" w:hAnsi="Arial"/>
          <w:sz w:val="20"/>
          <w:szCs w:val="20"/>
          <w:color w:val="333333"/>
        </w:rPr>
        <w:t>2.21</w:t>
      </w:r>
      <w:r>
        <w:rPr>
          <w:sz w:val="20"/>
          <w:szCs w:val="20"/>
          <w:color w:val="auto"/>
        </w:rPr>
        <w:tab/>
      </w:r>
      <w:r>
        <w:rPr>
          <w:rFonts w:ascii="Arial" w:cs="Arial" w:eastAsia="Arial" w:hAnsi="Arial"/>
          <w:sz w:val="20"/>
          <w:szCs w:val="20"/>
          <w:u w:val="single" w:color="auto"/>
          <w:color w:val="313131"/>
        </w:rPr>
        <w:t>Deferral</w:t>
      </w:r>
      <w:r>
        <w:rPr>
          <w:rFonts w:ascii="Arial" w:cs="Arial" w:eastAsia="Arial" w:hAnsi="Arial"/>
          <w:sz w:val="20"/>
          <w:szCs w:val="20"/>
          <w:color w:val="313131"/>
        </w:rPr>
        <w:t>. Deferral means a credit to a Participant's Account(s) that records that portion of the Participant's</w:t>
      </w:r>
      <w:r>
        <w:rPr>
          <w:rFonts w:ascii="Arial" w:cs="Arial" w:eastAsia="Arial" w:hAnsi="Arial"/>
          <w:sz w:val="20"/>
          <w:szCs w:val="20"/>
          <w:u w:val="single" w:color="auto"/>
          <w:color w:val="313131"/>
        </w:rPr>
        <w:t xml:space="preserve"> </w:t>
      </w:r>
      <w:r>
        <w:rPr>
          <w:rFonts w:ascii="Arial" w:cs="Arial" w:eastAsia="Arial" w:hAnsi="Arial"/>
          <w:sz w:val="20"/>
          <w:szCs w:val="20"/>
          <w:color w:val="313131"/>
        </w:rPr>
        <w:t>Compensation that the Participant has elected to defer to the Plan in accordance with the provisions of Article IV. Unless the context of the Plan clearly indicates otherwise, a reference to Deferrals includes Earnings attributable to such Deferrals. Deferrals shall be calculated with respect to the gross cash Compensation payable to the Participant prior to any deductions or withholdings.</w:t>
      </w:r>
    </w:p>
    <w:p>
      <w:pPr>
        <w:spacing w:after="0" w:line="195" w:lineRule="exact"/>
        <w:rPr>
          <w:sz w:val="20"/>
          <w:szCs w:val="20"/>
          <w:color w:val="auto"/>
        </w:rPr>
      </w:pPr>
    </w:p>
    <w:p>
      <w:pPr>
        <w:jc w:val="both"/>
        <w:ind w:left="860" w:hanging="638"/>
        <w:spacing w:after="0" w:line="288" w:lineRule="auto"/>
        <w:tabs>
          <w:tab w:leader="none" w:pos="840" w:val="left"/>
        </w:tabs>
        <w:rPr>
          <w:sz w:val="20"/>
          <w:szCs w:val="20"/>
          <w:color w:val="auto"/>
        </w:rPr>
      </w:pPr>
      <w:r>
        <w:rPr>
          <w:rFonts w:ascii="Arial" w:cs="Arial" w:eastAsia="Arial" w:hAnsi="Arial"/>
          <w:sz w:val="20"/>
          <w:szCs w:val="20"/>
          <w:color w:val="333333"/>
        </w:rPr>
        <w:t>2.22</w:t>
      </w:r>
      <w:r>
        <w:rPr>
          <w:sz w:val="20"/>
          <w:szCs w:val="20"/>
          <w:color w:val="auto"/>
        </w:rPr>
        <w:tab/>
      </w:r>
      <w:r>
        <w:rPr>
          <w:rFonts w:ascii="Arial" w:cs="Arial" w:eastAsia="Arial" w:hAnsi="Arial"/>
          <w:sz w:val="20"/>
          <w:szCs w:val="20"/>
          <w:u w:val="single" w:color="auto"/>
          <w:color w:val="313131"/>
        </w:rPr>
        <w:t>Disability Benefit</w:t>
      </w:r>
      <w:r>
        <w:rPr>
          <w:rFonts w:ascii="Arial" w:cs="Arial" w:eastAsia="Arial" w:hAnsi="Arial"/>
          <w:sz w:val="20"/>
          <w:szCs w:val="20"/>
          <w:color w:val="313131"/>
        </w:rPr>
        <w:t>. Disability Benefit means the benefit payable to a Participant in the event such Participant is</w:t>
      </w:r>
      <w:r>
        <w:rPr>
          <w:rFonts w:ascii="Arial" w:cs="Arial" w:eastAsia="Arial" w:hAnsi="Arial"/>
          <w:sz w:val="20"/>
          <w:szCs w:val="20"/>
          <w:u w:val="single" w:color="auto"/>
          <w:color w:val="313131"/>
        </w:rPr>
        <w:t xml:space="preserve"> </w:t>
      </w:r>
      <w:r>
        <w:rPr>
          <w:rFonts w:ascii="Arial" w:cs="Arial" w:eastAsia="Arial" w:hAnsi="Arial"/>
          <w:sz w:val="20"/>
          <w:szCs w:val="20"/>
          <w:color w:val="313131"/>
        </w:rPr>
        <w:t>determined to be Disabled as provided herein.</w:t>
      </w:r>
    </w:p>
    <w:p>
      <w:pPr>
        <w:sectPr>
          <w:pgSz w:w="11900" w:h="16838" w:orient="portrait"/>
          <w:cols w:equalWidth="0" w:num="1">
            <w:col w:w="10120"/>
          </w:cols>
          <w:pgMar w:left="1440" w:top="144" w:right="339" w:bottom="0" w:gutter="0" w:footer="0" w:header="0"/>
        </w:sectPr>
      </w:pPr>
    </w:p>
    <w:bookmarkStart w:id="53" w:name="page54"/>
    <w:bookmarkEnd w:id="53"/>
    <w:p>
      <w:pPr>
        <w:jc w:val="both"/>
        <w:ind w:left="840" w:hanging="633"/>
        <w:spacing w:after="0" w:line="288" w:lineRule="auto"/>
        <w:tabs>
          <w:tab w:leader="none" w:pos="820" w:val="left"/>
        </w:tabs>
        <w:rPr>
          <w:sz w:val="20"/>
          <w:szCs w:val="20"/>
          <w:color w:val="auto"/>
        </w:rPr>
      </w:pPr>
      <w:r>
        <w:rPr>
          <w:rFonts w:ascii="Arial" w:cs="Arial" w:eastAsia="Arial" w:hAnsi="Arial"/>
          <w:sz w:val="20"/>
          <w:szCs w:val="20"/>
          <w:color w:val="333333"/>
        </w:rPr>
        <w:t>2.23</w:t>
      </w:r>
      <w:r>
        <w:rPr>
          <w:sz w:val="20"/>
          <w:szCs w:val="20"/>
          <w:color w:val="auto"/>
        </w:rPr>
        <w:tab/>
      </w:r>
      <w:r>
        <w:rPr>
          <w:rFonts w:ascii="Arial" w:cs="Arial" w:eastAsia="Arial" w:hAnsi="Arial"/>
          <w:sz w:val="19"/>
          <w:szCs w:val="19"/>
          <w:u w:val="single" w:color="auto"/>
          <w:color w:val="313131"/>
        </w:rPr>
        <w:t>Disabled</w:t>
      </w:r>
      <w:r>
        <w:rPr>
          <w:rFonts w:ascii="Arial" w:cs="Arial" w:eastAsia="Arial" w:hAnsi="Arial"/>
          <w:sz w:val="19"/>
          <w:szCs w:val="19"/>
          <w:color w:val="313131"/>
        </w:rPr>
        <w:t>. Disabled means that a Participant is, by reason of any medically-determinable physical or mental</w:t>
      </w:r>
      <w:r>
        <w:rPr>
          <w:rFonts w:ascii="Arial" w:cs="Arial" w:eastAsia="Arial" w:hAnsi="Arial"/>
          <w:sz w:val="19"/>
          <w:szCs w:val="19"/>
          <w:u w:val="single" w:color="auto"/>
          <w:color w:val="313131"/>
        </w:rPr>
        <w:t xml:space="preserve"> </w:t>
      </w:r>
      <w:r>
        <w:rPr>
          <w:rFonts w:ascii="Arial" w:cs="Arial" w:eastAsia="Arial" w:hAnsi="Arial"/>
          <w:sz w:val="19"/>
          <w:szCs w:val="19"/>
          <w:color w:val="313131"/>
        </w:rPr>
        <w:t xml:space="preserve">impairment which can be expected to result in death or can be expected to last for a continuous period of not less than 12 months: (a) unable to engage in any substantial gainful activity, or (b) receiving income replacement benefits for a period of not less than three months under an accident and health plan covering employees of the Participant's Employer. The Committee shall determine whether a Participant is Disabled in accordance with Code Section 409A, provided, however, that a Participant shall be deemed to be Disabled if determined to be totally disabled by the Social Security Administration. The determination of whether a Participant is Disabled shall be made on compliance with </w:t>
      </w:r>
      <w:r>
        <w:rPr>
          <w:rFonts w:ascii="Arial" w:cs="Arial" w:eastAsia="Arial" w:hAnsi="Arial"/>
          <w:sz w:val="19"/>
          <w:szCs w:val="19"/>
          <w:color w:val="484848"/>
        </w:rPr>
        <w:t>Treas.</w:t>
      </w:r>
      <w:r>
        <w:rPr>
          <w:rFonts w:ascii="Arial" w:cs="Arial" w:eastAsia="Arial" w:hAnsi="Arial"/>
          <w:sz w:val="19"/>
          <w:szCs w:val="19"/>
          <w:color w:val="313131"/>
        </w:rPr>
        <w:t xml:space="preserve"> Reg. §1.409A-3(i)(4).</w:t>
      </w:r>
    </w:p>
    <w:p>
      <w:pPr>
        <w:spacing w:after="0" w:line="184" w:lineRule="exact"/>
        <w:rPr>
          <w:sz w:val="20"/>
          <w:szCs w:val="20"/>
          <w:color w:val="auto"/>
        </w:rPr>
      </w:pPr>
    </w:p>
    <w:p>
      <w:pPr>
        <w:jc w:val="both"/>
        <w:ind w:left="840" w:hanging="633"/>
        <w:spacing w:after="0" w:line="273" w:lineRule="auto"/>
        <w:tabs>
          <w:tab w:leader="none" w:pos="820" w:val="left"/>
        </w:tabs>
        <w:rPr>
          <w:sz w:val="20"/>
          <w:szCs w:val="20"/>
          <w:color w:val="auto"/>
        </w:rPr>
      </w:pPr>
      <w:r>
        <w:rPr>
          <w:rFonts w:ascii="Arial" w:cs="Arial" w:eastAsia="Arial" w:hAnsi="Arial"/>
          <w:sz w:val="20"/>
          <w:szCs w:val="20"/>
          <w:color w:val="333333"/>
        </w:rPr>
        <w:t>2.24</w:t>
      </w:r>
      <w:r>
        <w:rPr>
          <w:sz w:val="20"/>
          <w:szCs w:val="20"/>
          <w:color w:val="auto"/>
        </w:rPr>
        <w:tab/>
      </w:r>
      <w:r>
        <w:rPr>
          <w:rFonts w:ascii="Arial" w:cs="Arial" w:eastAsia="Arial" w:hAnsi="Arial"/>
          <w:sz w:val="19"/>
          <w:szCs w:val="19"/>
          <w:u w:val="single" w:color="auto"/>
          <w:color w:val="313131"/>
        </w:rPr>
        <w:t xml:space="preserve">Discretionary </w:t>
      </w:r>
      <w:r>
        <w:rPr>
          <w:rFonts w:ascii="Arial" w:cs="Arial" w:eastAsia="Arial" w:hAnsi="Arial"/>
          <w:sz w:val="19"/>
          <w:szCs w:val="19"/>
          <w:u w:val="single" w:color="auto"/>
          <w:color w:val="484848"/>
        </w:rPr>
        <w:t>Contribution</w:t>
      </w:r>
      <w:r>
        <w:rPr>
          <w:rFonts w:ascii="Arial" w:cs="Arial" w:eastAsia="Arial" w:hAnsi="Arial"/>
          <w:sz w:val="19"/>
          <w:szCs w:val="19"/>
          <w:color w:val="484848"/>
        </w:rPr>
        <w:t>.</w:t>
      </w:r>
      <w:r>
        <w:rPr>
          <w:rFonts w:ascii="Arial" w:cs="Arial" w:eastAsia="Arial" w:hAnsi="Arial"/>
          <w:sz w:val="19"/>
          <w:szCs w:val="19"/>
          <w:u w:val="single" w:color="auto"/>
          <w:color w:val="313131"/>
        </w:rPr>
        <w:t xml:space="preserve"> </w:t>
      </w:r>
      <w:r>
        <w:rPr>
          <w:rFonts w:ascii="Arial" w:cs="Arial" w:eastAsia="Arial" w:hAnsi="Arial"/>
          <w:sz w:val="19"/>
          <w:szCs w:val="19"/>
          <w:color w:val="313131"/>
        </w:rPr>
        <w:t>Discretionary Contribution means a credit by a Participating Employer to a Participant's</w:t>
      </w:r>
      <w:r>
        <w:rPr>
          <w:rFonts w:ascii="Arial" w:cs="Arial" w:eastAsia="Arial" w:hAnsi="Arial"/>
          <w:sz w:val="19"/>
          <w:szCs w:val="19"/>
          <w:u w:val="single" w:color="auto"/>
          <w:color w:val="313131"/>
        </w:rPr>
        <w:t xml:space="preserve"> </w:t>
      </w:r>
      <w:r>
        <w:rPr>
          <w:rFonts w:ascii="Arial" w:cs="Arial" w:eastAsia="Arial" w:hAnsi="Arial"/>
          <w:sz w:val="19"/>
          <w:szCs w:val="19"/>
          <w:color w:val="313131"/>
        </w:rPr>
        <w:t>Account(s) in accordance with the provisions of Article V of the Plan. Discretionary Contributions are credited at the sole discretion of the Participating Employer, and the fact that a Discretionary Contribution is credited in one year shall not obligate the Participating Employer to continue to make such Discretionary Contributions in subsequent years. Unless the context clearly indicates otherwise, a reference to a Discretionary Contribution shall include Earnings attributable to such a contribution.</w:t>
      </w:r>
    </w:p>
    <w:p>
      <w:pPr>
        <w:spacing w:after="0" w:line="183" w:lineRule="exact"/>
        <w:rPr>
          <w:sz w:val="20"/>
          <w:szCs w:val="20"/>
          <w:color w:val="auto"/>
        </w:rPr>
      </w:pPr>
    </w:p>
    <w:p>
      <w:pPr>
        <w:jc w:val="both"/>
        <w:ind w:left="840" w:hanging="647"/>
        <w:spacing w:after="0" w:line="301" w:lineRule="auto"/>
        <w:tabs>
          <w:tab w:leader="none" w:pos="820" w:val="left"/>
        </w:tabs>
        <w:rPr>
          <w:sz w:val="20"/>
          <w:szCs w:val="20"/>
          <w:color w:val="auto"/>
        </w:rPr>
      </w:pPr>
      <w:r>
        <w:rPr>
          <w:rFonts w:ascii="Arial" w:cs="Arial" w:eastAsia="Arial" w:hAnsi="Arial"/>
          <w:sz w:val="20"/>
          <w:szCs w:val="20"/>
          <w:color w:val="333333"/>
        </w:rPr>
        <w:t>2.25</w:t>
      </w:r>
      <w:r>
        <w:rPr>
          <w:sz w:val="20"/>
          <w:szCs w:val="20"/>
          <w:color w:val="auto"/>
        </w:rPr>
        <w:tab/>
      </w:r>
      <w:r>
        <w:rPr>
          <w:rFonts w:ascii="Arial" w:cs="Arial" w:eastAsia="Arial" w:hAnsi="Arial"/>
          <w:sz w:val="19"/>
          <w:szCs w:val="19"/>
          <w:u w:val="single" w:color="auto"/>
          <w:color w:val="484848"/>
        </w:rPr>
        <w:t>Earnings</w:t>
      </w:r>
      <w:r>
        <w:rPr>
          <w:rFonts w:ascii="Arial" w:cs="Arial" w:eastAsia="Arial" w:hAnsi="Arial"/>
          <w:sz w:val="19"/>
          <w:szCs w:val="19"/>
          <w:color w:val="484848"/>
        </w:rPr>
        <w:t>. Earnings</w:t>
      </w:r>
      <w:r>
        <w:rPr>
          <w:rFonts w:ascii="Arial" w:cs="Arial" w:eastAsia="Arial" w:hAnsi="Arial"/>
          <w:sz w:val="19"/>
          <w:szCs w:val="19"/>
          <w:u w:val="single" w:color="auto"/>
          <w:color w:val="484848"/>
        </w:rPr>
        <w:t xml:space="preserve"> </w:t>
      </w:r>
      <w:r>
        <w:rPr>
          <w:rFonts w:ascii="Arial" w:cs="Arial" w:eastAsia="Arial" w:hAnsi="Arial"/>
          <w:sz w:val="19"/>
          <w:szCs w:val="19"/>
          <w:color w:val="313131"/>
        </w:rPr>
        <w:t>mean a positive or negative adjustment to the</w:t>
      </w:r>
      <w:r>
        <w:rPr>
          <w:rFonts w:ascii="Arial" w:cs="Arial" w:eastAsia="Arial" w:hAnsi="Arial"/>
          <w:sz w:val="19"/>
          <w:szCs w:val="19"/>
          <w:u w:val="single" w:color="auto"/>
          <w:color w:val="484848"/>
        </w:rPr>
        <w:t xml:space="preserve"> </w:t>
      </w:r>
      <w:r>
        <w:rPr>
          <w:rFonts w:ascii="Arial" w:cs="Arial" w:eastAsia="Arial" w:hAnsi="Arial"/>
          <w:sz w:val="19"/>
          <w:szCs w:val="19"/>
          <w:color w:val="484848"/>
        </w:rPr>
        <w:t>value</w:t>
      </w:r>
      <w:r>
        <w:rPr>
          <w:rFonts w:ascii="Arial" w:cs="Arial" w:eastAsia="Arial" w:hAnsi="Arial"/>
          <w:sz w:val="19"/>
          <w:szCs w:val="19"/>
          <w:u w:val="single" w:color="auto"/>
          <w:color w:val="484848"/>
        </w:rPr>
        <w:t xml:space="preserve"> </w:t>
      </w:r>
      <w:r>
        <w:rPr>
          <w:rFonts w:ascii="Arial" w:cs="Arial" w:eastAsia="Arial" w:hAnsi="Arial"/>
          <w:sz w:val="19"/>
          <w:szCs w:val="19"/>
          <w:color w:val="313131"/>
        </w:rPr>
        <w:t>of an Account, based upon the allocation of</w:t>
      </w:r>
      <w:r>
        <w:rPr>
          <w:rFonts w:ascii="Arial" w:cs="Arial" w:eastAsia="Arial" w:hAnsi="Arial"/>
          <w:sz w:val="19"/>
          <w:szCs w:val="19"/>
          <w:u w:val="single" w:color="auto"/>
          <w:color w:val="484848"/>
        </w:rPr>
        <w:t xml:space="preserve"> </w:t>
      </w:r>
      <w:r>
        <w:rPr>
          <w:rFonts w:ascii="Arial" w:cs="Arial" w:eastAsia="Arial" w:hAnsi="Arial"/>
          <w:sz w:val="19"/>
          <w:szCs w:val="19"/>
          <w:color w:val="313131"/>
        </w:rPr>
        <w:t>the Account by the Participant among deemed investment options in accordance with Article VIII.</w:t>
      </w:r>
    </w:p>
    <w:p>
      <w:pPr>
        <w:spacing w:after="0" w:line="154" w:lineRule="exact"/>
        <w:rPr>
          <w:sz w:val="20"/>
          <w:szCs w:val="20"/>
          <w:color w:val="auto"/>
        </w:rPr>
      </w:pPr>
    </w:p>
    <w:p>
      <w:pPr>
        <w:jc w:val="both"/>
        <w:ind w:left="840" w:hanging="634"/>
        <w:spacing w:after="0" w:line="278" w:lineRule="auto"/>
        <w:tabs>
          <w:tab w:leader="none" w:pos="820" w:val="left"/>
        </w:tabs>
        <w:rPr>
          <w:sz w:val="20"/>
          <w:szCs w:val="20"/>
          <w:color w:val="auto"/>
        </w:rPr>
      </w:pPr>
      <w:r>
        <w:rPr>
          <w:rFonts w:ascii="Arial" w:cs="Arial" w:eastAsia="Arial" w:hAnsi="Arial"/>
          <w:sz w:val="20"/>
          <w:szCs w:val="20"/>
          <w:color w:val="333333"/>
        </w:rPr>
        <w:t>2.26</w:t>
      </w:r>
      <w:r>
        <w:rPr>
          <w:sz w:val="20"/>
          <w:szCs w:val="20"/>
          <w:color w:val="auto"/>
        </w:rPr>
        <w:tab/>
      </w:r>
      <w:r>
        <w:rPr>
          <w:rFonts w:ascii="Arial" w:cs="Arial" w:eastAsia="Arial" w:hAnsi="Arial"/>
          <w:sz w:val="20"/>
          <w:szCs w:val="20"/>
          <w:u w:val="single" w:color="auto"/>
          <w:color w:val="313131"/>
        </w:rPr>
        <w:t xml:space="preserve">EDCP Performance Fund or Performance </w:t>
      </w:r>
      <w:r>
        <w:rPr>
          <w:rFonts w:ascii="Arial" w:cs="Arial" w:eastAsia="Arial" w:hAnsi="Arial"/>
          <w:sz w:val="20"/>
          <w:szCs w:val="20"/>
          <w:u w:val="single" w:color="auto"/>
          <w:color w:val="484848"/>
        </w:rPr>
        <w:t>Fund</w:t>
      </w:r>
      <w:r>
        <w:rPr>
          <w:rFonts w:ascii="Arial" w:cs="Arial" w:eastAsia="Arial" w:hAnsi="Arial"/>
          <w:sz w:val="20"/>
          <w:szCs w:val="20"/>
          <w:u w:val="single" w:color="auto"/>
          <w:color w:val="313131"/>
        </w:rPr>
        <w:t xml:space="preserve"> f.k.a. the NPL Growth Rate Fund</w:t>
      </w:r>
      <w:r>
        <w:rPr>
          <w:rFonts w:ascii="Arial" w:cs="Arial" w:eastAsia="Arial" w:hAnsi="Arial"/>
          <w:sz w:val="20"/>
          <w:szCs w:val="20"/>
          <w:color w:val="313131"/>
        </w:rPr>
        <w:t>. Pursuant to its authority under</w:t>
      </w:r>
      <w:r>
        <w:rPr>
          <w:rFonts w:ascii="Arial" w:cs="Arial" w:eastAsia="Arial" w:hAnsi="Arial"/>
          <w:sz w:val="20"/>
          <w:szCs w:val="20"/>
          <w:u w:val="single" w:color="auto"/>
          <w:color w:val="313131"/>
        </w:rPr>
        <w:t xml:space="preserve"> </w:t>
      </w:r>
      <w:r>
        <w:rPr>
          <w:rFonts w:ascii="Arial" w:cs="Arial" w:eastAsia="Arial" w:hAnsi="Arial"/>
          <w:sz w:val="20"/>
          <w:szCs w:val="20"/>
          <w:color w:val="313131"/>
        </w:rPr>
        <w:t>Section 8.3, the Company shall establish an investment option called the Performance Fund f.k.a. the Company Growth Rate Fund, effective January 1, 2013.</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20"/>
          <w:szCs w:val="20"/>
          <w:color w:val="333333"/>
        </w:rPr>
        <w:t>2.27</w:t>
      </w:r>
      <w:r>
        <w:rPr>
          <w:sz w:val="20"/>
          <w:szCs w:val="20"/>
          <w:color w:val="auto"/>
        </w:rPr>
        <w:tab/>
      </w:r>
      <w:r>
        <w:rPr>
          <w:rFonts w:ascii="Arial" w:cs="Arial" w:eastAsia="Arial" w:hAnsi="Arial"/>
          <w:sz w:val="18"/>
          <w:szCs w:val="18"/>
          <w:u w:val="single" w:color="auto"/>
          <w:color w:val="313131"/>
        </w:rPr>
        <w:t>EBITDA</w:t>
      </w:r>
      <w:r>
        <w:rPr>
          <w:rFonts w:ascii="Arial" w:cs="Arial" w:eastAsia="Arial" w:hAnsi="Arial"/>
          <w:sz w:val="18"/>
          <w:szCs w:val="18"/>
          <w:color w:val="313131"/>
        </w:rPr>
        <w:t>.</w:t>
      </w:r>
      <w:r>
        <w:rPr>
          <w:rFonts w:ascii="Arial" w:cs="Arial" w:eastAsia="Arial" w:hAnsi="Arial"/>
          <w:sz w:val="18"/>
          <w:szCs w:val="18"/>
          <w:u w:val="single" w:color="auto"/>
          <w:color w:val="313131"/>
        </w:rPr>
        <w:t xml:space="preserve"> </w:t>
      </w:r>
      <w:r>
        <w:rPr>
          <w:rFonts w:ascii="Arial" w:cs="Arial" w:eastAsia="Arial" w:hAnsi="Arial"/>
          <w:sz w:val="18"/>
          <w:szCs w:val="18"/>
          <w:color w:val="484848"/>
        </w:rPr>
        <w:t>EBITDA</w:t>
      </w:r>
      <w:r>
        <w:rPr>
          <w:rFonts w:ascii="Arial" w:cs="Arial" w:eastAsia="Arial" w:hAnsi="Arial"/>
          <w:sz w:val="18"/>
          <w:szCs w:val="18"/>
          <w:u w:val="single" w:color="auto"/>
          <w:color w:val="313131"/>
        </w:rPr>
        <w:t xml:space="preserve"> </w:t>
      </w:r>
      <w:r>
        <w:rPr>
          <w:rFonts w:ascii="Arial" w:cs="Arial" w:eastAsia="Arial" w:hAnsi="Arial"/>
          <w:sz w:val="18"/>
          <w:szCs w:val="18"/>
          <w:color w:val="313131"/>
        </w:rPr>
        <w:t>means the Company's earnings before interest, taxes, depreciation, and amortization.</w:t>
      </w:r>
    </w:p>
    <w:p>
      <w:pPr>
        <w:spacing w:after="0" w:line="243" w:lineRule="exact"/>
        <w:rPr>
          <w:sz w:val="20"/>
          <w:szCs w:val="20"/>
          <w:color w:val="auto"/>
        </w:rPr>
      </w:pPr>
    </w:p>
    <w:p>
      <w:pPr>
        <w:jc w:val="both"/>
        <w:ind w:left="800" w:hanging="620"/>
        <w:spacing w:after="0" w:line="260" w:lineRule="auto"/>
        <w:tabs>
          <w:tab w:leader="none" w:pos="780" w:val="left"/>
        </w:tabs>
        <w:rPr>
          <w:sz w:val="20"/>
          <w:szCs w:val="20"/>
          <w:color w:val="auto"/>
        </w:rPr>
      </w:pPr>
      <w:r>
        <w:rPr>
          <w:rFonts w:ascii="Arial" w:cs="Arial" w:eastAsia="Arial" w:hAnsi="Arial"/>
          <w:sz w:val="20"/>
          <w:szCs w:val="20"/>
          <w:color w:val="333333"/>
        </w:rPr>
        <w:t>2.28</w:t>
      </w:r>
      <w:r>
        <w:rPr>
          <w:sz w:val="20"/>
          <w:szCs w:val="20"/>
          <w:color w:val="auto"/>
        </w:rPr>
        <w:tab/>
      </w:r>
      <w:r>
        <w:rPr>
          <w:rFonts w:ascii="Arial" w:cs="Arial" w:eastAsia="Arial" w:hAnsi="Arial"/>
          <w:sz w:val="20"/>
          <w:szCs w:val="20"/>
          <w:u w:val="single" w:color="auto"/>
          <w:color w:val="484848"/>
        </w:rPr>
        <w:t>Eligible Employee</w:t>
      </w:r>
      <w:r>
        <w:rPr>
          <w:rFonts w:ascii="Arial" w:cs="Arial" w:eastAsia="Arial" w:hAnsi="Arial"/>
          <w:sz w:val="20"/>
          <w:szCs w:val="20"/>
          <w:color w:val="484848"/>
        </w:rPr>
        <w:t>. Eligible</w:t>
      </w:r>
      <w:r>
        <w:rPr>
          <w:rFonts w:ascii="Arial" w:cs="Arial" w:eastAsia="Arial" w:hAnsi="Arial"/>
          <w:sz w:val="20"/>
          <w:szCs w:val="20"/>
          <w:u w:val="single" w:color="auto"/>
          <w:color w:val="484848"/>
        </w:rPr>
        <w:t xml:space="preserve"> </w:t>
      </w:r>
      <w:r>
        <w:rPr>
          <w:rFonts w:ascii="Arial" w:cs="Arial" w:eastAsia="Arial" w:hAnsi="Arial"/>
          <w:sz w:val="20"/>
          <w:szCs w:val="20"/>
          <w:color w:val="313131"/>
        </w:rPr>
        <w:t>Employee means a member of a "select group of management or highly compensated</w:t>
      </w:r>
      <w:r>
        <w:rPr>
          <w:rFonts w:ascii="Arial" w:cs="Arial" w:eastAsia="Arial" w:hAnsi="Arial"/>
          <w:sz w:val="20"/>
          <w:szCs w:val="20"/>
          <w:u w:val="single" w:color="auto"/>
          <w:color w:val="484848"/>
        </w:rPr>
        <w:t xml:space="preserve"> </w:t>
      </w:r>
      <w:r>
        <w:rPr>
          <w:rFonts w:ascii="Arial" w:cs="Arial" w:eastAsia="Arial" w:hAnsi="Arial"/>
          <w:sz w:val="20"/>
          <w:szCs w:val="20"/>
          <w:color w:val="313131"/>
        </w:rPr>
        <w:t>employees" of a Participating Employer within the meaning of Sections 201(2), 301(a)(3) and 401(a)(1) of ERISA, as determined by the Committee from time to time in its sole discretion, who meets eligibility requirements set by the Committee for participation in the Plan.</w:t>
      </w:r>
    </w:p>
    <w:p>
      <w:pPr>
        <w:spacing w:after="0" w:line="232"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20"/>
          <w:szCs w:val="20"/>
          <w:color w:val="333333"/>
        </w:rPr>
        <w:t>2.29</w:t>
      </w:r>
      <w:r>
        <w:rPr>
          <w:sz w:val="20"/>
          <w:szCs w:val="20"/>
          <w:color w:val="auto"/>
        </w:rPr>
        <w:tab/>
      </w:r>
      <w:r>
        <w:rPr>
          <w:rFonts w:ascii="Arial" w:cs="Arial" w:eastAsia="Arial" w:hAnsi="Arial"/>
          <w:sz w:val="16"/>
          <w:szCs w:val="16"/>
          <w:u w:val="single" w:color="auto"/>
          <w:color w:val="525252"/>
        </w:rPr>
        <w:t>E</w:t>
      </w:r>
      <w:r>
        <w:rPr>
          <w:rFonts w:ascii="Arial" w:cs="Arial" w:eastAsia="Arial" w:hAnsi="Arial"/>
          <w:sz w:val="16"/>
          <w:szCs w:val="16"/>
          <w:u w:val="single" w:color="auto"/>
          <w:color w:val="343434"/>
        </w:rPr>
        <w:t>mployee</w:t>
      </w:r>
      <w:r>
        <w:rPr>
          <w:rFonts w:ascii="Arial" w:cs="Arial" w:eastAsia="Arial" w:hAnsi="Arial"/>
          <w:sz w:val="16"/>
          <w:szCs w:val="16"/>
          <w:color w:val="343434"/>
        </w:rPr>
        <w:t>. Employee means a common-law employee of an Employer.</w:t>
      </w:r>
    </w:p>
    <w:p>
      <w:pPr>
        <w:spacing w:after="0" w:line="243"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20"/>
          <w:szCs w:val="20"/>
          <w:color w:val="333333"/>
        </w:rPr>
        <w:t>2.30</w:t>
      </w:r>
      <w:r>
        <w:rPr>
          <w:sz w:val="20"/>
          <w:szCs w:val="20"/>
          <w:color w:val="auto"/>
        </w:rPr>
        <w:tab/>
      </w:r>
      <w:r>
        <w:rPr>
          <w:rFonts w:ascii="Arial" w:cs="Arial" w:eastAsia="Arial" w:hAnsi="Arial"/>
          <w:sz w:val="18"/>
          <w:szCs w:val="18"/>
          <w:u w:val="single" w:color="auto"/>
          <w:color w:val="343434"/>
        </w:rPr>
        <w:t>Employer</w:t>
      </w:r>
      <w:r>
        <w:rPr>
          <w:rFonts w:ascii="Arial" w:cs="Arial" w:eastAsia="Arial" w:hAnsi="Arial"/>
          <w:sz w:val="18"/>
          <w:szCs w:val="18"/>
          <w:color w:val="343434"/>
        </w:rPr>
        <w:t>. Employer means, with respect to Employees it employs, the Company or any Adopting Employer.</w:t>
      </w:r>
    </w:p>
    <w:p>
      <w:pPr>
        <w:spacing w:after="0" w:line="243" w:lineRule="exact"/>
        <w:rPr>
          <w:sz w:val="20"/>
          <w:szCs w:val="20"/>
          <w:color w:val="auto"/>
        </w:rPr>
      </w:pPr>
    </w:p>
    <w:p>
      <w:pPr>
        <w:jc w:val="both"/>
        <w:ind w:left="900" w:hanging="633"/>
        <w:spacing w:after="0" w:line="260" w:lineRule="auto"/>
        <w:tabs>
          <w:tab w:leader="none" w:pos="880" w:val="left"/>
        </w:tabs>
        <w:rPr>
          <w:sz w:val="20"/>
          <w:szCs w:val="20"/>
          <w:color w:val="auto"/>
        </w:rPr>
      </w:pPr>
      <w:r>
        <w:rPr>
          <w:rFonts w:ascii="Arial" w:cs="Arial" w:eastAsia="Arial" w:hAnsi="Arial"/>
          <w:sz w:val="20"/>
          <w:szCs w:val="20"/>
          <w:color w:val="333333"/>
        </w:rPr>
        <w:t>2.31</w:t>
      </w:r>
      <w:r>
        <w:rPr>
          <w:sz w:val="20"/>
          <w:szCs w:val="20"/>
          <w:color w:val="auto"/>
        </w:rPr>
        <w:tab/>
      </w:r>
      <w:r>
        <w:rPr>
          <w:rFonts w:ascii="Arial" w:cs="Arial" w:eastAsia="Arial" w:hAnsi="Arial"/>
          <w:sz w:val="20"/>
          <w:szCs w:val="20"/>
          <w:u w:val="single" w:color="auto"/>
          <w:color w:val="343434"/>
        </w:rPr>
        <w:t>ERISA</w:t>
      </w:r>
      <w:r>
        <w:rPr>
          <w:rFonts w:ascii="Arial" w:cs="Arial" w:eastAsia="Arial" w:hAnsi="Arial"/>
          <w:sz w:val="20"/>
          <w:szCs w:val="20"/>
          <w:color w:val="343434"/>
        </w:rPr>
        <w:t>. ERISA means the Employee Retirement Income Security Act of 1974, as amended from time to time</w:t>
      </w:r>
      <w:r>
        <w:rPr>
          <w:rFonts w:ascii="Arial" w:cs="Arial" w:eastAsia="Arial" w:hAnsi="Arial"/>
          <w:sz w:val="20"/>
          <w:szCs w:val="20"/>
          <w:color w:val="525252"/>
        </w:rPr>
        <w:t>.</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Reference to a specific section of ERISA shall include such section, any valid regulation promulgated thereunder, and any comparable provision of any future legislation or regulation amending, supplementing, or superseding such section or regulation.</w:t>
      </w:r>
    </w:p>
    <w:p>
      <w:pPr>
        <w:spacing w:after="0" w:line="191" w:lineRule="exact"/>
        <w:rPr>
          <w:sz w:val="20"/>
          <w:szCs w:val="20"/>
          <w:color w:val="auto"/>
        </w:rPr>
      </w:pPr>
    </w:p>
    <w:p>
      <w:pPr>
        <w:jc w:val="both"/>
        <w:ind w:left="880" w:hanging="634"/>
        <w:spacing w:after="0" w:line="288" w:lineRule="auto"/>
        <w:tabs>
          <w:tab w:leader="none" w:pos="860" w:val="left"/>
        </w:tabs>
        <w:rPr>
          <w:sz w:val="20"/>
          <w:szCs w:val="20"/>
          <w:color w:val="auto"/>
        </w:rPr>
      </w:pPr>
      <w:r>
        <w:rPr>
          <w:rFonts w:ascii="Arial" w:cs="Arial" w:eastAsia="Arial" w:hAnsi="Arial"/>
          <w:sz w:val="20"/>
          <w:szCs w:val="20"/>
          <w:color w:val="333333"/>
        </w:rPr>
        <w:t>2.32</w:t>
      </w:r>
      <w:r>
        <w:rPr>
          <w:sz w:val="20"/>
          <w:szCs w:val="20"/>
          <w:color w:val="auto"/>
        </w:rPr>
        <w:tab/>
      </w:r>
      <w:r>
        <w:rPr>
          <w:rFonts w:ascii="Arial" w:cs="Arial" w:eastAsia="Arial" w:hAnsi="Arial"/>
          <w:sz w:val="20"/>
          <w:szCs w:val="20"/>
          <w:u w:val="single" w:color="auto"/>
          <w:color w:val="343434"/>
        </w:rPr>
        <w:t>LTCIP</w:t>
      </w:r>
      <w:r>
        <w:rPr>
          <w:rFonts w:ascii="Arial" w:cs="Arial" w:eastAsia="Arial" w:hAnsi="Arial"/>
          <w:sz w:val="20"/>
          <w:szCs w:val="20"/>
          <w:color w:val="343434"/>
        </w:rPr>
        <w:t>. LTCIP means the Centuri Group, Inc. Long Term Capital Investment Plan effective January 1, 2013, as</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amended from time to time, and merged into this Plan effective January 01, 2020.</w:t>
      </w:r>
    </w:p>
    <w:p>
      <w:pPr>
        <w:spacing w:after="0" w:line="177" w:lineRule="exact"/>
        <w:rPr>
          <w:sz w:val="20"/>
          <w:szCs w:val="20"/>
          <w:color w:val="auto"/>
        </w:rPr>
      </w:pPr>
    </w:p>
    <w:p>
      <w:pPr>
        <w:jc w:val="both"/>
        <w:ind w:left="880" w:hanging="634"/>
        <w:spacing w:after="0" w:line="279" w:lineRule="auto"/>
        <w:tabs>
          <w:tab w:leader="none" w:pos="860" w:val="left"/>
        </w:tabs>
        <w:rPr>
          <w:sz w:val="20"/>
          <w:szCs w:val="20"/>
          <w:color w:val="auto"/>
        </w:rPr>
      </w:pPr>
      <w:r>
        <w:rPr>
          <w:rFonts w:ascii="Arial" w:cs="Arial" w:eastAsia="Arial" w:hAnsi="Arial"/>
          <w:sz w:val="20"/>
          <w:szCs w:val="20"/>
          <w:color w:val="333333"/>
        </w:rPr>
        <w:t>2.33</w:t>
      </w:r>
      <w:r>
        <w:rPr>
          <w:sz w:val="20"/>
          <w:szCs w:val="20"/>
          <w:color w:val="auto"/>
        </w:rPr>
        <w:tab/>
      </w:r>
      <w:r>
        <w:rPr>
          <w:rFonts w:ascii="Arial" w:cs="Arial" w:eastAsia="Arial" w:hAnsi="Arial"/>
          <w:sz w:val="20"/>
          <w:szCs w:val="20"/>
          <w:u w:val="single" w:color="auto"/>
          <w:color w:val="343434"/>
        </w:rPr>
        <w:t>Participant</w:t>
      </w:r>
      <w:r>
        <w:rPr>
          <w:rFonts w:ascii="Arial" w:cs="Arial" w:eastAsia="Arial" w:hAnsi="Arial"/>
          <w:sz w:val="20"/>
          <w:szCs w:val="20"/>
          <w:color w:val="343434"/>
        </w:rPr>
        <w:t>. Participant means an Eligible Employee who: (a) has received written notification of his or her</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eligibility to defer Compensation under the Plan, and (b) submits a Compensation Deferral Agreement pursuant to Article IV of the Plan. A Participant's continued participation in the Plan shall be governed by Section 3</w:t>
      </w:r>
      <w:r>
        <w:rPr>
          <w:rFonts w:ascii="Arial" w:cs="Arial" w:eastAsia="Arial" w:hAnsi="Arial"/>
          <w:sz w:val="20"/>
          <w:szCs w:val="20"/>
          <w:color w:val="707070"/>
        </w:rPr>
        <w:t>.</w:t>
      </w:r>
      <w:r>
        <w:rPr>
          <w:rFonts w:ascii="Arial" w:cs="Arial" w:eastAsia="Arial" w:hAnsi="Arial"/>
          <w:sz w:val="20"/>
          <w:szCs w:val="20"/>
          <w:color w:val="343434"/>
        </w:rPr>
        <w:t>2 of the Plan.</w:t>
      </w:r>
    </w:p>
    <w:p>
      <w:pPr>
        <w:spacing w:after="0" w:line="200" w:lineRule="exact"/>
        <w:rPr>
          <w:sz w:val="20"/>
          <w:szCs w:val="20"/>
          <w:color w:val="auto"/>
        </w:rPr>
      </w:pPr>
    </w:p>
    <w:p>
      <w:pPr>
        <w:ind w:left="240"/>
        <w:spacing w:after="0"/>
        <w:tabs>
          <w:tab w:leader="none" w:pos="840" w:val="left"/>
        </w:tabs>
        <w:rPr>
          <w:sz w:val="20"/>
          <w:szCs w:val="20"/>
          <w:color w:val="auto"/>
        </w:rPr>
      </w:pPr>
      <w:r>
        <w:rPr>
          <w:rFonts w:ascii="Arial" w:cs="Arial" w:eastAsia="Arial" w:hAnsi="Arial"/>
          <w:sz w:val="20"/>
          <w:szCs w:val="20"/>
          <w:color w:val="333333"/>
        </w:rPr>
        <w:t>2.34</w:t>
      </w:r>
      <w:r>
        <w:rPr>
          <w:sz w:val="20"/>
          <w:szCs w:val="20"/>
          <w:color w:val="auto"/>
        </w:rPr>
        <w:tab/>
      </w:r>
      <w:r>
        <w:rPr>
          <w:rFonts w:ascii="Arial" w:cs="Arial" w:eastAsia="Arial" w:hAnsi="Arial"/>
          <w:sz w:val="18"/>
          <w:szCs w:val="18"/>
          <w:u w:val="single" w:color="auto"/>
          <w:color w:val="343434"/>
        </w:rPr>
        <w:t>Participating Employer</w:t>
      </w:r>
      <w:r>
        <w:rPr>
          <w:rFonts w:ascii="Arial" w:cs="Arial" w:eastAsia="Arial" w:hAnsi="Arial"/>
          <w:sz w:val="18"/>
          <w:szCs w:val="18"/>
          <w:color w:val="343434"/>
        </w:rPr>
        <w:t>. Participating</w:t>
      </w:r>
      <w:r>
        <w:rPr>
          <w:rFonts w:ascii="Arial" w:cs="Arial" w:eastAsia="Arial" w:hAnsi="Arial"/>
          <w:sz w:val="18"/>
          <w:szCs w:val="18"/>
          <w:u w:val="single" w:color="auto"/>
          <w:color w:val="343434"/>
        </w:rPr>
        <w:t xml:space="preserve"> </w:t>
      </w:r>
      <w:r>
        <w:rPr>
          <w:rFonts w:ascii="Arial" w:cs="Arial" w:eastAsia="Arial" w:hAnsi="Arial"/>
          <w:sz w:val="18"/>
          <w:szCs w:val="18"/>
          <w:color w:val="525252"/>
        </w:rPr>
        <w:t>E</w:t>
      </w:r>
      <w:r>
        <w:rPr>
          <w:rFonts w:ascii="Arial" w:cs="Arial" w:eastAsia="Arial" w:hAnsi="Arial"/>
          <w:sz w:val="18"/>
          <w:szCs w:val="18"/>
          <w:color w:val="343434"/>
        </w:rPr>
        <w:t>mployer means the Company and each Adopting Employer.</w:t>
      </w:r>
    </w:p>
    <w:p>
      <w:pPr>
        <w:spacing w:after="0" w:line="243" w:lineRule="exact"/>
        <w:rPr>
          <w:sz w:val="20"/>
          <w:szCs w:val="20"/>
          <w:color w:val="auto"/>
        </w:rPr>
      </w:pPr>
    </w:p>
    <w:p>
      <w:pPr>
        <w:jc w:val="both"/>
        <w:ind w:left="860" w:hanging="647"/>
        <w:spacing w:after="0" w:line="274" w:lineRule="auto"/>
        <w:tabs>
          <w:tab w:leader="none" w:pos="840" w:val="left"/>
        </w:tabs>
        <w:rPr>
          <w:sz w:val="20"/>
          <w:szCs w:val="20"/>
          <w:color w:val="auto"/>
        </w:rPr>
      </w:pPr>
      <w:r>
        <w:rPr>
          <w:rFonts w:ascii="Arial" w:cs="Arial" w:eastAsia="Arial" w:hAnsi="Arial"/>
          <w:sz w:val="20"/>
          <w:szCs w:val="20"/>
          <w:color w:val="333333"/>
        </w:rPr>
        <w:t>2.35</w:t>
      </w:r>
      <w:r>
        <w:rPr>
          <w:sz w:val="20"/>
          <w:szCs w:val="20"/>
          <w:color w:val="auto"/>
        </w:rPr>
        <w:tab/>
      </w:r>
      <w:r>
        <w:rPr>
          <w:rFonts w:ascii="Arial" w:cs="Arial" w:eastAsia="Arial" w:hAnsi="Arial"/>
          <w:sz w:val="20"/>
          <w:szCs w:val="20"/>
          <w:u w:val="single" w:color="auto"/>
          <w:color w:val="343434"/>
        </w:rPr>
        <w:t>Payment Schedule</w:t>
      </w:r>
      <w:r>
        <w:rPr>
          <w:rFonts w:ascii="Arial" w:cs="Arial" w:eastAsia="Arial" w:hAnsi="Arial"/>
          <w:sz w:val="20"/>
          <w:szCs w:val="20"/>
          <w:color w:val="343434"/>
        </w:rPr>
        <w:t>. Payment Schedule means the date as of which payment of one or more Accounts under the Plan</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will commence and the form in which payment of such Account(s) will be made.</w:t>
      </w:r>
    </w:p>
    <w:p>
      <w:pPr>
        <w:spacing w:after="0" w:line="177" w:lineRule="exact"/>
        <w:rPr>
          <w:sz w:val="20"/>
          <w:szCs w:val="20"/>
          <w:color w:val="auto"/>
        </w:rPr>
      </w:pPr>
    </w:p>
    <w:p>
      <w:pPr>
        <w:jc w:val="both"/>
        <w:ind w:left="840" w:hanging="633"/>
        <w:spacing w:after="0" w:line="304" w:lineRule="auto"/>
        <w:tabs>
          <w:tab w:leader="none" w:pos="820" w:val="left"/>
        </w:tabs>
        <w:rPr>
          <w:sz w:val="20"/>
          <w:szCs w:val="20"/>
          <w:color w:val="auto"/>
        </w:rPr>
      </w:pPr>
      <w:r>
        <w:rPr>
          <w:rFonts w:ascii="Arial" w:cs="Arial" w:eastAsia="Arial" w:hAnsi="Arial"/>
          <w:sz w:val="20"/>
          <w:szCs w:val="20"/>
          <w:color w:val="333333"/>
        </w:rPr>
        <w:t>2.36</w:t>
      </w:r>
      <w:r>
        <w:rPr>
          <w:sz w:val="20"/>
          <w:szCs w:val="20"/>
          <w:color w:val="auto"/>
        </w:rPr>
        <w:tab/>
      </w:r>
      <w:r>
        <w:rPr>
          <w:rFonts w:ascii="Arial" w:cs="Arial" w:eastAsia="Arial" w:hAnsi="Arial"/>
          <w:sz w:val="18"/>
          <w:szCs w:val="18"/>
          <w:u w:val="single" w:color="auto"/>
          <w:color w:val="343434"/>
        </w:rPr>
        <w:t>Performance</w:t>
      </w:r>
      <w:r>
        <w:rPr>
          <w:rFonts w:ascii="Arial" w:cs="Arial" w:eastAsia="Arial" w:hAnsi="Arial"/>
          <w:sz w:val="18"/>
          <w:szCs w:val="18"/>
          <w:u w:val="single" w:color="auto"/>
          <w:color w:val="525252"/>
        </w:rPr>
        <w:t>-</w:t>
      </w:r>
      <w:r>
        <w:rPr>
          <w:rFonts w:ascii="Arial" w:cs="Arial" w:eastAsia="Arial" w:hAnsi="Arial"/>
          <w:sz w:val="18"/>
          <w:szCs w:val="18"/>
          <w:u w:val="single" w:color="auto"/>
          <w:color w:val="343434"/>
        </w:rPr>
        <w:t>Based Compensation</w:t>
      </w:r>
      <w:r>
        <w:rPr>
          <w:rFonts w:ascii="Arial" w:cs="Arial" w:eastAsia="Arial" w:hAnsi="Arial"/>
          <w:sz w:val="18"/>
          <w:szCs w:val="18"/>
          <w:color w:val="343434"/>
        </w:rPr>
        <w:t>. Performance-Based Compensation means any Bonus or other compensation</w:t>
      </w:r>
      <w:r>
        <w:rPr>
          <w:rFonts w:ascii="Arial" w:cs="Arial" w:eastAsia="Arial" w:hAnsi="Arial"/>
          <w:sz w:val="18"/>
          <w:szCs w:val="18"/>
          <w:u w:val="single" w:color="auto"/>
          <w:color w:val="343434"/>
        </w:rPr>
        <w:t xml:space="preserve"> </w:t>
      </w:r>
      <w:r>
        <w:rPr>
          <w:rFonts w:ascii="Arial" w:cs="Arial" w:eastAsia="Arial" w:hAnsi="Arial"/>
          <w:sz w:val="18"/>
          <w:szCs w:val="18"/>
          <w:color w:val="343434"/>
        </w:rPr>
        <w:t>amount to the extent that it is: (a) contingent on the satisfaction of pre established organizational or individual performance criteria, (b) not readily ascertainable at the time the deferral election is made, and (c) based on services performed over a period of at least 12 months. For this purpose, performance criteria are "pre-established" if they are established in writing no later than 90 days after the commencement of the service period to which the criteria relate, provided that the outcome is substantially uncertain at the time the criteria are established. Performance</w:t>
      </w:r>
      <w:r>
        <w:rPr>
          <w:rFonts w:ascii="Arial" w:cs="Arial" w:eastAsia="Arial" w:hAnsi="Arial"/>
          <w:sz w:val="18"/>
          <w:szCs w:val="18"/>
          <w:color w:val="525252"/>
        </w:rPr>
        <w:t>-</w:t>
      </w:r>
      <w:r>
        <w:rPr>
          <w:rFonts w:ascii="Arial" w:cs="Arial" w:eastAsia="Arial" w:hAnsi="Arial"/>
          <w:sz w:val="18"/>
          <w:szCs w:val="18"/>
          <w:color w:val="343434"/>
        </w:rPr>
        <w:t xml:space="preserve">Based Compensation shall not include any Bonus or other compensation that is paid due to the Participant's death, or because the Participant becomes Disabled, without regard to the satisfaction of the performance criteria. The determination of whether compensation is Performance Based Compensation shall be made in compliance with Treas. Reg. </w:t>
      </w:r>
      <w:r>
        <w:rPr>
          <w:rFonts w:ascii="Arial" w:cs="Arial" w:eastAsia="Arial" w:hAnsi="Arial"/>
          <w:sz w:val="18"/>
          <w:szCs w:val="18"/>
          <w:color w:val="525252"/>
        </w:rPr>
        <w:t>§</w:t>
      </w:r>
      <w:r>
        <w:rPr>
          <w:rFonts w:ascii="Arial" w:cs="Arial" w:eastAsia="Arial" w:hAnsi="Arial"/>
          <w:sz w:val="18"/>
          <w:szCs w:val="18"/>
          <w:color w:val="343434"/>
        </w:rPr>
        <w:t>1.409A-1(e).</w:t>
      </w:r>
    </w:p>
    <w:p>
      <w:pPr>
        <w:spacing w:after="0" w:line="173" w:lineRule="exact"/>
        <w:rPr>
          <w:sz w:val="20"/>
          <w:szCs w:val="20"/>
          <w:color w:val="auto"/>
        </w:rPr>
      </w:pPr>
    </w:p>
    <w:p>
      <w:pPr>
        <w:jc w:val="both"/>
        <w:ind w:left="840" w:hanging="647"/>
        <w:spacing w:after="0" w:line="360" w:lineRule="auto"/>
        <w:tabs>
          <w:tab w:leader="none" w:pos="820" w:val="left"/>
        </w:tabs>
        <w:rPr>
          <w:sz w:val="20"/>
          <w:szCs w:val="20"/>
          <w:color w:val="auto"/>
        </w:rPr>
      </w:pPr>
      <w:r>
        <w:rPr>
          <w:rFonts w:ascii="Arial" w:cs="Arial" w:eastAsia="Arial" w:hAnsi="Arial"/>
          <w:sz w:val="20"/>
          <w:szCs w:val="20"/>
          <w:color w:val="333333"/>
        </w:rPr>
        <w:t>2.37</w:t>
      </w:r>
      <w:r>
        <w:rPr>
          <w:sz w:val="20"/>
          <w:szCs w:val="20"/>
          <w:color w:val="auto"/>
        </w:rPr>
        <w:tab/>
      </w:r>
      <w:r>
        <w:rPr>
          <w:rFonts w:ascii="Arial" w:cs="Arial" w:eastAsia="Arial" w:hAnsi="Arial"/>
          <w:sz w:val="16"/>
          <w:szCs w:val="16"/>
          <w:u w:val="single" w:color="auto"/>
          <w:color w:val="343434"/>
        </w:rPr>
        <w:t>Plan</w:t>
      </w:r>
      <w:r>
        <w:rPr>
          <w:rFonts w:ascii="Arial" w:cs="Arial" w:eastAsia="Arial" w:hAnsi="Arial"/>
          <w:sz w:val="16"/>
          <w:szCs w:val="16"/>
          <w:color w:val="343434"/>
        </w:rPr>
        <w:t>. Generally, the term Plan means the "Centuri Group, Inc. Executive Deferred Compensation Plan" as</w:t>
      </w:r>
      <w:r>
        <w:rPr>
          <w:rFonts w:ascii="Arial" w:cs="Arial" w:eastAsia="Arial" w:hAnsi="Arial"/>
          <w:sz w:val="16"/>
          <w:szCs w:val="16"/>
          <w:u w:val="single" w:color="auto"/>
          <w:color w:val="343434"/>
        </w:rPr>
        <w:t xml:space="preserve"> </w:t>
      </w:r>
      <w:r>
        <w:rPr>
          <w:rFonts w:ascii="Arial" w:cs="Arial" w:eastAsia="Arial" w:hAnsi="Arial"/>
          <w:sz w:val="16"/>
          <w:szCs w:val="16"/>
          <w:color w:val="343434"/>
        </w:rPr>
        <w:t>documented herein, and as may be amended from time to time hereafter. However, to the extent permitted or required under Code Section 409A, the term Plan may in the appropriate context also mean a portion of the Plan that</w:t>
      </w:r>
    </w:p>
    <w:p>
      <w:pPr>
        <w:sectPr>
          <w:pgSz w:w="11900" w:h="16838" w:orient="portrait"/>
          <w:cols w:equalWidth="0" w:num="1">
            <w:col w:w="10120"/>
          </w:cols>
          <w:pgMar w:left="1440" w:top="136" w:right="339" w:bottom="0" w:gutter="0" w:footer="0" w:header="0"/>
        </w:sectPr>
      </w:pPr>
    </w:p>
    <w:bookmarkStart w:id="54" w:name="page55"/>
    <w:bookmarkEnd w:id="54"/>
    <w:p>
      <w:pPr>
        <w:spacing w:after="0" w:line="99" w:lineRule="exact"/>
        <w:rPr>
          <w:sz w:val="20"/>
          <w:szCs w:val="20"/>
          <w:color w:val="auto"/>
        </w:rPr>
      </w:pPr>
    </w:p>
    <w:p>
      <w:pPr>
        <w:ind w:left="840"/>
        <w:spacing w:after="0" w:line="301" w:lineRule="auto"/>
        <w:rPr>
          <w:sz w:val="20"/>
          <w:szCs w:val="20"/>
          <w:color w:val="auto"/>
        </w:rPr>
      </w:pPr>
      <w:r>
        <w:rPr>
          <w:rFonts w:ascii="Arial" w:cs="Arial" w:eastAsia="Arial" w:hAnsi="Arial"/>
          <w:sz w:val="19"/>
          <w:szCs w:val="19"/>
          <w:color w:val="343434"/>
        </w:rPr>
        <w:t>is treated as a single plan under Treas. Reg. §1.409A-1(c), or the Plan or portion of the Plan and any other nonqualified deferred compensation plan or portion thereof that is treated as a single plan under such section.</w:t>
      </w:r>
    </w:p>
    <w:p>
      <w:pPr>
        <w:spacing w:after="0" w:line="154"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20"/>
          <w:szCs w:val="20"/>
          <w:color w:val="333333"/>
        </w:rPr>
        <w:t>2.38</w:t>
      </w:r>
      <w:r>
        <w:rPr>
          <w:sz w:val="20"/>
          <w:szCs w:val="20"/>
          <w:color w:val="auto"/>
        </w:rPr>
        <w:tab/>
      </w:r>
      <w:r>
        <w:rPr>
          <w:rFonts w:ascii="Arial" w:cs="Arial" w:eastAsia="Arial" w:hAnsi="Arial"/>
          <w:sz w:val="16"/>
          <w:szCs w:val="16"/>
          <w:u w:val="single" w:color="auto"/>
          <w:color w:val="343434"/>
        </w:rPr>
        <w:t>Plan Year</w:t>
      </w:r>
      <w:r>
        <w:rPr>
          <w:rFonts w:ascii="Arial" w:cs="Arial" w:eastAsia="Arial" w:hAnsi="Arial"/>
          <w:sz w:val="16"/>
          <w:szCs w:val="16"/>
          <w:color w:val="343434"/>
        </w:rPr>
        <w:t>. Plan Year means a period beginning on January 1 and ending on December 31 of the same calendar year.</w:t>
      </w:r>
    </w:p>
    <w:p>
      <w:pPr>
        <w:spacing w:after="0" w:line="310"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20"/>
          <w:szCs w:val="20"/>
          <w:color w:val="333333"/>
        </w:rPr>
        <w:t>2.39</w:t>
      </w:r>
      <w:r>
        <w:rPr>
          <w:sz w:val="20"/>
          <w:szCs w:val="20"/>
          <w:color w:val="auto"/>
        </w:rPr>
        <w:tab/>
      </w:r>
      <w:r>
        <w:rPr>
          <w:rFonts w:ascii="Arial" w:cs="Arial" w:eastAsia="Arial" w:hAnsi="Arial"/>
          <w:sz w:val="16"/>
          <w:szCs w:val="16"/>
          <w:u w:val="single" w:color="auto"/>
          <w:color w:val="343434"/>
        </w:rPr>
        <w:t>Retirement</w:t>
      </w:r>
      <w:r>
        <w:rPr>
          <w:rFonts w:ascii="Arial" w:cs="Arial" w:eastAsia="Arial" w:hAnsi="Arial"/>
          <w:sz w:val="16"/>
          <w:szCs w:val="16"/>
          <w:color w:val="343434"/>
        </w:rPr>
        <w:t>. Retirement means a Separation from Service of a Participant on or after attaining age 59 1/2</w:t>
      </w:r>
      <w:r>
        <w:rPr>
          <w:rFonts w:ascii="Arial" w:cs="Arial" w:eastAsia="Arial" w:hAnsi="Arial"/>
          <w:sz w:val="15"/>
          <w:szCs w:val="15"/>
          <w:color w:val="464646"/>
        </w:rPr>
        <w:t>.</w:t>
      </w:r>
    </w:p>
    <w:p>
      <w:pPr>
        <w:spacing w:after="0" w:line="243" w:lineRule="exact"/>
        <w:rPr>
          <w:sz w:val="20"/>
          <w:szCs w:val="20"/>
          <w:color w:val="auto"/>
        </w:rPr>
      </w:pPr>
    </w:p>
    <w:p>
      <w:pPr>
        <w:jc w:val="both"/>
        <w:ind w:left="880" w:hanging="634"/>
        <w:spacing w:after="0" w:line="272" w:lineRule="auto"/>
        <w:tabs>
          <w:tab w:leader="none" w:pos="860" w:val="left"/>
        </w:tabs>
        <w:rPr>
          <w:sz w:val="20"/>
          <w:szCs w:val="20"/>
          <w:color w:val="auto"/>
        </w:rPr>
      </w:pPr>
      <w:r>
        <w:rPr>
          <w:rFonts w:ascii="Arial" w:cs="Arial" w:eastAsia="Arial" w:hAnsi="Arial"/>
          <w:sz w:val="20"/>
          <w:szCs w:val="20"/>
          <w:color w:val="333333"/>
        </w:rPr>
        <w:t>2.40</w:t>
      </w:r>
      <w:r>
        <w:rPr>
          <w:sz w:val="20"/>
          <w:szCs w:val="20"/>
          <w:color w:val="auto"/>
        </w:rPr>
        <w:tab/>
      </w:r>
      <w:r>
        <w:rPr>
          <w:rFonts w:ascii="Arial" w:cs="Arial" w:eastAsia="Arial" w:hAnsi="Arial"/>
          <w:sz w:val="19"/>
          <w:szCs w:val="19"/>
          <w:u w:val="single" w:color="auto"/>
          <w:color w:val="343434"/>
        </w:rPr>
        <w:t>Salary</w:t>
      </w:r>
      <w:r>
        <w:rPr>
          <w:rFonts w:ascii="Arial" w:cs="Arial" w:eastAsia="Arial" w:hAnsi="Arial"/>
          <w:sz w:val="19"/>
          <w:szCs w:val="19"/>
          <w:color w:val="343434"/>
        </w:rPr>
        <w:t>. Salary means the Participant's annual cash compensation for services performed for a Service Recipient</w:t>
      </w:r>
      <w:r>
        <w:rPr>
          <w:rFonts w:ascii="Arial" w:cs="Arial" w:eastAsia="Arial" w:hAnsi="Arial"/>
          <w:sz w:val="19"/>
          <w:szCs w:val="19"/>
          <w:u w:val="single" w:color="auto"/>
          <w:color w:val="343434"/>
        </w:rPr>
        <w:t xml:space="preserve"> </w:t>
      </w:r>
      <w:r>
        <w:rPr>
          <w:rFonts w:ascii="Arial" w:cs="Arial" w:eastAsia="Arial" w:hAnsi="Arial"/>
          <w:sz w:val="19"/>
          <w:szCs w:val="19"/>
          <w:color w:val="343434"/>
        </w:rPr>
        <w:t>during the applicable Plan Year, whether or not paid in such Plan Year, or included on the federal income tax form W-2 for such year, excluding Bonuses, commissions, stock options, stock appreciation rights, restricted stock, relocation expenses, payments of unused vacation days, long term or other incentive payments, non-monetary awards, other non-monetary compensation, severance pay, and other allowances paid to the Participant. Salary shall be calculated before reduction for compensation voluntarily deferred or contributed by Participant pursuant to all qualified or nonqualified plans of any Employer.</w:t>
      </w:r>
    </w:p>
    <w:p>
      <w:pPr>
        <w:spacing w:after="0" w:line="184" w:lineRule="exact"/>
        <w:rPr>
          <w:sz w:val="20"/>
          <w:szCs w:val="20"/>
          <w:color w:val="auto"/>
        </w:rPr>
      </w:pPr>
    </w:p>
    <w:p>
      <w:pPr>
        <w:jc w:val="both"/>
        <w:ind w:left="840" w:hanging="633"/>
        <w:spacing w:after="0" w:line="270" w:lineRule="auto"/>
        <w:tabs>
          <w:tab w:leader="none" w:pos="820" w:val="left"/>
        </w:tabs>
        <w:rPr>
          <w:sz w:val="20"/>
          <w:szCs w:val="20"/>
          <w:color w:val="auto"/>
        </w:rPr>
      </w:pPr>
      <w:r>
        <w:rPr>
          <w:rFonts w:ascii="Arial" w:cs="Arial" w:eastAsia="Arial" w:hAnsi="Arial"/>
          <w:sz w:val="20"/>
          <w:szCs w:val="20"/>
          <w:color w:val="333333"/>
        </w:rPr>
        <w:t>2.41</w:t>
      </w:r>
      <w:r>
        <w:rPr>
          <w:sz w:val="20"/>
          <w:szCs w:val="20"/>
          <w:color w:val="auto"/>
        </w:rPr>
        <w:tab/>
      </w:r>
      <w:r>
        <w:rPr>
          <w:rFonts w:ascii="Arial" w:cs="Arial" w:eastAsia="Arial" w:hAnsi="Arial"/>
          <w:sz w:val="19"/>
          <w:szCs w:val="19"/>
          <w:u w:val="single" w:color="auto"/>
          <w:color w:val="343434"/>
        </w:rPr>
        <w:t xml:space="preserve">Separation from </w:t>
      </w:r>
      <w:r>
        <w:rPr>
          <w:rFonts w:ascii="Arial" w:cs="Arial" w:eastAsia="Arial" w:hAnsi="Arial"/>
          <w:sz w:val="19"/>
          <w:szCs w:val="19"/>
          <w:u w:val="single" w:color="auto"/>
          <w:color w:val="464646"/>
        </w:rPr>
        <w:t>Service</w:t>
      </w:r>
      <w:r>
        <w:rPr>
          <w:rFonts w:ascii="Arial" w:cs="Arial" w:eastAsia="Arial" w:hAnsi="Arial"/>
          <w:sz w:val="19"/>
          <w:szCs w:val="19"/>
          <w:color w:val="464646"/>
        </w:rPr>
        <w:t>.</w:t>
      </w:r>
      <w:r>
        <w:rPr>
          <w:rFonts w:ascii="Arial" w:cs="Arial" w:eastAsia="Arial" w:hAnsi="Arial"/>
          <w:sz w:val="19"/>
          <w:szCs w:val="19"/>
          <w:u w:val="single" w:color="auto"/>
          <w:color w:val="343434"/>
        </w:rPr>
        <w:t xml:space="preserve"> </w:t>
      </w:r>
      <w:r>
        <w:rPr>
          <w:rFonts w:ascii="Arial" w:cs="Arial" w:eastAsia="Arial" w:hAnsi="Arial"/>
          <w:sz w:val="19"/>
          <w:szCs w:val="19"/>
          <w:color w:val="343434"/>
        </w:rPr>
        <w:t>With respect to a Service Provider who is an</w:t>
      </w:r>
      <w:r>
        <w:rPr>
          <w:rFonts w:ascii="Arial" w:cs="Arial" w:eastAsia="Arial" w:hAnsi="Arial"/>
          <w:sz w:val="19"/>
          <w:szCs w:val="19"/>
          <w:u w:val="single" w:color="auto"/>
          <w:color w:val="343434"/>
        </w:rPr>
        <w:t xml:space="preserve"> </w:t>
      </w:r>
      <w:r>
        <w:rPr>
          <w:rFonts w:ascii="Arial" w:cs="Arial" w:eastAsia="Arial" w:hAnsi="Arial"/>
          <w:sz w:val="19"/>
          <w:szCs w:val="19"/>
          <w:color w:val="464646"/>
        </w:rPr>
        <w:t>Employee,</w:t>
      </w:r>
      <w:r>
        <w:rPr>
          <w:rFonts w:ascii="Arial" w:cs="Arial" w:eastAsia="Arial" w:hAnsi="Arial"/>
          <w:sz w:val="19"/>
          <w:szCs w:val="19"/>
          <w:u w:val="single" w:color="auto"/>
          <w:color w:val="343434"/>
        </w:rPr>
        <w:t xml:space="preserve"> </w:t>
      </w:r>
      <w:r>
        <w:rPr>
          <w:rFonts w:ascii="Arial" w:cs="Arial" w:eastAsia="Arial" w:hAnsi="Arial"/>
          <w:sz w:val="19"/>
          <w:szCs w:val="19"/>
          <w:color w:val="343434"/>
        </w:rPr>
        <w:t>Separation from Service means</w:t>
      </w:r>
      <w:r>
        <w:rPr>
          <w:rFonts w:ascii="Arial" w:cs="Arial" w:eastAsia="Arial" w:hAnsi="Arial"/>
          <w:sz w:val="19"/>
          <w:szCs w:val="19"/>
          <w:u w:val="single" w:color="auto"/>
          <w:color w:val="343434"/>
        </w:rPr>
        <w:t xml:space="preserve"> </w:t>
      </w:r>
      <w:r>
        <w:rPr>
          <w:rFonts w:ascii="Arial" w:cs="Arial" w:eastAsia="Arial" w:hAnsi="Arial"/>
          <w:sz w:val="19"/>
          <w:szCs w:val="19"/>
          <w:color w:val="343434"/>
        </w:rPr>
        <w:t xml:space="preserve">either (i) termination of the </w:t>
      </w:r>
      <w:r>
        <w:rPr>
          <w:rFonts w:ascii="Arial" w:cs="Arial" w:eastAsia="Arial" w:hAnsi="Arial"/>
          <w:sz w:val="19"/>
          <w:szCs w:val="19"/>
          <w:color w:val="464646"/>
        </w:rPr>
        <w:t>Employee's</w:t>
      </w:r>
      <w:r>
        <w:rPr>
          <w:rFonts w:ascii="Arial" w:cs="Arial" w:eastAsia="Arial" w:hAnsi="Arial"/>
          <w:sz w:val="19"/>
          <w:szCs w:val="19"/>
          <w:color w:val="343434"/>
        </w:rPr>
        <w:t xml:space="preserve"> employment with the Company and all Affiliates due to death, Retirement, Termination or other reasons, or (ii) a permanent reduction in the level of bona fide services the </w:t>
      </w:r>
      <w:r>
        <w:rPr>
          <w:rFonts w:ascii="Arial" w:cs="Arial" w:eastAsia="Arial" w:hAnsi="Arial"/>
          <w:sz w:val="19"/>
          <w:szCs w:val="19"/>
          <w:color w:val="464646"/>
        </w:rPr>
        <w:t>Employee</w:t>
      </w:r>
      <w:r>
        <w:rPr>
          <w:rFonts w:ascii="Arial" w:cs="Arial" w:eastAsia="Arial" w:hAnsi="Arial"/>
          <w:sz w:val="19"/>
          <w:szCs w:val="19"/>
          <w:color w:val="343434"/>
        </w:rPr>
        <w:t xml:space="preserve"> provides to the Company and all Affiliates to an amount that is 20% or less of the average level of bona fide services the Employee provided to the Company in the immediately preceding 36 months, with the level of bona fide service calculated in accordance with Treasury Regulations Section 1.409A- 1(h)(1)(ii). </w:t>
      </w:r>
      <w:r>
        <w:rPr>
          <w:rFonts w:ascii="Arial" w:cs="Arial" w:eastAsia="Arial" w:hAnsi="Arial"/>
          <w:sz w:val="19"/>
          <w:szCs w:val="19"/>
          <w:color w:val="464646"/>
        </w:rPr>
        <w:t>For</w:t>
      </w:r>
      <w:r>
        <w:rPr>
          <w:rFonts w:ascii="Arial" w:cs="Arial" w:eastAsia="Arial" w:hAnsi="Arial"/>
          <w:sz w:val="19"/>
          <w:szCs w:val="19"/>
          <w:color w:val="343434"/>
        </w:rPr>
        <w:t xml:space="preserve"> purposes of determining whether a Separation from Service has occurred, "Employer" is defined in accordance with Section 2.28 hereof, and the definition of "Affiliate" shall be modified by substituting 50% for 80% each place it appears in Code Section 1563(a)(1), (2) and (3), for purposes of Code Section 414(b), and each place it appears in Treasury Regulations Section 1.414(c)-2, for purposes of Code Section 414(c).</w:t>
      </w:r>
    </w:p>
    <w:p>
      <w:pPr>
        <w:spacing w:after="0" w:line="188" w:lineRule="exact"/>
        <w:rPr>
          <w:sz w:val="20"/>
          <w:szCs w:val="20"/>
          <w:color w:val="auto"/>
        </w:rPr>
      </w:pPr>
    </w:p>
    <w:p>
      <w:pPr>
        <w:jc w:val="both"/>
        <w:ind w:left="840" w:firstLine="13"/>
        <w:spacing w:after="0" w:line="291" w:lineRule="auto"/>
        <w:rPr>
          <w:sz w:val="20"/>
          <w:szCs w:val="20"/>
          <w:color w:val="auto"/>
        </w:rPr>
      </w:pPr>
      <w:r>
        <w:rPr>
          <w:rFonts w:ascii="Arial" w:cs="Arial" w:eastAsia="Arial" w:hAnsi="Arial"/>
          <w:sz w:val="18"/>
          <w:szCs w:val="18"/>
          <w:color w:val="343434"/>
        </w:rPr>
        <w:t>The Employee's employment relationship is treated as continuing while the Employee is on military leave, sick leave, or other bona fide leave of absence (if the period of such leave does not exceed six months, or if longer, so long as the Employee's right to reemployment with the Company or an Affiliate is provided either by statute or contract</w:t>
      </w:r>
      <w:r>
        <w:rPr>
          <w:rFonts w:ascii="Arial" w:cs="Arial" w:eastAsia="Arial" w:hAnsi="Arial"/>
          <w:sz w:val="16"/>
          <w:szCs w:val="16"/>
          <w:color w:val="343434"/>
        </w:rPr>
        <w:t>). If the</w:t>
      </w:r>
      <w:r>
        <w:rPr>
          <w:rFonts w:ascii="Arial" w:cs="Arial" w:eastAsia="Arial" w:hAnsi="Arial"/>
          <w:sz w:val="18"/>
          <w:szCs w:val="18"/>
          <w:color w:val="343434"/>
        </w:rPr>
        <w:t xml:space="preserve"> </w:t>
      </w:r>
      <w:r>
        <w:rPr>
          <w:rFonts w:ascii="Arial" w:cs="Arial" w:eastAsia="Arial" w:hAnsi="Arial"/>
          <w:sz w:val="18"/>
          <w:szCs w:val="18"/>
          <w:color w:val="464646"/>
        </w:rPr>
        <w:t>Employee's</w:t>
      </w:r>
      <w:r>
        <w:rPr>
          <w:rFonts w:ascii="Arial" w:cs="Arial" w:eastAsia="Arial" w:hAnsi="Arial"/>
          <w:sz w:val="18"/>
          <w:szCs w:val="18"/>
          <w:color w:val="343434"/>
        </w:rPr>
        <w:t xml:space="preserve"> period of leave exceeds six months and the </w:t>
      </w:r>
      <w:r>
        <w:rPr>
          <w:rFonts w:ascii="Arial" w:cs="Arial" w:eastAsia="Arial" w:hAnsi="Arial"/>
          <w:sz w:val="18"/>
          <w:szCs w:val="18"/>
          <w:color w:val="464646"/>
        </w:rPr>
        <w:t>Employee's</w:t>
      </w:r>
      <w:r>
        <w:rPr>
          <w:rFonts w:ascii="Arial" w:cs="Arial" w:eastAsia="Arial" w:hAnsi="Arial"/>
          <w:sz w:val="18"/>
          <w:szCs w:val="18"/>
          <w:color w:val="343434"/>
        </w:rPr>
        <w:t xml:space="preserve"> right to reemployment is not provided either by statute or by contract, the employment relationship is deemed to terminate on the first day immediately following the expiration of such six-month period. Whether a termination of employment has occurred will be determined based on all of the facts and circumstances and in accordance with regulations issued by the United States Treasury Department pursuant to Code Section 409A.</w:t>
      </w:r>
    </w:p>
    <w:p>
      <w:pPr>
        <w:spacing w:after="0" w:line="166" w:lineRule="exact"/>
        <w:rPr>
          <w:sz w:val="20"/>
          <w:szCs w:val="20"/>
          <w:color w:val="auto"/>
        </w:rPr>
      </w:pPr>
    </w:p>
    <w:p>
      <w:pPr>
        <w:ind w:left="840" w:hanging="26"/>
        <w:spacing w:after="0" w:line="288" w:lineRule="auto"/>
        <w:rPr>
          <w:sz w:val="20"/>
          <w:szCs w:val="20"/>
          <w:color w:val="auto"/>
        </w:rPr>
      </w:pPr>
      <w:r>
        <w:rPr>
          <w:rFonts w:ascii="Arial" w:cs="Arial" w:eastAsia="Arial" w:hAnsi="Arial"/>
          <w:sz w:val="20"/>
          <w:szCs w:val="20"/>
          <w:color w:val="343434"/>
        </w:rPr>
        <w:t xml:space="preserve">The determination of whether a Service Provider has had a Separation from Service shall be made in compliance with Treas. Reg. </w:t>
      </w:r>
      <w:r>
        <w:rPr>
          <w:rFonts w:ascii="Arial" w:cs="Arial" w:eastAsia="Arial" w:hAnsi="Arial"/>
          <w:sz w:val="20"/>
          <w:szCs w:val="20"/>
          <w:color w:val="464646"/>
        </w:rPr>
        <w:t>§1.409A-1(h).</w:t>
      </w:r>
    </w:p>
    <w:p>
      <w:pPr>
        <w:spacing w:after="0" w:line="177" w:lineRule="exact"/>
        <w:rPr>
          <w:sz w:val="20"/>
          <w:szCs w:val="20"/>
          <w:color w:val="auto"/>
        </w:rPr>
      </w:pPr>
    </w:p>
    <w:p>
      <w:pPr>
        <w:jc w:val="both"/>
        <w:ind w:left="840" w:hanging="634"/>
        <w:spacing w:after="0" w:line="257" w:lineRule="auto"/>
        <w:tabs>
          <w:tab w:leader="none" w:pos="820" w:val="left"/>
        </w:tabs>
        <w:rPr>
          <w:sz w:val="20"/>
          <w:szCs w:val="20"/>
          <w:color w:val="auto"/>
        </w:rPr>
      </w:pPr>
      <w:r>
        <w:rPr>
          <w:rFonts w:ascii="Arial" w:cs="Arial" w:eastAsia="Arial" w:hAnsi="Arial"/>
          <w:sz w:val="20"/>
          <w:szCs w:val="20"/>
          <w:color w:val="333333"/>
        </w:rPr>
        <w:t>2.42</w:t>
      </w:r>
      <w:r>
        <w:rPr>
          <w:sz w:val="20"/>
          <w:szCs w:val="20"/>
          <w:color w:val="auto"/>
        </w:rPr>
        <w:tab/>
      </w:r>
      <w:r>
        <w:rPr>
          <w:rFonts w:ascii="Arial" w:cs="Arial" w:eastAsia="Arial" w:hAnsi="Arial"/>
          <w:sz w:val="20"/>
          <w:szCs w:val="20"/>
          <w:u w:val="single" w:color="auto"/>
          <w:color w:val="343434"/>
        </w:rPr>
        <w:t xml:space="preserve">Separation from </w:t>
      </w:r>
      <w:r>
        <w:rPr>
          <w:rFonts w:ascii="Arial" w:cs="Arial" w:eastAsia="Arial" w:hAnsi="Arial"/>
          <w:sz w:val="20"/>
          <w:szCs w:val="20"/>
          <w:u w:val="single" w:color="auto"/>
          <w:color w:val="464646"/>
        </w:rPr>
        <w:t>Service Account</w:t>
      </w:r>
      <w:r>
        <w:rPr>
          <w:rFonts w:ascii="Arial" w:cs="Arial" w:eastAsia="Arial" w:hAnsi="Arial"/>
          <w:sz w:val="20"/>
          <w:szCs w:val="20"/>
          <w:color w:val="464646"/>
        </w:rPr>
        <w:t>.</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Separation from Service</w:t>
      </w:r>
      <w:r>
        <w:rPr>
          <w:rFonts w:ascii="Arial" w:cs="Arial" w:eastAsia="Arial" w:hAnsi="Arial"/>
          <w:sz w:val="20"/>
          <w:szCs w:val="20"/>
          <w:u w:val="single" w:color="auto"/>
          <w:color w:val="343434"/>
        </w:rPr>
        <w:t xml:space="preserve"> </w:t>
      </w:r>
      <w:r>
        <w:rPr>
          <w:rFonts w:ascii="Arial" w:cs="Arial" w:eastAsia="Arial" w:hAnsi="Arial"/>
          <w:sz w:val="20"/>
          <w:szCs w:val="20"/>
          <w:color w:val="464646"/>
        </w:rPr>
        <w:t>Account</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means an Account established by the</w:t>
      </w:r>
      <w:r>
        <w:rPr>
          <w:rFonts w:ascii="Arial" w:cs="Arial" w:eastAsia="Arial" w:hAnsi="Arial"/>
          <w:sz w:val="20"/>
          <w:szCs w:val="20"/>
          <w:u w:val="single" w:color="auto"/>
          <w:color w:val="343434"/>
        </w:rPr>
        <w:t xml:space="preserve"> </w:t>
      </w:r>
      <w:r>
        <w:rPr>
          <w:rFonts w:ascii="Arial" w:cs="Arial" w:eastAsia="Arial" w:hAnsi="Arial"/>
          <w:sz w:val="20"/>
          <w:szCs w:val="20"/>
          <w:color w:val="343434"/>
        </w:rPr>
        <w:t xml:space="preserve">Committee with respect to a portion or all of an Annual Deferral Amount to record the amounts payable to a Participant upon Separation from Service in accordance with the Plan. On the Compensation Deferral Agreement, a Participant shall make alternative elections for Retirement and Termination for each Separation from Service Account. In the absence of an election, or in the absence of a complete election as to the time and form of payment applicable to an Annual Deferral Amount, a Participant </w:t>
      </w:r>
      <w:r>
        <w:rPr>
          <w:rFonts w:ascii="Arial" w:cs="Arial" w:eastAsia="Arial" w:hAnsi="Arial"/>
          <w:sz w:val="20"/>
          <w:szCs w:val="20"/>
          <w:color w:val="464646"/>
        </w:rPr>
        <w:t>shall</w:t>
      </w:r>
      <w:r>
        <w:rPr>
          <w:rFonts w:ascii="Arial" w:cs="Arial" w:eastAsia="Arial" w:hAnsi="Arial"/>
          <w:sz w:val="20"/>
          <w:szCs w:val="20"/>
          <w:color w:val="343434"/>
        </w:rPr>
        <w:t xml:space="preserve"> be deemed to have allocated to a Separation from Service Account to that extent.</w:t>
      </w:r>
    </w:p>
    <w:p>
      <w:pPr>
        <w:spacing w:after="0" w:line="200" w:lineRule="exact"/>
        <w:rPr>
          <w:sz w:val="20"/>
          <w:szCs w:val="20"/>
          <w:color w:val="auto"/>
        </w:rPr>
      </w:pPr>
    </w:p>
    <w:p>
      <w:pPr>
        <w:spacing w:after="0" w:line="263" w:lineRule="exact"/>
        <w:rPr>
          <w:sz w:val="20"/>
          <w:szCs w:val="20"/>
          <w:color w:val="auto"/>
        </w:rPr>
      </w:pPr>
    </w:p>
    <w:p>
      <w:pPr>
        <w:jc w:val="both"/>
        <w:ind w:left="900" w:hanging="633"/>
        <w:spacing w:after="0" w:line="285" w:lineRule="auto"/>
        <w:tabs>
          <w:tab w:leader="none" w:pos="880" w:val="left"/>
        </w:tabs>
        <w:rPr>
          <w:sz w:val="20"/>
          <w:szCs w:val="20"/>
          <w:color w:val="auto"/>
        </w:rPr>
      </w:pPr>
      <w:r>
        <w:rPr>
          <w:rFonts w:ascii="Arial" w:cs="Arial" w:eastAsia="Arial" w:hAnsi="Arial"/>
          <w:sz w:val="20"/>
          <w:szCs w:val="20"/>
          <w:color w:val="333333"/>
        </w:rPr>
        <w:t>2.43</w:t>
      </w:r>
      <w:r>
        <w:rPr>
          <w:sz w:val="20"/>
          <w:szCs w:val="20"/>
          <w:color w:val="auto"/>
        </w:rPr>
        <w:tab/>
      </w:r>
      <w:r>
        <w:rPr>
          <w:rFonts w:ascii="Arial" w:cs="Arial" w:eastAsia="Arial" w:hAnsi="Arial"/>
          <w:sz w:val="19"/>
          <w:szCs w:val="19"/>
          <w:u w:val="single" w:color="auto"/>
          <w:color w:val="424242"/>
        </w:rPr>
        <w:t>Separation from Service Benefit</w:t>
      </w:r>
      <w:r>
        <w:rPr>
          <w:rFonts w:ascii="Arial" w:cs="Arial" w:eastAsia="Arial" w:hAnsi="Arial"/>
          <w:sz w:val="19"/>
          <w:szCs w:val="19"/>
          <w:color w:val="424242"/>
        </w:rPr>
        <w:t>.</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Separation from Service Benefit means the benefit payable to a Participant under the</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Plan following the Participant's Separation from Service. To the extent a Participant experiences a Separation from Service prior to age 59 1/2, the election(s) made on his/her Compensation Deferral Agreement(s) with respect to Termination shall govern the time and form of payment on his/her Separation from Service Benefit. To the extent a Participant experiences a Separation from Service on or after age 59 1/2, the election(s) made on his/her Compensation Deferral Agreement(s) with respect to Retirement shall govern the time and form of payment on his/her Separation from Service Benefit.</w:t>
      </w:r>
    </w:p>
    <w:p>
      <w:pPr>
        <w:spacing w:after="0" w:line="195" w:lineRule="exact"/>
        <w:rPr>
          <w:sz w:val="20"/>
          <w:szCs w:val="20"/>
          <w:color w:val="auto"/>
        </w:rPr>
      </w:pPr>
    </w:p>
    <w:p>
      <w:pPr>
        <w:jc w:val="both"/>
        <w:ind w:left="900" w:hanging="647"/>
        <w:spacing w:after="0" w:line="305" w:lineRule="auto"/>
        <w:tabs>
          <w:tab w:leader="none" w:pos="880" w:val="left"/>
        </w:tabs>
        <w:rPr>
          <w:sz w:val="20"/>
          <w:szCs w:val="20"/>
          <w:color w:val="auto"/>
        </w:rPr>
      </w:pPr>
      <w:r>
        <w:rPr>
          <w:rFonts w:ascii="Arial" w:cs="Arial" w:eastAsia="Arial" w:hAnsi="Arial"/>
          <w:sz w:val="20"/>
          <w:szCs w:val="20"/>
          <w:color w:val="333333"/>
        </w:rPr>
        <w:t>2.44</w:t>
      </w:r>
      <w:r>
        <w:rPr>
          <w:sz w:val="20"/>
          <w:szCs w:val="20"/>
          <w:color w:val="auto"/>
        </w:rPr>
        <w:tab/>
      </w:r>
      <w:r>
        <w:rPr>
          <w:rFonts w:ascii="Arial" w:cs="Arial" w:eastAsia="Arial" w:hAnsi="Arial"/>
          <w:sz w:val="19"/>
          <w:szCs w:val="19"/>
          <w:u w:val="single" w:color="auto"/>
          <w:color w:val="2A2A2A"/>
        </w:rPr>
        <w:t>Service Provider</w:t>
      </w:r>
      <w:r>
        <w:rPr>
          <w:rFonts w:ascii="Arial" w:cs="Arial" w:eastAsia="Arial" w:hAnsi="Arial"/>
          <w:sz w:val="19"/>
          <w:szCs w:val="19"/>
          <w:color w:val="2A2A2A"/>
        </w:rPr>
        <w:t>. Service Provider means a Participant or any other "service provider," as defined in Treasury</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Regulations Section 1.409A-1(f).</w:t>
      </w:r>
    </w:p>
    <w:p>
      <w:pPr>
        <w:spacing w:after="0" w:line="174" w:lineRule="exact"/>
        <w:rPr>
          <w:sz w:val="20"/>
          <w:szCs w:val="20"/>
          <w:color w:val="auto"/>
        </w:rPr>
      </w:pPr>
    </w:p>
    <w:p>
      <w:pPr>
        <w:jc w:val="both"/>
        <w:ind w:left="880" w:hanging="652"/>
        <w:spacing w:after="0" w:line="305" w:lineRule="auto"/>
        <w:tabs>
          <w:tab w:leader="none" w:pos="860" w:val="left"/>
        </w:tabs>
        <w:rPr>
          <w:sz w:val="20"/>
          <w:szCs w:val="20"/>
          <w:color w:val="auto"/>
        </w:rPr>
      </w:pPr>
      <w:r>
        <w:rPr>
          <w:rFonts w:ascii="Arial" w:cs="Arial" w:eastAsia="Arial" w:hAnsi="Arial"/>
          <w:sz w:val="20"/>
          <w:szCs w:val="20"/>
          <w:color w:val="333333"/>
        </w:rPr>
        <w:t>2.45</w:t>
      </w:r>
      <w:r>
        <w:rPr>
          <w:sz w:val="20"/>
          <w:szCs w:val="20"/>
          <w:color w:val="auto"/>
        </w:rPr>
        <w:tab/>
      </w:r>
      <w:r>
        <w:rPr>
          <w:rFonts w:ascii="Arial" w:cs="Arial" w:eastAsia="Arial" w:hAnsi="Arial"/>
          <w:sz w:val="19"/>
          <w:szCs w:val="19"/>
          <w:u w:val="single" w:color="auto"/>
          <w:color w:val="424242"/>
        </w:rPr>
        <w:t xml:space="preserve">Service </w:t>
      </w:r>
      <w:r>
        <w:rPr>
          <w:rFonts w:ascii="Arial" w:cs="Arial" w:eastAsia="Arial" w:hAnsi="Arial"/>
          <w:sz w:val="19"/>
          <w:szCs w:val="19"/>
          <w:u w:val="single" w:color="auto"/>
          <w:color w:val="2A2A2A"/>
        </w:rPr>
        <w:t>Recipient</w:t>
      </w:r>
      <w:r>
        <w:rPr>
          <w:rFonts w:ascii="Arial" w:cs="Arial" w:eastAsia="Arial" w:hAnsi="Arial"/>
          <w:sz w:val="19"/>
          <w:szCs w:val="19"/>
          <w:color w:val="2A2A2A"/>
        </w:rPr>
        <w:t>. Service Recipient means, with respect to a Participant, the Employer and all Participating Employers</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and Affiliates.</w:t>
      </w:r>
    </w:p>
    <w:p>
      <w:pPr>
        <w:spacing w:after="0" w:line="174" w:lineRule="exact"/>
        <w:rPr>
          <w:sz w:val="20"/>
          <w:szCs w:val="20"/>
          <w:color w:val="auto"/>
        </w:rPr>
      </w:pPr>
    </w:p>
    <w:p>
      <w:pPr>
        <w:jc w:val="both"/>
        <w:ind w:left="880" w:hanging="634"/>
        <w:spacing w:after="0" w:line="333" w:lineRule="auto"/>
        <w:tabs>
          <w:tab w:leader="none" w:pos="860" w:val="left"/>
        </w:tabs>
        <w:rPr>
          <w:sz w:val="20"/>
          <w:szCs w:val="20"/>
          <w:color w:val="auto"/>
        </w:rPr>
      </w:pPr>
      <w:r>
        <w:rPr>
          <w:rFonts w:ascii="Arial" w:cs="Arial" w:eastAsia="Arial" w:hAnsi="Arial"/>
          <w:sz w:val="20"/>
          <w:szCs w:val="20"/>
          <w:color w:val="333333"/>
        </w:rPr>
        <w:t>2.46</w:t>
      </w:r>
      <w:r>
        <w:rPr>
          <w:sz w:val="20"/>
          <w:szCs w:val="20"/>
          <w:color w:val="auto"/>
        </w:rPr>
        <w:tab/>
      </w:r>
      <w:r>
        <w:rPr>
          <w:rFonts w:ascii="Arial" w:cs="Arial" w:eastAsia="Arial" w:hAnsi="Arial"/>
          <w:sz w:val="17"/>
          <w:szCs w:val="17"/>
          <w:u w:val="single" w:color="auto"/>
          <w:color w:val="424242"/>
        </w:rPr>
        <w:t>Specified Date Account</w:t>
      </w:r>
      <w:r>
        <w:rPr>
          <w:rFonts w:ascii="Arial" w:cs="Arial" w:eastAsia="Arial" w:hAnsi="Arial"/>
          <w:sz w:val="17"/>
          <w:szCs w:val="17"/>
          <w:color w:val="424242"/>
        </w:rPr>
        <w:t>.</w:t>
      </w:r>
      <w:r>
        <w:rPr>
          <w:rFonts w:ascii="Arial" w:cs="Arial" w:eastAsia="Arial" w:hAnsi="Arial"/>
          <w:sz w:val="17"/>
          <w:szCs w:val="17"/>
          <w:u w:val="single" w:color="auto"/>
          <w:color w:val="424242"/>
        </w:rPr>
        <w:t xml:space="preserve"> </w:t>
      </w:r>
      <w:r>
        <w:rPr>
          <w:rFonts w:ascii="Arial" w:cs="Arial" w:eastAsia="Arial" w:hAnsi="Arial"/>
          <w:sz w:val="17"/>
          <w:szCs w:val="17"/>
          <w:color w:val="2A2A2A"/>
        </w:rPr>
        <w:t>Specified Date Account means an Account established by the Committee with respect to an</w:t>
      </w:r>
      <w:r>
        <w:rPr>
          <w:rFonts w:ascii="Arial" w:cs="Arial" w:eastAsia="Arial" w:hAnsi="Arial"/>
          <w:sz w:val="17"/>
          <w:szCs w:val="17"/>
          <w:u w:val="single" w:color="auto"/>
          <w:color w:val="424242"/>
        </w:rPr>
        <w:t xml:space="preserve"> </w:t>
      </w:r>
      <w:r>
        <w:rPr>
          <w:rFonts w:ascii="Arial" w:cs="Arial" w:eastAsia="Arial" w:hAnsi="Arial"/>
          <w:sz w:val="17"/>
          <w:szCs w:val="17"/>
          <w:color w:val="2A2A2A"/>
        </w:rPr>
        <w:t>Annual Deferral Amount to record the amounts payable at a future date as specified in the Participant's Compensation Deferral Agreement. A Specified Date Account may be identified in enrollment materials as an "In-Service Account" or "Short Term Account" or such other name as established by the Committee without affecting the meaning thereof.</w:t>
      </w:r>
    </w:p>
    <w:p>
      <w:pPr>
        <w:spacing w:after="0" w:line="152" w:lineRule="exact"/>
        <w:rPr>
          <w:sz w:val="20"/>
          <w:szCs w:val="20"/>
          <w:color w:val="auto"/>
        </w:rPr>
      </w:pPr>
    </w:p>
    <w:p>
      <w:pPr>
        <w:jc w:val="both"/>
        <w:ind w:left="860" w:hanging="620"/>
        <w:spacing w:after="0" w:line="290" w:lineRule="auto"/>
        <w:tabs>
          <w:tab w:leader="none" w:pos="840" w:val="left"/>
        </w:tabs>
        <w:rPr>
          <w:sz w:val="20"/>
          <w:szCs w:val="20"/>
          <w:color w:val="auto"/>
        </w:rPr>
      </w:pPr>
      <w:r>
        <w:rPr>
          <w:rFonts w:ascii="Arial" w:cs="Arial" w:eastAsia="Arial" w:hAnsi="Arial"/>
          <w:sz w:val="19"/>
          <w:szCs w:val="19"/>
          <w:color w:val="2A2A2A"/>
        </w:rPr>
        <w:t>2.47</w:t>
      </w:r>
      <w:r>
        <w:rPr>
          <w:sz w:val="20"/>
          <w:szCs w:val="20"/>
          <w:color w:val="auto"/>
        </w:rPr>
        <w:tab/>
      </w:r>
      <w:r>
        <w:rPr>
          <w:rFonts w:ascii="Arial" w:cs="Arial" w:eastAsia="Arial" w:hAnsi="Arial"/>
          <w:sz w:val="19"/>
          <w:szCs w:val="19"/>
          <w:u w:val="single" w:color="auto"/>
          <w:color w:val="424242"/>
        </w:rPr>
        <w:t xml:space="preserve">Specified </w:t>
      </w:r>
      <w:r>
        <w:rPr>
          <w:rFonts w:ascii="Arial" w:cs="Arial" w:eastAsia="Arial" w:hAnsi="Arial"/>
          <w:sz w:val="19"/>
          <w:szCs w:val="19"/>
          <w:u w:val="single" w:color="auto"/>
          <w:color w:val="2A2A2A"/>
        </w:rPr>
        <w:t>Date</w:t>
      </w:r>
      <w:r>
        <w:rPr>
          <w:rFonts w:ascii="Arial" w:cs="Arial" w:eastAsia="Arial" w:hAnsi="Arial"/>
          <w:sz w:val="19"/>
          <w:szCs w:val="19"/>
          <w:u w:val="single" w:color="auto"/>
          <w:color w:val="424242"/>
        </w:rPr>
        <w:t xml:space="preserve"> Benefit</w:t>
      </w:r>
      <w:r>
        <w:rPr>
          <w:rFonts w:ascii="Arial" w:cs="Arial" w:eastAsia="Arial" w:hAnsi="Arial"/>
          <w:sz w:val="19"/>
          <w:szCs w:val="19"/>
          <w:color w:val="424242"/>
        </w:rPr>
        <w:t>.</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Specified Date Benefit means the benefit payable to a Participant under the Plan in accordance</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with Section 6.1(b).</w:t>
      </w:r>
    </w:p>
    <w:p>
      <w:pPr>
        <w:sectPr>
          <w:pgSz w:w="11900" w:h="16938" w:orient="portrait"/>
          <w:cols w:equalWidth="0" w:num="1">
            <w:col w:w="10120"/>
          </w:cols>
          <w:pgMar w:left="1440" w:top="136" w:right="339" w:bottom="0" w:gutter="0" w:footer="0" w:header="0"/>
        </w:sectPr>
      </w:pPr>
    </w:p>
    <w:bookmarkStart w:id="55" w:name="page56"/>
    <w:bookmarkEnd w:id="55"/>
    <w:p>
      <w:pPr>
        <w:jc w:val="both"/>
        <w:ind w:left="860" w:hanging="620"/>
        <w:spacing w:after="0" w:line="278" w:lineRule="auto"/>
        <w:tabs>
          <w:tab w:leader="none" w:pos="840" w:val="left"/>
        </w:tabs>
        <w:rPr>
          <w:sz w:val="20"/>
          <w:szCs w:val="20"/>
          <w:color w:val="auto"/>
        </w:rPr>
      </w:pPr>
      <w:r>
        <w:rPr>
          <w:rFonts w:ascii="Arial" w:cs="Arial" w:eastAsia="Arial" w:hAnsi="Arial"/>
          <w:sz w:val="19"/>
          <w:szCs w:val="19"/>
          <w:color w:val="2A2A2A"/>
        </w:rPr>
        <w:t>2.48</w:t>
      </w:r>
      <w:r>
        <w:rPr>
          <w:sz w:val="20"/>
          <w:szCs w:val="20"/>
          <w:color w:val="auto"/>
        </w:rPr>
        <w:tab/>
      </w:r>
      <w:r>
        <w:rPr>
          <w:rFonts w:ascii="Arial" w:cs="Arial" w:eastAsia="Arial" w:hAnsi="Arial"/>
          <w:sz w:val="19"/>
          <w:szCs w:val="19"/>
          <w:u w:val="single" w:color="auto"/>
          <w:color w:val="424242"/>
        </w:rPr>
        <w:t>Specified Employee</w:t>
      </w:r>
      <w:r>
        <w:rPr>
          <w:rFonts w:ascii="Arial" w:cs="Arial" w:eastAsia="Arial" w:hAnsi="Arial"/>
          <w:sz w:val="19"/>
          <w:szCs w:val="19"/>
          <w:color w:val="424242"/>
        </w:rPr>
        <w:t>.</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Specified Employee means certain officers and highly compensated employees of the Company as</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defined in Treasury Regulations Section 1.409A-1(i). The identification date for determining whether any Employee is a Specified Employee during any Plan Year shall be January 1.</w:t>
      </w:r>
    </w:p>
    <w:p>
      <w:pPr>
        <w:spacing w:after="0" w:line="199" w:lineRule="exact"/>
        <w:rPr>
          <w:sz w:val="20"/>
          <w:szCs w:val="20"/>
          <w:color w:val="auto"/>
        </w:rPr>
      </w:pPr>
    </w:p>
    <w:p>
      <w:pPr>
        <w:jc w:val="both"/>
        <w:ind w:left="860" w:hanging="647"/>
        <w:spacing w:after="0" w:line="305" w:lineRule="auto"/>
        <w:tabs>
          <w:tab w:leader="none" w:pos="840" w:val="left"/>
        </w:tabs>
        <w:rPr>
          <w:sz w:val="20"/>
          <w:szCs w:val="20"/>
          <w:color w:val="auto"/>
        </w:rPr>
      </w:pPr>
      <w:r>
        <w:rPr>
          <w:rFonts w:ascii="Arial" w:cs="Arial" w:eastAsia="Arial" w:hAnsi="Arial"/>
          <w:sz w:val="19"/>
          <w:szCs w:val="19"/>
          <w:color w:val="2A2A2A"/>
        </w:rPr>
        <w:t>2.49</w:t>
      </w:r>
      <w:r>
        <w:rPr>
          <w:sz w:val="20"/>
          <w:szCs w:val="20"/>
          <w:color w:val="auto"/>
        </w:rPr>
        <w:tab/>
      </w:r>
      <w:r>
        <w:rPr>
          <w:rFonts w:ascii="Arial" w:cs="Arial" w:eastAsia="Arial" w:hAnsi="Arial"/>
          <w:sz w:val="19"/>
          <w:szCs w:val="19"/>
          <w:u w:val="single" w:color="auto"/>
          <w:color w:val="2A2A2A"/>
        </w:rPr>
        <w:t>STIP or Executive STIP</w:t>
      </w:r>
      <w:r>
        <w:rPr>
          <w:rFonts w:ascii="Arial" w:cs="Arial" w:eastAsia="Arial" w:hAnsi="Arial"/>
          <w:sz w:val="19"/>
          <w:szCs w:val="19"/>
          <w:color w:val="2A2A2A"/>
        </w:rPr>
        <w:t>. STIP or Executive STIP means the Centuri Group, Inc. Short Term Incentive Plan for Exempt</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Executive Employees for a particular calendar year.</w:t>
      </w:r>
    </w:p>
    <w:p>
      <w:pPr>
        <w:spacing w:after="0" w:line="174" w:lineRule="exact"/>
        <w:rPr>
          <w:sz w:val="20"/>
          <w:szCs w:val="20"/>
          <w:color w:val="auto"/>
        </w:rPr>
      </w:pPr>
    </w:p>
    <w:p>
      <w:pPr>
        <w:jc w:val="both"/>
        <w:ind w:left="840" w:right="20" w:hanging="633"/>
        <w:spacing w:after="0" w:line="305" w:lineRule="auto"/>
        <w:tabs>
          <w:tab w:leader="none" w:pos="820" w:val="left"/>
        </w:tabs>
        <w:rPr>
          <w:sz w:val="20"/>
          <w:szCs w:val="20"/>
          <w:color w:val="auto"/>
        </w:rPr>
      </w:pPr>
      <w:r>
        <w:rPr>
          <w:rFonts w:ascii="Arial" w:cs="Arial" w:eastAsia="Arial" w:hAnsi="Arial"/>
          <w:sz w:val="19"/>
          <w:szCs w:val="19"/>
          <w:color w:val="2A2A2A"/>
        </w:rPr>
        <w:t>2.50</w:t>
      </w:r>
      <w:r>
        <w:rPr>
          <w:sz w:val="20"/>
          <w:szCs w:val="20"/>
          <w:color w:val="auto"/>
        </w:rPr>
        <w:tab/>
      </w:r>
      <w:r>
        <w:rPr>
          <w:rFonts w:ascii="Arial" w:cs="Arial" w:eastAsia="Arial" w:hAnsi="Arial"/>
          <w:sz w:val="19"/>
          <w:szCs w:val="19"/>
          <w:u w:val="single" w:color="auto"/>
          <w:color w:val="2A2A2A"/>
        </w:rPr>
        <w:t>Substantial Risk of Forfeiture</w:t>
      </w:r>
      <w:r>
        <w:rPr>
          <w:rFonts w:ascii="Arial" w:cs="Arial" w:eastAsia="Arial" w:hAnsi="Arial"/>
          <w:sz w:val="19"/>
          <w:szCs w:val="19"/>
          <w:color w:val="2A2A2A"/>
        </w:rPr>
        <w:t>. Substantial Risk of Forfeiture means the description specified in Treasury Regulations</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Section 1.409A-1(d).</w:t>
      </w:r>
    </w:p>
    <w:p>
      <w:pPr>
        <w:spacing w:after="0" w:line="174"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19"/>
          <w:szCs w:val="19"/>
          <w:color w:val="2A2A2A"/>
        </w:rPr>
        <w:t>2.51</w:t>
      </w:r>
      <w:r>
        <w:rPr>
          <w:sz w:val="20"/>
          <w:szCs w:val="20"/>
          <w:color w:val="auto"/>
        </w:rPr>
        <w:tab/>
      </w:r>
      <w:r>
        <w:rPr>
          <w:rFonts w:ascii="Arial" w:cs="Arial" w:eastAsia="Arial" w:hAnsi="Arial"/>
          <w:sz w:val="17"/>
          <w:szCs w:val="17"/>
          <w:u w:val="single" w:color="auto"/>
          <w:color w:val="2A2A2A"/>
        </w:rPr>
        <w:t>Termination</w:t>
      </w:r>
      <w:r>
        <w:rPr>
          <w:rFonts w:ascii="Arial" w:cs="Arial" w:eastAsia="Arial" w:hAnsi="Arial"/>
          <w:sz w:val="17"/>
          <w:szCs w:val="17"/>
          <w:color w:val="2A2A2A"/>
        </w:rPr>
        <w:t>. Termination means a Separation from Service of a Participant prior to age 59 1/2.</w:t>
      </w:r>
    </w:p>
    <w:p>
      <w:pPr>
        <w:spacing w:after="0" w:line="254" w:lineRule="exact"/>
        <w:rPr>
          <w:sz w:val="20"/>
          <w:szCs w:val="20"/>
          <w:color w:val="auto"/>
        </w:rPr>
      </w:pPr>
    </w:p>
    <w:p>
      <w:pPr>
        <w:jc w:val="both"/>
        <w:ind w:left="840" w:hanging="633"/>
        <w:spacing w:after="0" w:line="288" w:lineRule="auto"/>
        <w:tabs>
          <w:tab w:leader="none" w:pos="820" w:val="left"/>
        </w:tabs>
        <w:rPr>
          <w:sz w:val="20"/>
          <w:szCs w:val="20"/>
          <w:color w:val="auto"/>
        </w:rPr>
      </w:pPr>
      <w:r>
        <w:rPr>
          <w:rFonts w:ascii="Arial" w:cs="Arial" w:eastAsia="Arial" w:hAnsi="Arial"/>
          <w:sz w:val="19"/>
          <w:szCs w:val="19"/>
          <w:color w:val="2A2A2A"/>
        </w:rPr>
        <w:t>2.52</w:t>
      </w:r>
      <w:r>
        <w:rPr>
          <w:sz w:val="20"/>
          <w:szCs w:val="20"/>
          <w:color w:val="auto"/>
        </w:rPr>
        <w:tab/>
      </w:r>
      <w:r>
        <w:rPr>
          <w:rFonts w:ascii="Arial" w:cs="Arial" w:eastAsia="Arial" w:hAnsi="Arial"/>
          <w:sz w:val="18"/>
          <w:szCs w:val="18"/>
          <w:u w:val="single" w:color="auto"/>
          <w:color w:val="424242"/>
        </w:rPr>
        <w:t xml:space="preserve">Unforeseeable </w:t>
      </w:r>
      <w:r>
        <w:rPr>
          <w:rFonts w:ascii="Arial" w:cs="Arial" w:eastAsia="Arial" w:hAnsi="Arial"/>
          <w:sz w:val="18"/>
          <w:szCs w:val="18"/>
          <w:u w:val="single" w:color="auto"/>
          <w:color w:val="676767"/>
        </w:rPr>
        <w:t>E</w:t>
      </w:r>
      <w:r>
        <w:rPr>
          <w:rFonts w:ascii="Arial" w:cs="Arial" w:eastAsia="Arial" w:hAnsi="Arial"/>
          <w:sz w:val="18"/>
          <w:szCs w:val="18"/>
          <w:u w:val="single" w:color="auto"/>
          <w:color w:val="424242"/>
        </w:rPr>
        <w:t>mergency</w:t>
      </w:r>
      <w:r>
        <w:rPr>
          <w:rFonts w:ascii="Arial" w:cs="Arial" w:eastAsia="Arial" w:hAnsi="Arial"/>
          <w:sz w:val="18"/>
          <w:szCs w:val="18"/>
          <w:color w:val="424242"/>
        </w:rPr>
        <w:t>.</w:t>
      </w:r>
      <w:r>
        <w:rPr>
          <w:rFonts w:ascii="Arial" w:cs="Arial" w:eastAsia="Arial" w:hAnsi="Arial"/>
          <w:sz w:val="18"/>
          <w:szCs w:val="18"/>
          <w:u w:val="single" w:color="auto"/>
          <w:color w:val="424242"/>
        </w:rPr>
        <w:t xml:space="preserve"> </w:t>
      </w:r>
      <w:r>
        <w:rPr>
          <w:rFonts w:ascii="Arial" w:cs="Arial" w:eastAsia="Arial" w:hAnsi="Arial"/>
          <w:sz w:val="18"/>
          <w:szCs w:val="18"/>
          <w:color w:val="2A2A2A"/>
        </w:rPr>
        <w:t>Unforeseeable Emergency means a severe financial hardship to the Participant resulting from</w:t>
      </w:r>
      <w:r>
        <w:rPr>
          <w:rFonts w:ascii="Arial" w:cs="Arial" w:eastAsia="Arial" w:hAnsi="Arial"/>
          <w:sz w:val="18"/>
          <w:szCs w:val="18"/>
          <w:u w:val="single" w:color="auto"/>
          <w:color w:val="424242"/>
        </w:rPr>
        <w:t xml:space="preserve"> </w:t>
      </w:r>
      <w:r>
        <w:rPr>
          <w:rFonts w:ascii="Arial" w:cs="Arial" w:eastAsia="Arial" w:hAnsi="Arial"/>
          <w:sz w:val="18"/>
          <w:szCs w:val="18"/>
          <w:color w:val="2A2A2A"/>
        </w:rPr>
        <w:t>an illness or accident of the Participant, the Participant's spouse, the Participant's dependent (as defined in Code Section 152, without regard to Section 152(b)(1), (b)(2), and (d)(1)(B)), or the Participant's Beneficiary;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Committee.</w:t>
      </w:r>
    </w:p>
    <w:p>
      <w:pPr>
        <w:spacing w:after="0" w:line="251" w:lineRule="exact"/>
        <w:rPr>
          <w:sz w:val="20"/>
          <w:szCs w:val="20"/>
          <w:color w:val="auto"/>
        </w:rPr>
      </w:pPr>
    </w:p>
    <w:p>
      <w:pPr>
        <w:ind w:left="940" w:right="60"/>
        <w:spacing w:after="0" w:line="274" w:lineRule="auto"/>
        <w:rPr>
          <w:sz w:val="20"/>
          <w:szCs w:val="20"/>
          <w:color w:val="auto"/>
        </w:rPr>
      </w:pPr>
      <w:r>
        <w:rPr>
          <w:rFonts w:ascii="Arial" w:cs="Arial" w:eastAsia="Arial" w:hAnsi="Arial"/>
          <w:sz w:val="20"/>
          <w:szCs w:val="20"/>
          <w:color w:val="2A2A2A"/>
        </w:rPr>
        <w:t>The determination of whether a Participant has had an Unforeseeable Emergency shall be made in compliance with Treas. Reg. §1.409A-3(i)(3).</w:t>
      </w:r>
    </w:p>
    <w:p>
      <w:pPr>
        <w:spacing w:after="0" w:line="177"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20"/>
          <w:szCs w:val="20"/>
          <w:color w:val="2A2A2A"/>
        </w:rPr>
        <w:t>2.53</w:t>
      </w:r>
      <w:r>
        <w:rPr>
          <w:sz w:val="20"/>
          <w:szCs w:val="20"/>
          <w:color w:val="auto"/>
        </w:rPr>
        <w:tab/>
      </w:r>
      <w:r>
        <w:rPr>
          <w:rFonts w:ascii="Arial" w:cs="Arial" w:eastAsia="Arial" w:hAnsi="Arial"/>
          <w:sz w:val="16"/>
          <w:szCs w:val="16"/>
          <w:u w:val="single" w:color="auto"/>
          <w:color w:val="2A2A2A"/>
        </w:rPr>
        <w:t>Valuation D</w:t>
      </w:r>
      <w:r>
        <w:rPr>
          <w:rFonts w:ascii="Arial" w:cs="Arial" w:eastAsia="Arial" w:hAnsi="Arial"/>
          <w:sz w:val="16"/>
          <w:szCs w:val="16"/>
          <w:color w:val="2A2A2A"/>
        </w:rPr>
        <w:t>ate. Valuation Date means each Business Day.</w:t>
      </w:r>
    </w:p>
    <w:p>
      <w:pPr>
        <w:spacing w:after="0" w:line="200" w:lineRule="exact"/>
        <w:rPr>
          <w:sz w:val="20"/>
          <w:szCs w:val="20"/>
          <w:color w:val="auto"/>
        </w:rPr>
      </w:pPr>
    </w:p>
    <w:p>
      <w:pPr>
        <w:spacing w:after="0" w:line="269"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2A2A2A"/>
        </w:rPr>
        <w:t>ARTICLE III</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21"/>
          <w:szCs w:val="21"/>
          <w:i w:val="1"/>
          <w:iCs w:val="1"/>
          <w:color w:val="2A2A2A"/>
        </w:rPr>
        <w:t>Eligibility and Participation</w:t>
      </w:r>
    </w:p>
    <w:p>
      <w:pPr>
        <w:spacing w:after="0" w:line="233" w:lineRule="exact"/>
        <w:rPr>
          <w:sz w:val="20"/>
          <w:szCs w:val="20"/>
          <w:color w:val="auto"/>
        </w:rPr>
      </w:pPr>
    </w:p>
    <w:p>
      <w:pPr>
        <w:jc w:val="both"/>
        <w:ind w:left="900" w:hanging="633"/>
        <w:spacing w:after="0" w:line="294" w:lineRule="auto"/>
        <w:tabs>
          <w:tab w:leader="none" w:pos="880" w:val="left"/>
        </w:tabs>
        <w:rPr>
          <w:sz w:val="20"/>
          <w:szCs w:val="20"/>
          <w:color w:val="auto"/>
        </w:rPr>
      </w:pPr>
      <w:r>
        <w:rPr>
          <w:rFonts w:ascii="Arial" w:cs="Arial" w:eastAsia="Arial" w:hAnsi="Arial"/>
          <w:sz w:val="20"/>
          <w:szCs w:val="20"/>
          <w:color w:val="2A2A2A"/>
        </w:rPr>
        <w:t>3.1</w:t>
      </w:r>
      <w:r>
        <w:rPr>
          <w:sz w:val="20"/>
          <w:szCs w:val="20"/>
          <w:color w:val="auto"/>
        </w:rPr>
        <w:tab/>
      </w:r>
      <w:r>
        <w:rPr>
          <w:rFonts w:ascii="Arial" w:cs="Arial" w:eastAsia="Arial" w:hAnsi="Arial"/>
          <w:sz w:val="19"/>
          <w:szCs w:val="19"/>
          <w:u w:val="single" w:color="auto"/>
          <w:color w:val="4F4F4F"/>
        </w:rPr>
        <w:t xml:space="preserve">Eligibility </w:t>
      </w:r>
      <w:r>
        <w:rPr>
          <w:rFonts w:ascii="Arial" w:cs="Arial" w:eastAsia="Arial" w:hAnsi="Arial"/>
          <w:sz w:val="19"/>
          <w:szCs w:val="19"/>
          <w:u w:val="single" w:color="auto"/>
          <w:color w:val="3B3B3B"/>
        </w:rPr>
        <w:t>and Participation.</w:t>
      </w:r>
      <w:r>
        <w:rPr>
          <w:rFonts w:ascii="Arial" w:cs="Arial" w:eastAsia="Arial" w:hAnsi="Arial"/>
          <w:sz w:val="19"/>
          <w:szCs w:val="19"/>
          <w:u w:val="single" w:color="auto"/>
          <w:color w:val="4F4F4F"/>
        </w:rPr>
        <w:t xml:space="preserve"> </w:t>
      </w:r>
      <w:r>
        <w:rPr>
          <w:rFonts w:ascii="Arial" w:cs="Arial" w:eastAsia="Arial" w:hAnsi="Arial"/>
          <w:sz w:val="19"/>
          <w:szCs w:val="19"/>
          <w:color w:val="2A2A2A"/>
        </w:rPr>
        <w:t>The Committee shall designate the eligibility requirements for participation in the Plan</w:t>
      </w:r>
      <w:r>
        <w:rPr>
          <w:rFonts w:ascii="Arial" w:cs="Arial" w:eastAsia="Arial" w:hAnsi="Arial"/>
          <w:sz w:val="19"/>
          <w:szCs w:val="19"/>
          <w:u w:val="single" w:color="auto"/>
          <w:color w:val="4F4F4F"/>
        </w:rPr>
        <w:t xml:space="preserve"> </w:t>
      </w:r>
      <w:r>
        <w:rPr>
          <w:rFonts w:ascii="Arial" w:cs="Arial" w:eastAsia="Arial" w:hAnsi="Arial"/>
          <w:sz w:val="19"/>
          <w:szCs w:val="19"/>
          <w:color w:val="2A2A2A"/>
        </w:rPr>
        <w:t>in accordance with Section 2.28. An Eligible Employee shall become a Participant upon the earlier to occur of: (a) the participation date for such Eligible Employee designated by the Committee or (b) a credit of Discretionary Contributions on behalf of such Eligible Employee. An Eligible Employee shall become eligible to accrue deferred compensation under the Plan on the date such Eligible Employee becomes a Participant.</w:t>
      </w:r>
    </w:p>
    <w:p>
      <w:pPr>
        <w:spacing w:after="0" w:line="174" w:lineRule="exact"/>
        <w:rPr>
          <w:sz w:val="20"/>
          <w:szCs w:val="20"/>
          <w:color w:val="auto"/>
        </w:rPr>
      </w:pPr>
    </w:p>
    <w:p>
      <w:pPr>
        <w:jc w:val="both"/>
        <w:ind w:left="860" w:hanging="607"/>
        <w:spacing w:after="0" w:line="286" w:lineRule="auto"/>
        <w:tabs>
          <w:tab w:leader="none" w:pos="840" w:val="left"/>
        </w:tabs>
        <w:rPr>
          <w:sz w:val="20"/>
          <w:szCs w:val="20"/>
          <w:color w:val="auto"/>
        </w:rPr>
      </w:pPr>
      <w:r>
        <w:rPr>
          <w:rFonts w:ascii="Arial" w:cs="Arial" w:eastAsia="Arial" w:hAnsi="Arial"/>
          <w:sz w:val="20"/>
          <w:szCs w:val="20"/>
          <w:color w:val="2A2A2A"/>
        </w:rPr>
        <w:t>3.2</w:t>
      </w:r>
      <w:r>
        <w:rPr>
          <w:sz w:val="20"/>
          <w:szCs w:val="20"/>
          <w:color w:val="auto"/>
        </w:rPr>
        <w:tab/>
      </w:r>
      <w:r>
        <w:rPr>
          <w:rFonts w:ascii="Arial" w:cs="Arial" w:eastAsia="Arial" w:hAnsi="Arial"/>
          <w:sz w:val="18"/>
          <w:szCs w:val="18"/>
          <w:u w:val="single" w:color="auto"/>
          <w:color w:val="3B3B3B"/>
        </w:rPr>
        <w:t>Duration</w:t>
      </w:r>
      <w:r>
        <w:rPr>
          <w:rFonts w:ascii="Arial" w:cs="Arial" w:eastAsia="Arial" w:hAnsi="Arial"/>
          <w:sz w:val="18"/>
          <w:szCs w:val="18"/>
          <w:color w:val="3B3B3B"/>
        </w:rPr>
        <w:t>.</w:t>
      </w:r>
      <w:r>
        <w:rPr>
          <w:rFonts w:ascii="Arial" w:cs="Arial" w:eastAsia="Arial" w:hAnsi="Arial"/>
          <w:sz w:val="18"/>
          <w:szCs w:val="18"/>
          <w:u w:val="single" w:color="auto"/>
          <w:color w:val="3B3B3B"/>
        </w:rPr>
        <w:t xml:space="preserve"> </w:t>
      </w:r>
      <w:r>
        <w:rPr>
          <w:rFonts w:ascii="Arial" w:cs="Arial" w:eastAsia="Arial" w:hAnsi="Arial"/>
          <w:sz w:val="18"/>
          <w:szCs w:val="18"/>
          <w:color w:val="2A2A2A"/>
        </w:rPr>
        <w:t>A Participant shall continue to be eligible to make Deferrals of Compensation and receive allocations of</w:t>
      </w:r>
      <w:r>
        <w:rPr>
          <w:rFonts w:ascii="Arial" w:cs="Arial" w:eastAsia="Arial" w:hAnsi="Arial"/>
          <w:sz w:val="18"/>
          <w:szCs w:val="18"/>
          <w:u w:val="single" w:color="auto"/>
          <w:color w:val="3B3B3B"/>
        </w:rPr>
        <w:t xml:space="preserve"> </w:t>
      </w:r>
      <w:r>
        <w:rPr>
          <w:rFonts w:ascii="Arial" w:cs="Arial" w:eastAsia="Arial" w:hAnsi="Arial"/>
          <w:sz w:val="18"/>
          <w:szCs w:val="18"/>
          <w:color w:val="2A2A2A"/>
        </w:rPr>
        <w:t>Discretionary Contributions, subject to the terms of the Plan, for as long as such Participant remains an Eligible Employee or until the Committee in its discretion decides the Participant no longer is entitled to participate in the Plan. A Participant who ceases to be an Eligible Employee or who no longer is entitled to participate in the Plan but who has not Separated from Service or otherwise qualified for and received (or has had a Beneficiary receive) a complete distribution of his or her Account Balance from the Plan, shall not make further deferrals of Compensation effective as of the first day of the Plan Year following the Plan Year in which the Participant ceases to be an Eligible Employee. Such individual may otherwise exercise all of the rights of a Participant under the Plan with respect to his or her Account(s). On and after a Separation from Service, a Participant shall remain a Participant as long as his or her Account Balance is greater than zero, and during such time may continue to make allocation elections as provided in Section 8.4. An individual shall cease being a Participant in the Plan when all benefits under the Plan to which he or she is entitled have been paid.</w:t>
      </w:r>
    </w:p>
    <w:p>
      <w:pPr>
        <w:spacing w:after="0" w:line="172" w:lineRule="exact"/>
        <w:rPr>
          <w:sz w:val="20"/>
          <w:szCs w:val="20"/>
          <w:color w:val="auto"/>
        </w:rPr>
      </w:pPr>
    </w:p>
    <w:p>
      <w:pPr>
        <w:jc w:val="both"/>
        <w:ind w:left="840" w:hanging="633"/>
        <w:spacing w:after="0" w:line="272" w:lineRule="auto"/>
        <w:tabs>
          <w:tab w:leader="none" w:pos="820" w:val="left"/>
        </w:tabs>
        <w:rPr>
          <w:sz w:val="20"/>
          <w:szCs w:val="20"/>
          <w:color w:val="auto"/>
        </w:rPr>
      </w:pPr>
      <w:r>
        <w:rPr>
          <w:rFonts w:ascii="Arial" w:cs="Arial" w:eastAsia="Arial" w:hAnsi="Arial"/>
          <w:sz w:val="20"/>
          <w:szCs w:val="20"/>
          <w:color w:val="2A2A2A"/>
        </w:rPr>
        <w:t>3.3</w:t>
      </w:r>
      <w:r>
        <w:rPr>
          <w:sz w:val="20"/>
          <w:szCs w:val="20"/>
          <w:color w:val="auto"/>
        </w:rPr>
        <w:tab/>
      </w:r>
      <w:r>
        <w:rPr>
          <w:rFonts w:ascii="Arial" w:cs="Arial" w:eastAsia="Arial" w:hAnsi="Arial"/>
          <w:sz w:val="20"/>
          <w:szCs w:val="20"/>
          <w:u w:val="single" w:color="auto"/>
          <w:color w:val="3B3B3B"/>
        </w:rPr>
        <w:t>Reemployment</w:t>
      </w:r>
      <w:r>
        <w:rPr>
          <w:rFonts w:ascii="Arial" w:cs="Arial" w:eastAsia="Arial" w:hAnsi="Arial"/>
          <w:sz w:val="20"/>
          <w:szCs w:val="20"/>
          <w:color w:val="3B3B3B"/>
        </w:rPr>
        <w:t>.</w:t>
      </w:r>
      <w:r>
        <w:rPr>
          <w:rFonts w:ascii="Arial" w:cs="Arial" w:eastAsia="Arial" w:hAnsi="Arial"/>
          <w:sz w:val="20"/>
          <w:szCs w:val="20"/>
          <w:u w:val="single" w:color="auto"/>
          <w:color w:val="3B3B3B"/>
        </w:rPr>
        <w:t xml:space="preserve"> </w:t>
      </w:r>
      <w:r>
        <w:rPr>
          <w:rFonts w:ascii="Arial" w:cs="Arial" w:eastAsia="Arial" w:hAnsi="Arial"/>
          <w:sz w:val="18"/>
          <w:szCs w:val="18"/>
          <w:color w:val="2A2A2A"/>
        </w:rPr>
        <w:t>If a former Eligible Employee is rehired by an Employer and is again selected as eligible to participate in</w:t>
      </w:r>
      <w:r>
        <w:rPr>
          <w:rFonts w:ascii="Arial" w:cs="Arial" w:eastAsia="Arial" w:hAnsi="Arial"/>
          <w:sz w:val="20"/>
          <w:szCs w:val="20"/>
          <w:u w:val="single" w:color="auto"/>
          <w:color w:val="3B3B3B"/>
        </w:rPr>
        <w:t xml:space="preserve"> </w:t>
      </w:r>
      <w:r>
        <w:rPr>
          <w:rFonts w:ascii="Arial" w:cs="Arial" w:eastAsia="Arial" w:hAnsi="Arial"/>
          <w:sz w:val="18"/>
          <w:szCs w:val="18"/>
          <w:color w:val="2A2A2A"/>
        </w:rPr>
        <w:t xml:space="preserve">the Plan, he or she shall reenter the Plan on the first day of any Plan Year commencing after the date he or she is selected in accordance with the provisions of Section 3.1. If </w:t>
      </w:r>
      <w:r>
        <w:rPr>
          <w:rFonts w:ascii="Arial" w:cs="Arial" w:eastAsia="Arial" w:hAnsi="Arial"/>
          <w:sz w:val="19"/>
          <w:szCs w:val="19"/>
          <w:color w:val="2A2A2A"/>
        </w:rPr>
        <w:t>such individual meets the requirements of Treasury Regulations</w:t>
      </w:r>
      <w:r>
        <w:rPr>
          <w:rFonts w:ascii="Arial" w:cs="Arial" w:eastAsia="Arial" w:hAnsi="Arial"/>
          <w:sz w:val="18"/>
          <w:szCs w:val="18"/>
          <w:color w:val="2A2A2A"/>
        </w:rPr>
        <w:t xml:space="preserve"> </w:t>
      </w:r>
      <w:r>
        <w:rPr>
          <w:rFonts w:ascii="Arial" w:cs="Arial" w:eastAsia="Arial" w:hAnsi="Arial"/>
          <w:sz w:val="19"/>
          <w:szCs w:val="19"/>
          <w:color w:val="2A2A2A"/>
        </w:rPr>
        <w:t>Section 1.409A-2(a)(7) as of such reentry date, he or she will be treated as initially eligible to participate in the Plan for purposes of Section 4.2(a). Such Eligible Employee's reentry into the Plan shall have no impact on any distributions that have been made or are being made in accordance with Article VI. Any amounts previously forfeited from the Participant's Accounts pursuant to this Plan shall not be restored or reinstated upon the Participant's subsequent reentry into the Plan.</w:t>
      </w:r>
    </w:p>
    <w:p>
      <w:pPr>
        <w:spacing w:after="0" w:line="180" w:lineRule="exact"/>
        <w:rPr>
          <w:sz w:val="20"/>
          <w:szCs w:val="20"/>
          <w:color w:val="auto"/>
        </w:rPr>
      </w:pPr>
    </w:p>
    <w:p>
      <w:pPr>
        <w:jc w:val="both"/>
        <w:ind w:left="840" w:hanging="647"/>
        <w:spacing w:after="0" w:line="303" w:lineRule="auto"/>
        <w:tabs>
          <w:tab w:leader="none" w:pos="820" w:val="left"/>
        </w:tabs>
        <w:rPr>
          <w:sz w:val="20"/>
          <w:szCs w:val="20"/>
          <w:color w:val="auto"/>
        </w:rPr>
      </w:pPr>
      <w:r>
        <w:rPr>
          <w:rFonts w:ascii="Arial" w:cs="Arial" w:eastAsia="Arial" w:hAnsi="Arial"/>
          <w:sz w:val="20"/>
          <w:szCs w:val="20"/>
          <w:color w:val="2A2A2A"/>
        </w:rPr>
        <w:t>3.4</w:t>
      </w:r>
      <w:r>
        <w:rPr>
          <w:sz w:val="20"/>
          <w:szCs w:val="20"/>
          <w:color w:val="auto"/>
        </w:rPr>
        <w:tab/>
      </w:r>
      <w:r>
        <w:rPr>
          <w:rFonts w:ascii="Arial" w:cs="Arial" w:eastAsia="Arial" w:hAnsi="Arial"/>
          <w:sz w:val="18"/>
          <w:szCs w:val="18"/>
          <w:u w:val="single" w:color="auto"/>
          <w:color w:val="3B3B3B"/>
        </w:rPr>
        <w:t xml:space="preserve">Adoption by </w:t>
      </w:r>
      <w:r>
        <w:rPr>
          <w:rFonts w:ascii="Arial" w:cs="Arial" w:eastAsia="Arial" w:hAnsi="Arial"/>
          <w:sz w:val="18"/>
          <w:szCs w:val="18"/>
          <w:u w:val="single" w:color="auto"/>
          <w:color w:val="4F4F4F"/>
        </w:rPr>
        <w:t>Affiliates</w:t>
      </w:r>
      <w:r>
        <w:rPr>
          <w:rFonts w:ascii="Arial" w:cs="Arial" w:eastAsia="Arial" w:hAnsi="Arial"/>
          <w:sz w:val="18"/>
          <w:szCs w:val="18"/>
          <w:color w:val="2A2A2A"/>
        </w:rPr>
        <w:t>. An employee of an Affiliate may not become a Participant in the Plan unless the Affiliate has</w:t>
      </w:r>
      <w:r>
        <w:rPr>
          <w:rFonts w:ascii="Arial" w:cs="Arial" w:eastAsia="Arial" w:hAnsi="Arial"/>
          <w:sz w:val="18"/>
          <w:szCs w:val="18"/>
          <w:u w:val="single" w:color="auto"/>
          <w:color w:val="3B3B3B"/>
        </w:rPr>
        <w:t xml:space="preserve"> </w:t>
      </w:r>
      <w:r>
        <w:rPr>
          <w:rFonts w:ascii="Arial" w:cs="Arial" w:eastAsia="Arial" w:hAnsi="Arial"/>
          <w:sz w:val="18"/>
          <w:szCs w:val="18"/>
          <w:color w:val="2A2A2A"/>
        </w:rPr>
        <w:t>previously adopted the Plan and thereby becomes a Participating Employer. An Affiliate of the Company may become a Participating Employer only with the approval of the Board of Directors or its designee. By adopting this Plan, a Participating Employer shall be deemed to have agreed to assume the obligations and liabilities imposed</w:t>
      </w:r>
    </w:p>
    <w:p>
      <w:pPr>
        <w:spacing w:after="0" w:line="232" w:lineRule="exact"/>
        <w:rPr>
          <w:sz w:val="20"/>
          <w:szCs w:val="20"/>
          <w:color w:val="auto"/>
        </w:rPr>
      </w:pPr>
    </w:p>
    <w:p>
      <w:pPr>
        <w:jc w:val="both"/>
        <w:ind w:left="920"/>
        <w:spacing w:after="0" w:line="274" w:lineRule="auto"/>
        <w:rPr>
          <w:sz w:val="20"/>
          <w:szCs w:val="20"/>
          <w:color w:val="auto"/>
        </w:rPr>
      </w:pPr>
      <w:r>
        <w:rPr>
          <w:rFonts w:ascii="Arial" w:cs="Arial" w:eastAsia="Arial" w:hAnsi="Arial"/>
          <w:sz w:val="19"/>
          <w:szCs w:val="19"/>
          <w:color w:val="2A2A2A"/>
        </w:rPr>
        <w:t>upon it by this Plan, agreed to comply with all of the other terms and provisions of this Plan, delegated to the Committee the power and responsibility to administer this Plan with respect to the Participating Employer's Employees, and delegated to the Company the full power to amend or terminate this Plan with respect to the Participating Employer's Employees.</w:t>
      </w:r>
    </w:p>
    <w:p>
      <w:pPr>
        <w:sectPr>
          <w:pgSz w:w="11900" w:h="16838" w:orient="portrait"/>
          <w:cols w:equalWidth="0" w:num="1">
            <w:col w:w="10120"/>
          </w:cols>
          <w:pgMar w:left="1440" w:top="347" w:right="339" w:bottom="0" w:gutter="0" w:footer="0" w:header="0"/>
        </w:sectPr>
      </w:pPr>
    </w:p>
    <w:bookmarkStart w:id="56" w:name="page57"/>
    <w:bookmarkEnd w:id="56"/>
    <w:p>
      <w:pPr>
        <w:ind w:left="1000"/>
        <w:spacing w:after="0"/>
        <w:rPr>
          <w:sz w:val="20"/>
          <w:szCs w:val="20"/>
          <w:color w:val="auto"/>
        </w:rPr>
      </w:pPr>
      <w:r>
        <w:rPr>
          <w:rFonts w:ascii="Arial" w:cs="Arial" w:eastAsia="Arial" w:hAnsi="Arial"/>
          <w:sz w:val="21"/>
          <w:szCs w:val="21"/>
          <w:b w:val="1"/>
          <w:bCs w:val="1"/>
          <w:color w:val="2A2A2A"/>
        </w:rPr>
        <w:t>ARTICLE IV</w:t>
      </w:r>
    </w:p>
    <w:p>
      <w:pPr>
        <w:spacing w:after="0" w:line="29" w:lineRule="exact"/>
        <w:rPr>
          <w:sz w:val="20"/>
          <w:szCs w:val="20"/>
          <w:color w:val="auto"/>
        </w:rPr>
      </w:pPr>
    </w:p>
    <w:p>
      <w:pPr>
        <w:ind w:left="5300"/>
        <w:spacing w:after="0"/>
        <w:rPr>
          <w:sz w:val="20"/>
          <w:szCs w:val="20"/>
          <w:color w:val="auto"/>
        </w:rPr>
      </w:pPr>
      <w:r>
        <w:rPr>
          <w:rFonts w:ascii="Arial" w:cs="Arial" w:eastAsia="Arial" w:hAnsi="Arial"/>
          <w:sz w:val="20"/>
          <w:szCs w:val="20"/>
          <w:i w:val="1"/>
          <w:iCs w:val="1"/>
          <w:color w:val="2A2A2A"/>
        </w:rPr>
        <w:t>Deferrals</w:t>
      </w:r>
    </w:p>
    <w:p>
      <w:pPr>
        <w:spacing w:after="0" w:line="226"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9"/>
          <w:szCs w:val="19"/>
          <w:color w:val="2A2A2A"/>
        </w:rPr>
        <w:t>4.1</w:t>
      </w:r>
      <w:r>
        <w:rPr>
          <w:sz w:val="20"/>
          <w:szCs w:val="20"/>
          <w:color w:val="auto"/>
        </w:rPr>
        <w:tab/>
      </w:r>
      <w:r>
        <w:rPr>
          <w:rFonts w:ascii="Arial" w:cs="Arial" w:eastAsia="Arial" w:hAnsi="Arial"/>
          <w:sz w:val="17"/>
          <w:szCs w:val="17"/>
          <w:u w:val="single" w:color="auto"/>
          <w:color w:val="3F3F3F"/>
        </w:rPr>
        <w:t xml:space="preserve">Deferral </w:t>
      </w:r>
      <w:r>
        <w:rPr>
          <w:rFonts w:ascii="Arial" w:cs="Arial" w:eastAsia="Arial" w:hAnsi="Arial"/>
          <w:sz w:val="17"/>
          <w:szCs w:val="17"/>
          <w:u w:val="single" w:color="auto"/>
          <w:color w:val="626262"/>
        </w:rPr>
        <w:t>E</w:t>
      </w:r>
      <w:r>
        <w:rPr>
          <w:rFonts w:ascii="Arial" w:cs="Arial" w:eastAsia="Arial" w:hAnsi="Arial"/>
          <w:sz w:val="17"/>
          <w:szCs w:val="17"/>
          <w:u w:val="single" w:color="auto"/>
          <w:color w:val="3F3F3F"/>
        </w:rPr>
        <w:t>lections, Generally</w:t>
      </w:r>
      <w:r>
        <w:rPr>
          <w:rFonts w:ascii="Arial" w:cs="Arial" w:eastAsia="Arial" w:hAnsi="Arial"/>
          <w:sz w:val="17"/>
          <w:szCs w:val="17"/>
          <w:color w:val="3F3F3F"/>
        </w:rPr>
        <w:t>.</w:t>
      </w:r>
    </w:p>
    <w:p>
      <w:pPr>
        <w:spacing w:after="0" w:line="254" w:lineRule="exact"/>
        <w:rPr>
          <w:sz w:val="20"/>
          <w:szCs w:val="20"/>
          <w:color w:val="auto"/>
        </w:rPr>
      </w:pPr>
    </w:p>
    <w:p>
      <w:pPr>
        <w:jc w:val="both"/>
        <w:ind w:left="1540" w:hanging="627"/>
        <w:spacing w:after="0" w:line="288" w:lineRule="auto"/>
        <w:tabs>
          <w:tab w:leader="none" w:pos="1540" w:val="left"/>
        </w:tabs>
        <w:numPr>
          <w:ilvl w:val="0"/>
          <w:numId w:val="14"/>
        </w:numPr>
        <w:rPr>
          <w:rFonts w:ascii="Arial" w:cs="Arial" w:eastAsia="Arial" w:hAnsi="Arial"/>
          <w:sz w:val="18"/>
          <w:szCs w:val="18"/>
          <w:color w:val="2A2A2A"/>
        </w:rPr>
      </w:pPr>
      <w:r>
        <w:rPr>
          <w:rFonts w:ascii="Arial" w:cs="Arial" w:eastAsia="Arial" w:hAnsi="Arial"/>
          <w:sz w:val="18"/>
          <w:szCs w:val="18"/>
          <w:color w:val="2A2A2A"/>
        </w:rPr>
        <w:t>A Participant may elect to make Deferrals of Compensation by submitting a Compensation Deferral Agreement during the enrollment periods established by the Committee and in the manner specified by the Committee, but in any event, in accordance with Section 4.2. A Compensation Deferral Agreement that is not timely filed with respect to a service period or component of Compensation shall be considered void, and shall have no effect with respect to such service period or Compensation. The Committee may accept or reject any Compensation Deferral Agreement and may modify it as necessary to comply with Section 2.19 prior to the date the election becomes irrevocable under the rules of Section 4.2.</w:t>
      </w:r>
    </w:p>
    <w:p>
      <w:pPr>
        <w:spacing w:after="0" w:line="164" w:lineRule="exact"/>
        <w:rPr>
          <w:rFonts w:ascii="Arial" w:cs="Arial" w:eastAsia="Arial" w:hAnsi="Arial"/>
          <w:sz w:val="18"/>
          <w:szCs w:val="18"/>
          <w:color w:val="2A2A2A"/>
        </w:rPr>
      </w:pPr>
    </w:p>
    <w:p>
      <w:pPr>
        <w:ind w:left="1540" w:right="20" w:hanging="641"/>
        <w:spacing w:after="0" w:line="307" w:lineRule="auto"/>
        <w:tabs>
          <w:tab w:leader="none" w:pos="1540" w:val="left"/>
        </w:tabs>
        <w:numPr>
          <w:ilvl w:val="0"/>
          <w:numId w:val="14"/>
        </w:numPr>
        <w:rPr>
          <w:rFonts w:ascii="Arial" w:cs="Arial" w:eastAsia="Arial" w:hAnsi="Arial"/>
          <w:sz w:val="17"/>
          <w:szCs w:val="17"/>
          <w:color w:val="2A2A2A"/>
        </w:rPr>
      </w:pPr>
      <w:r>
        <w:rPr>
          <w:rFonts w:ascii="Arial" w:cs="Arial" w:eastAsia="Arial" w:hAnsi="Arial"/>
          <w:sz w:val="17"/>
          <w:szCs w:val="17"/>
          <w:color w:val="2A2A2A"/>
        </w:rPr>
        <w:t>For each Plan Year, the Participant shall specify on his or her Compensation Deferral Agreement the time and form of payment for the Annual Deferral Amount. A Participant shall make an election to receive a portion or all of each Annual Deferral Amount as a Specified Date Account(s) or as a Separation from Service Account (to be paid pursuant to the Participant's alternative Retirement and Termination election(s), as applicable), or both. If no allocation is indicated, or if an invalid allocation is made with respect to a portion or all of an Annual Deferral Amount, the Participant shall be deemed to have elected a lump sum distribution upon Separation from Service for the absent allocation, or to the extent of the invalid allocation.</w:t>
      </w:r>
    </w:p>
    <w:p>
      <w:pPr>
        <w:spacing w:after="0" w:line="180" w:lineRule="exact"/>
        <w:rPr>
          <w:sz w:val="20"/>
          <w:szCs w:val="20"/>
          <w:color w:val="auto"/>
        </w:rPr>
      </w:pPr>
    </w:p>
    <w:p>
      <w:pPr>
        <w:jc w:val="both"/>
        <w:ind w:left="1500"/>
        <w:spacing w:after="0" w:line="274" w:lineRule="auto"/>
        <w:rPr>
          <w:sz w:val="20"/>
          <w:szCs w:val="20"/>
          <w:color w:val="auto"/>
        </w:rPr>
      </w:pPr>
      <w:r>
        <w:rPr>
          <w:rFonts w:ascii="Arial" w:cs="Arial" w:eastAsia="Arial" w:hAnsi="Arial"/>
          <w:sz w:val="19"/>
          <w:szCs w:val="19"/>
          <w:color w:val="2A2A2A"/>
        </w:rPr>
        <w:t>Notwithstanding the foregoing, to the extent that a portion of a Participant's Annual Deferral Amount was (1) before 2020 (under the terms of the LTCIP), or (2) pursuant to 4.1(c) below (mandatory STIP Deferrals), deferred and credited with Performance Fund investment returns, the Participant may only elect to receive such portion as a Separation From Service Account.</w:t>
      </w:r>
    </w:p>
    <w:p>
      <w:pPr>
        <w:spacing w:after="0" w:line="190" w:lineRule="exact"/>
        <w:rPr>
          <w:sz w:val="20"/>
          <w:szCs w:val="20"/>
          <w:color w:val="auto"/>
        </w:rPr>
      </w:pPr>
    </w:p>
    <w:p>
      <w:pPr>
        <w:ind w:left="1540" w:hanging="641"/>
        <w:spacing w:after="0"/>
        <w:tabs>
          <w:tab w:leader="none" w:pos="1540" w:val="left"/>
        </w:tabs>
        <w:numPr>
          <w:ilvl w:val="0"/>
          <w:numId w:val="15"/>
        </w:numPr>
        <w:rPr>
          <w:rFonts w:ascii="Arial" w:cs="Arial" w:eastAsia="Arial" w:hAnsi="Arial"/>
          <w:sz w:val="18"/>
          <w:szCs w:val="18"/>
          <w:color w:val="2A2A2A"/>
        </w:rPr>
      </w:pPr>
      <w:r>
        <w:rPr>
          <w:rFonts w:ascii="Arial" w:cs="Arial" w:eastAsia="Arial" w:hAnsi="Arial"/>
          <w:sz w:val="18"/>
          <w:szCs w:val="18"/>
          <w:color w:val="2A2A2A"/>
        </w:rPr>
        <w:t>This Section 4.1(c) applies on and after January 01, 2020, due to the merger of the LTCIP into this Plan.</w:t>
      </w:r>
    </w:p>
    <w:p>
      <w:pPr>
        <w:spacing w:after="0" w:line="266" w:lineRule="exact"/>
        <w:rPr>
          <w:sz w:val="20"/>
          <w:szCs w:val="20"/>
          <w:color w:val="auto"/>
        </w:rPr>
      </w:pPr>
    </w:p>
    <w:p>
      <w:pPr>
        <w:jc w:val="both"/>
        <w:ind w:left="1480"/>
        <w:spacing w:after="0" w:line="309" w:lineRule="auto"/>
        <w:rPr>
          <w:sz w:val="20"/>
          <w:szCs w:val="20"/>
          <w:color w:val="auto"/>
        </w:rPr>
      </w:pPr>
      <w:r>
        <w:rPr>
          <w:rFonts w:ascii="Arial" w:cs="Arial" w:eastAsia="Arial" w:hAnsi="Arial"/>
          <w:sz w:val="17"/>
          <w:szCs w:val="17"/>
          <w:color w:val="2A2A2A"/>
        </w:rPr>
        <w:t>Twenty-five percent (25%) of a STIP award bonus otherwise payable to Participant in a calendar year shall be automatically deferred under the Plan and credited to the Participant's Account and the Performance Fund provided that the Committee has determined, prior to the award date that (1) a deferral election may be made pursuant to the Plan and Section 409A with respect to such award, and (2) all or part of such credit can be made to the Participant's Account without causing all of the amount to be credited to the Performance Fund to exceed the Participant's applicable target amount (the "Participant's Target Amount") set forth below.</w:t>
      </w:r>
    </w:p>
    <w:p>
      <w:pPr>
        <w:spacing w:after="0" w:line="224" w:lineRule="exact"/>
        <w:rPr>
          <w:sz w:val="20"/>
          <w:szCs w:val="20"/>
          <w:color w:val="auto"/>
        </w:rPr>
      </w:pPr>
    </w:p>
    <w:p>
      <w:pPr>
        <w:ind w:left="1540"/>
        <w:spacing w:after="0"/>
        <w:rPr>
          <w:sz w:val="20"/>
          <w:szCs w:val="20"/>
          <w:color w:val="auto"/>
        </w:rPr>
      </w:pPr>
      <w:r>
        <w:rPr>
          <w:rFonts w:ascii="Arial" w:cs="Arial" w:eastAsia="Arial" w:hAnsi="Arial"/>
          <w:sz w:val="20"/>
          <w:szCs w:val="20"/>
          <w:color w:val="2D2D2D"/>
        </w:rPr>
        <w:t>Participant Target Amounts</w:t>
      </w:r>
    </w:p>
    <w:p>
      <w:pPr>
        <w:spacing w:after="0" w:line="223" w:lineRule="exact"/>
        <w:rPr>
          <w:sz w:val="20"/>
          <w:szCs w:val="20"/>
          <w:color w:val="auto"/>
        </w:rPr>
      </w:pPr>
    </w:p>
    <w:p>
      <w:pPr>
        <w:ind w:left="1540"/>
        <w:spacing w:after="0"/>
        <w:tabs>
          <w:tab w:leader="none" w:pos="3120" w:val="left"/>
        </w:tabs>
        <w:rPr>
          <w:sz w:val="20"/>
          <w:szCs w:val="20"/>
          <w:color w:val="auto"/>
        </w:rPr>
      </w:pPr>
      <w:r>
        <w:rPr>
          <w:rFonts w:ascii="Arial" w:cs="Arial" w:eastAsia="Arial" w:hAnsi="Arial"/>
          <w:sz w:val="20"/>
          <w:szCs w:val="20"/>
          <w:b w:val="1"/>
          <w:bCs w:val="1"/>
          <w:color w:val="2D2D2D"/>
        </w:rPr>
        <w:t>Participant Title</w:t>
      </w:r>
      <w:r>
        <w:rPr>
          <w:sz w:val="20"/>
          <w:szCs w:val="20"/>
          <w:color w:val="auto"/>
        </w:rPr>
        <w:tab/>
      </w:r>
      <w:r>
        <w:rPr>
          <w:rFonts w:ascii="Arial" w:cs="Arial" w:eastAsia="Arial" w:hAnsi="Arial"/>
          <w:sz w:val="18"/>
          <w:szCs w:val="18"/>
          <w:b w:val="1"/>
          <w:bCs w:val="1"/>
          <w:color w:val="2D2D2D"/>
        </w:rPr>
        <w:t>Target Amount</w:t>
      </w:r>
    </w:p>
    <w:p>
      <w:pPr>
        <w:spacing w:after="0" w:line="357" w:lineRule="exact"/>
        <w:rPr>
          <w:sz w:val="20"/>
          <w:szCs w:val="20"/>
          <w:color w:val="auto"/>
        </w:rPr>
      </w:pPr>
    </w:p>
    <w:p>
      <w:pPr>
        <w:jc w:val="both"/>
        <w:ind w:left="1540" w:firstLine="13"/>
        <w:spacing w:after="0" w:line="500" w:lineRule="auto"/>
        <w:rPr>
          <w:sz w:val="20"/>
          <w:szCs w:val="20"/>
          <w:color w:val="auto"/>
        </w:rPr>
      </w:pPr>
      <w:r>
        <w:rPr>
          <w:rFonts w:ascii="Arial" w:cs="Arial" w:eastAsia="Arial" w:hAnsi="Arial"/>
          <w:sz w:val="20"/>
          <w:szCs w:val="20"/>
          <w:color w:val="2D2D2D"/>
        </w:rPr>
        <w:t>Centuri Chief Executive Officer and President 400% base salary Centuri Executive Vice President-CFO /Treasurer 200% base salary Centuri Executive Vice President-Power Group 200% base salary Centuri Executive Vice President-General Counsel/Secretary 200% base salary Centuri Executive Vice President-CAO 200% base salary</w:t>
      </w:r>
    </w:p>
    <w:p>
      <w:pPr>
        <w:sectPr>
          <w:pgSz w:w="11900" w:h="16838" w:orient="portrait"/>
          <w:cols w:equalWidth="0" w:num="1">
            <w:col w:w="10120"/>
          </w:cols>
          <w:pgMar w:left="1440" w:top="350" w:right="339" w:bottom="1440" w:gutter="0" w:footer="0" w:header="0"/>
        </w:sectPr>
      </w:pPr>
    </w:p>
    <w:bookmarkStart w:id="57" w:name="page58"/>
    <w:bookmarkEnd w:id="57"/>
    <w:p>
      <w:pPr>
        <w:ind w:left="1540"/>
        <w:spacing w:after="0"/>
        <w:rPr>
          <w:sz w:val="20"/>
          <w:szCs w:val="20"/>
          <w:color w:val="auto"/>
        </w:rPr>
      </w:pPr>
      <w:r>
        <w:rPr>
          <w:rFonts w:ascii="Arial" w:cs="Arial" w:eastAsia="Arial" w:hAnsi="Arial"/>
          <w:sz w:val="20"/>
          <w:szCs w:val="20"/>
          <w:color w:val="2D2D2D"/>
        </w:rPr>
        <w:t>Centuri Executive Vice President-</w:t>
      </w:r>
    </w:p>
    <w:p>
      <w:pPr>
        <w:spacing w:after="0" w:line="243" w:lineRule="exact"/>
        <w:rPr>
          <w:sz w:val="20"/>
          <w:szCs w:val="20"/>
          <w:color w:val="auto"/>
        </w:rPr>
      </w:pPr>
    </w:p>
    <w:p>
      <w:pPr>
        <w:ind w:left="1540"/>
        <w:spacing w:after="0"/>
        <w:tabs>
          <w:tab w:leader="none" w:pos="2120" w:val="left"/>
          <w:tab w:leader="none" w:pos="2920" w:val="left"/>
          <w:tab w:leader="none" w:pos="3900" w:val="left"/>
        </w:tabs>
        <w:rPr>
          <w:sz w:val="20"/>
          <w:szCs w:val="20"/>
          <w:color w:val="auto"/>
        </w:rPr>
      </w:pPr>
      <w:r>
        <w:rPr>
          <w:rFonts w:ascii="Arial" w:cs="Arial" w:eastAsia="Arial" w:hAnsi="Arial"/>
          <w:sz w:val="20"/>
          <w:szCs w:val="20"/>
          <w:color w:val="2D2D2D"/>
        </w:rPr>
        <w:t>COO</w:t>
        <w:tab/>
        <w:t>Centuri</w:t>
        <w:tab/>
        <w:t>Executive</w:t>
      </w:r>
      <w:r>
        <w:rPr>
          <w:sz w:val="20"/>
          <w:szCs w:val="20"/>
          <w:color w:val="auto"/>
        </w:rPr>
        <w:tab/>
      </w:r>
      <w:r>
        <w:rPr>
          <w:rFonts w:ascii="Arial" w:cs="Arial" w:eastAsia="Arial" w:hAnsi="Arial"/>
          <w:sz w:val="18"/>
          <w:szCs w:val="18"/>
          <w:color w:val="2D2D2D"/>
        </w:rPr>
        <w:t>Vice</w:t>
      </w:r>
    </w:p>
    <w:p>
      <w:pPr>
        <w:spacing w:after="0" w:line="243" w:lineRule="exact"/>
        <w:rPr>
          <w:sz w:val="20"/>
          <w:szCs w:val="20"/>
          <w:color w:val="auto"/>
        </w:rPr>
      </w:pPr>
    </w:p>
    <w:p>
      <w:pPr>
        <w:ind w:left="1540"/>
        <w:spacing w:after="0"/>
        <w:rPr>
          <w:sz w:val="20"/>
          <w:szCs w:val="20"/>
          <w:color w:val="auto"/>
        </w:rPr>
      </w:pPr>
      <w:r>
        <w:rPr>
          <w:rFonts w:ascii="Arial" w:cs="Arial" w:eastAsia="Arial" w:hAnsi="Arial"/>
          <w:sz w:val="20"/>
          <w:szCs w:val="20"/>
          <w:color w:val="2D2D2D"/>
        </w:rPr>
        <w:t>President-CCO NPL President</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2D2D2D"/>
        </w:rPr>
        <w:t>Meritus Oil and Gas Division</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2D2D2D"/>
        </w:rPr>
        <w:t>President Centuri Senior Vice</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2D2D2D"/>
        </w:rPr>
        <w:t>President-HR</w:t>
      </w:r>
    </w:p>
    <w:p>
      <w:pPr>
        <w:spacing w:after="0" w:line="364" w:lineRule="exact"/>
        <w:rPr>
          <w:sz w:val="20"/>
          <w:szCs w:val="20"/>
          <w:color w:val="auto"/>
        </w:rPr>
      </w:pPr>
    </w:p>
    <w:p>
      <w:pPr>
        <w:ind w:left="560"/>
        <w:spacing w:after="0"/>
        <w:rPr>
          <w:sz w:val="20"/>
          <w:szCs w:val="20"/>
          <w:color w:val="auto"/>
        </w:rPr>
      </w:pPr>
      <w:r>
        <w:rPr>
          <w:rFonts w:ascii="Arial" w:cs="Arial" w:eastAsia="Arial" w:hAnsi="Arial"/>
          <w:sz w:val="20"/>
          <w:szCs w:val="20"/>
          <w:color w:val="2D2D2D"/>
        </w:rPr>
        <w:t>200% base salary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2D2D2D"/>
        </w:rPr>
        <w:t>200% base salary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2D2D2D"/>
        </w:rPr>
        <w:t>200% base salary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2D2D2D"/>
        </w:rPr>
        <w:t>200% base salary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2D2D2D"/>
        </w:rPr>
        <w:t>100% base salary</w:t>
      </w:r>
    </w:p>
    <w:p>
      <w:pPr>
        <w:spacing w:after="0" w:line="229"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0"/>
          <w:szCs w:val="20"/>
          <w:color w:val="2D2D2D"/>
        </w:rPr>
        <w:t>4.2</w:t>
      </w:r>
      <w:r>
        <w:rPr>
          <w:sz w:val="20"/>
          <w:szCs w:val="20"/>
          <w:color w:val="auto"/>
        </w:rPr>
        <w:tab/>
      </w:r>
      <w:r>
        <w:rPr>
          <w:rFonts w:ascii="Arial" w:cs="Arial" w:eastAsia="Arial" w:hAnsi="Arial"/>
          <w:sz w:val="18"/>
          <w:szCs w:val="18"/>
          <w:u w:val="single" w:color="auto"/>
          <w:color w:val="444444"/>
        </w:rPr>
        <w:t xml:space="preserve">Timing </w:t>
      </w:r>
      <w:r>
        <w:rPr>
          <w:rFonts w:ascii="Arial" w:cs="Arial" w:eastAsia="Arial" w:hAnsi="Arial"/>
          <w:sz w:val="18"/>
          <w:szCs w:val="18"/>
          <w:u w:val="single" w:color="auto"/>
          <w:color w:val="2D2D2D"/>
        </w:rPr>
        <w:t>Requirements</w:t>
      </w:r>
      <w:r>
        <w:rPr>
          <w:rFonts w:ascii="Arial" w:cs="Arial" w:eastAsia="Arial" w:hAnsi="Arial"/>
          <w:sz w:val="18"/>
          <w:szCs w:val="18"/>
          <w:u w:val="single" w:color="auto"/>
          <w:color w:val="444444"/>
        </w:rPr>
        <w:t xml:space="preserve"> for Compensation </w:t>
      </w:r>
      <w:r>
        <w:rPr>
          <w:rFonts w:ascii="Arial" w:cs="Arial" w:eastAsia="Arial" w:hAnsi="Arial"/>
          <w:sz w:val="18"/>
          <w:szCs w:val="18"/>
          <w:u w:val="single" w:color="auto"/>
          <w:color w:val="2D2D2D"/>
        </w:rPr>
        <w:t>Deferral</w:t>
      </w:r>
      <w:r>
        <w:rPr>
          <w:rFonts w:ascii="Arial" w:cs="Arial" w:eastAsia="Arial" w:hAnsi="Arial"/>
          <w:sz w:val="18"/>
          <w:szCs w:val="18"/>
          <w:u w:val="single" w:color="auto"/>
          <w:color w:val="444444"/>
        </w:rPr>
        <w:t xml:space="preserve"> Agreeme</w:t>
      </w:r>
      <w:r>
        <w:rPr>
          <w:rFonts w:ascii="Arial" w:cs="Arial" w:eastAsia="Arial" w:hAnsi="Arial"/>
          <w:sz w:val="18"/>
          <w:szCs w:val="18"/>
          <w:color w:val="444444"/>
        </w:rPr>
        <w:t>nts.</w:t>
      </w:r>
    </w:p>
    <w:p>
      <w:pPr>
        <w:spacing w:after="0" w:line="202" w:lineRule="exact"/>
        <w:rPr>
          <w:sz w:val="20"/>
          <w:szCs w:val="20"/>
          <w:color w:val="auto"/>
        </w:rPr>
      </w:pPr>
    </w:p>
    <w:p>
      <w:pPr>
        <w:jc w:val="both"/>
        <w:ind w:left="1500" w:hanging="614"/>
        <w:spacing w:after="0" w:line="276" w:lineRule="auto"/>
        <w:tabs>
          <w:tab w:leader="none" w:pos="1500" w:val="left"/>
        </w:tabs>
        <w:numPr>
          <w:ilvl w:val="1"/>
          <w:numId w:val="16"/>
        </w:numPr>
        <w:rPr>
          <w:rFonts w:ascii="Arial" w:cs="Arial" w:eastAsia="Arial" w:hAnsi="Arial"/>
          <w:sz w:val="19"/>
          <w:szCs w:val="19"/>
          <w:color w:val="2D2D2D"/>
        </w:rPr>
      </w:pPr>
      <w:r>
        <w:rPr>
          <w:rFonts w:ascii="Arial" w:cs="Arial" w:eastAsia="Arial" w:hAnsi="Arial"/>
          <w:sz w:val="19"/>
          <w:szCs w:val="19"/>
          <w:i w:val="1"/>
          <w:iCs w:val="1"/>
          <w:color w:val="2D2D2D"/>
        </w:rPr>
        <w:t xml:space="preserve">First Year of Eligibility. </w:t>
      </w:r>
      <w:r>
        <w:rPr>
          <w:rFonts w:ascii="Arial" w:cs="Arial" w:eastAsia="Arial" w:hAnsi="Arial"/>
          <w:sz w:val="17"/>
          <w:szCs w:val="17"/>
          <w:color w:val="2D2D2D"/>
        </w:rPr>
        <w:t>In t</w:t>
      </w:r>
      <w:r>
        <w:rPr>
          <w:rFonts w:ascii="Arial" w:cs="Arial" w:eastAsia="Arial" w:hAnsi="Arial"/>
          <w:sz w:val="19"/>
          <w:szCs w:val="19"/>
          <w:color w:val="2D2D2D"/>
        </w:rPr>
        <w:t>he case of the first year in which an Eligible Employee becomes eligible to</w:t>
      </w:r>
      <w:r>
        <w:rPr>
          <w:rFonts w:ascii="Arial" w:cs="Arial" w:eastAsia="Arial" w:hAnsi="Arial"/>
          <w:sz w:val="19"/>
          <w:szCs w:val="19"/>
          <w:i w:val="1"/>
          <w:iCs w:val="1"/>
          <w:color w:val="2D2D2D"/>
        </w:rPr>
        <w:t xml:space="preserve"> </w:t>
      </w:r>
      <w:r>
        <w:rPr>
          <w:rFonts w:ascii="Arial" w:cs="Arial" w:eastAsia="Arial" w:hAnsi="Arial"/>
          <w:sz w:val="19"/>
          <w:szCs w:val="19"/>
          <w:color w:val="2D2D2D"/>
        </w:rPr>
        <w:t xml:space="preserve">participate in the Plan, he or she shall have up to 30 days following the date on which he </w:t>
      </w:r>
      <w:r>
        <w:rPr>
          <w:rFonts w:ascii="Arial" w:cs="Arial" w:eastAsia="Arial" w:hAnsi="Arial"/>
          <w:sz w:val="17"/>
          <w:szCs w:val="17"/>
          <w:color w:val="2D2D2D"/>
        </w:rPr>
        <w:t>or</w:t>
      </w:r>
      <w:r>
        <w:rPr>
          <w:rFonts w:ascii="Arial" w:cs="Arial" w:eastAsia="Arial" w:hAnsi="Arial"/>
          <w:sz w:val="19"/>
          <w:szCs w:val="19"/>
          <w:color w:val="2D2D2D"/>
        </w:rPr>
        <w:t xml:space="preserve"> she becomes eligible to participate in the Plan to submit a Compensation Deferral Agreement with respect to Compensation to be earned during such Plan Year. A completed Compensation Deferral Agreement described in this paragraph shall become irrevocable upon the end of such 30-day period, except as otherwise provided in this Section 4.2. The determination of whether an Eligible Employee may file a Compensation Deferral Agreement under this paragraph shall be determined in accordance with the rules of Code Section 409A, including the provisions of Treas. Reg. §1.409A-2(a)(7).</w:t>
      </w:r>
    </w:p>
    <w:p>
      <w:pPr>
        <w:spacing w:after="0" w:line="176" w:lineRule="exact"/>
        <w:rPr>
          <w:rFonts w:ascii="Arial" w:cs="Arial" w:eastAsia="Arial" w:hAnsi="Arial"/>
          <w:sz w:val="19"/>
          <w:szCs w:val="19"/>
          <w:color w:val="2D2D2D"/>
        </w:rPr>
      </w:pPr>
    </w:p>
    <w:p>
      <w:pPr>
        <w:jc w:val="both"/>
        <w:ind w:left="1480"/>
        <w:spacing w:after="0" w:line="360" w:lineRule="auto"/>
        <w:rPr>
          <w:rFonts w:ascii="Arial" w:cs="Arial" w:eastAsia="Arial" w:hAnsi="Arial"/>
          <w:sz w:val="19"/>
          <w:szCs w:val="19"/>
          <w:color w:val="2D2D2D"/>
        </w:rPr>
      </w:pPr>
      <w:r>
        <w:rPr>
          <w:rFonts w:ascii="Arial" w:cs="Arial" w:eastAsia="Arial" w:hAnsi="Arial"/>
          <w:sz w:val="16"/>
          <w:szCs w:val="16"/>
          <w:color w:val="2D2D2D"/>
        </w:rPr>
        <w:t>A Compensation Deferral Agreement filed under this paragraph applies to Compensation earned for services performed after the date the Compensation Deferral Agreement becomes irrevocable. Any Compensation Deferral Agreement under this subsection (a) shall satisfy the requirements of Treas. Reg. §1.409A-2(a)(7).</w:t>
      </w:r>
    </w:p>
    <w:p>
      <w:pPr>
        <w:spacing w:after="0" w:line="117" w:lineRule="exact"/>
        <w:rPr>
          <w:rFonts w:ascii="Arial" w:cs="Arial" w:eastAsia="Arial" w:hAnsi="Arial"/>
          <w:sz w:val="19"/>
          <w:szCs w:val="19"/>
          <w:color w:val="2D2D2D"/>
        </w:rPr>
      </w:pPr>
    </w:p>
    <w:p>
      <w:pPr>
        <w:jc w:val="both"/>
        <w:ind w:left="1500" w:hanging="641"/>
        <w:spacing w:after="0" w:line="273" w:lineRule="auto"/>
        <w:tabs>
          <w:tab w:leader="none" w:pos="1500" w:val="left"/>
        </w:tabs>
        <w:numPr>
          <w:ilvl w:val="0"/>
          <w:numId w:val="17"/>
        </w:numPr>
        <w:rPr>
          <w:rFonts w:ascii="Arial" w:cs="Arial" w:eastAsia="Arial" w:hAnsi="Arial"/>
          <w:sz w:val="19"/>
          <w:szCs w:val="19"/>
          <w:color w:val="2D2D2D"/>
        </w:rPr>
      </w:pPr>
      <w:r>
        <w:rPr>
          <w:rFonts w:ascii="Arial" w:cs="Arial" w:eastAsia="Arial" w:hAnsi="Arial"/>
          <w:sz w:val="19"/>
          <w:szCs w:val="19"/>
          <w:i w:val="1"/>
          <w:iCs w:val="1"/>
          <w:color w:val="2D2D2D"/>
        </w:rPr>
        <w:t xml:space="preserve">Prior Year Election. </w:t>
      </w:r>
      <w:r>
        <w:rPr>
          <w:rFonts w:ascii="Arial" w:cs="Arial" w:eastAsia="Arial" w:hAnsi="Arial"/>
          <w:sz w:val="19"/>
          <w:szCs w:val="19"/>
          <w:color w:val="2D2D2D"/>
        </w:rPr>
        <w:t>Except as otherwise provided in this Section 4.2, Participants may defer Compensation</w:t>
      </w:r>
      <w:r>
        <w:rPr>
          <w:rFonts w:ascii="Arial" w:cs="Arial" w:eastAsia="Arial" w:hAnsi="Arial"/>
          <w:sz w:val="19"/>
          <w:szCs w:val="19"/>
          <w:i w:val="1"/>
          <w:iCs w:val="1"/>
          <w:color w:val="2D2D2D"/>
        </w:rPr>
        <w:t xml:space="preserve"> </w:t>
      </w:r>
      <w:r>
        <w:rPr>
          <w:rFonts w:ascii="Arial" w:cs="Arial" w:eastAsia="Arial" w:hAnsi="Arial"/>
          <w:sz w:val="19"/>
          <w:szCs w:val="19"/>
          <w:color w:val="2D2D2D"/>
        </w:rPr>
        <w:t>by filing a Compensation Deferral Agreement no later than December 31st of the calendar year prior to the calendar year in which the Compensation to be deferred is earned, or by such earlier deadline as announced by the Committee in its sole discretion. A Compensation Deferral Agreement described in this paragraph shall become irrevocable with respect to such Compensation no later than December 31st of the calendar year prior to the calendar year in which such</w:t>
      </w:r>
    </w:p>
    <w:p>
      <w:pPr>
        <w:spacing w:after="0" w:line="258" w:lineRule="exact"/>
        <w:rPr>
          <w:sz w:val="20"/>
          <w:szCs w:val="20"/>
          <w:color w:val="auto"/>
        </w:rPr>
      </w:pPr>
    </w:p>
    <w:p>
      <w:pPr>
        <w:ind w:left="1560"/>
        <w:spacing w:after="0"/>
        <w:rPr>
          <w:sz w:val="20"/>
          <w:szCs w:val="20"/>
          <w:color w:val="auto"/>
        </w:rPr>
      </w:pPr>
      <w:r>
        <w:rPr>
          <w:rFonts w:ascii="Arial" w:cs="Arial" w:eastAsia="Arial" w:hAnsi="Arial"/>
          <w:sz w:val="18"/>
          <w:szCs w:val="18"/>
          <w:color w:val="2B2B2B"/>
        </w:rPr>
        <w:t>Compensation is earned, or by such earlier deadline announced by the Committee in its sole discretion.</w:t>
      </w:r>
    </w:p>
    <w:p>
      <w:pPr>
        <w:spacing w:after="0" w:line="271" w:lineRule="exact"/>
        <w:rPr>
          <w:sz w:val="20"/>
          <w:szCs w:val="20"/>
          <w:color w:val="auto"/>
        </w:rPr>
      </w:pPr>
    </w:p>
    <w:p>
      <w:pPr>
        <w:jc w:val="both"/>
        <w:ind w:left="1560" w:hanging="620"/>
        <w:spacing w:after="0" w:line="291" w:lineRule="auto"/>
        <w:tabs>
          <w:tab w:leader="none" w:pos="1560" w:val="left"/>
        </w:tabs>
        <w:numPr>
          <w:ilvl w:val="0"/>
          <w:numId w:val="18"/>
        </w:numPr>
        <w:rPr>
          <w:rFonts w:ascii="Arial" w:cs="Arial" w:eastAsia="Arial" w:hAnsi="Arial"/>
          <w:sz w:val="19"/>
          <w:szCs w:val="19"/>
          <w:color w:val="2B2B2B"/>
        </w:rPr>
      </w:pPr>
      <w:r>
        <w:rPr>
          <w:rFonts w:ascii="Arial" w:cs="Arial" w:eastAsia="Arial" w:hAnsi="Arial"/>
          <w:sz w:val="20"/>
          <w:szCs w:val="20"/>
          <w:i w:val="1"/>
          <w:iCs w:val="1"/>
          <w:color w:val="2B2B2B"/>
        </w:rPr>
        <w:t xml:space="preserve">Performance-Based Compensation. </w:t>
      </w:r>
      <w:r>
        <w:rPr>
          <w:rFonts w:ascii="Arial" w:cs="Arial" w:eastAsia="Arial" w:hAnsi="Arial"/>
          <w:sz w:val="18"/>
          <w:szCs w:val="18"/>
          <w:color w:val="2B2B2B"/>
        </w:rPr>
        <w:t>Participants may file a Compensation Deferral Agreement with respect to</w:t>
      </w:r>
      <w:r>
        <w:rPr>
          <w:rFonts w:ascii="Arial" w:cs="Arial" w:eastAsia="Arial" w:hAnsi="Arial"/>
          <w:sz w:val="20"/>
          <w:szCs w:val="20"/>
          <w:i w:val="1"/>
          <w:iCs w:val="1"/>
          <w:color w:val="2B2B2B"/>
        </w:rPr>
        <w:t xml:space="preserve"> </w:t>
      </w:r>
      <w:r>
        <w:rPr>
          <w:rFonts w:ascii="Arial" w:cs="Arial" w:eastAsia="Arial" w:hAnsi="Arial"/>
          <w:sz w:val="18"/>
          <w:szCs w:val="18"/>
          <w:color w:val="2B2B2B"/>
        </w:rPr>
        <w:t>Performance-Based Compensation no later than the date that is six months before the end of the performance period, provided that:</w:t>
      </w:r>
    </w:p>
    <w:p>
      <w:pPr>
        <w:spacing w:after="0" w:line="184" w:lineRule="exact"/>
        <w:rPr>
          <w:rFonts w:ascii="Arial" w:cs="Arial" w:eastAsia="Arial" w:hAnsi="Arial"/>
          <w:sz w:val="19"/>
          <w:szCs w:val="19"/>
          <w:color w:val="2B2B2B"/>
        </w:rPr>
      </w:pPr>
    </w:p>
    <w:p>
      <w:pPr>
        <w:jc w:val="both"/>
        <w:ind w:left="2200" w:hanging="653"/>
        <w:spacing w:after="0" w:line="278" w:lineRule="auto"/>
        <w:tabs>
          <w:tab w:leader="none" w:pos="2200" w:val="left"/>
        </w:tabs>
        <w:numPr>
          <w:ilvl w:val="1"/>
          <w:numId w:val="18"/>
        </w:numPr>
        <w:rPr>
          <w:rFonts w:ascii="Arial" w:cs="Arial" w:eastAsia="Arial" w:hAnsi="Arial"/>
          <w:sz w:val="19"/>
          <w:szCs w:val="19"/>
          <w:color w:val="2B2B2B"/>
        </w:rPr>
      </w:pPr>
      <w:r>
        <w:rPr>
          <w:rFonts w:ascii="Arial" w:cs="Arial" w:eastAsia="Arial" w:hAnsi="Arial"/>
          <w:sz w:val="19"/>
          <w:szCs w:val="19"/>
          <w:color w:val="2B2B2B"/>
        </w:rPr>
        <w:t>the Participant performs services continuously from the later of the beginning of the performance period or the date the criteria are established through the date the Compensation Deferral Agreement is submitted; and</w:t>
      </w:r>
    </w:p>
    <w:p>
      <w:pPr>
        <w:spacing w:after="0" w:line="172" w:lineRule="exact"/>
        <w:rPr>
          <w:rFonts w:ascii="Arial" w:cs="Arial" w:eastAsia="Arial" w:hAnsi="Arial"/>
          <w:sz w:val="19"/>
          <w:szCs w:val="19"/>
          <w:color w:val="2B2B2B"/>
        </w:rPr>
      </w:pPr>
    </w:p>
    <w:p>
      <w:pPr>
        <w:ind w:left="2200" w:right="280" w:hanging="653"/>
        <w:spacing w:after="0" w:line="290" w:lineRule="auto"/>
        <w:tabs>
          <w:tab w:leader="none" w:pos="2200" w:val="left"/>
        </w:tabs>
        <w:numPr>
          <w:ilvl w:val="1"/>
          <w:numId w:val="18"/>
        </w:numPr>
        <w:rPr>
          <w:rFonts w:ascii="Arial" w:cs="Arial" w:eastAsia="Arial" w:hAnsi="Arial"/>
          <w:sz w:val="19"/>
          <w:szCs w:val="19"/>
          <w:color w:val="2B2B2B"/>
        </w:rPr>
      </w:pPr>
      <w:r>
        <w:rPr>
          <w:rFonts w:ascii="Arial" w:cs="Arial" w:eastAsia="Arial" w:hAnsi="Arial"/>
          <w:sz w:val="19"/>
          <w:szCs w:val="19"/>
          <w:color w:val="2B2B2B"/>
        </w:rPr>
        <w:t>the Compensation is not readily ascertainable as of the date the Compensation Deferral Agreement is filed.</w:t>
      </w:r>
    </w:p>
    <w:p>
      <w:pPr>
        <w:spacing w:after="0" w:line="174" w:lineRule="exact"/>
        <w:rPr>
          <w:sz w:val="20"/>
          <w:szCs w:val="20"/>
          <w:color w:val="auto"/>
        </w:rPr>
      </w:pPr>
    </w:p>
    <w:p>
      <w:pPr>
        <w:jc w:val="both"/>
        <w:ind w:left="1540"/>
        <w:spacing w:after="0" w:line="316" w:lineRule="auto"/>
        <w:rPr>
          <w:sz w:val="20"/>
          <w:szCs w:val="20"/>
          <w:color w:val="auto"/>
        </w:rPr>
      </w:pPr>
      <w:r>
        <w:rPr>
          <w:rFonts w:ascii="Arial" w:cs="Arial" w:eastAsia="Arial" w:hAnsi="Arial"/>
          <w:sz w:val="17"/>
          <w:szCs w:val="17"/>
          <w:color w:val="2B2B2B"/>
        </w:rPr>
        <w:t>A Compensation Deferral Agreement becomes irrevocable with respect to Performance-Based Compensation as of the date on which the deadline for filing such election occurs. The Committee shall determine the deadline for filing such an election in compliance with Code Section 409A. Any Compensation Deferral Agreement under this subsection (c) shall satisfy the requirements of Treas. Reg. §1.409A-2(a)(8).</w:t>
      </w:r>
    </w:p>
    <w:p>
      <w:pPr>
        <w:spacing w:after="0" w:line="164" w:lineRule="exact"/>
        <w:rPr>
          <w:sz w:val="20"/>
          <w:szCs w:val="20"/>
          <w:color w:val="auto"/>
        </w:rPr>
      </w:pPr>
    </w:p>
    <w:p>
      <w:pPr>
        <w:jc w:val="both"/>
        <w:ind w:left="1540" w:hanging="641"/>
        <w:spacing w:after="0" w:line="295" w:lineRule="auto"/>
        <w:tabs>
          <w:tab w:leader="none" w:pos="1540" w:val="left"/>
        </w:tabs>
        <w:numPr>
          <w:ilvl w:val="0"/>
          <w:numId w:val="19"/>
        </w:numPr>
        <w:rPr>
          <w:rFonts w:ascii="Arial" w:cs="Arial" w:eastAsia="Arial" w:hAnsi="Arial"/>
          <w:sz w:val="18"/>
          <w:szCs w:val="18"/>
          <w:color w:val="2B2B2B"/>
        </w:rPr>
      </w:pPr>
      <w:r>
        <w:rPr>
          <w:rFonts w:ascii="Arial" w:cs="Arial" w:eastAsia="Arial" w:hAnsi="Arial"/>
          <w:sz w:val="19"/>
          <w:szCs w:val="19"/>
          <w:i w:val="1"/>
          <w:iCs w:val="1"/>
          <w:color w:val="2B2B2B"/>
        </w:rPr>
        <w:t xml:space="preserve">Short-Term Deferrals. </w:t>
      </w:r>
      <w:r>
        <w:rPr>
          <w:rFonts w:ascii="Arial" w:cs="Arial" w:eastAsia="Arial" w:hAnsi="Arial"/>
          <w:sz w:val="17"/>
          <w:szCs w:val="17"/>
          <w:color w:val="2B2B2B"/>
        </w:rPr>
        <w:t>Compensation that meets the definition of a "short-term deferral" described in Treas.</w:t>
      </w:r>
      <w:r>
        <w:rPr>
          <w:rFonts w:ascii="Arial" w:cs="Arial" w:eastAsia="Arial" w:hAnsi="Arial"/>
          <w:sz w:val="19"/>
          <w:szCs w:val="19"/>
          <w:i w:val="1"/>
          <w:iCs w:val="1"/>
          <w:color w:val="2B2B2B"/>
        </w:rPr>
        <w:t xml:space="preserve"> </w:t>
      </w:r>
      <w:r>
        <w:rPr>
          <w:rFonts w:ascii="Arial" w:cs="Arial" w:eastAsia="Arial" w:hAnsi="Arial"/>
          <w:sz w:val="17"/>
          <w:szCs w:val="17"/>
          <w:color w:val="2B2B2B"/>
        </w:rPr>
        <w:t>Reg. §1.409A-1(b)(4) may be deferred in accordance with the rules of Article VII, applied as if the date the Substantial Risk of Forfeiture lapses is the date payments were originally scheduled to commence. Any Compensation Deferral Agreement under this subsection (d) shall satisfy the requirements of Treas. Reg.</w:t>
      </w:r>
    </w:p>
    <w:p>
      <w:pPr>
        <w:ind w:left="1540"/>
        <w:spacing w:after="0"/>
        <w:rPr>
          <w:rFonts w:ascii="Arial" w:cs="Arial" w:eastAsia="Arial" w:hAnsi="Arial"/>
          <w:sz w:val="18"/>
          <w:szCs w:val="18"/>
          <w:color w:val="2B2B2B"/>
        </w:rPr>
      </w:pPr>
      <w:r>
        <w:rPr>
          <w:rFonts w:ascii="Arial" w:cs="Arial" w:eastAsia="Arial" w:hAnsi="Arial"/>
          <w:sz w:val="19"/>
          <w:szCs w:val="19"/>
          <w:color w:val="2B2B2B"/>
        </w:rPr>
        <w:t>§1.409A-2(a)(4).</w:t>
      </w:r>
    </w:p>
    <w:p>
      <w:pPr>
        <w:sectPr>
          <w:pgSz w:w="11900" w:h="16838" w:orient="portrait"/>
          <w:cols w:equalWidth="0" w:num="1">
            <w:col w:w="10120"/>
          </w:cols>
          <w:pgMar w:left="1440" w:top="244" w:right="339" w:bottom="0" w:gutter="0" w:footer="0" w:header="0"/>
        </w:sectPr>
      </w:pPr>
    </w:p>
    <w:bookmarkStart w:id="58" w:name="page59"/>
    <w:bookmarkEnd w:id="58"/>
    <w:p>
      <w:pPr>
        <w:jc w:val="both"/>
        <w:ind w:left="1500" w:hanging="614"/>
        <w:spacing w:after="0" w:line="313" w:lineRule="auto"/>
        <w:tabs>
          <w:tab w:leader="none" w:pos="1500" w:val="left"/>
        </w:tabs>
        <w:numPr>
          <w:ilvl w:val="0"/>
          <w:numId w:val="20"/>
        </w:numPr>
        <w:rPr>
          <w:rFonts w:ascii="Arial" w:cs="Arial" w:eastAsia="Arial" w:hAnsi="Arial"/>
          <w:sz w:val="18"/>
          <w:szCs w:val="18"/>
          <w:color w:val="2B2B2B"/>
        </w:rPr>
      </w:pPr>
      <w:r>
        <w:rPr>
          <w:rFonts w:ascii="Arial" w:cs="Arial" w:eastAsia="Arial" w:hAnsi="Arial"/>
          <w:sz w:val="19"/>
          <w:szCs w:val="19"/>
          <w:i w:val="1"/>
          <w:iCs w:val="1"/>
          <w:color w:val="2B2B2B"/>
        </w:rPr>
        <w:t xml:space="preserve">Evergreen Deferral Elections. </w:t>
      </w:r>
      <w:r>
        <w:rPr>
          <w:rFonts w:ascii="Arial" w:cs="Arial" w:eastAsia="Arial" w:hAnsi="Arial"/>
          <w:sz w:val="17"/>
          <w:szCs w:val="17"/>
          <w:color w:val="2B2B2B"/>
        </w:rPr>
        <w:t>Deferral elections under the Plan are effective for a single Plan Year; new</w:t>
      </w:r>
      <w:r>
        <w:rPr>
          <w:rFonts w:ascii="Arial" w:cs="Arial" w:eastAsia="Arial" w:hAnsi="Arial"/>
          <w:sz w:val="19"/>
          <w:szCs w:val="19"/>
          <w:i w:val="1"/>
          <w:iCs w:val="1"/>
          <w:color w:val="2B2B2B"/>
        </w:rPr>
        <w:t xml:space="preserve"> </w:t>
      </w:r>
      <w:r>
        <w:rPr>
          <w:rFonts w:ascii="Arial" w:cs="Arial" w:eastAsia="Arial" w:hAnsi="Arial"/>
          <w:sz w:val="17"/>
          <w:szCs w:val="17"/>
          <w:color w:val="2B2B2B"/>
        </w:rPr>
        <w:t>elections must be made in order to defer Compensation during the following Plan Year. However, the Committee, in its discretion, may change this protocol by providing in the Compensation Deferral Agreement that such Compensation Deferral Agreement will continue in effect for each subsequent Plan Year or performance period, as applicable. In such event, such "evergreen" Compensation Deferral Agreements will become effective with respect to an item of Compensation on the date such election becomes irrevocable under this Section 4.2. An evergreen Compensation Deferral Agreement may be terminated or modified prospectively with respect to Compensation for which such election remains revocable under this Section 4.2. A Participant whose Compensation Deferral Agreement is cancelled in accordance with Section 4.6 will be required to file a new Compensation Deferral Agreement under this Article IV in order to recommence Deferrals under the Plan.</w:t>
      </w:r>
    </w:p>
    <w:p>
      <w:pPr>
        <w:spacing w:after="0" w:line="171" w:lineRule="exact"/>
        <w:rPr>
          <w:rFonts w:ascii="Arial" w:cs="Arial" w:eastAsia="Arial" w:hAnsi="Arial"/>
          <w:sz w:val="18"/>
          <w:szCs w:val="18"/>
          <w:color w:val="2B2B2B"/>
        </w:rPr>
      </w:pPr>
    </w:p>
    <w:p>
      <w:pPr>
        <w:ind w:left="1540" w:right="120" w:hanging="627"/>
        <w:spacing w:after="0" w:line="293" w:lineRule="auto"/>
        <w:tabs>
          <w:tab w:leader="none" w:pos="1540" w:val="left"/>
        </w:tabs>
        <w:numPr>
          <w:ilvl w:val="0"/>
          <w:numId w:val="20"/>
        </w:numPr>
        <w:rPr>
          <w:rFonts w:ascii="Arial" w:cs="Arial" w:eastAsia="Arial" w:hAnsi="Arial"/>
          <w:sz w:val="19"/>
          <w:szCs w:val="19"/>
          <w:color w:val="2B2B2B"/>
        </w:rPr>
      </w:pPr>
      <w:r>
        <w:rPr>
          <w:rFonts w:ascii="Arial" w:cs="Arial" w:eastAsia="Arial" w:hAnsi="Arial"/>
          <w:sz w:val="20"/>
          <w:szCs w:val="20"/>
          <w:i w:val="1"/>
          <w:iCs w:val="1"/>
          <w:color w:val="2B2B2B"/>
        </w:rPr>
        <w:t xml:space="preserve">Company Deferrals. </w:t>
      </w:r>
      <w:r>
        <w:rPr>
          <w:rFonts w:ascii="Arial" w:cs="Arial" w:eastAsia="Arial" w:hAnsi="Arial"/>
          <w:sz w:val="18"/>
          <w:szCs w:val="18"/>
          <w:color w:val="2B2B2B"/>
        </w:rPr>
        <w:t>The Company, in its sole and absolute discretion, may require that a Participant defer one</w:t>
      </w:r>
      <w:r>
        <w:rPr>
          <w:rFonts w:ascii="Arial" w:cs="Arial" w:eastAsia="Arial" w:hAnsi="Arial"/>
          <w:sz w:val="20"/>
          <w:szCs w:val="20"/>
          <w:i w:val="1"/>
          <w:iCs w:val="1"/>
          <w:color w:val="2B2B2B"/>
        </w:rPr>
        <w:t xml:space="preserve"> </w:t>
      </w:r>
      <w:r>
        <w:rPr>
          <w:rFonts w:ascii="Arial" w:cs="Arial" w:eastAsia="Arial" w:hAnsi="Arial"/>
          <w:sz w:val="18"/>
          <w:szCs w:val="18"/>
          <w:color w:val="2B2B2B"/>
        </w:rPr>
        <w:t xml:space="preserve">or more elements of Compensation by notifying the Participant in writing of such required deferral and the amount of such required deferral no later than the applicable time for making deferral elections under the rules set forth in Sections 4.2(a) through (e), above. </w:t>
      </w:r>
      <w:r>
        <w:rPr>
          <w:rFonts w:ascii="Arial" w:cs="Arial" w:eastAsia="Arial" w:hAnsi="Arial"/>
          <w:sz w:val="17"/>
          <w:szCs w:val="17"/>
          <w:color w:val="2B2B2B"/>
        </w:rPr>
        <w:t>In</w:t>
      </w:r>
      <w:r>
        <w:rPr>
          <w:rFonts w:ascii="Arial" w:cs="Arial" w:eastAsia="Arial" w:hAnsi="Arial"/>
          <w:sz w:val="18"/>
          <w:szCs w:val="18"/>
          <w:color w:val="2B2B2B"/>
        </w:rPr>
        <w:t xml:space="preserve"> addition, the Company may make a unilateral election to defer any compensation for which a Participant does not have the</w:t>
      </w:r>
    </w:p>
    <w:p>
      <w:pPr>
        <w:spacing w:after="0" w:line="240" w:lineRule="exact"/>
        <w:rPr>
          <w:rFonts w:ascii="Arial" w:cs="Arial" w:eastAsia="Arial" w:hAnsi="Arial"/>
          <w:sz w:val="19"/>
          <w:szCs w:val="19"/>
          <w:color w:val="2B2B2B"/>
        </w:rPr>
      </w:pPr>
    </w:p>
    <w:p>
      <w:pPr>
        <w:jc w:val="both"/>
        <w:ind w:left="1540" w:firstLine="13"/>
        <w:spacing w:after="0" w:line="289" w:lineRule="auto"/>
        <w:rPr>
          <w:rFonts w:ascii="Arial" w:cs="Arial" w:eastAsia="Arial" w:hAnsi="Arial"/>
          <w:sz w:val="19"/>
          <w:szCs w:val="19"/>
          <w:color w:val="2B2B2B"/>
        </w:rPr>
      </w:pPr>
      <w:r>
        <w:rPr>
          <w:rFonts w:ascii="Arial" w:cs="Arial" w:eastAsia="Arial" w:hAnsi="Arial"/>
          <w:sz w:val="18"/>
          <w:szCs w:val="18"/>
          <w:color w:val="2A2A2A"/>
        </w:rPr>
        <w:t>opportunity to make a deferral election under the rules set forth in Sections 4.2(a) through (e) above, provided the election of the amount, time and form of payment is made no later than the time the Participant first has a legally binding right to such compensation. The Company may mandate a distribution election for amounts deferred pursuant to this Section 4.2(f) by allocating the amount deferred to an existing Account, or by establishing a new Account and by making a distribution election for such Account consistent with the Payment Schedules available under the Plan with respect to such Account.</w:t>
      </w:r>
    </w:p>
    <w:p>
      <w:pPr>
        <w:spacing w:after="0" w:line="192" w:lineRule="exact"/>
        <w:rPr>
          <w:sz w:val="20"/>
          <w:szCs w:val="20"/>
          <w:color w:val="auto"/>
        </w:rPr>
      </w:pPr>
    </w:p>
    <w:p>
      <w:pPr>
        <w:jc w:val="both"/>
        <w:ind w:left="880" w:hanging="634"/>
        <w:spacing w:after="0" w:line="271" w:lineRule="auto"/>
        <w:tabs>
          <w:tab w:leader="none" w:pos="860" w:val="left"/>
        </w:tabs>
        <w:rPr>
          <w:sz w:val="20"/>
          <w:szCs w:val="20"/>
          <w:color w:val="auto"/>
        </w:rPr>
      </w:pPr>
      <w:r>
        <w:rPr>
          <w:rFonts w:ascii="Arial" w:cs="Arial" w:eastAsia="Arial" w:hAnsi="Arial"/>
          <w:sz w:val="19"/>
          <w:szCs w:val="19"/>
          <w:color w:val="2A2A2A"/>
        </w:rPr>
        <w:t>4.3</w:t>
      </w:r>
      <w:r>
        <w:rPr>
          <w:sz w:val="20"/>
          <w:szCs w:val="20"/>
          <w:color w:val="auto"/>
        </w:rPr>
        <w:tab/>
      </w:r>
      <w:r>
        <w:rPr>
          <w:rFonts w:ascii="Arial" w:cs="Arial" w:eastAsia="Arial" w:hAnsi="Arial"/>
          <w:sz w:val="19"/>
          <w:szCs w:val="19"/>
          <w:u w:val="single" w:color="auto"/>
          <w:color w:val="424242"/>
        </w:rPr>
        <w:t>Allocation of Deferrals</w:t>
      </w:r>
      <w:r>
        <w:rPr>
          <w:rFonts w:ascii="Arial" w:cs="Arial" w:eastAsia="Arial" w:hAnsi="Arial"/>
          <w:sz w:val="19"/>
          <w:szCs w:val="19"/>
          <w:color w:val="424242"/>
        </w:rPr>
        <w:t>.</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A Compensation Deferral Agreement may allocate each Annual Deferral Amount to a Specified</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Date Account or to a Separation from Service Account (for which the Participant shall make alternative elections with respect to Retirement and Termination); provided, however, the Committee, in its discretion, may allow a Participant to allocate an Annual Deferral Amount to multiple Specified Date Accounts and/ or to a Separation from Service Account. The Committee may, in its discretion, establish a minimum deferral period for the establishment of a Specified Date Account.</w:t>
      </w:r>
    </w:p>
    <w:p>
      <w:pPr>
        <w:spacing w:after="0" w:line="194" w:lineRule="exact"/>
        <w:rPr>
          <w:sz w:val="20"/>
          <w:szCs w:val="20"/>
          <w:color w:val="auto"/>
        </w:rPr>
      </w:pPr>
    </w:p>
    <w:p>
      <w:pPr>
        <w:jc w:val="both"/>
        <w:ind w:left="860" w:hanging="620"/>
        <w:spacing w:after="0" w:line="353" w:lineRule="auto"/>
        <w:tabs>
          <w:tab w:leader="none" w:pos="840" w:val="left"/>
        </w:tabs>
        <w:rPr>
          <w:sz w:val="20"/>
          <w:szCs w:val="20"/>
          <w:color w:val="auto"/>
        </w:rPr>
      </w:pPr>
      <w:r>
        <w:rPr>
          <w:rFonts w:ascii="Arial" w:cs="Arial" w:eastAsia="Arial" w:hAnsi="Arial"/>
          <w:sz w:val="19"/>
          <w:szCs w:val="19"/>
          <w:color w:val="2A2A2A"/>
        </w:rPr>
        <w:t>4.4</w:t>
      </w:r>
      <w:r>
        <w:rPr>
          <w:sz w:val="20"/>
          <w:szCs w:val="20"/>
          <w:color w:val="auto"/>
        </w:rPr>
        <w:tab/>
      </w:r>
      <w:r>
        <w:rPr>
          <w:rFonts w:ascii="Arial" w:cs="Arial" w:eastAsia="Arial" w:hAnsi="Arial"/>
          <w:sz w:val="17"/>
          <w:szCs w:val="17"/>
          <w:u w:val="single" w:color="auto"/>
          <w:color w:val="424242"/>
        </w:rPr>
        <w:t xml:space="preserve">Deductions from </w:t>
      </w:r>
      <w:r>
        <w:rPr>
          <w:rFonts w:ascii="Arial" w:cs="Arial" w:eastAsia="Arial" w:hAnsi="Arial"/>
          <w:sz w:val="17"/>
          <w:szCs w:val="17"/>
          <w:u w:val="single" w:color="auto"/>
          <w:color w:val="2A2A2A"/>
        </w:rPr>
        <w:t>Pay</w:t>
      </w:r>
      <w:r>
        <w:rPr>
          <w:rFonts w:ascii="Arial" w:cs="Arial" w:eastAsia="Arial" w:hAnsi="Arial"/>
          <w:sz w:val="17"/>
          <w:szCs w:val="17"/>
          <w:color w:val="2A2A2A"/>
        </w:rPr>
        <w:t>. The Committee has the authority to determine the payroll practices under which any component of</w:t>
      </w:r>
      <w:r>
        <w:rPr>
          <w:rFonts w:ascii="Arial" w:cs="Arial" w:eastAsia="Arial" w:hAnsi="Arial"/>
          <w:sz w:val="17"/>
          <w:szCs w:val="17"/>
          <w:u w:val="single" w:color="auto"/>
          <w:color w:val="424242"/>
        </w:rPr>
        <w:t xml:space="preserve"> </w:t>
      </w:r>
      <w:r>
        <w:rPr>
          <w:rFonts w:ascii="Arial" w:cs="Arial" w:eastAsia="Arial" w:hAnsi="Arial"/>
          <w:sz w:val="17"/>
          <w:szCs w:val="17"/>
          <w:color w:val="2A2A2A"/>
        </w:rPr>
        <w:t>Compensation subject to a Compensation Deferral Agreement will be deducted from a Participant's Compensation.</w:t>
      </w:r>
    </w:p>
    <w:p>
      <w:pPr>
        <w:spacing w:after="0" w:line="113" w:lineRule="exact"/>
        <w:rPr>
          <w:sz w:val="20"/>
          <w:szCs w:val="20"/>
          <w:color w:val="auto"/>
        </w:rPr>
      </w:pPr>
    </w:p>
    <w:p>
      <w:pPr>
        <w:ind w:left="220"/>
        <w:spacing w:after="0"/>
        <w:tabs>
          <w:tab w:leader="none" w:pos="840" w:val="left"/>
        </w:tabs>
        <w:rPr>
          <w:sz w:val="20"/>
          <w:szCs w:val="20"/>
          <w:color w:val="auto"/>
        </w:rPr>
      </w:pPr>
      <w:r>
        <w:rPr>
          <w:rFonts w:ascii="Arial" w:cs="Arial" w:eastAsia="Arial" w:hAnsi="Arial"/>
          <w:sz w:val="19"/>
          <w:szCs w:val="19"/>
          <w:color w:val="2A2A2A"/>
        </w:rPr>
        <w:t>4.5</w:t>
      </w:r>
      <w:r>
        <w:rPr>
          <w:sz w:val="20"/>
          <w:szCs w:val="20"/>
          <w:color w:val="auto"/>
        </w:rPr>
        <w:tab/>
      </w:r>
      <w:r>
        <w:rPr>
          <w:rFonts w:ascii="Arial" w:cs="Arial" w:eastAsia="Arial" w:hAnsi="Arial"/>
          <w:sz w:val="17"/>
          <w:szCs w:val="17"/>
          <w:u w:val="single" w:color="auto"/>
          <w:color w:val="2A2A2A"/>
        </w:rPr>
        <w:t>Vesting</w:t>
      </w:r>
      <w:r>
        <w:rPr>
          <w:rFonts w:ascii="Arial" w:cs="Arial" w:eastAsia="Arial" w:hAnsi="Arial"/>
          <w:sz w:val="17"/>
          <w:szCs w:val="17"/>
          <w:color w:val="2A2A2A"/>
        </w:rPr>
        <w:t>. Participant Deferrals shall be 100% vested at all times.</w:t>
      </w:r>
    </w:p>
    <w:p>
      <w:pPr>
        <w:spacing w:after="0" w:line="268" w:lineRule="exact"/>
        <w:rPr>
          <w:sz w:val="20"/>
          <w:szCs w:val="20"/>
          <w:color w:val="auto"/>
        </w:rPr>
      </w:pPr>
    </w:p>
    <w:p>
      <w:pPr>
        <w:jc w:val="right"/>
        <w:ind w:left="220"/>
        <w:spacing w:after="0" w:line="312" w:lineRule="auto"/>
        <w:rPr>
          <w:sz w:val="20"/>
          <w:szCs w:val="20"/>
          <w:color w:val="auto"/>
        </w:rPr>
      </w:pPr>
      <w:r>
        <w:rPr>
          <w:rFonts w:ascii="Arial" w:cs="Arial" w:eastAsia="Arial" w:hAnsi="Arial"/>
          <w:sz w:val="17"/>
          <w:szCs w:val="17"/>
          <w:color w:val="2A2A2A"/>
        </w:rPr>
        <w:t xml:space="preserve">4.6    </w:t>
      </w:r>
      <w:r>
        <w:rPr>
          <w:rFonts w:ascii="Arial" w:cs="Arial" w:eastAsia="Arial" w:hAnsi="Arial"/>
          <w:sz w:val="17"/>
          <w:szCs w:val="17"/>
          <w:u w:val="single" w:color="auto"/>
          <w:color w:val="2A2A2A"/>
        </w:rPr>
        <w:t>Cancellation of Deferrals</w:t>
      </w:r>
      <w:r>
        <w:rPr>
          <w:rFonts w:ascii="Arial" w:cs="Arial" w:eastAsia="Arial" w:hAnsi="Arial"/>
          <w:sz w:val="17"/>
          <w:szCs w:val="17"/>
          <w:color w:val="2A2A2A"/>
        </w:rPr>
        <w:t>. The Committee may cancel a Participant's Deferral election: (a) for the balance of the Plan Year in which an Unforeseeable Emergency (as defined in Section 2.52) occurs in accordance with Treas. Reg. §1.409A-3G)</w:t>
      </w:r>
    </w:p>
    <w:p>
      <w:pPr>
        <w:ind w:left="860"/>
        <w:spacing w:after="0"/>
        <w:rPr>
          <w:sz w:val="20"/>
          <w:szCs w:val="20"/>
          <w:color w:val="auto"/>
        </w:rPr>
      </w:pPr>
      <w:r>
        <w:rPr>
          <w:rFonts w:ascii="Arial" w:cs="Arial" w:eastAsia="Arial" w:hAnsi="Arial"/>
          <w:sz w:val="18"/>
          <w:szCs w:val="18"/>
          <w:color w:val="2A2A2A"/>
        </w:rPr>
        <w:t xml:space="preserve">(4)(viii), </w:t>
      </w:r>
      <w:r>
        <w:rPr>
          <w:rFonts w:ascii="Arial" w:cs="Arial" w:eastAsia="Arial" w:hAnsi="Arial"/>
          <w:sz w:val="19"/>
          <w:szCs w:val="19"/>
          <w:color w:val="2A2A2A"/>
        </w:rPr>
        <w:t>(b)</w:t>
      </w:r>
      <w:r>
        <w:rPr>
          <w:rFonts w:ascii="Arial" w:cs="Arial" w:eastAsia="Arial" w:hAnsi="Arial"/>
          <w:sz w:val="18"/>
          <w:szCs w:val="18"/>
          <w:color w:val="2A2A2A"/>
        </w:rPr>
        <w:t xml:space="preserve"> if the Participant receives a hardship distribution under the Employer's qualified 401(k) plan under Treas.</w:t>
      </w:r>
    </w:p>
    <w:p>
      <w:pPr>
        <w:spacing w:after="0" w:line="56" w:lineRule="exact"/>
        <w:rPr>
          <w:sz w:val="20"/>
          <w:szCs w:val="20"/>
          <w:color w:val="auto"/>
        </w:rPr>
      </w:pPr>
    </w:p>
    <w:p>
      <w:pPr>
        <w:ind w:left="860"/>
        <w:spacing w:after="0"/>
        <w:rPr>
          <w:sz w:val="20"/>
          <w:szCs w:val="20"/>
          <w:color w:val="auto"/>
        </w:rPr>
      </w:pPr>
      <w:r>
        <w:rPr>
          <w:rFonts w:ascii="Arial" w:cs="Arial" w:eastAsia="Arial" w:hAnsi="Arial"/>
          <w:sz w:val="19"/>
          <w:szCs w:val="19"/>
          <w:color w:val="2A2A2A"/>
        </w:rPr>
        <w:t>Reg.</w:t>
      </w:r>
    </w:p>
    <w:p>
      <w:pPr>
        <w:spacing w:after="0" w:line="38" w:lineRule="exact"/>
        <w:rPr>
          <w:sz w:val="20"/>
          <w:szCs w:val="20"/>
          <w:color w:val="auto"/>
        </w:rPr>
      </w:pPr>
    </w:p>
    <w:p>
      <w:pPr>
        <w:jc w:val="both"/>
        <w:ind w:left="840" w:firstLine="14"/>
        <w:spacing w:after="0" w:line="270" w:lineRule="auto"/>
        <w:rPr>
          <w:sz w:val="20"/>
          <w:szCs w:val="20"/>
          <w:color w:val="auto"/>
        </w:rPr>
      </w:pPr>
      <w:r>
        <w:rPr>
          <w:rFonts w:ascii="Arial" w:cs="Arial" w:eastAsia="Arial" w:hAnsi="Arial"/>
          <w:sz w:val="19"/>
          <w:szCs w:val="19"/>
          <w:color w:val="2A2A2A"/>
        </w:rPr>
        <w:t>§1.401(k)-1(d)(3) (relating to in-service distributions of 401(k) plan elective contributions as a result of an immediate and heavy financial need), in accordance with Treas. Reg. §1.409A- 3G)(4)(viii), or (c) during periods in which the Participant is unable to perform the duties of his or her position or any substantially similar position due to a mental or physical impairment that can be expected to result in death or last for a continuous period of at least six months, provided cancellation occurs by the later of the end of the taxable year of the Participant or the 15th day of the third month following the date the Participant incurs the disability (as defined in this paragraph) in accordance with Treas. Reg. §1.409A-3G)(4)(xii).</w:t>
      </w:r>
    </w:p>
    <w:p>
      <w:pPr>
        <w:spacing w:after="0" w:line="196" w:lineRule="exact"/>
        <w:rPr>
          <w:sz w:val="20"/>
          <w:szCs w:val="20"/>
          <w:color w:val="auto"/>
        </w:rPr>
      </w:pPr>
    </w:p>
    <w:p>
      <w:pPr>
        <w:jc w:val="both"/>
        <w:ind w:left="840" w:hanging="652"/>
        <w:spacing w:after="0" w:line="278" w:lineRule="auto"/>
        <w:tabs>
          <w:tab w:leader="none" w:pos="820" w:val="left"/>
        </w:tabs>
        <w:rPr>
          <w:sz w:val="20"/>
          <w:szCs w:val="20"/>
          <w:color w:val="auto"/>
        </w:rPr>
      </w:pPr>
      <w:r>
        <w:rPr>
          <w:rFonts w:ascii="Arial" w:cs="Arial" w:eastAsia="Arial" w:hAnsi="Arial"/>
          <w:sz w:val="19"/>
          <w:szCs w:val="19"/>
          <w:color w:val="2A2A2A"/>
        </w:rPr>
        <w:t>4.7</w:t>
      </w:r>
      <w:r>
        <w:rPr>
          <w:sz w:val="20"/>
          <w:szCs w:val="20"/>
          <w:color w:val="auto"/>
        </w:rPr>
        <w:tab/>
      </w:r>
      <w:r>
        <w:rPr>
          <w:rFonts w:ascii="Arial" w:cs="Arial" w:eastAsia="Arial" w:hAnsi="Arial"/>
          <w:sz w:val="19"/>
          <w:szCs w:val="19"/>
          <w:u w:val="single" w:color="auto"/>
          <w:color w:val="424242"/>
        </w:rPr>
        <w:t>Benefits Not Contingent</w:t>
      </w:r>
      <w:r>
        <w:rPr>
          <w:rFonts w:ascii="Arial" w:cs="Arial" w:eastAsia="Arial" w:hAnsi="Arial"/>
          <w:sz w:val="19"/>
          <w:szCs w:val="19"/>
          <w:color w:val="424242"/>
        </w:rPr>
        <w:t>.</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Deferrals and credits for any Participants under this Plan are not conditioned (directly or</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indirectly) upon the Participant's election to make (or not to make) deferrals under the 401 (k) plan sponsored by the Company.</w:t>
      </w:r>
    </w:p>
    <w:p>
      <w:pPr>
        <w:spacing w:after="0" w:line="200" w:lineRule="exact"/>
        <w:rPr>
          <w:sz w:val="20"/>
          <w:szCs w:val="20"/>
          <w:color w:val="auto"/>
        </w:rPr>
      </w:pPr>
    </w:p>
    <w:p>
      <w:pPr>
        <w:spacing w:after="0" w:line="245"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2A2A2A"/>
        </w:rPr>
        <w:t>ARTICLE V</w:t>
      </w:r>
    </w:p>
    <w:p>
      <w:pPr>
        <w:spacing w:after="0" w:line="29" w:lineRule="exact"/>
        <w:rPr>
          <w:sz w:val="20"/>
          <w:szCs w:val="20"/>
          <w:color w:val="auto"/>
        </w:rPr>
      </w:pPr>
    </w:p>
    <w:p>
      <w:pPr>
        <w:ind w:left="920"/>
        <w:spacing w:after="0"/>
        <w:rPr>
          <w:sz w:val="20"/>
          <w:szCs w:val="20"/>
          <w:color w:val="auto"/>
        </w:rPr>
      </w:pPr>
      <w:r>
        <w:rPr>
          <w:rFonts w:ascii="Arial" w:cs="Arial" w:eastAsia="Arial" w:hAnsi="Arial"/>
          <w:sz w:val="20"/>
          <w:szCs w:val="20"/>
          <w:i w:val="1"/>
          <w:iCs w:val="1"/>
          <w:color w:val="2A2A2A"/>
        </w:rPr>
        <w:t>Employer Contributions</w:t>
      </w:r>
    </w:p>
    <w:p>
      <w:pPr>
        <w:spacing w:after="0" w:line="239" w:lineRule="exact"/>
        <w:rPr>
          <w:sz w:val="20"/>
          <w:szCs w:val="20"/>
          <w:color w:val="auto"/>
        </w:rPr>
      </w:pPr>
    </w:p>
    <w:p>
      <w:pPr>
        <w:jc w:val="both"/>
        <w:ind w:left="800" w:hanging="638"/>
        <w:spacing w:after="0" w:line="274" w:lineRule="auto"/>
        <w:tabs>
          <w:tab w:leader="none" w:pos="780" w:val="left"/>
        </w:tabs>
        <w:rPr>
          <w:sz w:val="20"/>
          <w:szCs w:val="20"/>
          <w:color w:val="auto"/>
        </w:rPr>
      </w:pPr>
      <w:r>
        <w:rPr>
          <w:rFonts w:ascii="Arial" w:cs="Arial" w:eastAsia="Arial" w:hAnsi="Arial"/>
          <w:sz w:val="19"/>
          <w:szCs w:val="19"/>
          <w:color w:val="2A2A2A"/>
        </w:rPr>
        <w:t>5.1</w:t>
      </w:r>
      <w:r>
        <w:rPr>
          <w:sz w:val="20"/>
          <w:szCs w:val="20"/>
          <w:color w:val="auto"/>
        </w:rPr>
        <w:tab/>
      </w:r>
      <w:r>
        <w:rPr>
          <w:rFonts w:ascii="Arial" w:cs="Arial" w:eastAsia="Arial" w:hAnsi="Arial"/>
          <w:sz w:val="19"/>
          <w:szCs w:val="19"/>
          <w:u w:val="single" w:color="auto"/>
          <w:color w:val="424242"/>
        </w:rPr>
        <w:t>Discretionary Contributio</w:t>
      </w:r>
      <w:r>
        <w:rPr>
          <w:rFonts w:ascii="Arial" w:cs="Arial" w:eastAsia="Arial" w:hAnsi="Arial"/>
          <w:sz w:val="19"/>
          <w:szCs w:val="19"/>
          <w:color w:val="424242"/>
        </w:rPr>
        <w:t>ns.</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A Participating Employer may credit one or more Discretionary Contributions to a</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Participant in such amounts and at such times as are determined by the Committee from time to time in its sole discretion. Any such amounts are credited at the sole discretion of the Committee, and the fact that a Discretionary Contribution is credited to one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900" w:firstLine="14"/>
        <w:spacing w:after="0" w:line="316" w:lineRule="auto"/>
        <w:rPr>
          <w:sz w:val="20"/>
          <w:szCs w:val="20"/>
          <w:color w:val="auto"/>
        </w:rPr>
      </w:pPr>
      <w:r>
        <w:rPr>
          <w:rFonts w:ascii="Arial" w:cs="Arial" w:eastAsia="Arial" w:hAnsi="Arial"/>
          <w:sz w:val="17"/>
          <w:szCs w:val="17"/>
          <w:color w:val="2A2A2A"/>
        </w:rPr>
        <w:t>Participant, in one year shall not obligate the Participating Employer or the Committee to continue to make such Discretionary Contributions to all Participants in all subsequent years. Any such Discretionary Contributions shall be subject to the approval of the Board or the Compensation Committee to the extent required by applicable law. Neither the Participating Employer nor the Committee shall have any obligation to make any such Discretionary Contributions or to</w:t>
      </w:r>
    </w:p>
    <w:p>
      <w:pPr>
        <w:sectPr>
          <w:pgSz w:w="11900" w:h="16838" w:orient="portrait"/>
          <w:cols w:equalWidth="0" w:num="1">
            <w:col w:w="10120"/>
          </w:cols>
          <w:pgMar w:left="1440" w:top="136" w:right="339" w:bottom="0" w:gutter="0" w:footer="0" w:header="0"/>
        </w:sectPr>
      </w:pPr>
    </w:p>
    <w:bookmarkStart w:id="59" w:name="page60"/>
    <w:bookmarkEnd w:id="59"/>
    <w:p>
      <w:pPr>
        <w:spacing w:after="0" w:line="50" w:lineRule="exact"/>
        <w:rPr>
          <w:sz w:val="20"/>
          <w:szCs w:val="20"/>
          <w:color w:val="auto"/>
        </w:rPr>
      </w:pPr>
    </w:p>
    <w:p>
      <w:pPr>
        <w:jc w:val="both"/>
        <w:ind w:left="900"/>
        <w:spacing w:after="0" w:line="286" w:lineRule="auto"/>
        <w:rPr>
          <w:sz w:val="20"/>
          <w:szCs w:val="20"/>
          <w:color w:val="auto"/>
        </w:rPr>
      </w:pPr>
      <w:r>
        <w:rPr>
          <w:rFonts w:ascii="Arial" w:cs="Arial" w:eastAsia="Arial" w:hAnsi="Arial"/>
          <w:sz w:val="18"/>
          <w:szCs w:val="18"/>
          <w:color w:val="2A2A2A"/>
        </w:rPr>
        <w:t>make them on a consistent basis among similarly-situated Eligible Employees. Any Discretionary Contributions credited to a Participant's Account pursuant to this Section 5.1 shall be credited on a date or dates to be determined by the Committee in its sole and absolute discretion, and the crediting date or dates may be different for different Participants. Unless the context clearly indicates otherwise, a reference to Discretionary Contributions shall include Earnings attributable to such contributions. Discretionary Contributions will be credited to a Participant's Separation from Service Account and shall be distributed according to the Participant's "Retirement" elections associated with the Bonus deferral for the associated Plan Year, unless the Committee, in its sole discretion, elects in writing on or before the date on which the Participant obtains a legally binding right to such Discretionary Contribution (which election shall be irrevocable on such date) to credit the Discretionary Contribution to a different Account.</w:t>
      </w:r>
    </w:p>
    <w:p>
      <w:pPr>
        <w:spacing w:after="0" w:line="210" w:lineRule="exact"/>
        <w:rPr>
          <w:sz w:val="20"/>
          <w:szCs w:val="20"/>
          <w:color w:val="auto"/>
        </w:rPr>
      </w:pPr>
    </w:p>
    <w:p>
      <w:pPr>
        <w:jc w:val="both"/>
        <w:ind w:left="880" w:hanging="634"/>
        <w:spacing w:after="0" w:line="338" w:lineRule="auto"/>
        <w:tabs>
          <w:tab w:leader="none" w:pos="860" w:val="left"/>
        </w:tabs>
        <w:rPr>
          <w:sz w:val="20"/>
          <w:szCs w:val="20"/>
          <w:color w:val="auto"/>
        </w:rPr>
      </w:pPr>
      <w:r>
        <w:rPr>
          <w:rFonts w:ascii="Arial" w:cs="Arial" w:eastAsia="Arial" w:hAnsi="Arial"/>
          <w:sz w:val="19"/>
          <w:szCs w:val="19"/>
          <w:color w:val="2A2A2A"/>
        </w:rPr>
        <w:t>5.2</w:t>
      </w:r>
      <w:r>
        <w:rPr>
          <w:sz w:val="20"/>
          <w:szCs w:val="20"/>
          <w:color w:val="auto"/>
        </w:rPr>
        <w:tab/>
      </w:r>
      <w:r>
        <w:rPr>
          <w:rFonts w:ascii="Arial" w:cs="Arial" w:eastAsia="Arial" w:hAnsi="Arial"/>
          <w:sz w:val="17"/>
          <w:szCs w:val="17"/>
          <w:u w:val="single" w:color="auto"/>
          <w:color w:val="2A2A2A"/>
        </w:rPr>
        <w:t>Vesting</w:t>
      </w:r>
      <w:r>
        <w:rPr>
          <w:rFonts w:ascii="Arial" w:cs="Arial" w:eastAsia="Arial" w:hAnsi="Arial"/>
          <w:sz w:val="17"/>
          <w:szCs w:val="17"/>
          <w:color w:val="2A2A2A"/>
        </w:rPr>
        <w:t>. Except as expressly provided in this Section 5.2, a Participant shall be 100% vested in his/her Plan Accounts. A</w:t>
      </w:r>
      <w:r>
        <w:rPr>
          <w:rFonts w:ascii="Arial" w:cs="Arial" w:eastAsia="Arial" w:hAnsi="Arial"/>
          <w:sz w:val="17"/>
          <w:szCs w:val="17"/>
          <w:u w:val="single" w:color="auto"/>
          <w:color w:val="2A2A2A"/>
        </w:rPr>
        <w:t xml:space="preserve"> </w:t>
      </w:r>
      <w:r>
        <w:rPr>
          <w:rFonts w:ascii="Arial" w:cs="Arial" w:eastAsia="Arial" w:hAnsi="Arial"/>
          <w:sz w:val="17"/>
          <w:szCs w:val="17"/>
          <w:color w:val="2A2A2A"/>
        </w:rPr>
        <w:t xml:space="preserve">Participant shall be vested in his or her Discretionary Contributions described in Section 5.1 above in accordance with the vesting schedules established by the Committee, at the time such amount is first credited to the Participant's Account under this Plan. The Committee may, at any time, in its sole and absolute discretion (subject to any approval by the Board or the Compensation Committee required by applicable law), increase a Participant's vested interest in a Discretionary Contribution. Notwithstanding the foregoing, all Discretionary Contributions shall become 100% vested upon the occurrence of the earliest of: (i) the death of the Participant while actively employed by a Participating Employer, </w:t>
      </w:r>
      <w:r>
        <w:rPr>
          <w:rFonts w:ascii="Arial" w:cs="Arial" w:eastAsia="Arial" w:hAnsi="Arial"/>
          <w:sz w:val="18"/>
          <w:szCs w:val="18"/>
          <w:color w:val="2A2A2A"/>
        </w:rPr>
        <w:t>(ii)</w:t>
      </w:r>
      <w:r>
        <w:rPr>
          <w:rFonts w:ascii="Arial" w:cs="Arial" w:eastAsia="Arial" w:hAnsi="Arial"/>
          <w:sz w:val="17"/>
          <w:szCs w:val="17"/>
          <w:color w:val="2A2A2A"/>
        </w:rPr>
        <w:t xml:space="preserve"> the Disability of the Participant, or </w:t>
      </w:r>
      <w:r>
        <w:rPr>
          <w:rFonts w:ascii="Arial" w:cs="Arial" w:eastAsia="Arial" w:hAnsi="Arial"/>
          <w:sz w:val="18"/>
          <w:szCs w:val="18"/>
          <w:color w:val="2A2A2A"/>
        </w:rPr>
        <w:t>(iii)</w:t>
      </w:r>
      <w:r>
        <w:rPr>
          <w:rFonts w:ascii="Arial" w:cs="Arial" w:eastAsia="Arial" w:hAnsi="Arial"/>
          <w:sz w:val="17"/>
          <w:szCs w:val="17"/>
          <w:color w:val="2A2A2A"/>
        </w:rPr>
        <w:t xml:space="preserve"> a Change in Control. The portion of a Participant's Accounts that remains unvested upon his or her Separation from Service after the application of the terms of this Section 5.2 shall be forfeited.</w:t>
      </w:r>
    </w:p>
    <w:p>
      <w:pPr>
        <w:spacing w:after="0" w:line="392"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2A2A2A"/>
        </w:rPr>
        <w:t>ARTICLE VI</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20"/>
          <w:szCs w:val="20"/>
          <w:i w:val="1"/>
          <w:iCs w:val="1"/>
          <w:color w:val="2A2A2A"/>
        </w:rPr>
        <w:t>Benefits</w:t>
      </w:r>
    </w:p>
    <w:p>
      <w:pPr>
        <w:spacing w:after="0" w:line="216"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9"/>
          <w:szCs w:val="19"/>
          <w:color w:val="2A2A2A"/>
        </w:rPr>
        <w:t>6.1</w:t>
      </w:r>
      <w:r>
        <w:rPr>
          <w:sz w:val="20"/>
          <w:szCs w:val="20"/>
          <w:color w:val="auto"/>
        </w:rPr>
        <w:tab/>
      </w:r>
      <w:r>
        <w:rPr>
          <w:rFonts w:ascii="Arial" w:cs="Arial" w:eastAsia="Arial" w:hAnsi="Arial"/>
          <w:sz w:val="17"/>
          <w:szCs w:val="17"/>
          <w:u w:val="single" w:color="auto"/>
          <w:color w:val="444444"/>
        </w:rPr>
        <w:t>Be</w:t>
      </w:r>
      <w:r>
        <w:rPr>
          <w:rFonts w:ascii="Arial" w:cs="Arial" w:eastAsia="Arial" w:hAnsi="Arial"/>
          <w:sz w:val="17"/>
          <w:szCs w:val="17"/>
          <w:u w:val="single" w:color="auto"/>
          <w:color w:val="2A2A2A"/>
        </w:rPr>
        <w:t>n</w:t>
      </w:r>
      <w:r>
        <w:rPr>
          <w:rFonts w:ascii="Arial" w:cs="Arial" w:eastAsia="Arial" w:hAnsi="Arial"/>
          <w:sz w:val="17"/>
          <w:szCs w:val="17"/>
          <w:u w:val="single" w:color="auto"/>
          <w:color w:val="444444"/>
        </w:rPr>
        <w:t>efi</w:t>
      </w:r>
      <w:r>
        <w:rPr>
          <w:rFonts w:ascii="Arial" w:cs="Arial" w:eastAsia="Arial" w:hAnsi="Arial"/>
          <w:sz w:val="17"/>
          <w:szCs w:val="17"/>
          <w:u w:val="single" w:color="auto"/>
          <w:color w:val="2A2A2A"/>
        </w:rPr>
        <w:t>t</w:t>
      </w:r>
      <w:r>
        <w:rPr>
          <w:rFonts w:ascii="Arial" w:cs="Arial" w:eastAsia="Arial" w:hAnsi="Arial"/>
          <w:sz w:val="17"/>
          <w:szCs w:val="17"/>
          <w:u w:val="single" w:color="auto"/>
          <w:color w:val="444444"/>
        </w:rPr>
        <w:t>s</w:t>
      </w:r>
      <w:r>
        <w:rPr>
          <w:rFonts w:ascii="Arial" w:cs="Arial" w:eastAsia="Arial" w:hAnsi="Arial"/>
          <w:sz w:val="17"/>
          <w:szCs w:val="17"/>
          <w:u w:val="single" w:color="auto"/>
          <w:color w:val="2A2A2A"/>
        </w:rPr>
        <w:t>,</w:t>
      </w:r>
      <w:r>
        <w:rPr>
          <w:rFonts w:ascii="Arial" w:cs="Arial" w:eastAsia="Arial" w:hAnsi="Arial"/>
          <w:sz w:val="17"/>
          <w:szCs w:val="17"/>
          <w:u w:val="single" w:color="auto"/>
          <w:color w:val="444444"/>
        </w:rPr>
        <w:t xml:space="preserve"> Gener</w:t>
      </w:r>
      <w:r>
        <w:rPr>
          <w:rFonts w:ascii="Arial" w:cs="Arial" w:eastAsia="Arial" w:hAnsi="Arial"/>
          <w:sz w:val="17"/>
          <w:szCs w:val="17"/>
          <w:u w:val="single" w:color="auto"/>
          <w:color w:val="2A2A2A"/>
        </w:rPr>
        <w:t>all</w:t>
      </w:r>
      <w:r>
        <w:rPr>
          <w:rFonts w:ascii="Arial" w:cs="Arial" w:eastAsia="Arial" w:hAnsi="Arial"/>
          <w:sz w:val="17"/>
          <w:szCs w:val="17"/>
          <w:u w:val="single" w:color="auto"/>
          <w:color w:val="444444"/>
        </w:rPr>
        <w:t>y</w:t>
      </w:r>
      <w:r>
        <w:rPr>
          <w:rFonts w:ascii="Arial" w:cs="Arial" w:eastAsia="Arial" w:hAnsi="Arial"/>
          <w:sz w:val="17"/>
          <w:szCs w:val="17"/>
          <w:color w:val="2A2A2A"/>
        </w:rPr>
        <w:t>. A Participant shall be entitled to the following benefits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-12700</wp:posOffset>
            </wp:positionV>
            <wp:extent cx="298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spacing w:after="0" w:line="240" w:lineRule="exact"/>
        <w:rPr>
          <w:sz w:val="20"/>
          <w:szCs w:val="20"/>
          <w:color w:val="auto"/>
        </w:rPr>
      </w:pPr>
    </w:p>
    <w:p>
      <w:pPr>
        <w:jc w:val="both"/>
        <w:ind w:left="1500" w:hanging="641"/>
        <w:spacing w:after="0" w:line="295" w:lineRule="auto"/>
        <w:tabs>
          <w:tab w:leader="none" w:pos="1500" w:val="left"/>
        </w:tabs>
        <w:numPr>
          <w:ilvl w:val="0"/>
          <w:numId w:val="21"/>
        </w:numPr>
        <w:rPr>
          <w:rFonts w:ascii="Arial" w:cs="Arial" w:eastAsia="Arial" w:hAnsi="Arial"/>
          <w:sz w:val="19"/>
          <w:szCs w:val="19"/>
          <w:color w:val="2A2A2A"/>
        </w:rPr>
      </w:pPr>
      <w:r>
        <w:rPr>
          <w:rFonts w:ascii="Arial" w:cs="Arial" w:eastAsia="Arial" w:hAnsi="Arial"/>
          <w:sz w:val="20"/>
          <w:szCs w:val="20"/>
          <w:i w:val="1"/>
          <w:iCs w:val="1"/>
          <w:color w:val="2A2A2A"/>
        </w:rPr>
        <w:t>Sep</w:t>
      </w:r>
      <w:r>
        <w:rPr>
          <w:rFonts w:ascii="Arial" w:cs="Arial" w:eastAsia="Arial" w:hAnsi="Arial"/>
          <w:sz w:val="20"/>
          <w:szCs w:val="20"/>
          <w:i w:val="1"/>
          <w:iCs w:val="1"/>
          <w:color w:val="444444"/>
        </w:rPr>
        <w:t>a</w:t>
      </w:r>
      <w:r>
        <w:rPr>
          <w:rFonts w:ascii="Arial" w:cs="Arial" w:eastAsia="Arial" w:hAnsi="Arial"/>
          <w:sz w:val="20"/>
          <w:szCs w:val="20"/>
          <w:i w:val="1"/>
          <w:iCs w:val="1"/>
          <w:color w:val="2A2A2A"/>
        </w:rPr>
        <w:t>r</w:t>
      </w:r>
      <w:r>
        <w:rPr>
          <w:rFonts w:ascii="Arial" w:cs="Arial" w:eastAsia="Arial" w:hAnsi="Arial"/>
          <w:sz w:val="20"/>
          <w:szCs w:val="20"/>
          <w:i w:val="1"/>
          <w:iCs w:val="1"/>
          <w:color w:val="444444"/>
        </w:rPr>
        <w:t>atio</w:t>
      </w:r>
      <w:r>
        <w:rPr>
          <w:rFonts w:ascii="Arial" w:cs="Arial" w:eastAsia="Arial" w:hAnsi="Arial"/>
          <w:sz w:val="20"/>
          <w:szCs w:val="20"/>
          <w:i w:val="1"/>
          <w:iCs w:val="1"/>
          <w:color w:val="2A2A2A"/>
        </w:rPr>
        <w:t xml:space="preserve">n from Service Benefit. </w:t>
      </w:r>
      <w:r>
        <w:rPr>
          <w:rFonts w:ascii="Arial" w:cs="Arial" w:eastAsia="Arial" w:hAnsi="Arial"/>
          <w:sz w:val="18"/>
          <w:szCs w:val="18"/>
          <w:color w:val="2A2A2A"/>
        </w:rPr>
        <w:t>Upon the Participant's Separation from Service, he or she shall be entitled to a</w:t>
      </w:r>
      <w:r>
        <w:rPr>
          <w:rFonts w:ascii="Arial" w:cs="Arial" w:eastAsia="Arial" w:hAnsi="Arial"/>
          <w:sz w:val="20"/>
          <w:szCs w:val="20"/>
          <w:i w:val="1"/>
          <w:iCs w:val="1"/>
          <w:color w:val="2A2A2A"/>
        </w:rPr>
        <w:t xml:space="preserve"> </w:t>
      </w:r>
      <w:r>
        <w:rPr>
          <w:rFonts w:ascii="Arial" w:cs="Arial" w:eastAsia="Arial" w:hAnsi="Arial"/>
          <w:sz w:val="18"/>
          <w:szCs w:val="18"/>
          <w:color w:val="2A2A2A"/>
        </w:rPr>
        <w:t>Separation from Service Benefit. The Separation from Service Benefit shall be equal to the vested portion of all of the Participant's Separation from Service Accounts and any Specified Date Accounts with respect to which payments have not yet commenced. The Separation from Service Benefit shall be based on the value of that/ those Account(s) as of the last day of the month in which the Participant's Separation from Service occurs, or, in the case of a Specified Employee, as of the first day of the seventh month following the month in which the Separation from Service occurs, or such later date as the Committee, in its sole discretion, shall determine. Payment of the Separation from Service Benefit will be made (or begin in the case of installments) on (i) the first day of the month following the month in which</w:t>
      </w:r>
    </w:p>
    <w:p>
      <w:pPr>
        <w:spacing w:after="0" w:line="249" w:lineRule="exact"/>
        <w:rPr>
          <w:sz w:val="20"/>
          <w:szCs w:val="20"/>
          <w:color w:val="auto"/>
        </w:rPr>
      </w:pPr>
    </w:p>
    <w:p>
      <w:pPr>
        <w:jc w:val="both"/>
        <w:ind w:left="1540" w:firstLine="13"/>
        <w:spacing w:after="0" w:line="341" w:lineRule="auto"/>
        <w:rPr>
          <w:sz w:val="20"/>
          <w:szCs w:val="20"/>
          <w:color w:val="auto"/>
        </w:rPr>
      </w:pPr>
      <w:r>
        <w:rPr>
          <w:rFonts w:ascii="Arial" w:cs="Arial" w:eastAsia="Arial" w:hAnsi="Arial"/>
          <w:sz w:val="17"/>
          <w:szCs w:val="17"/>
          <w:color w:val="2A2A2A"/>
        </w:rPr>
        <w:t xml:space="preserve">the Separation from Service occurs; or </w:t>
      </w:r>
      <w:r>
        <w:rPr>
          <w:rFonts w:ascii="Arial" w:cs="Arial" w:eastAsia="Arial" w:hAnsi="Arial"/>
          <w:sz w:val="18"/>
          <w:szCs w:val="18"/>
          <w:color w:val="2A2A2A"/>
        </w:rPr>
        <w:t>(ii)</w:t>
      </w:r>
      <w:r>
        <w:rPr>
          <w:rFonts w:ascii="Arial" w:cs="Arial" w:eastAsia="Arial" w:hAnsi="Arial"/>
          <w:sz w:val="17"/>
          <w:szCs w:val="17"/>
          <w:color w:val="2A2A2A"/>
        </w:rPr>
        <w:t xml:space="preserve"> in the case of a Participant who is a Specified Employee, on the first day of the seventh month following the month in which the Separation from Service occurs. If the Separation from Service Benefit is to be paid in the form of installments, any subsequent installment payments will be paid on or around the anniversary of the date such payments commence and shall be valued on/around the date of distribution. Notwithstanding the foregoing, the form of the Separation from Service Benefit shall be distributed pursuant to the election made by the Participant with respect to Termination or Retirement, as applicable, depending on the age of the Participant at Separation from Service.</w:t>
      </w:r>
    </w:p>
    <w:p>
      <w:pPr>
        <w:spacing w:after="0" w:line="145" w:lineRule="exact"/>
        <w:rPr>
          <w:sz w:val="20"/>
          <w:szCs w:val="20"/>
          <w:color w:val="auto"/>
        </w:rPr>
      </w:pPr>
    </w:p>
    <w:p>
      <w:pPr>
        <w:ind w:left="1500" w:right="140" w:hanging="655"/>
        <w:spacing w:after="0" w:line="306" w:lineRule="auto"/>
        <w:tabs>
          <w:tab w:leader="none" w:pos="1500" w:val="left"/>
        </w:tabs>
        <w:numPr>
          <w:ilvl w:val="0"/>
          <w:numId w:val="22"/>
        </w:numPr>
        <w:rPr>
          <w:rFonts w:ascii="Arial" w:cs="Arial" w:eastAsia="Arial" w:hAnsi="Arial"/>
          <w:sz w:val="19"/>
          <w:szCs w:val="19"/>
          <w:color w:val="2A2A2A"/>
        </w:rPr>
      </w:pPr>
      <w:r>
        <w:rPr>
          <w:rFonts w:ascii="Arial" w:cs="Arial" w:eastAsia="Arial" w:hAnsi="Arial"/>
          <w:sz w:val="21"/>
          <w:szCs w:val="21"/>
          <w:i w:val="1"/>
          <w:iCs w:val="1"/>
          <w:color w:val="2A2A2A"/>
        </w:rPr>
        <w:t xml:space="preserve">Specified Date Benefit. </w:t>
      </w:r>
      <w:r>
        <w:rPr>
          <w:rFonts w:ascii="Arial" w:cs="Arial" w:eastAsia="Arial" w:hAnsi="Arial"/>
          <w:sz w:val="18"/>
          <w:szCs w:val="18"/>
          <w:color w:val="2A2A2A"/>
        </w:rPr>
        <w:t>To the extent a Participant allocates his/her Annual Deferral Amount to a Specified</w:t>
      </w:r>
      <w:r>
        <w:rPr>
          <w:rFonts w:ascii="Arial" w:cs="Arial" w:eastAsia="Arial" w:hAnsi="Arial"/>
          <w:sz w:val="21"/>
          <w:szCs w:val="21"/>
          <w:i w:val="1"/>
          <w:iCs w:val="1"/>
          <w:color w:val="2A2A2A"/>
        </w:rPr>
        <w:t xml:space="preserve"> </w:t>
      </w:r>
      <w:r>
        <w:rPr>
          <w:rFonts w:ascii="Arial" w:cs="Arial" w:eastAsia="Arial" w:hAnsi="Arial"/>
          <w:sz w:val="18"/>
          <w:szCs w:val="18"/>
          <w:color w:val="2A2A2A"/>
        </w:rPr>
        <w:t>Date Account, and to the extent the Participant has not experienced a Separation from Service prior to the date designated for distribution for such Specified Date Account(s), he or she shall be entitled to receive a Specified Date Benefit with respect to each such Specified Date Account. The Specified Date Benefit shall be equal to the vested portion of the Specified Date Account, based on the value of that Account as of the end of the calendar month of distribution designated by the Participant at the time the Account was established. Payment of the Specified Date Benefit will be made in the calendar month next following the designated calendar month of distribution.</w:t>
      </w:r>
    </w:p>
    <w:p>
      <w:pPr>
        <w:spacing w:after="0" w:line="176" w:lineRule="exact"/>
        <w:rPr>
          <w:rFonts w:ascii="Arial" w:cs="Arial" w:eastAsia="Arial" w:hAnsi="Arial"/>
          <w:sz w:val="19"/>
          <w:szCs w:val="19"/>
          <w:color w:val="2A2A2A"/>
        </w:rPr>
      </w:pPr>
    </w:p>
    <w:p>
      <w:pPr>
        <w:jc w:val="both"/>
        <w:ind w:left="1500" w:hanging="641"/>
        <w:spacing w:after="0" w:line="304" w:lineRule="auto"/>
        <w:tabs>
          <w:tab w:leader="none" w:pos="1500" w:val="left"/>
        </w:tabs>
        <w:numPr>
          <w:ilvl w:val="0"/>
          <w:numId w:val="22"/>
        </w:numPr>
        <w:rPr>
          <w:rFonts w:ascii="Arial" w:cs="Arial" w:eastAsia="Arial" w:hAnsi="Arial"/>
          <w:sz w:val="19"/>
          <w:szCs w:val="19"/>
          <w:color w:val="2A2A2A"/>
        </w:rPr>
      </w:pPr>
      <w:r>
        <w:rPr>
          <w:rFonts w:ascii="Arial" w:cs="Arial" w:eastAsia="Arial" w:hAnsi="Arial"/>
          <w:sz w:val="21"/>
          <w:szCs w:val="21"/>
          <w:i w:val="1"/>
          <w:iCs w:val="1"/>
          <w:color w:val="2A2A2A"/>
        </w:rPr>
        <w:t xml:space="preserve">Disability Benefit. </w:t>
      </w:r>
      <w:r>
        <w:rPr>
          <w:rFonts w:ascii="Arial" w:cs="Arial" w:eastAsia="Arial" w:hAnsi="Arial"/>
          <w:sz w:val="18"/>
          <w:szCs w:val="18"/>
          <w:color w:val="2A2A2A"/>
        </w:rPr>
        <w:t>To the extent a Participant becomes Disabled, he/ she shall be entitled to a Disability Benefit.</w:t>
      </w:r>
      <w:r>
        <w:rPr>
          <w:rFonts w:ascii="Arial" w:cs="Arial" w:eastAsia="Arial" w:hAnsi="Arial"/>
          <w:sz w:val="21"/>
          <w:szCs w:val="21"/>
          <w:i w:val="1"/>
          <w:iCs w:val="1"/>
          <w:color w:val="2A2A2A"/>
        </w:rPr>
        <w:t xml:space="preserve"> </w:t>
      </w:r>
      <w:r>
        <w:rPr>
          <w:rFonts w:ascii="Arial" w:cs="Arial" w:eastAsia="Arial" w:hAnsi="Arial"/>
          <w:sz w:val="18"/>
          <w:szCs w:val="18"/>
          <w:color w:val="2A2A2A"/>
        </w:rPr>
        <w:t>The payment date for the Disability Benefit shall be on or around the first Business Day of the calendar month next following the calendar month in which the Participant became Disabled. The Disability Benefit shall be based on the value of all Accounts as of the last day of the calendar month in which the Disability occurs, and will be paid in the next following calendar month. The Disability Benefit shall be paid according the Participant's applicable Disability Benefit election.</w:t>
      </w:r>
    </w:p>
    <w:p>
      <w:pPr>
        <w:spacing w:after="0" w:line="175" w:lineRule="exact"/>
        <w:rPr>
          <w:rFonts w:ascii="Arial" w:cs="Arial" w:eastAsia="Arial" w:hAnsi="Arial"/>
          <w:sz w:val="19"/>
          <w:szCs w:val="19"/>
          <w:color w:val="2A2A2A"/>
        </w:rPr>
      </w:pPr>
    </w:p>
    <w:p>
      <w:pPr>
        <w:jc w:val="both"/>
        <w:ind w:left="1500" w:hanging="641"/>
        <w:spacing w:after="0" w:line="319" w:lineRule="auto"/>
        <w:tabs>
          <w:tab w:leader="none" w:pos="1500" w:val="left"/>
        </w:tabs>
        <w:numPr>
          <w:ilvl w:val="1"/>
          <w:numId w:val="22"/>
        </w:numPr>
        <w:rPr>
          <w:rFonts w:ascii="Arial" w:cs="Arial" w:eastAsia="Arial" w:hAnsi="Arial"/>
          <w:sz w:val="18"/>
          <w:szCs w:val="18"/>
          <w:color w:val="2A2A2A"/>
        </w:rPr>
      </w:pPr>
      <w:r>
        <w:rPr>
          <w:rFonts w:ascii="Arial" w:cs="Arial" w:eastAsia="Arial" w:hAnsi="Arial"/>
          <w:sz w:val="20"/>
          <w:szCs w:val="20"/>
          <w:i w:val="1"/>
          <w:iCs w:val="1"/>
          <w:color w:val="2A2A2A"/>
        </w:rPr>
        <w:t xml:space="preserve">Death Benefit. </w:t>
      </w:r>
      <w:r>
        <w:rPr>
          <w:rFonts w:ascii="Arial" w:cs="Arial" w:eastAsia="Arial" w:hAnsi="Arial"/>
          <w:sz w:val="17"/>
          <w:szCs w:val="17"/>
          <w:color w:val="2A2A2A"/>
        </w:rPr>
        <w:t>In the event of the Participant's death, his or her designated Beneficiary(ies) shall be entitled to a</w:t>
      </w:r>
      <w:r>
        <w:rPr>
          <w:rFonts w:ascii="Arial" w:cs="Arial" w:eastAsia="Arial" w:hAnsi="Arial"/>
          <w:sz w:val="20"/>
          <w:szCs w:val="20"/>
          <w:i w:val="1"/>
          <w:iCs w:val="1"/>
          <w:color w:val="2A2A2A"/>
        </w:rPr>
        <w:t xml:space="preserve"> </w:t>
      </w:r>
      <w:r>
        <w:rPr>
          <w:rFonts w:ascii="Arial" w:cs="Arial" w:eastAsia="Arial" w:hAnsi="Arial"/>
          <w:sz w:val="17"/>
          <w:szCs w:val="17"/>
          <w:color w:val="2A2A2A"/>
        </w:rPr>
        <w:t>Death Benefit. The payment date for the Death Benefit shall be on or around the first Business Day of the calendar month next following the calendar month in which the Committee is provided with proof that is satisfactory to the Committee of the Participant's death. The Death Benefit shall be based on the value of all</w:t>
      </w:r>
    </w:p>
    <w:p>
      <w:pPr>
        <w:sectPr>
          <w:pgSz w:w="11900" w:h="16888" w:orient="portrait"/>
          <w:cols w:equalWidth="0" w:num="1">
            <w:col w:w="10120"/>
          </w:cols>
          <w:pgMar w:left="1440" w:top="131" w:right="339" w:bottom="0" w:gutter="0" w:footer="0" w:header="0"/>
        </w:sectPr>
      </w:pPr>
    </w:p>
    <w:bookmarkStart w:id="60" w:name="page61"/>
    <w:bookmarkEnd w:id="60"/>
    <w:p>
      <w:pPr>
        <w:ind w:left="1500"/>
        <w:spacing w:after="0" w:line="386" w:lineRule="auto"/>
        <w:rPr>
          <w:sz w:val="20"/>
          <w:szCs w:val="20"/>
          <w:color w:val="auto"/>
        </w:rPr>
      </w:pPr>
      <w:r>
        <w:rPr>
          <w:rFonts w:ascii="Arial" w:cs="Arial" w:eastAsia="Arial" w:hAnsi="Arial"/>
          <w:sz w:val="17"/>
          <w:szCs w:val="17"/>
          <w:color w:val="2A2A2A"/>
        </w:rPr>
        <w:t>Accounts as of the last day of the calendar month in which the Committee is provided with such satisfactory proof of death. The Death Benefit shall be paid according to the Participant's applicable Death Benefit election.</w:t>
      </w:r>
    </w:p>
    <w:p>
      <w:pPr>
        <w:spacing w:after="0" w:line="114" w:lineRule="exact"/>
        <w:rPr>
          <w:sz w:val="20"/>
          <w:szCs w:val="20"/>
          <w:color w:val="auto"/>
        </w:rPr>
      </w:pPr>
    </w:p>
    <w:p>
      <w:pPr>
        <w:jc w:val="both"/>
        <w:ind w:left="1480"/>
        <w:spacing w:after="0" w:line="289" w:lineRule="auto"/>
        <w:rPr>
          <w:sz w:val="20"/>
          <w:szCs w:val="20"/>
          <w:color w:val="auto"/>
        </w:rPr>
      </w:pPr>
      <w:r>
        <w:rPr>
          <w:rFonts w:ascii="Arial" w:cs="Arial" w:eastAsia="Arial" w:hAnsi="Arial"/>
          <w:sz w:val="18"/>
          <w:szCs w:val="18"/>
          <w:color w:val="2A2A2A"/>
        </w:rPr>
        <w:t>Each Participant may, pursuant to such procedures as the Committee may specify, designate one or more Beneficiaries in connection with the Plan. The Beneficiary(ies) designated under this Plan may be the same as or different from the Beneficiary designation under any other plan in which the Participant participates. If a Participant names someone other than his or her spouse as a primary Beneficiary with respect to any portion of his or her Accounts, spousal consent shall be required to be provided in a form designated by the Committee, executed by such Participant's spouse and returned to the Committee. A Participant may change or revoke a Beneficiary designation by delivering to the Committee a new designation (or revocation). Any designation or revocation shall be effective only if it is received by the Committee.</w:t>
      </w:r>
    </w:p>
    <w:p>
      <w:pPr>
        <w:spacing w:after="0" w:line="261" w:lineRule="exact"/>
        <w:rPr>
          <w:sz w:val="20"/>
          <w:szCs w:val="20"/>
          <w:color w:val="auto"/>
        </w:rPr>
      </w:pPr>
    </w:p>
    <w:p>
      <w:pPr>
        <w:jc w:val="both"/>
        <w:ind w:left="1540" w:firstLine="13"/>
        <w:spacing w:after="0" w:line="317" w:lineRule="auto"/>
        <w:rPr>
          <w:sz w:val="20"/>
          <w:szCs w:val="20"/>
          <w:color w:val="auto"/>
        </w:rPr>
      </w:pPr>
      <w:r>
        <w:rPr>
          <w:rFonts w:ascii="Arial" w:cs="Arial" w:eastAsia="Arial" w:hAnsi="Arial"/>
          <w:sz w:val="18"/>
          <w:szCs w:val="18"/>
          <w:color w:val="2A2A2A"/>
        </w:rPr>
        <w:t xml:space="preserve">However, when so received, the designation or revocation shall be effective as of the date the notice is executed (whether or not the Participant still is living), but without prejudice to any Employer on account of any payment made before the change is recorded. The last effective designation received by the Committee shall supersede all prior designations. If a Participant dies without having effectively designated a Beneficiary, or if no Beneficiary survives the Participant, the Participant's Account shall be payable (i) to his or her surviving spouse, or </w:t>
      </w:r>
      <w:r>
        <w:rPr>
          <w:rFonts w:ascii="Arial" w:cs="Arial" w:eastAsia="Arial" w:hAnsi="Arial"/>
          <w:sz w:val="19"/>
          <w:szCs w:val="19"/>
          <w:color w:val="2A2A2A"/>
        </w:rPr>
        <w:t>(ii)</w:t>
      </w:r>
      <w:r>
        <w:rPr>
          <w:rFonts w:ascii="Arial" w:cs="Arial" w:eastAsia="Arial" w:hAnsi="Arial"/>
          <w:sz w:val="18"/>
          <w:szCs w:val="18"/>
          <w:color w:val="2A2A2A"/>
        </w:rPr>
        <w:t xml:space="preserve"> if the Participant is not survived by his or her spouse, to his or her estate. A former spouse shall have no interest under the Plan, as Beneficiary or otherwise, unless the Participant designates such person as a Beneficiary after dissolution of the marriage, except to the extent provided under the terms of a domestic relations order as described in Code Section 414(p)(1)(B).</w:t>
      </w:r>
    </w:p>
    <w:p>
      <w:pPr>
        <w:spacing w:after="0" w:line="162" w:lineRule="exact"/>
        <w:rPr>
          <w:sz w:val="20"/>
          <w:szCs w:val="20"/>
          <w:color w:val="auto"/>
        </w:rPr>
      </w:pPr>
    </w:p>
    <w:p>
      <w:pPr>
        <w:jc w:val="both"/>
        <w:ind w:left="1560" w:hanging="647"/>
        <w:spacing w:after="0" w:line="313" w:lineRule="auto"/>
        <w:tabs>
          <w:tab w:leader="none" w:pos="1560" w:val="left"/>
        </w:tabs>
        <w:numPr>
          <w:ilvl w:val="1"/>
          <w:numId w:val="23"/>
        </w:numPr>
        <w:rPr>
          <w:rFonts w:ascii="Arial" w:cs="Arial" w:eastAsia="Arial" w:hAnsi="Arial"/>
          <w:sz w:val="18"/>
          <w:szCs w:val="18"/>
          <w:color w:val="2A2A2A"/>
        </w:rPr>
      </w:pPr>
      <w:r>
        <w:rPr>
          <w:rFonts w:ascii="Arial" w:cs="Arial" w:eastAsia="Arial" w:hAnsi="Arial"/>
          <w:sz w:val="19"/>
          <w:szCs w:val="19"/>
          <w:i w:val="1"/>
          <w:iCs w:val="1"/>
          <w:color w:val="2A2A2A"/>
        </w:rPr>
        <w:t xml:space="preserve">Change in Control Benefit. </w:t>
      </w:r>
      <w:r>
        <w:rPr>
          <w:rFonts w:ascii="Arial" w:cs="Arial" w:eastAsia="Arial" w:hAnsi="Arial"/>
          <w:sz w:val="17"/>
          <w:szCs w:val="17"/>
          <w:color w:val="2A2A2A"/>
        </w:rPr>
        <w:t>Notwithstanding anything in this Plan to the contrary, in the event of a Change in</w:t>
      </w:r>
      <w:r>
        <w:rPr>
          <w:rFonts w:ascii="Arial" w:cs="Arial" w:eastAsia="Arial" w:hAnsi="Arial"/>
          <w:sz w:val="19"/>
          <w:szCs w:val="19"/>
          <w:i w:val="1"/>
          <w:iCs w:val="1"/>
          <w:color w:val="2A2A2A"/>
        </w:rPr>
        <w:t xml:space="preserve"> </w:t>
      </w:r>
      <w:r>
        <w:rPr>
          <w:rFonts w:ascii="Arial" w:cs="Arial" w:eastAsia="Arial" w:hAnsi="Arial"/>
          <w:sz w:val="17"/>
          <w:szCs w:val="17"/>
          <w:color w:val="2A2A2A"/>
        </w:rPr>
        <w:t>Control, the Participant shall be entitled to a Change in Control Benefit. The payment date for the Change in Control Benefit shall be on or around the first Business Day of the calendar month next following the calendar month in which the Change in Control occurs. The Change in Control Benefit shall be based on the value of all Accounts as of the last day of the calendar month in which the Change in Control occurs. The Change in Control Benefit shall be paid according to the Participant's applicable Change in Control Benefit election.</w:t>
      </w:r>
    </w:p>
    <w:p>
      <w:pPr>
        <w:spacing w:after="0" w:line="165" w:lineRule="exact"/>
        <w:rPr>
          <w:rFonts w:ascii="Arial" w:cs="Arial" w:eastAsia="Arial" w:hAnsi="Arial"/>
          <w:sz w:val="18"/>
          <w:szCs w:val="18"/>
          <w:color w:val="2A2A2A"/>
        </w:rPr>
      </w:pPr>
    </w:p>
    <w:p>
      <w:pPr>
        <w:jc w:val="both"/>
        <w:ind w:left="1540" w:hanging="641"/>
        <w:spacing w:after="0" w:line="329" w:lineRule="auto"/>
        <w:tabs>
          <w:tab w:leader="none" w:pos="1540" w:val="left"/>
        </w:tabs>
        <w:numPr>
          <w:ilvl w:val="0"/>
          <w:numId w:val="24"/>
        </w:numPr>
        <w:rPr>
          <w:rFonts w:ascii="Arial" w:cs="Arial" w:eastAsia="Arial" w:hAnsi="Arial"/>
          <w:sz w:val="20"/>
          <w:szCs w:val="20"/>
          <w:color w:val="2A2A2A"/>
        </w:rPr>
      </w:pPr>
      <w:r>
        <w:rPr>
          <w:rFonts w:ascii="Arial" w:cs="Arial" w:eastAsia="Arial" w:hAnsi="Arial"/>
          <w:sz w:val="19"/>
          <w:szCs w:val="19"/>
          <w:i w:val="1"/>
          <w:iCs w:val="1"/>
          <w:color w:val="2A2A2A"/>
        </w:rPr>
        <w:t xml:space="preserve">Unforeseeable Emergency Payments. </w:t>
      </w:r>
      <w:r>
        <w:rPr>
          <w:rFonts w:ascii="Arial" w:cs="Arial" w:eastAsia="Arial" w:hAnsi="Arial"/>
          <w:sz w:val="17"/>
          <w:szCs w:val="17"/>
          <w:color w:val="2A2A2A"/>
        </w:rPr>
        <w:t>A Participant who experiences an Unforeseeable Emergency may submit</w:t>
      </w:r>
      <w:r>
        <w:rPr>
          <w:rFonts w:ascii="Arial" w:cs="Arial" w:eastAsia="Arial" w:hAnsi="Arial"/>
          <w:sz w:val="19"/>
          <w:szCs w:val="19"/>
          <w:i w:val="1"/>
          <w:iCs w:val="1"/>
          <w:color w:val="2A2A2A"/>
        </w:rPr>
        <w:t xml:space="preserve"> </w:t>
      </w:r>
      <w:r>
        <w:rPr>
          <w:rFonts w:ascii="Arial" w:cs="Arial" w:eastAsia="Arial" w:hAnsi="Arial"/>
          <w:sz w:val="17"/>
          <w:szCs w:val="17"/>
          <w:color w:val="2A2A2A"/>
        </w:rPr>
        <w:t>a written request to the Committee to receive payment of all or any portion of his or her vested Accounts. Whether a Participant or Beneficiary is faced with an Unforeseeable Emergency permitting an emergency payment shall be determined by the Committee based on the relevant facts and circumstances of each case, but, in any case, a distribution on account of an Unforeseeable Emergency may not be made to the extent that such emergency is or may be reimbursed through insurance or otherwise, by liquidation of the Participant's assets, to the extent the liquidation of such assets would not cause severe financial hardship, or by cessation of Deferrals under this Plan. If an emergency payment is approved by the Committee, the amount of the payment shall not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The amount of the emergency payment shall be subtracted first from the vested portion of the Participant's Separation from Service Account until depleted and then from the vested Specified Date Accounts, beginning with the Specified Date Account with the latest payment commencement date. Emergency payments shall be paid in a single lump sum within the 90-day period following the date the payment is approved by the Committee. No Participant may receive more than one distribution on account of an Unforeseeable Emergency in any Plan Year. A Participant who receives a distribution on account of an Unforeseeable Emergency, and who is still employed by an Employer, shall be prohibited from making Deferrals for the remainder of the Plan Year in which the distribution is made.</w:t>
      </w:r>
    </w:p>
    <w:p>
      <w:pPr>
        <w:spacing w:after="0" w:line="229" w:lineRule="exact"/>
        <w:rPr>
          <w:rFonts w:ascii="Arial" w:cs="Arial" w:eastAsia="Arial" w:hAnsi="Arial"/>
          <w:sz w:val="20"/>
          <w:szCs w:val="20"/>
          <w:color w:val="2A2A2A"/>
        </w:rPr>
      </w:pPr>
    </w:p>
    <w:p>
      <w:pPr>
        <w:ind w:left="1580" w:hanging="640"/>
        <w:spacing w:after="0"/>
        <w:tabs>
          <w:tab w:leader="none" w:pos="1580" w:val="left"/>
        </w:tabs>
        <w:numPr>
          <w:ilvl w:val="2"/>
          <w:numId w:val="24"/>
        </w:numPr>
        <w:rPr>
          <w:rFonts w:ascii="Arial" w:cs="Arial" w:eastAsia="Arial" w:hAnsi="Arial"/>
          <w:sz w:val="19"/>
          <w:szCs w:val="19"/>
          <w:color w:val="2A2A2A"/>
        </w:rPr>
      </w:pPr>
      <w:r>
        <w:rPr>
          <w:rFonts w:ascii="Arial" w:cs="Arial" w:eastAsia="Arial" w:hAnsi="Arial"/>
          <w:sz w:val="20"/>
          <w:szCs w:val="20"/>
          <w:i w:val="1"/>
          <w:iCs w:val="1"/>
          <w:color w:val="2A2A2A"/>
        </w:rPr>
        <w:t xml:space="preserve">Code Section 409A. </w:t>
      </w:r>
      <w:r>
        <w:rPr>
          <w:rFonts w:ascii="Arial" w:cs="Arial" w:eastAsia="Arial" w:hAnsi="Arial"/>
          <w:sz w:val="18"/>
          <w:szCs w:val="18"/>
          <w:color w:val="2A2A2A"/>
        </w:rPr>
        <w:t>Notwithstanding anything to the contrary contained in this Plan,</w:t>
      </w:r>
    </w:p>
    <w:p>
      <w:pPr>
        <w:spacing w:after="0" w:line="34" w:lineRule="exact"/>
        <w:rPr>
          <w:rFonts w:ascii="Arial" w:cs="Arial" w:eastAsia="Arial" w:hAnsi="Arial"/>
          <w:sz w:val="19"/>
          <w:szCs w:val="19"/>
          <w:color w:val="2A2A2A"/>
        </w:rPr>
      </w:pPr>
    </w:p>
    <w:p>
      <w:pPr>
        <w:jc w:val="both"/>
        <w:ind w:left="1540" w:firstLine="21"/>
        <w:spacing w:after="0" w:line="299" w:lineRule="auto"/>
        <w:tabs>
          <w:tab w:leader="none" w:pos="2074" w:val="left"/>
        </w:tabs>
        <w:numPr>
          <w:ilvl w:val="3"/>
          <w:numId w:val="24"/>
        </w:numPr>
        <w:rPr>
          <w:rFonts w:ascii="Arial" w:cs="Arial" w:eastAsia="Arial" w:hAnsi="Arial"/>
          <w:sz w:val="19"/>
          <w:szCs w:val="19"/>
          <w:color w:val="2A2A2A"/>
        </w:rPr>
      </w:pPr>
      <w:r>
        <w:rPr>
          <w:rFonts w:ascii="Arial" w:cs="Arial" w:eastAsia="Arial" w:hAnsi="Arial"/>
          <w:sz w:val="19"/>
          <w:szCs w:val="19"/>
          <w:color w:val="2A2A2A"/>
        </w:rPr>
        <w:t xml:space="preserve">a Participant shall have no legally-enforceable right to, and a Participating Employer shall have no obligation to make, any payment to a Participant if having such a right or obligation would result in the imposition of additional taxes under Code Section 409A, and </w:t>
      </w:r>
      <w:r>
        <w:rPr>
          <w:rFonts w:ascii="Arial" w:cs="Arial" w:eastAsia="Arial" w:hAnsi="Arial"/>
          <w:sz w:val="20"/>
          <w:szCs w:val="20"/>
          <w:color w:val="2A2A2A"/>
        </w:rPr>
        <w:t>(ii)</w:t>
      </w:r>
      <w:r>
        <w:rPr>
          <w:rFonts w:ascii="Arial" w:cs="Arial" w:eastAsia="Arial" w:hAnsi="Arial"/>
          <w:sz w:val="19"/>
          <w:szCs w:val="19"/>
          <w:color w:val="2A2A2A"/>
        </w:rPr>
        <w:t xml:space="preserve"> any provision that would cause the Plan to fail to satisfy Code Section 409A will have no force and effect until amended to comply therewith (which amendment may be retroactive to the extent permitted by Code Section 409A). If any payment is not made under the terms of this subsection </w:t>
      </w:r>
      <w:r>
        <w:rPr>
          <w:rFonts w:ascii="Arial" w:cs="Arial" w:eastAsia="Arial" w:hAnsi="Arial"/>
          <w:sz w:val="20"/>
          <w:szCs w:val="20"/>
          <w:color w:val="2A2A2A"/>
        </w:rPr>
        <w:t>(g),</w:t>
      </w:r>
      <w:r>
        <w:rPr>
          <w:rFonts w:ascii="Arial" w:cs="Arial" w:eastAsia="Arial" w:hAnsi="Arial"/>
          <w:sz w:val="19"/>
          <w:szCs w:val="19"/>
          <w:color w:val="2A2A2A"/>
        </w:rPr>
        <w:t xml:space="preserve"> it is the Participating Employers' present intention to make a similar payment to the Participant in a manner that will not result in the imposition of additional taxes under Code Section 409A, to the extent feasible.</w:t>
      </w:r>
    </w:p>
    <w:p>
      <w:pPr>
        <w:spacing w:after="0" w:line="175"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9"/>
          <w:szCs w:val="19"/>
          <w:color w:val="2A2A2A"/>
        </w:rPr>
        <w:t>6.2</w:t>
      </w:r>
      <w:r>
        <w:rPr>
          <w:sz w:val="20"/>
          <w:szCs w:val="20"/>
          <w:color w:val="auto"/>
        </w:rPr>
        <w:tab/>
      </w:r>
      <w:r>
        <w:rPr>
          <w:rFonts w:ascii="Arial" w:cs="Arial" w:eastAsia="Arial" w:hAnsi="Arial"/>
          <w:sz w:val="17"/>
          <w:szCs w:val="17"/>
          <w:u w:val="single" w:color="auto"/>
          <w:color w:val="4D4D4D"/>
        </w:rPr>
        <w:t xml:space="preserve">Form </w:t>
      </w:r>
      <w:r>
        <w:rPr>
          <w:rFonts w:ascii="Arial" w:cs="Arial" w:eastAsia="Arial" w:hAnsi="Arial"/>
          <w:sz w:val="17"/>
          <w:szCs w:val="17"/>
          <w:u w:val="single" w:color="auto"/>
          <w:color w:val="3F3F3F"/>
        </w:rPr>
        <w:t>of</w:t>
      </w:r>
      <w:r>
        <w:rPr>
          <w:rFonts w:ascii="Arial" w:cs="Arial" w:eastAsia="Arial" w:hAnsi="Arial"/>
          <w:sz w:val="17"/>
          <w:szCs w:val="17"/>
          <w:u w:val="single" w:color="auto"/>
          <w:color w:val="4D4D4D"/>
        </w:rPr>
        <w:t xml:space="preserve"> </w:t>
      </w:r>
      <w:r>
        <w:rPr>
          <w:rFonts w:ascii="Arial" w:cs="Arial" w:eastAsia="Arial" w:hAnsi="Arial"/>
          <w:sz w:val="17"/>
          <w:szCs w:val="17"/>
          <w:u w:val="single" w:color="auto"/>
          <w:color w:val="2A2A2A"/>
        </w:rPr>
        <w:t>Payment</w:t>
      </w:r>
      <w:r>
        <w:rPr>
          <w:rFonts w:ascii="Arial" w:cs="Arial" w:eastAsia="Arial" w:hAnsi="Arial"/>
          <w:sz w:val="17"/>
          <w:szCs w:val="17"/>
          <w:color w:val="2A2A2A"/>
        </w:rPr>
        <w:t>.</w:t>
      </w:r>
    </w:p>
    <w:p>
      <w:pPr>
        <w:spacing w:after="0" w:line="227" w:lineRule="exact"/>
        <w:rPr>
          <w:sz w:val="20"/>
          <w:szCs w:val="20"/>
          <w:color w:val="auto"/>
        </w:rPr>
      </w:pPr>
    </w:p>
    <w:p>
      <w:pPr>
        <w:ind w:left="1500" w:hanging="601"/>
        <w:spacing w:after="0"/>
        <w:tabs>
          <w:tab w:leader="none" w:pos="1500" w:val="left"/>
        </w:tabs>
        <w:numPr>
          <w:ilvl w:val="0"/>
          <w:numId w:val="25"/>
        </w:numPr>
        <w:rPr>
          <w:rFonts w:ascii="Arial" w:cs="Arial" w:eastAsia="Arial" w:hAnsi="Arial"/>
          <w:sz w:val="19"/>
          <w:szCs w:val="19"/>
          <w:color w:val="2A2A2A"/>
        </w:rPr>
      </w:pPr>
      <w:r>
        <w:rPr>
          <w:rFonts w:ascii="Arial" w:cs="Arial" w:eastAsia="Arial" w:hAnsi="Arial"/>
          <w:sz w:val="20"/>
          <w:szCs w:val="20"/>
          <w:i w:val="1"/>
          <w:iCs w:val="1"/>
          <w:color w:val="2A2A2A"/>
        </w:rPr>
        <w:t>Sep</w:t>
      </w:r>
      <w:r>
        <w:rPr>
          <w:rFonts w:ascii="Arial" w:cs="Arial" w:eastAsia="Arial" w:hAnsi="Arial"/>
          <w:sz w:val="20"/>
          <w:szCs w:val="20"/>
          <w:i w:val="1"/>
          <w:iCs w:val="1"/>
          <w:color w:val="4D4D4D"/>
        </w:rPr>
        <w:t>aratio</w:t>
      </w:r>
      <w:r>
        <w:rPr>
          <w:rFonts w:ascii="Arial" w:cs="Arial" w:eastAsia="Arial" w:hAnsi="Arial"/>
          <w:sz w:val="20"/>
          <w:szCs w:val="20"/>
          <w:i w:val="1"/>
          <w:iCs w:val="1"/>
          <w:color w:val="2A2A2A"/>
        </w:rPr>
        <w:t>n from Service Benefit.</w:t>
      </w:r>
    </w:p>
    <w:p>
      <w:pPr>
        <w:sectPr>
          <w:pgSz w:w="11900" w:h="16838" w:orient="portrait"/>
          <w:cols w:equalWidth="0" w:num="1">
            <w:col w:w="10120"/>
          </w:cols>
          <w:pgMar w:left="1440" w:top="144" w:right="339" w:bottom="18" w:gutter="0" w:footer="0" w:header="0"/>
        </w:sectPr>
      </w:pPr>
    </w:p>
    <w:bookmarkStart w:id="61" w:name="page62"/>
    <w:bookmarkEnd w:id="61"/>
    <w:p>
      <w:pPr>
        <w:jc w:val="both"/>
        <w:ind w:left="2180" w:hanging="633"/>
        <w:spacing w:after="0" w:line="274" w:lineRule="auto"/>
        <w:tabs>
          <w:tab w:leader="none" w:pos="2162" w:val="left"/>
        </w:tabs>
        <w:numPr>
          <w:ilvl w:val="0"/>
          <w:numId w:val="26"/>
        </w:numPr>
        <w:rPr>
          <w:rFonts w:ascii="Arial" w:cs="Arial" w:eastAsia="Arial" w:hAnsi="Arial"/>
          <w:sz w:val="19"/>
          <w:szCs w:val="19"/>
          <w:color w:val="2A2A2A"/>
        </w:rPr>
      </w:pPr>
      <w:r>
        <w:rPr>
          <w:rFonts w:ascii="Arial" w:cs="Arial" w:eastAsia="Arial" w:hAnsi="Arial"/>
          <w:sz w:val="19"/>
          <w:szCs w:val="19"/>
          <w:color w:val="2A2A2A"/>
        </w:rPr>
        <w:t>For each Annual Deferral Amount, a Participant may make a distribution election with respect to a Separation from Service Benefit upon Termination or Retirement (as applicable), and shall receive payment of such amount in a single lump sum, unless the Participant elects an alternate form of payment upon Termination or Retirement.</w:t>
      </w:r>
    </w:p>
    <w:p>
      <w:pPr>
        <w:spacing w:after="0" w:line="190" w:lineRule="exact"/>
        <w:rPr>
          <w:sz w:val="20"/>
          <w:szCs w:val="20"/>
          <w:color w:val="auto"/>
        </w:rPr>
      </w:pPr>
    </w:p>
    <w:p>
      <w:pPr>
        <w:jc w:val="both"/>
        <w:ind w:left="2160" w:right="20" w:hanging="626"/>
        <w:spacing w:after="0" w:line="293" w:lineRule="auto"/>
        <w:tabs>
          <w:tab w:leader="none" w:pos="2160" w:val="left"/>
        </w:tabs>
        <w:numPr>
          <w:ilvl w:val="2"/>
          <w:numId w:val="27"/>
        </w:numPr>
        <w:rPr>
          <w:rFonts w:ascii="Arial" w:cs="Arial" w:eastAsia="Arial" w:hAnsi="Arial"/>
          <w:sz w:val="21"/>
          <w:szCs w:val="21"/>
          <w:color w:val="2A2A2A"/>
        </w:rPr>
      </w:pPr>
      <w:r>
        <w:rPr>
          <w:rFonts w:ascii="Arial" w:cs="Arial" w:eastAsia="Arial" w:hAnsi="Arial"/>
          <w:sz w:val="19"/>
          <w:szCs w:val="19"/>
          <w:color w:val="2A2A2A"/>
        </w:rPr>
        <w:t>Permissible alternate forms of payment for the Separation from Service Benefit upon Termination or Retirement (as applicable) are annual installments over a period of two to ten years, as elected by the Participant.</w:t>
      </w:r>
    </w:p>
    <w:p>
      <w:pPr>
        <w:spacing w:after="0" w:line="189" w:lineRule="exact"/>
        <w:rPr>
          <w:rFonts w:ascii="Arial" w:cs="Arial" w:eastAsia="Arial" w:hAnsi="Arial"/>
          <w:sz w:val="21"/>
          <w:szCs w:val="21"/>
          <w:color w:val="2A2A2A"/>
        </w:rPr>
      </w:pPr>
    </w:p>
    <w:p>
      <w:pPr>
        <w:ind w:left="1500" w:hanging="614"/>
        <w:spacing w:after="0" w:line="286" w:lineRule="auto"/>
        <w:tabs>
          <w:tab w:leader="none" w:pos="1500" w:val="left"/>
        </w:tabs>
        <w:numPr>
          <w:ilvl w:val="1"/>
          <w:numId w:val="28"/>
        </w:numPr>
        <w:rPr>
          <w:rFonts w:ascii="Arial" w:cs="Arial" w:eastAsia="Arial" w:hAnsi="Arial"/>
          <w:sz w:val="19"/>
          <w:szCs w:val="19"/>
          <w:color w:val="2A2A2A"/>
        </w:rPr>
      </w:pPr>
      <w:r>
        <w:rPr>
          <w:rFonts w:ascii="Arial" w:cs="Arial" w:eastAsia="Arial" w:hAnsi="Arial"/>
          <w:sz w:val="20"/>
          <w:szCs w:val="20"/>
          <w:i w:val="1"/>
          <w:iCs w:val="1"/>
          <w:color w:val="2A2A2A"/>
        </w:rPr>
        <w:t xml:space="preserve">Specified Date Benefit. </w:t>
      </w:r>
      <w:r>
        <w:rPr>
          <w:rFonts w:ascii="Arial" w:cs="Arial" w:eastAsia="Arial" w:hAnsi="Arial"/>
          <w:sz w:val="18"/>
          <w:szCs w:val="18"/>
          <w:color w:val="2A2A2A"/>
        </w:rPr>
        <w:t>A Participant who elects to receive an Annual Deferral Amount in the form of a</w:t>
      </w:r>
      <w:r>
        <w:rPr>
          <w:rFonts w:ascii="Arial" w:cs="Arial" w:eastAsia="Arial" w:hAnsi="Arial"/>
          <w:sz w:val="20"/>
          <w:szCs w:val="20"/>
          <w:i w:val="1"/>
          <w:iCs w:val="1"/>
          <w:color w:val="2A2A2A"/>
        </w:rPr>
        <w:t xml:space="preserve"> </w:t>
      </w:r>
      <w:r>
        <w:rPr>
          <w:rFonts w:ascii="Arial" w:cs="Arial" w:eastAsia="Arial" w:hAnsi="Arial"/>
          <w:sz w:val="18"/>
          <w:szCs w:val="18"/>
          <w:color w:val="2A2A2A"/>
        </w:rPr>
        <w:t>Specified Date Benefit shall receive payment of such amount in a single lump sum.</w:t>
      </w:r>
    </w:p>
    <w:p>
      <w:pPr>
        <w:spacing w:after="0" w:line="175" w:lineRule="exact"/>
        <w:rPr>
          <w:rFonts w:ascii="Arial" w:cs="Arial" w:eastAsia="Arial" w:hAnsi="Arial"/>
          <w:sz w:val="19"/>
          <w:szCs w:val="19"/>
          <w:color w:val="2A2A2A"/>
        </w:rPr>
      </w:pPr>
    </w:p>
    <w:p>
      <w:pPr>
        <w:jc w:val="both"/>
        <w:ind w:left="1500"/>
        <w:spacing w:after="0" w:line="294" w:lineRule="auto"/>
        <w:rPr>
          <w:rFonts w:ascii="Arial" w:cs="Arial" w:eastAsia="Arial" w:hAnsi="Arial"/>
          <w:sz w:val="19"/>
          <w:szCs w:val="19"/>
          <w:color w:val="2A2A2A"/>
        </w:rPr>
      </w:pPr>
      <w:r>
        <w:rPr>
          <w:rFonts w:ascii="Arial" w:cs="Arial" w:eastAsia="Arial" w:hAnsi="Arial"/>
          <w:sz w:val="18"/>
          <w:szCs w:val="18"/>
          <w:color w:val="2A2A2A"/>
        </w:rPr>
        <w:t>Notwithstanding any Specified Date election of a Participant, if a Participant dies, experiences a Disability, or Separates from Service before distributions with respect to a Specified Date Account have commenced, such amounts shall be paid in accordance with the time and form of payment applicable to the Participant's Separation from Service Benefit, Disability Benefit or Death Benefit (as applicable).</w:t>
      </w:r>
    </w:p>
    <w:p>
      <w:pPr>
        <w:spacing w:after="0" w:line="179" w:lineRule="exact"/>
        <w:rPr>
          <w:rFonts w:ascii="Arial" w:cs="Arial" w:eastAsia="Arial" w:hAnsi="Arial"/>
          <w:sz w:val="19"/>
          <w:szCs w:val="19"/>
          <w:color w:val="2A2A2A"/>
        </w:rPr>
      </w:pPr>
    </w:p>
    <w:p>
      <w:pPr>
        <w:jc w:val="both"/>
        <w:ind w:left="1500" w:hanging="614"/>
        <w:spacing w:after="0" w:line="293" w:lineRule="auto"/>
        <w:tabs>
          <w:tab w:leader="none" w:pos="1500" w:val="left"/>
        </w:tabs>
        <w:numPr>
          <w:ilvl w:val="1"/>
          <w:numId w:val="28"/>
        </w:numPr>
        <w:rPr>
          <w:rFonts w:ascii="Arial" w:cs="Arial" w:eastAsia="Arial" w:hAnsi="Arial"/>
          <w:sz w:val="19"/>
          <w:szCs w:val="19"/>
          <w:color w:val="2A2A2A"/>
        </w:rPr>
      </w:pPr>
      <w:r>
        <w:rPr>
          <w:rFonts w:ascii="Arial" w:cs="Arial" w:eastAsia="Arial" w:hAnsi="Arial"/>
          <w:sz w:val="20"/>
          <w:szCs w:val="20"/>
          <w:i w:val="1"/>
          <w:iCs w:val="1"/>
          <w:color w:val="2A2A2A"/>
        </w:rPr>
        <w:t xml:space="preserve">Disability Benefit. </w:t>
      </w:r>
      <w:r>
        <w:rPr>
          <w:rFonts w:ascii="Arial" w:cs="Arial" w:eastAsia="Arial" w:hAnsi="Arial"/>
          <w:sz w:val="18"/>
          <w:szCs w:val="18"/>
          <w:color w:val="2A2A2A"/>
        </w:rPr>
        <w:t>For each Annual Deferral Amount, a Participant may make a distribution election with</w:t>
      </w:r>
      <w:r>
        <w:rPr>
          <w:rFonts w:ascii="Arial" w:cs="Arial" w:eastAsia="Arial" w:hAnsi="Arial"/>
          <w:sz w:val="20"/>
          <w:szCs w:val="20"/>
          <w:i w:val="1"/>
          <w:iCs w:val="1"/>
          <w:color w:val="2A2A2A"/>
        </w:rPr>
        <w:t xml:space="preserve"> </w:t>
      </w:r>
      <w:r>
        <w:rPr>
          <w:rFonts w:ascii="Arial" w:cs="Arial" w:eastAsia="Arial" w:hAnsi="Arial"/>
          <w:sz w:val="18"/>
          <w:szCs w:val="18"/>
          <w:color w:val="2A2A2A"/>
        </w:rPr>
        <w:t>respect to the applicable Disability Benefit. Permissible forms of payment are a single lump sum, or annual installments over a period of two to ten years. In the absence of a Disability Benefit election for an Annual Deferral Amount, or in the event of an invalid election, the Participant shall be deemed to have elected to receive payment of such amount in a single lump sum.</w:t>
      </w:r>
    </w:p>
    <w:p>
      <w:pPr>
        <w:spacing w:after="0" w:line="178" w:lineRule="exact"/>
        <w:rPr>
          <w:rFonts w:ascii="Arial" w:cs="Arial" w:eastAsia="Arial" w:hAnsi="Arial"/>
          <w:sz w:val="19"/>
          <w:szCs w:val="19"/>
          <w:color w:val="2A2A2A"/>
        </w:rPr>
      </w:pPr>
    </w:p>
    <w:p>
      <w:pPr>
        <w:jc w:val="both"/>
        <w:ind w:left="1500" w:hanging="641"/>
        <w:spacing w:after="0" w:line="291" w:lineRule="auto"/>
        <w:tabs>
          <w:tab w:leader="none" w:pos="1500" w:val="left"/>
        </w:tabs>
        <w:numPr>
          <w:ilvl w:val="0"/>
          <w:numId w:val="29"/>
        </w:numPr>
        <w:rPr>
          <w:rFonts w:ascii="Arial" w:cs="Arial" w:eastAsia="Arial" w:hAnsi="Arial"/>
          <w:sz w:val="19"/>
          <w:szCs w:val="19"/>
          <w:color w:val="2A2A2A"/>
        </w:rPr>
      </w:pPr>
      <w:r>
        <w:rPr>
          <w:rFonts w:ascii="Arial" w:cs="Arial" w:eastAsia="Arial" w:hAnsi="Arial"/>
          <w:sz w:val="20"/>
          <w:szCs w:val="20"/>
          <w:i w:val="1"/>
          <w:iCs w:val="1"/>
          <w:color w:val="2A2A2A"/>
        </w:rPr>
        <w:t xml:space="preserve">Death Benefit. </w:t>
      </w:r>
      <w:r>
        <w:rPr>
          <w:rFonts w:ascii="Arial" w:cs="Arial" w:eastAsia="Arial" w:hAnsi="Arial"/>
          <w:sz w:val="18"/>
          <w:szCs w:val="18"/>
          <w:color w:val="2A2A2A"/>
        </w:rPr>
        <w:t>For each Annual Deferral Amount, a Participant may make a distribution election with respect to</w:t>
      </w:r>
      <w:r>
        <w:rPr>
          <w:rFonts w:ascii="Arial" w:cs="Arial" w:eastAsia="Arial" w:hAnsi="Arial"/>
          <w:sz w:val="20"/>
          <w:szCs w:val="20"/>
          <w:i w:val="1"/>
          <w:iCs w:val="1"/>
          <w:color w:val="2A2A2A"/>
        </w:rPr>
        <w:t xml:space="preserve"> </w:t>
      </w:r>
      <w:r>
        <w:rPr>
          <w:rFonts w:ascii="Arial" w:cs="Arial" w:eastAsia="Arial" w:hAnsi="Arial"/>
          <w:sz w:val="18"/>
          <w:szCs w:val="18"/>
          <w:color w:val="2A2A2A"/>
        </w:rPr>
        <w:t>the applicable Death Benefit. Permissible forms of payment are a single lump sum, or annual installments over a period of two to ten years. In the absence of a Death Benefit election for an Annual Deferral Amount, or in the event</w:t>
      </w:r>
    </w:p>
    <w:p>
      <w:pPr>
        <w:spacing w:after="0" w:line="258" w:lineRule="exact"/>
        <w:rPr>
          <w:sz w:val="20"/>
          <w:szCs w:val="20"/>
          <w:color w:val="auto"/>
        </w:rPr>
      </w:pPr>
    </w:p>
    <w:p>
      <w:pPr>
        <w:ind w:left="1580"/>
        <w:spacing w:after="0" w:line="305" w:lineRule="auto"/>
        <w:rPr>
          <w:sz w:val="20"/>
          <w:szCs w:val="20"/>
          <w:color w:val="auto"/>
        </w:rPr>
      </w:pPr>
      <w:r>
        <w:rPr>
          <w:rFonts w:ascii="Arial" w:cs="Arial" w:eastAsia="Arial" w:hAnsi="Arial"/>
          <w:sz w:val="19"/>
          <w:szCs w:val="19"/>
          <w:color w:val="2A2A2A"/>
        </w:rPr>
        <w:t>of an invalid election, the Participant shall be deemed to have elected to receive payment of such amount in a single lump sum.</w:t>
      </w:r>
    </w:p>
    <w:p>
      <w:pPr>
        <w:spacing w:after="0" w:line="152" w:lineRule="exact"/>
        <w:rPr>
          <w:sz w:val="20"/>
          <w:szCs w:val="20"/>
          <w:color w:val="auto"/>
        </w:rPr>
      </w:pPr>
    </w:p>
    <w:p>
      <w:pPr>
        <w:jc w:val="both"/>
        <w:ind w:left="1560" w:hanging="620"/>
        <w:spacing w:after="0" w:line="293" w:lineRule="auto"/>
        <w:tabs>
          <w:tab w:leader="none" w:pos="1560" w:val="left"/>
        </w:tabs>
        <w:numPr>
          <w:ilvl w:val="1"/>
          <w:numId w:val="30"/>
        </w:numPr>
        <w:rPr>
          <w:rFonts w:ascii="Arial" w:cs="Arial" w:eastAsia="Arial" w:hAnsi="Arial"/>
          <w:sz w:val="19"/>
          <w:szCs w:val="19"/>
          <w:color w:val="2A2A2A"/>
        </w:rPr>
      </w:pPr>
      <w:r>
        <w:rPr>
          <w:rFonts w:ascii="Arial" w:cs="Arial" w:eastAsia="Arial" w:hAnsi="Arial"/>
          <w:sz w:val="20"/>
          <w:szCs w:val="20"/>
          <w:i w:val="1"/>
          <w:iCs w:val="1"/>
          <w:color w:val="2A2A2A"/>
        </w:rPr>
        <w:t xml:space="preserve">Change in Control Benefit. </w:t>
      </w:r>
      <w:r>
        <w:rPr>
          <w:rFonts w:ascii="Arial" w:cs="Arial" w:eastAsia="Arial" w:hAnsi="Arial"/>
          <w:sz w:val="18"/>
          <w:szCs w:val="18"/>
          <w:color w:val="2A2A2A"/>
        </w:rPr>
        <w:t>For each Annual Deferral Amount, a Participant may make a distribution election</w:t>
      </w:r>
      <w:r>
        <w:rPr>
          <w:rFonts w:ascii="Arial" w:cs="Arial" w:eastAsia="Arial" w:hAnsi="Arial"/>
          <w:sz w:val="20"/>
          <w:szCs w:val="20"/>
          <w:i w:val="1"/>
          <w:iCs w:val="1"/>
          <w:color w:val="2A2A2A"/>
        </w:rPr>
        <w:t xml:space="preserve"> </w:t>
      </w:r>
      <w:r>
        <w:rPr>
          <w:rFonts w:ascii="Arial" w:cs="Arial" w:eastAsia="Arial" w:hAnsi="Arial"/>
          <w:sz w:val="18"/>
          <w:szCs w:val="18"/>
          <w:color w:val="2A2A2A"/>
        </w:rPr>
        <w:t>with respect to the applicable Change in Control Benefit. Permissible forms of payment are a single lump sum, or annual installments over a period of two to ten years. In the absence of a Change in Control Benefit election for an Annual Deferral Amount, or in the event of an invalid election, the Participant shall be deemed to have elected to receive payment of such amount in a single lump sum.</w:t>
      </w:r>
    </w:p>
    <w:p>
      <w:pPr>
        <w:spacing w:after="0" w:line="178" w:lineRule="exact"/>
        <w:rPr>
          <w:rFonts w:ascii="Arial" w:cs="Arial" w:eastAsia="Arial" w:hAnsi="Arial"/>
          <w:sz w:val="19"/>
          <w:szCs w:val="19"/>
          <w:color w:val="2A2A2A"/>
        </w:rPr>
      </w:pPr>
    </w:p>
    <w:p>
      <w:pPr>
        <w:jc w:val="both"/>
        <w:ind w:left="1560" w:hanging="647"/>
        <w:spacing w:after="0" w:line="325" w:lineRule="auto"/>
        <w:tabs>
          <w:tab w:leader="none" w:pos="1560" w:val="left"/>
        </w:tabs>
        <w:numPr>
          <w:ilvl w:val="0"/>
          <w:numId w:val="31"/>
        </w:numPr>
        <w:rPr>
          <w:rFonts w:ascii="Arial" w:cs="Arial" w:eastAsia="Arial" w:hAnsi="Arial"/>
          <w:sz w:val="20"/>
          <w:szCs w:val="20"/>
          <w:color w:val="2A2A2A"/>
        </w:rPr>
      </w:pPr>
      <w:r>
        <w:rPr>
          <w:rFonts w:ascii="Arial" w:cs="Arial" w:eastAsia="Arial" w:hAnsi="Arial"/>
          <w:sz w:val="19"/>
          <w:szCs w:val="19"/>
          <w:i w:val="1"/>
          <w:iCs w:val="1"/>
          <w:color w:val="2A2A2A"/>
        </w:rPr>
        <w:t xml:space="preserve">Small Account Balances. </w:t>
      </w:r>
      <w:r>
        <w:rPr>
          <w:rFonts w:ascii="Arial" w:cs="Arial" w:eastAsia="Arial" w:hAnsi="Arial"/>
          <w:sz w:val="17"/>
          <w:szCs w:val="17"/>
          <w:color w:val="2A2A2A"/>
        </w:rPr>
        <w:t>The Committee shall pay the value of the Participant's Accounts upon a Separation</w:t>
      </w:r>
      <w:r>
        <w:rPr>
          <w:rFonts w:ascii="Arial" w:cs="Arial" w:eastAsia="Arial" w:hAnsi="Arial"/>
          <w:sz w:val="19"/>
          <w:szCs w:val="19"/>
          <w:i w:val="1"/>
          <w:iCs w:val="1"/>
          <w:color w:val="2A2A2A"/>
        </w:rPr>
        <w:t xml:space="preserve"> </w:t>
      </w:r>
      <w:r>
        <w:rPr>
          <w:rFonts w:ascii="Arial" w:cs="Arial" w:eastAsia="Arial" w:hAnsi="Arial"/>
          <w:sz w:val="17"/>
          <w:szCs w:val="17"/>
          <w:color w:val="2A2A2A"/>
        </w:rPr>
        <w:t>from Service in a single lump sum if the balance of such Accounts (together with any amounts deferred under any other nonqualified deferred compensation plan that must be aggregated with the Plan Accounts pursuant to Treasury Regulations Section 1.409A-1(c)) is not greater than the applicable dollar amount under Code Section 402(g)(1)(B), provided the payment represents the complete liquidation of the Participant's interest in the Plan together with any plan with which the Plan Accounts must be aggregated as described above.</w:t>
      </w:r>
    </w:p>
    <w:p>
      <w:pPr>
        <w:spacing w:after="0" w:line="169" w:lineRule="exact"/>
        <w:rPr>
          <w:rFonts w:ascii="Arial" w:cs="Arial" w:eastAsia="Arial" w:hAnsi="Arial"/>
          <w:sz w:val="20"/>
          <w:szCs w:val="20"/>
          <w:color w:val="2A2A2A"/>
        </w:rPr>
      </w:pPr>
    </w:p>
    <w:p>
      <w:pPr>
        <w:jc w:val="both"/>
        <w:ind w:left="1540" w:hanging="641"/>
        <w:spacing w:after="0" w:line="323" w:lineRule="auto"/>
        <w:tabs>
          <w:tab w:leader="none" w:pos="1540" w:val="left"/>
        </w:tabs>
        <w:numPr>
          <w:ilvl w:val="1"/>
          <w:numId w:val="31"/>
        </w:numPr>
        <w:rPr>
          <w:rFonts w:ascii="Arial" w:cs="Arial" w:eastAsia="Arial" w:hAnsi="Arial"/>
          <w:sz w:val="20"/>
          <w:szCs w:val="20"/>
          <w:color w:val="2A2A2A"/>
        </w:rPr>
      </w:pPr>
      <w:r>
        <w:rPr>
          <w:rFonts w:ascii="Arial" w:cs="Arial" w:eastAsia="Arial" w:hAnsi="Arial"/>
          <w:sz w:val="19"/>
          <w:szCs w:val="19"/>
          <w:i w:val="1"/>
          <w:iCs w:val="1"/>
          <w:color w:val="2A2A2A"/>
        </w:rPr>
        <w:t>Rules Applicable to Installment Payments</w:t>
      </w:r>
      <w:r>
        <w:rPr>
          <w:rFonts w:ascii="Arial" w:cs="Arial" w:eastAsia="Arial" w:hAnsi="Arial"/>
          <w:sz w:val="17"/>
          <w:szCs w:val="17"/>
          <w:color w:val="2A2A2A"/>
        </w:rPr>
        <w:t>. If a Payment Schedule specifies installment payments, annual</w:t>
      </w:r>
      <w:r>
        <w:rPr>
          <w:rFonts w:ascii="Arial" w:cs="Arial" w:eastAsia="Arial" w:hAnsi="Arial"/>
          <w:sz w:val="19"/>
          <w:szCs w:val="19"/>
          <w:i w:val="1"/>
          <w:iCs w:val="1"/>
          <w:color w:val="2A2A2A"/>
        </w:rPr>
        <w:t xml:space="preserve"> </w:t>
      </w:r>
      <w:r>
        <w:rPr>
          <w:rFonts w:ascii="Arial" w:cs="Arial" w:eastAsia="Arial" w:hAnsi="Arial"/>
          <w:sz w:val="17"/>
          <w:szCs w:val="17"/>
          <w:color w:val="2A2A2A"/>
        </w:rPr>
        <w:t xml:space="preserve">payments will be made beginning as of the payment commencement date for such installments, and shall continue on each anniversary thereof until the number of installment payments specified in the Payment Schedule has been paid. If a lump sum equal to less than 100% of the Separation from Service Account is paid, the payment commencement date for the installment form of payment will be the first anniversary of the payment of the lump sum. The amount of each installment payment shall be determined by dividing (i) by </w:t>
      </w:r>
      <w:r>
        <w:rPr>
          <w:rFonts w:ascii="Arial" w:cs="Arial" w:eastAsia="Arial" w:hAnsi="Arial"/>
          <w:sz w:val="19"/>
          <w:szCs w:val="19"/>
          <w:color w:val="2A2A2A"/>
        </w:rPr>
        <w:t>(ii),</w:t>
      </w:r>
      <w:r>
        <w:rPr>
          <w:rFonts w:ascii="Arial" w:cs="Arial" w:eastAsia="Arial" w:hAnsi="Arial"/>
          <w:sz w:val="17"/>
          <w:szCs w:val="17"/>
          <w:color w:val="2A2A2A"/>
        </w:rPr>
        <w:t xml:space="preserve"> where (i) equals the Account Balance as of the Valuation Date and </w:t>
      </w:r>
      <w:r>
        <w:rPr>
          <w:rFonts w:ascii="Arial" w:cs="Arial" w:eastAsia="Arial" w:hAnsi="Arial"/>
          <w:sz w:val="19"/>
          <w:szCs w:val="19"/>
          <w:color w:val="2A2A2A"/>
        </w:rPr>
        <w:t>(ii)</w:t>
      </w:r>
      <w:r>
        <w:rPr>
          <w:rFonts w:ascii="Arial" w:cs="Arial" w:eastAsia="Arial" w:hAnsi="Arial"/>
          <w:sz w:val="17"/>
          <w:szCs w:val="17"/>
          <w:color w:val="2A2A2A"/>
        </w:rPr>
        <w:t xml:space="preserve"> equals the remaining number of installment payments. For purposes of this subsection (g), the term ''Valuation Date" means a date that is on the payment commencement date and each subsequent anniversary thereof, as applicable, or such other date as the Committee, in its sole discretion, shall determine in a manner consistent with Code Section 409A.</w:t>
      </w:r>
    </w:p>
    <w:p>
      <w:pPr>
        <w:spacing w:after="0" w:line="180" w:lineRule="exact"/>
        <w:rPr>
          <w:rFonts w:ascii="Arial" w:cs="Arial" w:eastAsia="Arial" w:hAnsi="Arial"/>
          <w:sz w:val="20"/>
          <w:szCs w:val="20"/>
          <w:color w:val="2A2A2A"/>
        </w:rPr>
      </w:pPr>
    </w:p>
    <w:p>
      <w:pPr>
        <w:jc w:val="both"/>
        <w:ind w:left="1540"/>
        <w:spacing w:after="0" w:line="286" w:lineRule="auto"/>
        <w:rPr>
          <w:rFonts w:ascii="Arial" w:cs="Arial" w:eastAsia="Arial" w:hAnsi="Arial"/>
          <w:sz w:val="20"/>
          <w:szCs w:val="20"/>
          <w:color w:val="2A2A2A"/>
        </w:rPr>
      </w:pPr>
      <w:r>
        <w:rPr>
          <w:rFonts w:ascii="Arial" w:cs="Arial" w:eastAsia="Arial" w:hAnsi="Arial"/>
          <w:sz w:val="19"/>
          <w:szCs w:val="19"/>
          <w:color w:val="2A2A2A"/>
        </w:rPr>
        <w:t>For purposes of Article VI, installment payments will be treated as a single form of payment; provided, however, that in the event a Participant elects a lump sum payment equal to less than 100% of his or her Separation from Service Benefit (Retirement or Termination, as applicable) or Specified Date Account, the partial lump sum payment shall at all times with respect to the amounts deferred be treated as a separate payment, and the installment payments for the balance of the Account shall, at all times with respect to the amounts deferred, be treated as a single payment.</w:t>
      </w:r>
    </w:p>
    <w:p>
      <w:pPr>
        <w:spacing w:after="0" w:line="193" w:lineRule="exact"/>
        <w:rPr>
          <w:sz w:val="20"/>
          <w:szCs w:val="20"/>
          <w:color w:val="auto"/>
        </w:rPr>
      </w:pPr>
    </w:p>
    <w:p>
      <w:pPr>
        <w:jc w:val="both"/>
        <w:ind w:left="860" w:hanging="620"/>
        <w:spacing w:after="0" w:line="325" w:lineRule="auto"/>
        <w:tabs>
          <w:tab w:leader="none" w:pos="840" w:val="left"/>
        </w:tabs>
        <w:rPr>
          <w:sz w:val="20"/>
          <w:szCs w:val="20"/>
          <w:color w:val="auto"/>
        </w:rPr>
      </w:pPr>
      <w:r>
        <w:rPr>
          <w:rFonts w:ascii="Arial" w:cs="Arial" w:eastAsia="Arial" w:hAnsi="Arial"/>
          <w:sz w:val="19"/>
          <w:szCs w:val="19"/>
          <w:color w:val="2A2A2A"/>
        </w:rPr>
        <w:t>6.3</w:t>
      </w:r>
      <w:r>
        <w:rPr>
          <w:sz w:val="20"/>
          <w:szCs w:val="20"/>
          <w:color w:val="auto"/>
        </w:rPr>
        <w:tab/>
      </w:r>
      <w:r>
        <w:rPr>
          <w:rFonts w:ascii="Arial" w:cs="Arial" w:eastAsia="Arial" w:hAnsi="Arial"/>
          <w:sz w:val="17"/>
          <w:szCs w:val="17"/>
          <w:u w:val="single" w:color="auto"/>
          <w:color w:val="595959"/>
        </w:rPr>
        <w:t>Acce</w:t>
      </w:r>
      <w:r>
        <w:rPr>
          <w:rFonts w:ascii="Arial" w:cs="Arial" w:eastAsia="Arial" w:hAnsi="Arial"/>
          <w:sz w:val="17"/>
          <w:szCs w:val="17"/>
          <w:u w:val="single" w:color="auto"/>
          <w:color w:val="2A2A2A"/>
        </w:rPr>
        <w:t>lera</w:t>
      </w:r>
      <w:r>
        <w:rPr>
          <w:rFonts w:ascii="Arial" w:cs="Arial" w:eastAsia="Arial" w:hAnsi="Arial"/>
          <w:sz w:val="17"/>
          <w:szCs w:val="17"/>
          <w:u w:val="single" w:color="auto"/>
          <w:color w:val="595959"/>
        </w:rPr>
        <w:t xml:space="preserve">tion </w:t>
      </w:r>
      <w:r>
        <w:rPr>
          <w:rFonts w:ascii="Arial" w:cs="Arial" w:eastAsia="Arial" w:hAnsi="Arial"/>
          <w:sz w:val="17"/>
          <w:szCs w:val="17"/>
          <w:u w:val="single" w:color="auto"/>
          <w:color w:val="424242"/>
        </w:rPr>
        <w:t>of or Delay in Payments</w:t>
      </w:r>
      <w:r>
        <w:rPr>
          <w:rFonts w:ascii="Arial" w:cs="Arial" w:eastAsia="Arial" w:hAnsi="Arial"/>
          <w:sz w:val="17"/>
          <w:szCs w:val="17"/>
          <w:color w:val="424242"/>
        </w:rPr>
        <w:t>.</w:t>
      </w:r>
      <w:r>
        <w:rPr>
          <w:rFonts w:ascii="Arial" w:cs="Arial" w:eastAsia="Arial" w:hAnsi="Arial"/>
          <w:sz w:val="17"/>
          <w:szCs w:val="17"/>
          <w:u w:val="single" w:color="auto"/>
          <w:color w:val="595959"/>
        </w:rPr>
        <w:t xml:space="preserve"> </w:t>
      </w:r>
      <w:r>
        <w:rPr>
          <w:rFonts w:ascii="Arial" w:cs="Arial" w:eastAsia="Arial" w:hAnsi="Arial"/>
          <w:sz w:val="17"/>
          <w:szCs w:val="17"/>
          <w:color w:val="2A2A2A"/>
        </w:rPr>
        <w:t>The Committee, in its sole and absolute discretion, may elect to accelerate the time</w:t>
      </w:r>
      <w:r>
        <w:rPr>
          <w:rFonts w:ascii="Arial" w:cs="Arial" w:eastAsia="Arial" w:hAnsi="Arial"/>
          <w:sz w:val="17"/>
          <w:szCs w:val="17"/>
          <w:u w:val="single" w:color="auto"/>
          <w:color w:val="595959"/>
        </w:rPr>
        <w:t xml:space="preserve"> </w:t>
      </w:r>
      <w:r>
        <w:rPr>
          <w:rFonts w:ascii="Arial" w:cs="Arial" w:eastAsia="Arial" w:hAnsi="Arial"/>
          <w:sz w:val="17"/>
          <w:szCs w:val="17"/>
          <w:color w:val="2A2A2A"/>
        </w:rPr>
        <w:t>or form of payment of a benefit owed to the Participant hereunder, provided such acceleration is permitted under Treasury Regulations Section 1.409A-3G)(4). The Committee may also, in its sole and absolute discretion, delay the time for</w:t>
      </w:r>
    </w:p>
    <w:p>
      <w:pPr>
        <w:sectPr>
          <w:pgSz w:w="11900" w:h="16838" w:orient="portrait"/>
          <w:cols w:equalWidth="0" w:num="1">
            <w:col w:w="10120"/>
          </w:cols>
          <w:pgMar w:left="1440" w:top="131" w:right="339" w:bottom="0" w:gutter="0" w:footer="0" w:header="0"/>
        </w:sectPr>
      </w:pPr>
    </w:p>
    <w:bookmarkStart w:id="62" w:name="page63"/>
    <w:bookmarkEnd w:id="62"/>
    <w:p>
      <w:pPr>
        <w:jc w:val="both"/>
        <w:ind w:left="860"/>
        <w:spacing w:after="0" w:line="278" w:lineRule="auto"/>
        <w:rPr>
          <w:sz w:val="20"/>
          <w:szCs w:val="20"/>
          <w:color w:val="auto"/>
        </w:rPr>
      </w:pPr>
      <w:r>
        <w:rPr>
          <w:rFonts w:ascii="Arial" w:cs="Arial" w:eastAsia="Arial" w:hAnsi="Arial"/>
          <w:sz w:val="19"/>
          <w:szCs w:val="19"/>
          <w:color w:val="2A2A2A"/>
        </w:rPr>
        <w:t>payment of a benefit owed to the Participant hereunder, to the extent permitted under Treasury Regulations Section 1.409A-2(b)(7). If the Plan receives a domestic relations order (within the meaning of Code Section 414(p)(1)(B)) directing that all or a portion of a</w:t>
      </w:r>
    </w:p>
    <w:p>
      <w:pPr>
        <w:spacing w:after="0" w:line="259" w:lineRule="exact"/>
        <w:rPr>
          <w:sz w:val="20"/>
          <w:szCs w:val="20"/>
          <w:color w:val="auto"/>
        </w:rPr>
      </w:pPr>
    </w:p>
    <w:p>
      <w:pPr>
        <w:ind w:left="940"/>
        <w:spacing w:after="0" w:line="403" w:lineRule="auto"/>
        <w:rPr>
          <w:sz w:val="20"/>
          <w:szCs w:val="20"/>
          <w:color w:val="auto"/>
        </w:rPr>
      </w:pPr>
      <w:r>
        <w:rPr>
          <w:rFonts w:ascii="Arial" w:cs="Arial" w:eastAsia="Arial" w:hAnsi="Arial"/>
          <w:sz w:val="16"/>
          <w:szCs w:val="16"/>
          <w:color w:val="2A2A2A"/>
        </w:rPr>
        <w:t>Participant's Accounts be paid to an "alternate payee," any amounts to be paid to the alternate payee(s) shall be paid in a single lump sum, and such amounts will be subtracted from the Participant's Accounts as specified in the Plan.</w:t>
      </w:r>
    </w:p>
    <w:p>
      <w:pPr>
        <w:spacing w:after="0" w:line="79" w:lineRule="exact"/>
        <w:rPr>
          <w:sz w:val="20"/>
          <w:szCs w:val="20"/>
          <w:color w:val="auto"/>
        </w:rPr>
      </w:pPr>
    </w:p>
    <w:p>
      <w:pPr>
        <w:jc w:val="both"/>
        <w:ind w:left="920" w:hanging="620"/>
        <w:spacing w:after="0" w:line="276" w:lineRule="auto"/>
        <w:tabs>
          <w:tab w:leader="none" w:pos="900" w:val="left"/>
        </w:tabs>
        <w:rPr>
          <w:sz w:val="20"/>
          <w:szCs w:val="20"/>
          <w:color w:val="auto"/>
        </w:rPr>
      </w:pPr>
      <w:r>
        <w:rPr>
          <w:rFonts w:ascii="Arial" w:cs="Arial" w:eastAsia="Arial" w:hAnsi="Arial"/>
          <w:sz w:val="19"/>
          <w:szCs w:val="19"/>
          <w:color w:val="2A2A2A"/>
        </w:rPr>
        <w:t>6.4</w:t>
      </w:r>
      <w:r>
        <w:rPr>
          <w:sz w:val="20"/>
          <w:szCs w:val="20"/>
          <w:color w:val="auto"/>
        </w:rPr>
        <w:tab/>
      </w:r>
      <w:r>
        <w:rPr>
          <w:rFonts w:ascii="Arial" w:cs="Arial" w:eastAsia="Arial" w:hAnsi="Arial"/>
          <w:sz w:val="19"/>
          <w:szCs w:val="19"/>
          <w:u w:val="single" w:color="auto"/>
          <w:color w:val="2A2A2A"/>
        </w:rPr>
        <w:t>Di</w:t>
      </w:r>
      <w:r>
        <w:rPr>
          <w:rFonts w:ascii="Arial" w:cs="Arial" w:eastAsia="Arial" w:hAnsi="Arial"/>
          <w:sz w:val="19"/>
          <w:szCs w:val="19"/>
          <w:u w:val="single" w:color="auto"/>
          <w:color w:val="505050"/>
        </w:rPr>
        <w:t>stri</w:t>
      </w:r>
      <w:r>
        <w:rPr>
          <w:rFonts w:ascii="Arial" w:cs="Arial" w:eastAsia="Arial" w:hAnsi="Arial"/>
          <w:sz w:val="19"/>
          <w:szCs w:val="19"/>
          <w:u w:val="single" w:color="auto"/>
          <w:color w:val="2A2A2A"/>
        </w:rPr>
        <w:t xml:space="preserve">butions </w:t>
      </w:r>
      <w:r>
        <w:rPr>
          <w:rFonts w:ascii="Arial" w:cs="Arial" w:eastAsia="Arial" w:hAnsi="Arial"/>
          <w:sz w:val="19"/>
          <w:szCs w:val="19"/>
          <w:u w:val="single" w:color="auto"/>
          <w:color w:val="505050"/>
        </w:rPr>
        <w:t>Treated</w:t>
      </w:r>
      <w:r>
        <w:rPr>
          <w:rFonts w:ascii="Arial" w:cs="Arial" w:eastAsia="Arial" w:hAnsi="Arial"/>
          <w:sz w:val="19"/>
          <w:szCs w:val="19"/>
          <w:u w:val="single" w:color="auto"/>
          <w:color w:val="2A2A2A"/>
        </w:rPr>
        <w:t xml:space="preserve"> </w:t>
      </w:r>
      <w:r>
        <w:rPr>
          <w:rFonts w:ascii="Arial" w:cs="Arial" w:eastAsia="Arial" w:hAnsi="Arial"/>
          <w:sz w:val="19"/>
          <w:szCs w:val="19"/>
          <w:u w:val="single" w:color="auto"/>
          <w:color w:val="3D3D3D"/>
        </w:rPr>
        <w:t>as Made</w:t>
      </w:r>
      <w:r>
        <w:rPr>
          <w:rFonts w:ascii="Arial" w:cs="Arial" w:eastAsia="Arial" w:hAnsi="Arial"/>
          <w:sz w:val="19"/>
          <w:szCs w:val="19"/>
          <w:u w:val="single" w:color="auto"/>
          <w:color w:val="2A2A2A"/>
        </w:rPr>
        <w:t xml:space="preserve"> </w:t>
      </w:r>
      <w:r>
        <w:rPr>
          <w:rFonts w:ascii="Arial" w:cs="Arial" w:eastAsia="Arial" w:hAnsi="Arial"/>
          <w:sz w:val="19"/>
          <w:szCs w:val="19"/>
          <w:u w:val="single" w:color="auto"/>
          <w:color w:val="505050"/>
        </w:rPr>
        <w:t>Upon</w:t>
      </w:r>
      <w:r>
        <w:rPr>
          <w:rFonts w:ascii="Arial" w:cs="Arial" w:eastAsia="Arial" w:hAnsi="Arial"/>
          <w:sz w:val="19"/>
          <w:szCs w:val="19"/>
          <w:u w:val="single" w:color="auto"/>
          <w:color w:val="2A2A2A"/>
        </w:rPr>
        <w:t xml:space="preserve"> </w:t>
      </w:r>
      <w:r>
        <w:rPr>
          <w:rFonts w:ascii="Arial" w:cs="Arial" w:eastAsia="Arial" w:hAnsi="Arial"/>
          <w:sz w:val="19"/>
          <w:szCs w:val="19"/>
          <w:u w:val="single" w:color="auto"/>
          <w:color w:val="3D3D3D"/>
        </w:rPr>
        <w:t>a Designated</w:t>
      </w:r>
      <w:r>
        <w:rPr>
          <w:rFonts w:ascii="Arial" w:cs="Arial" w:eastAsia="Arial" w:hAnsi="Arial"/>
          <w:sz w:val="19"/>
          <w:szCs w:val="19"/>
          <w:u w:val="single" w:color="auto"/>
          <w:color w:val="2A2A2A"/>
        </w:rPr>
        <w:t xml:space="preserve"> </w:t>
      </w:r>
      <w:r>
        <w:rPr>
          <w:rFonts w:ascii="Arial" w:cs="Arial" w:eastAsia="Arial" w:hAnsi="Arial"/>
          <w:sz w:val="19"/>
          <w:szCs w:val="19"/>
          <w:u w:val="single" w:color="auto"/>
          <w:color w:val="505050"/>
        </w:rPr>
        <w:t>Event</w:t>
      </w:r>
      <w:r>
        <w:rPr>
          <w:rFonts w:ascii="Arial" w:cs="Arial" w:eastAsia="Arial" w:hAnsi="Arial"/>
          <w:sz w:val="19"/>
          <w:szCs w:val="19"/>
          <w:color w:val="2A2A2A"/>
        </w:rPr>
        <w:t>. If the Company fails to make any distribution on account</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 xml:space="preserve">of any of the events listed in Section 6.1, either intentionally or unintentionally, within the time period specified in Section 6.2, but the payment is made within the same calendar year, such distribution will be treated as made within the time period specified in Section 6.2 pursuant to Treasury Regulations Section 1.409A-3(d). </w:t>
      </w:r>
      <w:r>
        <w:rPr>
          <w:rFonts w:ascii="Arial" w:cs="Arial" w:eastAsia="Arial" w:hAnsi="Arial"/>
          <w:sz w:val="16"/>
          <w:szCs w:val="16"/>
          <w:color w:val="2A2A2A"/>
        </w:rPr>
        <w:t>In</w:t>
      </w:r>
      <w:r>
        <w:rPr>
          <w:rFonts w:ascii="Arial" w:cs="Arial" w:eastAsia="Arial" w:hAnsi="Arial"/>
          <w:sz w:val="19"/>
          <w:szCs w:val="19"/>
          <w:color w:val="2A2A2A"/>
        </w:rPr>
        <w:t xml:space="preserve"> addition, if a distribution is not made due to a dispute with respect to such distribution, the distribution may be delayed in accordance with Treasury Regulations Section 1.409A-3(g).</w:t>
      </w:r>
    </w:p>
    <w:p>
      <w:pPr>
        <w:spacing w:after="0" w:line="186" w:lineRule="exact"/>
        <w:rPr>
          <w:sz w:val="20"/>
          <w:szCs w:val="20"/>
          <w:color w:val="auto"/>
        </w:rPr>
      </w:pPr>
    </w:p>
    <w:p>
      <w:pPr>
        <w:jc w:val="both"/>
        <w:ind w:left="900" w:hanging="633"/>
        <w:spacing w:after="0" w:line="298" w:lineRule="auto"/>
        <w:tabs>
          <w:tab w:leader="none" w:pos="880" w:val="left"/>
        </w:tabs>
        <w:rPr>
          <w:sz w:val="20"/>
          <w:szCs w:val="20"/>
          <w:color w:val="auto"/>
        </w:rPr>
      </w:pPr>
      <w:r>
        <w:rPr>
          <w:rFonts w:ascii="Arial" w:cs="Arial" w:eastAsia="Arial" w:hAnsi="Arial"/>
          <w:sz w:val="20"/>
          <w:szCs w:val="20"/>
          <w:color w:val="2A2A2A"/>
        </w:rPr>
        <w:t>6.5</w:t>
      </w:r>
      <w:r>
        <w:rPr>
          <w:sz w:val="20"/>
          <w:szCs w:val="20"/>
          <w:color w:val="auto"/>
        </w:rPr>
        <w:tab/>
      </w:r>
      <w:r>
        <w:rPr>
          <w:rFonts w:ascii="Arial" w:cs="Arial" w:eastAsia="Arial" w:hAnsi="Arial"/>
          <w:sz w:val="18"/>
          <w:szCs w:val="18"/>
          <w:u w:val="single" w:color="auto"/>
          <w:color w:val="3D3D3D"/>
        </w:rPr>
        <w:t>Deductibility</w:t>
      </w:r>
      <w:r>
        <w:rPr>
          <w:rFonts w:ascii="Arial" w:cs="Arial" w:eastAsia="Arial" w:hAnsi="Arial"/>
          <w:sz w:val="18"/>
          <w:szCs w:val="18"/>
          <w:color w:val="3D3D3D"/>
        </w:rPr>
        <w:t>.</w:t>
      </w:r>
      <w:r>
        <w:rPr>
          <w:rFonts w:ascii="Arial" w:cs="Arial" w:eastAsia="Arial" w:hAnsi="Arial"/>
          <w:sz w:val="18"/>
          <w:szCs w:val="18"/>
          <w:u w:val="single" w:color="auto"/>
          <w:color w:val="3D3D3D"/>
        </w:rPr>
        <w:t xml:space="preserve"> </w:t>
      </w:r>
      <w:r>
        <w:rPr>
          <w:rFonts w:ascii="Arial" w:cs="Arial" w:eastAsia="Arial" w:hAnsi="Arial"/>
          <w:sz w:val="18"/>
          <w:szCs w:val="18"/>
          <w:color w:val="2A2A2A"/>
        </w:rPr>
        <w:t>All amounts distributed from the Plan are intended to be deductible by the Company or a</w:t>
      </w:r>
      <w:r>
        <w:rPr>
          <w:rFonts w:ascii="Arial" w:cs="Arial" w:eastAsia="Arial" w:hAnsi="Arial"/>
          <w:sz w:val="18"/>
          <w:szCs w:val="18"/>
          <w:u w:val="single" w:color="auto"/>
          <w:color w:val="3D3D3D"/>
        </w:rPr>
        <w:t xml:space="preserve"> </w:t>
      </w:r>
      <w:r>
        <w:rPr>
          <w:rFonts w:ascii="Arial" w:cs="Arial" w:eastAsia="Arial" w:hAnsi="Arial"/>
          <w:sz w:val="18"/>
          <w:szCs w:val="18"/>
          <w:color w:val="2A2A2A"/>
        </w:rPr>
        <w:t>Participating Employer. If the Committee determines in good faith that all or a portion of any distribution will not be deductible by the Company or a Participating Employer solely by reason of the limitation under Section 162(m) of the Code, then such distribution to the Participant will be delayed until the first year in which it is deductible.</w:t>
      </w:r>
    </w:p>
    <w:p>
      <w:pPr>
        <w:spacing w:after="0" w:line="144" w:lineRule="exact"/>
        <w:rPr>
          <w:sz w:val="20"/>
          <w:szCs w:val="20"/>
          <w:color w:val="auto"/>
        </w:rPr>
      </w:pPr>
    </w:p>
    <w:p>
      <w:pPr>
        <w:ind w:left="960"/>
        <w:spacing w:after="0"/>
        <w:rPr>
          <w:sz w:val="20"/>
          <w:szCs w:val="20"/>
          <w:color w:val="auto"/>
        </w:rPr>
      </w:pPr>
      <w:r>
        <w:rPr>
          <w:rFonts w:ascii="Arial" w:cs="Arial" w:eastAsia="Arial" w:hAnsi="Arial"/>
          <w:sz w:val="21"/>
          <w:szCs w:val="21"/>
          <w:b w:val="1"/>
          <w:bCs w:val="1"/>
          <w:color w:val="2A2A2A"/>
        </w:rPr>
        <w:t xml:space="preserve">ARTICLE </w:t>
      </w:r>
      <w:r>
        <w:rPr>
          <w:rFonts w:ascii="Arial" w:cs="Arial" w:eastAsia="Arial" w:hAnsi="Arial"/>
          <w:sz w:val="21"/>
          <w:szCs w:val="21"/>
          <w:color w:val="2A2A2A"/>
        </w:rPr>
        <w:t>VII</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2A2A2A"/>
        </w:rPr>
        <w:t>Modifications to Payment Schedules</w:t>
      </w:r>
    </w:p>
    <w:p>
      <w:pPr>
        <w:spacing w:after="0" w:line="231" w:lineRule="exact"/>
        <w:rPr>
          <w:sz w:val="20"/>
          <w:szCs w:val="20"/>
          <w:color w:val="auto"/>
        </w:rPr>
      </w:pPr>
    </w:p>
    <w:p>
      <w:pPr>
        <w:jc w:val="both"/>
        <w:ind w:left="880" w:hanging="634"/>
        <w:spacing w:after="0" w:line="257" w:lineRule="auto"/>
        <w:tabs>
          <w:tab w:leader="none" w:pos="860" w:val="left"/>
        </w:tabs>
        <w:rPr>
          <w:sz w:val="20"/>
          <w:szCs w:val="20"/>
          <w:color w:val="auto"/>
        </w:rPr>
      </w:pPr>
      <w:r>
        <w:rPr>
          <w:rFonts w:ascii="Arial" w:cs="Arial" w:eastAsia="Arial" w:hAnsi="Arial"/>
          <w:sz w:val="20"/>
          <w:szCs w:val="20"/>
          <w:color w:val="2A2A2A"/>
        </w:rPr>
        <w:t>7.1</w:t>
      </w:r>
      <w:r>
        <w:rPr>
          <w:sz w:val="20"/>
          <w:szCs w:val="20"/>
          <w:color w:val="auto"/>
        </w:rPr>
        <w:tab/>
      </w:r>
      <w:r>
        <w:rPr>
          <w:rFonts w:ascii="Arial" w:cs="Arial" w:eastAsia="Arial" w:hAnsi="Arial"/>
          <w:sz w:val="20"/>
          <w:szCs w:val="20"/>
          <w:u w:val="single" w:color="auto"/>
          <w:color w:val="3D3D3D"/>
        </w:rPr>
        <w:t xml:space="preserve">Participant's </w:t>
      </w:r>
      <w:r>
        <w:rPr>
          <w:rFonts w:ascii="Arial" w:cs="Arial" w:eastAsia="Arial" w:hAnsi="Arial"/>
          <w:sz w:val="20"/>
          <w:szCs w:val="20"/>
          <w:u w:val="single" w:color="auto"/>
          <w:color w:val="2A2A2A"/>
        </w:rPr>
        <w:t>Right</w:t>
      </w:r>
      <w:r>
        <w:rPr>
          <w:rFonts w:ascii="Arial" w:cs="Arial" w:eastAsia="Arial" w:hAnsi="Arial"/>
          <w:sz w:val="20"/>
          <w:szCs w:val="20"/>
          <w:u w:val="single" w:color="auto"/>
          <w:color w:val="3D3D3D"/>
        </w:rPr>
        <w:t xml:space="preserve"> to </w:t>
      </w:r>
      <w:r>
        <w:rPr>
          <w:rFonts w:ascii="Arial" w:cs="Arial" w:eastAsia="Arial" w:hAnsi="Arial"/>
          <w:sz w:val="20"/>
          <w:szCs w:val="20"/>
          <w:u w:val="single" w:color="auto"/>
          <w:color w:val="505050"/>
        </w:rPr>
        <w:t>Modify</w:t>
      </w:r>
      <w:r>
        <w:rPr>
          <w:rFonts w:ascii="Arial" w:cs="Arial" w:eastAsia="Arial" w:hAnsi="Arial"/>
          <w:sz w:val="20"/>
          <w:szCs w:val="20"/>
          <w:color w:val="2A2A2A"/>
        </w:rPr>
        <w:t>. A Participant may modify any or all of the Payment Schedules with respect to one or</w:t>
      </w:r>
      <w:r>
        <w:rPr>
          <w:rFonts w:ascii="Arial" w:cs="Arial" w:eastAsia="Arial" w:hAnsi="Arial"/>
          <w:sz w:val="20"/>
          <w:szCs w:val="20"/>
          <w:u w:val="single" w:color="auto"/>
          <w:color w:val="3D3D3D"/>
        </w:rPr>
        <w:t xml:space="preserve"> </w:t>
      </w:r>
      <w:r>
        <w:rPr>
          <w:rFonts w:ascii="Arial" w:cs="Arial" w:eastAsia="Arial" w:hAnsi="Arial"/>
          <w:sz w:val="20"/>
          <w:szCs w:val="20"/>
          <w:color w:val="2A2A2A"/>
        </w:rPr>
        <w:t>more Separation from Service Benefit (e.g., to be paid at Retirement or Termination), Specified Date Benefit, Death Benefit, Change in Control Benefit or Disability Benefit, consistent with the permissible Payment Schedules available under the Plan, provided such modification complies with the requirements of this Article VII and Code Section 409A and Treas. Reg. §1.409A-2(b), and are authorized by the Committee. Modifications of Payment Schedules with respect to Accounts not explicitly identified in the immediately preceding sentence are not permissible under the Plan.</w:t>
      </w:r>
    </w:p>
    <w:p>
      <w:pPr>
        <w:spacing w:after="0" w:line="193" w:lineRule="exact"/>
        <w:rPr>
          <w:sz w:val="20"/>
          <w:szCs w:val="20"/>
          <w:color w:val="auto"/>
        </w:rPr>
      </w:pPr>
    </w:p>
    <w:p>
      <w:pPr>
        <w:jc w:val="both"/>
        <w:ind w:left="860" w:hanging="620"/>
        <w:spacing w:after="0" w:line="265" w:lineRule="auto"/>
        <w:tabs>
          <w:tab w:leader="none" w:pos="840" w:val="left"/>
        </w:tabs>
        <w:rPr>
          <w:sz w:val="20"/>
          <w:szCs w:val="20"/>
          <w:color w:val="auto"/>
        </w:rPr>
      </w:pPr>
      <w:r>
        <w:rPr>
          <w:rFonts w:ascii="Arial" w:cs="Arial" w:eastAsia="Arial" w:hAnsi="Arial"/>
          <w:sz w:val="20"/>
          <w:szCs w:val="20"/>
          <w:color w:val="2A2A2A"/>
        </w:rPr>
        <w:t>7.2</w:t>
      </w:r>
      <w:r>
        <w:rPr>
          <w:sz w:val="20"/>
          <w:szCs w:val="20"/>
          <w:color w:val="auto"/>
        </w:rPr>
        <w:tab/>
      </w:r>
      <w:r>
        <w:rPr>
          <w:rFonts w:ascii="Arial" w:cs="Arial" w:eastAsia="Arial" w:hAnsi="Arial"/>
          <w:sz w:val="20"/>
          <w:szCs w:val="20"/>
          <w:u w:val="single" w:color="auto"/>
          <w:color w:val="505050"/>
        </w:rPr>
        <w:t>Time of Election</w:t>
      </w:r>
      <w:r>
        <w:rPr>
          <w:rFonts w:ascii="Arial" w:cs="Arial" w:eastAsia="Arial" w:hAnsi="Arial"/>
          <w:sz w:val="20"/>
          <w:szCs w:val="20"/>
          <w:color w:val="2A2A2A"/>
        </w:rPr>
        <w:t>.</w:t>
      </w:r>
      <w:r>
        <w:rPr>
          <w:rFonts w:ascii="Arial" w:cs="Arial" w:eastAsia="Arial" w:hAnsi="Arial"/>
          <w:sz w:val="20"/>
          <w:szCs w:val="20"/>
          <w:u w:val="single" w:color="auto"/>
          <w:color w:val="505050"/>
        </w:rPr>
        <w:t xml:space="preserve"> </w:t>
      </w:r>
      <w:r>
        <w:rPr>
          <w:rFonts w:ascii="Arial" w:cs="Arial" w:eastAsia="Arial" w:hAnsi="Arial"/>
          <w:sz w:val="17"/>
          <w:szCs w:val="17"/>
          <w:color w:val="2A2A2A"/>
        </w:rPr>
        <w:t>In</w:t>
      </w:r>
      <w:r>
        <w:rPr>
          <w:rFonts w:ascii="Arial" w:cs="Arial" w:eastAsia="Arial" w:hAnsi="Arial"/>
          <w:sz w:val="20"/>
          <w:szCs w:val="20"/>
          <w:u w:val="single" w:color="auto"/>
          <w:color w:val="505050"/>
        </w:rPr>
        <w:t xml:space="preserve"> </w:t>
      </w:r>
      <w:r>
        <w:rPr>
          <w:rFonts w:ascii="Arial" w:cs="Arial" w:eastAsia="Arial" w:hAnsi="Arial"/>
          <w:sz w:val="20"/>
          <w:szCs w:val="20"/>
          <w:color w:val="2A2A2A"/>
        </w:rPr>
        <w:t>the case of any modification to any Payment Schedule authorized by Section 7.1, the date on</w:t>
      </w:r>
      <w:r>
        <w:rPr>
          <w:rFonts w:ascii="Arial" w:cs="Arial" w:eastAsia="Arial" w:hAnsi="Arial"/>
          <w:sz w:val="20"/>
          <w:szCs w:val="20"/>
          <w:u w:val="single" w:color="auto"/>
          <w:color w:val="505050"/>
        </w:rPr>
        <w:t xml:space="preserve"> </w:t>
      </w:r>
      <w:r>
        <w:rPr>
          <w:rFonts w:ascii="Arial" w:cs="Arial" w:eastAsia="Arial" w:hAnsi="Arial"/>
          <w:sz w:val="20"/>
          <w:szCs w:val="20"/>
          <w:color w:val="2A2A2A"/>
        </w:rPr>
        <w:t>which a modification election is submitted to the Committee must be at least 12 months prior to the date on which payment of such Account is scheduled to commence under the Payment Schedule in effect prior to the modification in accordance with Treas. Reg. §1.409A-2(b)(1)(iii).</w:t>
      </w:r>
    </w:p>
    <w:p>
      <w:pPr>
        <w:spacing w:after="0" w:line="186" w:lineRule="exact"/>
        <w:rPr>
          <w:sz w:val="20"/>
          <w:szCs w:val="20"/>
          <w:color w:val="auto"/>
        </w:rPr>
      </w:pPr>
    </w:p>
    <w:p>
      <w:pPr>
        <w:jc w:val="both"/>
        <w:ind w:left="860" w:hanging="620"/>
        <w:spacing w:after="0" w:line="291" w:lineRule="auto"/>
        <w:tabs>
          <w:tab w:leader="none" w:pos="840" w:val="left"/>
        </w:tabs>
        <w:rPr>
          <w:sz w:val="20"/>
          <w:szCs w:val="20"/>
          <w:color w:val="auto"/>
        </w:rPr>
      </w:pPr>
      <w:r>
        <w:rPr>
          <w:rFonts w:ascii="Arial" w:cs="Arial" w:eastAsia="Arial" w:hAnsi="Arial"/>
          <w:sz w:val="20"/>
          <w:szCs w:val="20"/>
          <w:color w:val="2A2A2A"/>
        </w:rPr>
        <w:t>7.3</w:t>
      </w:r>
      <w:r>
        <w:rPr>
          <w:sz w:val="20"/>
          <w:szCs w:val="20"/>
          <w:color w:val="auto"/>
        </w:rPr>
        <w:tab/>
      </w:r>
      <w:r>
        <w:rPr>
          <w:rFonts w:ascii="Arial" w:cs="Arial" w:eastAsia="Arial" w:hAnsi="Arial"/>
          <w:sz w:val="18"/>
          <w:szCs w:val="18"/>
          <w:u w:val="single" w:color="auto"/>
          <w:color w:val="3D3D3D"/>
        </w:rPr>
        <w:t xml:space="preserve">Date of Payment under </w:t>
      </w:r>
      <w:r>
        <w:rPr>
          <w:rFonts w:ascii="Arial" w:cs="Arial" w:eastAsia="Arial" w:hAnsi="Arial"/>
          <w:sz w:val="18"/>
          <w:szCs w:val="18"/>
          <w:u w:val="single" w:color="auto"/>
          <w:color w:val="505050"/>
        </w:rPr>
        <w:t>Modified</w:t>
      </w:r>
      <w:r>
        <w:rPr>
          <w:rFonts w:ascii="Arial" w:cs="Arial" w:eastAsia="Arial" w:hAnsi="Arial"/>
          <w:sz w:val="18"/>
          <w:szCs w:val="18"/>
          <w:u w:val="single" w:color="auto"/>
          <w:color w:val="3D3D3D"/>
        </w:rPr>
        <w:t xml:space="preserve"> Payment </w:t>
      </w:r>
      <w:r>
        <w:rPr>
          <w:rFonts w:ascii="Arial" w:cs="Arial" w:eastAsia="Arial" w:hAnsi="Arial"/>
          <w:sz w:val="18"/>
          <w:szCs w:val="18"/>
          <w:u w:val="single" w:color="auto"/>
          <w:color w:val="505050"/>
        </w:rPr>
        <w:t>Schedu</w:t>
      </w:r>
      <w:r>
        <w:rPr>
          <w:rFonts w:ascii="Arial" w:cs="Arial" w:eastAsia="Arial" w:hAnsi="Arial"/>
          <w:sz w:val="18"/>
          <w:szCs w:val="18"/>
          <w:u w:val="single" w:color="auto"/>
          <w:color w:val="2A2A2A"/>
        </w:rPr>
        <w:t>l</w:t>
      </w:r>
      <w:r>
        <w:rPr>
          <w:rFonts w:ascii="Arial" w:cs="Arial" w:eastAsia="Arial" w:hAnsi="Arial"/>
          <w:sz w:val="18"/>
          <w:szCs w:val="18"/>
          <w:color w:val="2A2A2A"/>
        </w:rPr>
        <w:t>e. Except in the case of the Disability Benefit, the Death Benefit</w:t>
      </w:r>
      <w:r>
        <w:rPr>
          <w:rFonts w:ascii="Arial" w:cs="Arial" w:eastAsia="Arial" w:hAnsi="Arial"/>
          <w:sz w:val="18"/>
          <w:szCs w:val="18"/>
          <w:u w:val="single" w:color="auto"/>
          <w:color w:val="3D3D3D"/>
        </w:rPr>
        <w:t xml:space="preserve"> </w:t>
      </w:r>
      <w:r>
        <w:rPr>
          <w:rFonts w:ascii="Arial" w:cs="Arial" w:eastAsia="Arial" w:hAnsi="Arial"/>
          <w:sz w:val="18"/>
          <w:szCs w:val="18"/>
          <w:color w:val="2A2A2A"/>
        </w:rPr>
        <w:t>and Unforeseeable Emergency Payments, the date payments are to commence under the modified Payment Schedule must be no earlier than five years after the date payment would have commenced under the previous Payment Schedule (or, in the case of installment payments treated as a single payment, five years after the first amount was scheduled to be paid) in accordance with Treas. Reg. §1.409A-2(b)(1)(ii). Under no circumstances may a modification election result in an acceleration of payments in violation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-824865</wp:posOffset>
            </wp:positionV>
            <wp:extent cx="31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48" w:lineRule="exact"/>
        <w:rPr>
          <w:sz w:val="20"/>
          <w:szCs w:val="20"/>
          <w:color w:val="auto"/>
        </w:rPr>
      </w:pPr>
    </w:p>
    <w:p>
      <w:pPr>
        <w:jc w:val="both"/>
        <w:ind w:left="840" w:hanging="633"/>
        <w:spacing w:after="0" w:line="264" w:lineRule="auto"/>
        <w:tabs>
          <w:tab w:leader="none" w:pos="820" w:val="left"/>
        </w:tabs>
        <w:rPr>
          <w:sz w:val="20"/>
          <w:szCs w:val="20"/>
          <w:color w:val="auto"/>
        </w:rPr>
      </w:pPr>
      <w:r>
        <w:rPr>
          <w:rFonts w:ascii="Arial" w:cs="Arial" w:eastAsia="Arial" w:hAnsi="Arial"/>
          <w:sz w:val="20"/>
          <w:szCs w:val="20"/>
          <w:color w:val="2A2A2A"/>
        </w:rPr>
        <w:t>7.4</w:t>
      </w:r>
      <w:r>
        <w:rPr>
          <w:sz w:val="20"/>
          <w:szCs w:val="20"/>
          <w:color w:val="auto"/>
        </w:rPr>
        <w:tab/>
      </w:r>
      <w:r>
        <w:rPr>
          <w:rFonts w:ascii="Arial" w:cs="Arial" w:eastAsia="Arial" w:hAnsi="Arial"/>
          <w:sz w:val="20"/>
          <w:szCs w:val="20"/>
          <w:u w:val="single" w:color="auto"/>
          <w:color w:val="2A2A2A"/>
        </w:rPr>
        <w:t>Effective Date</w:t>
      </w:r>
      <w:r>
        <w:rPr>
          <w:rFonts w:ascii="Arial" w:cs="Arial" w:eastAsia="Arial" w:hAnsi="Arial"/>
          <w:sz w:val="20"/>
          <w:szCs w:val="20"/>
          <w:color w:val="2A2A2A"/>
        </w:rPr>
        <w:t>. A modification election submitted in accordance with this Article VII is irrevocable upon receipt by</w:t>
      </w:r>
      <w:r>
        <w:rPr>
          <w:rFonts w:ascii="Arial" w:cs="Arial" w:eastAsia="Arial" w:hAnsi="Arial"/>
          <w:sz w:val="20"/>
          <w:szCs w:val="20"/>
          <w:u w:val="single" w:color="auto"/>
          <w:color w:val="2A2A2A"/>
        </w:rPr>
        <w:t xml:space="preserve"> </w:t>
      </w:r>
      <w:r>
        <w:rPr>
          <w:rFonts w:ascii="Arial" w:cs="Arial" w:eastAsia="Arial" w:hAnsi="Arial"/>
          <w:sz w:val="20"/>
          <w:szCs w:val="20"/>
          <w:color w:val="2A2A2A"/>
        </w:rPr>
        <w:t>the Committee and shall not become effective until 12 months after such date in accordance with Treas. Reg. §1.409A-2(b)(1)(i).</w:t>
      </w:r>
    </w:p>
    <w:p>
      <w:pPr>
        <w:spacing w:after="0" w:line="240" w:lineRule="exact"/>
        <w:rPr>
          <w:sz w:val="20"/>
          <w:szCs w:val="20"/>
          <w:color w:val="auto"/>
        </w:rPr>
      </w:pPr>
    </w:p>
    <w:p>
      <w:pPr>
        <w:ind w:left="920" w:hanging="620"/>
        <w:spacing w:after="0" w:line="305" w:lineRule="auto"/>
        <w:tabs>
          <w:tab w:leader="none" w:pos="900" w:val="left"/>
        </w:tabs>
        <w:rPr>
          <w:sz w:val="20"/>
          <w:szCs w:val="20"/>
          <w:color w:val="auto"/>
        </w:rPr>
      </w:pPr>
      <w:r>
        <w:rPr>
          <w:rFonts w:ascii="Arial" w:cs="Arial" w:eastAsia="Arial" w:hAnsi="Arial"/>
          <w:sz w:val="20"/>
          <w:szCs w:val="20"/>
          <w:color w:val="2A2A2A"/>
        </w:rPr>
        <w:t>7.5</w:t>
      </w:r>
      <w:r>
        <w:rPr>
          <w:sz w:val="20"/>
          <w:szCs w:val="20"/>
          <w:color w:val="auto"/>
        </w:rPr>
        <w:tab/>
      </w:r>
      <w:r>
        <w:rPr>
          <w:rFonts w:ascii="Arial" w:cs="Arial" w:eastAsia="Arial" w:hAnsi="Arial"/>
          <w:sz w:val="19"/>
          <w:szCs w:val="19"/>
          <w:u w:val="single" w:color="auto"/>
          <w:color w:val="2A2A2A"/>
        </w:rPr>
        <w:t>Effect on Accounts</w:t>
      </w:r>
      <w:r>
        <w:rPr>
          <w:rFonts w:ascii="Arial" w:cs="Arial" w:eastAsia="Arial" w:hAnsi="Arial"/>
          <w:sz w:val="19"/>
          <w:szCs w:val="19"/>
          <w:color w:val="2A2A2A"/>
        </w:rPr>
        <w:t>. An election to modify a Payment Schedule is specific to the Account or payment event to which it</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applies, and shall not be construed to affect the Payment Schedules of any other Accounts.</w:t>
      </w:r>
    </w:p>
    <w:p>
      <w:pPr>
        <w:spacing w:after="0" w:line="397"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2A2A2A"/>
        </w:rPr>
        <w:t>ARTICLE VIII</w:t>
      </w:r>
    </w:p>
    <w:p>
      <w:pPr>
        <w:spacing w:after="0" w:line="33" w:lineRule="exact"/>
        <w:rPr>
          <w:sz w:val="20"/>
          <w:szCs w:val="20"/>
          <w:color w:val="auto"/>
        </w:rPr>
      </w:pPr>
    </w:p>
    <w:p>
      <w:pPr>
        <w:ind w:left="1340"/>
        <w:spacing w:after="0"/>
        <w:rPr>
          <w:sz w:val="20"/>
          <w:szCs w:val="20"/>
          <w:color w:val="auto"/>
        </w:rPr>
      </w:pPr>
      <w:r>
        <w:rPr>
          <w:rFonts w:ascii="Arial" w:cs="Arial" w:eastAsia="Arial" w:hAnsi="Arial"/>
          <w:sz w:val="20"/>
          <w:szCs w:val="20"/>
          <w:i w:val="1"/>
          <w:iCs w:val="1"/>
          <w:color w:val="525252"/>
        </w:rPr>
        <w:t>Valuatio</w:t>
      </w:r>
      <w:r>
        <w:rPr>
          <w:rFonts w:ascii="Arial" w:cs="Arial" w:eastAsia="Arial" w:hAnsi="Arial"/>
          <w:sz w:val="20"/>
          <w:szCs w:val="20"/>
          <w:i w:val="1"/>
          <w:iCs w:val="1"/>
          <w:color w:val="2A2A2A"/>
        </w:rPr>
        <w:t>n</w:t>
      </w:r>
      <w:r>
        <w:rPr>
          <w:rFonts w:ascii="Arial" w:cs="Arial" w:eastAsia="Arial" w:hAnsi="Arial"/>
          <w:sz w:val="20"/>
          <w:szCs w:val="20"/>
          <w:i w:val="1"/>
          <w:iCs w:val="1"/>
          <w:color w:val="525252"/>
        </w:rPr>
        <w:t xml:space="preserve"> </w:t>
      </w:r>
      <w:r>
        <w:rPr>
          <w:rFonts w:ascii="Arial" w:cs="Arial" w:eastAsia="Arial" w:hAnsi="Arial"/>
          <w:sz w:val="18"/>
          <w:szCs w:val="18"/>
          <w:i w:val="1"/>
          <w:iCs w:val="1"/>
          <w:color w:val="2A2A2A"/>
        </w:rPr>
        <w:t>of</w:t>
      </w:r>
      <w:r>
        <w:rPr>
          <w:rFonts w:ascii="Arial" w:cs="Arial" w:eastAsia="Arial" w:hAnsi="Arial"/>
          <w:sz w:val="20"/>
          <w:szCs w:val="20"/>
          <w:i w:val="1"/>
          <w:iCs w:val="1"/>
          <w:color w:val="525252"/>
        </w:rPr>
        <w:t xml:space="preserve"> </w:t>
      </w:r>
      <w:r>
        <w:rPr>
          <w:rFonts w:ascii="Arial" w:cs="Arial" w:eastAsia="Arial" w:hAnsi="Arial"/>
          <w:sz w:val="20"/>
          <w:szCs w:val="20"/>
          <w:i w:val="1"/>
          <w:iCs w:val="1"/>
          <w:color w:val="2A2A2A"/>
        </w:rPr>
        <w:t>Account Balances; Investments</w:t>
      </w:r>
    </w:p>
    <w:p>
      <w:pPr>
        <w:spacing w:after="0" w:line="277" w:lineRule="exact"/>
        <w:rPr>
          <w:sz w:val="20"/>
          <w:szCs w:val="20"/>
          <w:color w:val="auto"/>
        </w:rPr>
      </w:pPr>
    </w:p>
    <w:p>
      <w:pPr>
        <w:jc w:val="both"/>
        <w:ind w:left="880" w:hanging="638"/>
        <w:spacing w:after="0" w:line="274" w:lineRule="auto"/>
        <w:tabs>
          <w:tab w:leader="none" w:pos="860" w:val="left"/>
        </w:tabs>
        <w:rPr>
          <w:sz w:val="20"/>
          <w:szCs w:val="20"/>
          <w:color w:val="auto"/>
        </w:rPr>
      </w:pPr>
      <w:r>
        <w:rPr>
          <w:rFonts w:ascii="Arial" w:cs="Arial" w:eastAsia="Arial" w:hAnsi="Arial"/>
          <w:sz w:val="19"/>
          <w:szCs w:val="19"/>
          <w:color w:val="2A2A2A"/>
        </w:rPr>
        <w:t>8.1</w:t>
      </w:r>
      <w:r>
        <w:rPr>
          <w:sz w:val="20"/>
          <w:szCs w:val="20"/>
          <w:color w:val="auto"/>
        </w:rPr>
        <w:tab/>
      </w:r>
      <w:r>
        <w:rPr>
          <w:rFonts w:ascii="Arial" w:cs="Arial" w:eastAsia="Arial" w:hAnsi="Arial"/>
          <w:sz w:val="19"/>
          <w:szCs w:val="19"/>
          <w:u w:val="single" w:color="auto"/>
          <w:color w:val="3F3F3F"/>
        </w:rPr>
        <w:t>Valuation</w:t>
      </w:r>
      <w:r>
        <w:rPr>
          <w:rFonts w:ascii="Arial" w:cs="Arial" w:eastAsia="Arial" w:hAnsi="Arial"/>
          <w:sz w:val="19"/>
          <w:szCs w:val="19"/>
          <w:color w:val="3F3F3F"/>
        </w:rPr>
        <w:t>.</w:t>
      </w:r>
      <w:r>
        <w:rPr>
          <w:rFonts w:ascii="Arial" w:cs="Arial" w:eastAsia="Arial" w:hAnsi="Arial"/>
          <w:sz w:val="19"/>
          <w:szCs w:val="19"/>
          <w:u w:val="single" w:color="auto"/>
          <w:color w:val="3F3F3F"/>
        </w:rPr>
        <w:t xml:space="preserve"> </w:t>
      </w:r>
      <w:r>
        <w:rPr>
          <w:rFonts w:ascii="Arial" w:cs="Arial" w:eastAsia="Arial" w:hAnsi="Arial"/>
          <w:sz w:val="19"/>
          <w:szCs w:val="19"/>
          <w:color w:val="2A2A2A"/>
        </w:rPr>
        <w:t>Deferrals shall be credited to appropriate Accounts on or about the date such Compensation would have been</w:t>
      </w:r>
      <w:r>
        <w:rPr>
          <w:rFonts w:ascii="Arial" w:cs="Arial" w:eastAsia="Arial" w:hAnsi="Arial"/>
          <w:sz w:val="19"/>
          <w:szCs w:val="19"/>
          <w:u w:val="single" w:color="auto"/>
          <w:color w:val="3F3F3F"/>
        </w:rPr>
        <w:t xml:space="preserve"> </w:t>
      </w:r>
      <w:r>
        <w:rPr>
          <w:rFonts w:ascii="Arial" w:cs="Arial" w:eastAsia="Arial" w:hAnsi="Arial"/>
          <w:sz w:val="19"/>
          <w:szCs w:val="19"/>
          <w:color w:val="2A2A2A"/>
        </w:rPr>
        <w:t>paid to the Participant absent the Compensation Deferral Agreement. Discretionary Contributions shall be credited at the time or times determined by the Committee in its sole discretion. Valuation of Accounts shall be performed under procedures approved by the Committee.</w:t>
      </w:r>
    </w:p>
    <w:p>
      <w:pPr>
        <w:spacing w:after="0" w:line="190" w:lineRule="exact"/>
        <w:rPr>
          <w:sz w:val="20"/>
          <w:szCs w:val="20"/>
          <w:color w:val="auto"/>
        </w:rPr>
      </w:pPr>
    </w:p>
    <w:p>
      <w:pPr>
        <w:jc w:val="both"/>
        <w:ind w:left="880" w:hanging="638"/>
        <w:spacing w:after="0" w:line="278" w:lineRule="auto"/>
        <w:tabs>
          <w:tab w:leader="none" w:pos="860" w:val="left"/>
        </w:tabs>
        <w:rPr>
          <w:sz w:val="20"/>
          <w:szCs w:val="20"/>
          <w:color w:val="auto"/>
        </w:rPr>
      </w:pPr>
      <w:r>
        <w:rPr>
          <w:rFonts w:ascii="Arial" w:cs="Arial" w:eastAsia="Arial" w:hAnsi="Arial"/>
          <w:sz w:val="19"/>
          <w:szCs w:val="19"/>
          <w:color w:val="2A2A2A"/>
        </w:rPr>
        <w:t>8.2</w:t>
      </w:r>
      <w:r>
        <w:rPr>
          <w:sz w:val="20"/>
          <w:szCs w:val="20"/>
          <w:color w:val="auto"/>
        </w:rPr>
        <w:tab/>
      </w:r>
      <w:r>
        <w:rPr>
          <w:rFonts w:ascii="Arial" w:cs="Arial" w:eastAsia="Arial" w:hAnsi="Arial"/>
          <w:sz w:val="19"/>
          <w:szCs w:val="19"/>
          <w:u w:val="single" w:color="auto"/>
          <w:color w:val="3F3F3F"/>
        </w:rPr>
        <w:t xml:space="preserve">Adjustment for </w:t>
      </w:r>
      <w:r>
        <w:rPr>
          <w:rFonts w:ascii="Arial" w:cs="Arial" w:eastAsia="Arial" w:hAnsi="Arial"/>
          <w:sz w:val="19"/>
          <w:szCs w:val="19"/>
          <w:u w:val="single" w:color="auto"/>
          <w:color w:val="525252"/>
        </w:rPr>
        <w:t>Earnings</w:t>
      </w:r>
      <w:r>
        <w:rPr>
          <w:rFonts w:ascii="Arial" w:cs="Arial" w:eastAsia="Arial" w:hAnsi="Arial"/>
          <w:sz w:val="19"/>
          <w:szCs w:val="19"/>
          <w:color w:val="2A2A2A"/>
        </w:rPr>
        <w:t>. Each Account will be adjusted to reflect Earnings on each Business Day. Adjustments shall</w:t>
      </w:r>
      <w:r>
        <w:rPr>
          <w:rFonts w:ascii="Arial" w:cs="Arial" w:eastAsia="Arial" w:hAnsi="Arial"/>
          <w:sz w:val="19"/>
          <w:szCs w:val="19"/>
          <w:u w:val="single" w:color="auto"/>
          <w:color w:val="3F3F3F"/>
        </w:rPr>
        <w:t xml:space="preserve"> </w:t>
      </w:r>
      <w:r>
        <w:rPr>
          <w:rFonts w:ascii="Arial" w:cs="Arial" w:eastAsia="Arial" w:hAnsi="Arial"/>
          <w:sz w:val="19"/>
          <w:szCs w:val="19"/>
          <w:color w:val="2A2A2A"/>
        </w:rPr>
        <w:t>reflect the net earnings, gains, losses, expenses, appreciation and depreciation associated with an investment option for each portion of the Account allocated to such option ("investment allocation").</w:t>
      </w:r>
    </w:p>
    <w:p>
      <w:pPr>
        <w:spacing w:after="0" w:line="186" w:lineRule="exact"/>
        <w:rPr>
          <w:sz w:val="20"/>
          <w:szCs w:val="20"/>
          <w:color w:val="auto"/>
        </w:rPr>
      </w:pPr>
    </w:p>
    <w:p>
      <w:pPr>
        <w:jc w:val="both"/>
        <w:ind w:left="860" w:hanging="620"/>
        <w:spacing w:after="0" w:line="271" w:lineRule="auto"/>
        <w:tabs>
          <w:tab w:leader="none" w:pos="840" w:val="left"/>
        </w:tabs>
        <w:rPr>
          <w:sz w:val="20"/>
          <w:szCs w:val="20"/>
          <w:color w:val="auto"/>
        </w:rPr>
      </w:pPr>
      <w:r>
        <w:rPr>
          <w:rFonts w:ascii="Arial" w:cs="Arial" w:eastAsia="Arial" w:hAnsi="Arial"/>
          <w:sz w:val="19"/>
          <w:szCs w:val="19"/>
          <w:color w:val="2A2A2A"/>
        </w:rPr>
        <w:t>8.3</w:t>
      </w:r>
      <w:r>
        <w:rPr>
          <w:sz w:val="20"/>
          <w:szCs w:val="20"/>
          <w:color w:val="auto"/>
        </w:rPr>
        <w:tab/>
      </w:r>
      <w:r>
        <w:rPr>
          <w:rFonts w:ascii="Arial" w:cs="Arial" w:eastAsia="Arial" w:hAnsi="Arial"/>
          <w:sz w:val="19"/>
          <w:szCs w:val="19"/>
          <w:u w:val="single" w:color="auto"/>
          <w:color w:val="3F3F3F"/>
        </w:rPr>
        <w:t>Investment Options</w:t>
      </w:r>
      <w:r>
        <w:rPr>
          <w:rFonts w:ascii="Arial" w:cs="Arial" w:eastAsia="Arial" w:hAnsi="Arial"/>
          <w:sz w:val="19"/>
          <w:szCs w:val="19"/>
          <w:color w:val="3F3F3F"/>
        </w:rPr>
        <w:t>.</w:t>
      </w:r>
      <w:r>
        <w:rPr>
          <w:rFonts w:ascii="Arial" w:cs="Arial" w:eastAsia="Arial" w:hAnsi="Arial"/>
          <w:sz w:val="19"/>
          <w:szCs w:val="19"/>
          <w:u w:val="single" w:color="auto"/>
          <w:color w:val="3F3F3F"/>
        </w:rPr>
        <w:t xml:space="preserve"> </w:t>
      </w:r>
      <w:r>
        <w:rPr>
          <w:rFonts w:ascii="Arial" w:cs="Arial" w:eastAsia="Arial" w:hAnsi="Arial"/>
          <w:sz w:val="19"/>
          <w:szCs w:val="19"/>
          <w:color w:val="2A2A2A"/>
        </w:rPr>
        <w:t>Investment options will be determined by the Committee. The Committee, in its sole discretion, shall</w:t>
      </w:r>
      <w:r>
        <w:rPr>
          <w:rFonts w:ascii="Arial" w:cs="Arial" w:eastAsia="Arial" w:hAnsi="Arial"/>
          <w:sz w:val="19"/>
          <w:szCs w:val="19"/>
          <w:u w:val="single" w:color="auto"/>
          <w:color w:val="3F3F3F"/>
        </w:rPr>
        <w:t xml:space="preserve"> </w:t>
      </w:r>
      <w:r>
        <w:rPr>
          <w:rFonts w:ascii="Arial" w:cs="Arial" w:eastAsia="Arial" w:hAnsi="Arial"/>
          <w:sz w:val="19"/>
          <w:szCs w:val="19"/>
          <w:color w:val="2A2A2A"/>
        </w:rPr>
        <w:t>be permitted to add, remove or substitute investment options from the Plan from time to time; provided however, any decision to add, remove or substitute an investment option shall be made in good faith, and there shall at all times be a minimum of eight investment options of materially different risk and return characteristics. Any additions, removals or substitutions of investment options shall not be effective with respect to any period prior to the effective date of such change.</w:t>
      </w:r>
    </w:p>
    <w:p>
      <w:pPr>
        <w:sectPr>
          <w:pgSz w:w="11900" w:h="16838" w:orient="portrait"/>
          <w:cols w:equalWidth="0" w:num="1">
            <w:col w:w="10120"/>
          </w:cols>
          <w:pgMar w:left="1440" w:top="131" w:right="339" w:bottom="0" w:gutter="0" w:footer="0" w:header="0"/>
        </w:sectPr>
      </w:pPr>
    </w:p>
    <w:bookmarkStart w:id="63" w:name="page64"/>
    <w:bookmarkEnd w:id="63"/>
    <w:p>
      <w:pPr>
        <w:spacing w:after="0" w:line="56" w:lineRule="exact"/>
        <w:rPr>
          <w:sz w:val="20"/>
          <w:szCs w:val="20"/>
          <w:color w:val="auto"/>
        </w:rPr>
      </w:pPr>
    </w:p>
    <w:p>
      <w:pPr>
        <w:jc w:val="both"/>
        <w:ind w:left="840" w:hanging="633"/>
        <w:spacing w:after="0" w:line="289" w:lineRule="auto"/>
        <w:tabs>
          <w:tab w:leader="none" w:pos="820" w:val="left"/>
        </w:tabs>
        <w:rPr>
          <w:sz w:val="20"/>
          <w:szCs w:val="20"/>
          <w:color w:val="auto"/>
        </w:rPr>
      </w:pPr>
      <w:r>
        <w:rPr>
          <w:rFonts w:ascii="Arial" w:cs="Arial" w:eastAsia="Arial" w:hAnsi="Arial"/>
          <w:sz w:val="19"/>
          <w:szCs w:val="19"/>
          <w:color w:val="2A2A2A"/>
        </w:rPr>
        <w:t>8.4</w:t>
      </w:r>
      <w:r>
        <w:rPr>
          <w:sz w:val="20"/>
          <w:szCs w:val="20"/>
          <w:color w:val="auto"/>
        </w:rPr>
        <w:tab/>
      </w:r>
      <w:r>
        <w:rPr>
          <w:rFonts w:ascii="Arial" w:cs="Arial" w:eastAsia="Arial" w:hAnsi="Arial"/>
          <w:sz w:val="18"/>
          <w:szCs w:val="18"/>
          <w:u w:val="single" w:color="auto"/>
          <w:color w:val="3F3F3F"/>
        </w:rPr>
        <w:t>Investment Allocations</w:t>
      </w:r>
      <w:r>
        <w:rPr>
          <w:rFonts w:ascii="Arial" w:cs="Arial" w:eastAsia="Arial" w:hAnsi="Arial"/>
          <w:sz w:val="18"/>
          <w:szCs w:val="18"/>
          <w:color w:val="3F3F3F"/>
        </w:rPr>
        <w:t>.</w:t>
      </w:r>
      <w:r>
        <w:rPr>
          <w:rFonts w:ascii="Arial" w:cs="Arial" w:eastAsia="Arial" w:hAnsi="Arial"/>
          <w:sz w:val="18"/>
          <w:szCs w:val="18"/>
          <w:u w:val="single" w:color="auto"/>
          <w:color w:val="3F3F3F"/>
        </w:rPr>
        <w:t xml:space="preserve"> </w:t>
      </w:r>
      <w:r>
        <w:rPr>
          <w:rFonts w:ascii="Arial" w:cs="Arial" w:eastAsia="Arial" w:hAnsi="Arial"/>
          <w:sz w:val="18"/>
          <w:szCs w:val="18"/>
          <w:color w:val="2A2A2A"/>
        </w:rPr>
        <w:t>Notwithstanding anything else in this Plan to the contrary, a Participant's investment allocation</w:t>
      </w:r>
      <w:r>
        <w:rPr>
          <w:rFonts w:ascii="Arial" w:cs="Arial" w:eastAsia="Arial" w:hAnsi="Arial"/>
          <w:sz w:val="18"/>
          <w:szCs w:val="18"/>
          <w:u w:val="single" w:color="auto"/>
          <w:color w:val="3F3F3F"/>
        </w:rPr>
        <w:t xml:space="preserve"> </w:t>
      </w:r>
      <w:r>
        <w:rPr>
          <w:rFonts w:ascii="Arial" w:cs="Arial" w:eastAsia="Arial" w:hAnsi="Arial"/>
          <w:sz w:val="18"/>
          <w:szCs w:val="18"/>
          <w:color w:val="2A2A2A"/>
        </w:rPr>
        <w:t>constitutes a deemed, not actual, investment among the investment options comprising the investment menu. At no time shall a Participant have any real or beneficial ownership in any investment option included in the investment menu, nor shall the Participating Employer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spacing w:after="0" w:line="192" w:lineRule="exact"/>
        <w:rPr>
          <w:sz w:val="20"/>
          <w:szCs w:val="20"/>
          <w:color w:val="auto"/>
        </w:rPr>
      </w:pPr>
    </w:p>
    <w:p>
      <w:pPr>
        <w:jc w:val="both"/>
        <w:ind w:left="840"/>
        <w:spacing w:after="0" w:line="289" w:lineRule="auto"/>
        <w:rPr>
          <w:sz w:val="20"/>
          <w:szCs w:val="20"/>
          <w:color w:val="auto"/>
        </w:rPr>
      </w:pPr>
      <w:r>
        <w:rPr>
          <w:rFonts w:ascii="Arial" w:cs="Arial" w:eastAsia="Arial" w:hAnsi="Arial"/>
          <w:sz w:val="19"/>
          <w:szCs w:val="19"/>
          <w:color w:val="2A2A2A"/>
        </w:rPr>
        <w:t>A Participant shall specify an investment allocation for each of his or her Accounts in accordance with procedures established by the Committee. Allocation among the investment options must be designated in increments of 1%. The Participant's investment allocation will become effective on the same Business Day or, in the case of investment allocations received after a time specified by the Committee, the next Business Day.</w:t>
      </w:r>
    </w:p>
    <w:p>
      <w:pPr>
        <w:spacing w:after="0" w:line="217" w:lineRule="exact"/>
        <w:rPr>
          <w:sz w:val="20"/>
          <w:szCs w:val="20"/>
          <w:color w:val="auto"/>
        </w:rPr>
      </w:pPr>
    </w:p>
    <w:p>
      <w:pPr>
        <w:jc w:val="both"/>
        <w:ind w:left="840"/>
        <w:spacing w:after="0" w:line="294" w:lineRule="auto"/>
        <w:rPr>
          <w:sz w:val="20"/>
          <w:szCs w:val="20"/>
          <w:color w:val="auto"/>
        </w:rPr>
      </w:pPr>
      <w:r>
        <w:rPr>
          <w:rFonts w:ascii="Arial" w:cs="Arial" w:eastAsia="Arial" w:hAnsi="Arial"/>
          <w:sz w:val="18"/>
          <w:szCs w:val="18"/>
          <w:color w:val="2A2A2A"/>
        </w:rPr>
        <w:t>A Participant may change an investment allocation on any Business Day, both with respect to future credits to the Plan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spacing w:after="0" w:line="268" w:lineRule="exact"/>
        <w:rPr>
          <w:sz w:val="20"/>
          <w:szCs w:val="20"/>
          <w:color w:val="auto"/>
        </w:rPr>
      </w:pPr>
    </w:p>
    <w:p>
      <w:pPr>
        <w:jc w:val="both"/>
        <w:ind w:left="920" w:hanging="620"/>
        <w:spacing w:after="0" w:line="278" w:lineRule="auto"/>
        <w:tabs>
          <w:tab w:leader="none" w:pos="900" w:val="left"/>
        </w:tabs>
        <w:rPr>
          <w:sz w:val="20"/>
          <w:szCs w:val="20"/>
          <w:color w:val="auto"/>
        </w:rPr>
      </w:pPr>
      <w:r>
        <w:rPr>
          <w:rFonts w:ascii="Arial" w:cs="Arial" w:eastAsia="Arial" w:hAnsi="Arial"/>
          <w:sz w:val="19"/>
          <w:szCs w:val="19"/>
          <w:color w:val="2A2A2A"/>
        </w:rPr>
        <w:t>8.5</w:t>
      </w:r>
      <w:r>
        <w:rPr>
          <w:sz w:val="20"/>
          <w:szCs w:val="20"/>
          <w:color w:val="auto"/>
        </w:rPr>
        <w:tab/>
      </w:r>
      <w:r>
        <w:rPr>
          <w:rFonts w:ascii="Arial" w:cs="Arial" w:eastAsia="Arial" w:hAnsi="Arial"/>
          <w:sz w:val="19"/>
          <w:szCs w:val="19"/>
          <w:u w:val="single" w:color="auto"/>
          <w:color w:val="2A2A2A"/>
        </w:rPr>
        <w:t>Unallocated Deferrals and Accounts</w:t>
      </w:r>
      <w:r>
        <w:rPr>
          <w:rFonts w:ascii="Arial" w:cs="Arial" w:eastAsia="Arial" w:hAnsi="Arial"/>
          <w:sz w:val="19"/>
          <w:szCs w:val="19"/>
          <w:color w:val="2A2A2A"/>
        </w:rPr>
        <w:t>.</w:t>
      </w:r>
      <w:r>
        <w:rPr>
          <w:rFonts w:ascii="Arial" w:cs="Arial" w:eastAsia="Arial" w:hAnsi="Arial"/>
          <w:sz w:val="19"/>
          <w:szCs w:val="19"/>
          <w:u w:val="single" w:color="auto"/>
          <w:color w:val="2A2A2A"/>
        </w:rPr>
        <w:t xml:space="preserve"> </w:t>
      </w:r>
      <w:r>
        <w:rPr>
          <w:rFonts w:ascii="Arial" w:cs="Arial" w:eastAsia="Arial" w:hAnsi="Arial"/>
          <w:sz w:val="17"/>
          <w:szCs w:val="17"/>
          <w:color w:val="2A2A2A"/>
        </w:rPr>
        <w:t>If</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the Participant fails to make an investment allocation with respect to an Account,</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such Account shall be invested in an investment option, the primary objective of which is the preservation of capital, as determined by the Committee in its reasonable discretion.</w:t>
      </w:r>
    </w:p>
    <w:p>
      <w:pPr>
        <w:spacing w:after="0" w:line="199" w:lineRule="exact"/>
        <w:rPr>
          <w:sz w:val="20"/>
          <w:szCs w:val="20"/>
          <w:color w:val="auto"/>
        </w:rPr>
      </w:pPr>
    </w:p>
    <w:p>
      <w:pPr>
        <w:jc w:val="both"/>
        <w:ind w:left="900" w:hanging="633"/>
        <w:spacing w:after="0" w:line="329" w:lineRule="auto"/>
        <w:tabs>
          <w:tab w:leader="none" w:pos="880" w:val="left"/>
        </w:tabs>
        <w:rPr>
          <w:sz w:val="20"/>
          <w:szCs w:val="20"/>
          <w:color w:val="auto"/>
        </w:rPr>
      </w:pPr>
      <w:r>
        <w:rPr>
          <w:rFonts w:ascii="Arial" w:cs="Arial" w:eastAsia="Arial" w:hAnsi="Arial"/>
          <w:sz w:val="19"/>
          <w:szCs w:val="19"/>
          <w:color w:val="2A2A2A"/>
        </w:rPr>
        <w:t>8.6</w:t>
      </w:r>
      <w:r>
        <w:rPr>
          <w:sz w:val="20"/>
          <w:szCs w:val="20"/>
          <w:color w:val="auto"/>
        </w:rPr>
        <w:tab/>
      </w:r>
      <w:r>
        <w:rPr>
          <w:rFonts w:ascii="Arial" w:cs="Arial" w:eastAsia="Arial" w:hAnsi="Arial"/>
          <w:sz w:val="17"/>
          <w:szCs w:val="17"/>
          <w:u w:val="single" w:color="auto"/>
          <w:color w:val="2A2A2A"/>
        </w:rPr>
        <w:t>Performance Fund f.k.a. the NPL Growth Rate Fund and Limits on Amount Credited to Performance Fund</w:t>
      </w:r>
      <w:r>
        <w:rPr>
          <w:rFonts w:ascii="Arial" w:cs="Arial" w:eastAsia="Arial" w:hAnsi="Arial"/>
          <w:sz w:val="17"/>
          <w:szCs w:val="17"/>
          <w:color w:val="2A2A2A"/>
        </w:rPr>
        <w:t>. Unless</w:t>
      </w:r>
      <w:r>
        <w:rPr>
          <w:rFonts w:ascii="Arial" w:cs="Arial" w:eastAsia="Arial" w:hAnsi="Arial"/>
          <w:sz w:val="17"/>
          <w:szCs w:val="17"/>
          <w:u w:val="single" w:color="auto"/>
          <w:color w:val="2A2A2A"/>
        </w:rPr>
        <w:t xml:space="preserve"> </w:t>
      </w:r>
      <w:r>
        <w:rPr>
          <w:rFonts w:ascii="Arial" w:cs="Arial" w:eastAsia="Arial" w:hAnsi="Arial"/>
          <w:sz w:val="17"/>
          <w:szCs w:val="17"/>
          <w:color w:val="2A2A2A"/>
        </w:rPr>
        <w:t xml:space="preserve">indicated otherwise herein, the Performance Fund investment option shall only be made available in certain years and to certain Participants, in the sole and absolute discretion of the Company. The returns of the Performance Fund shall be based on the Company Growth Rate, which shall be credited to the applicable Accounts on or around each December 31st. </w:t>
      </w:r>
      <w:r>
        <w:rPr>
          <w:rFonts w:ascii="Arial" w:cs="Arial" w:eastAsia="Arial" w:hAnsi="Arial"/>
          <w:sz w:val="16"/>
          <w:szCs w:val="16"/>
          <w:color w:val="2A2A2A"/>
        </w:rPr>
        <w:t>The Company Growth Rate shall be determined by the Company in good faith, and consistent with the following:</w:t>
      </w:r>
    </w:p>
    <w:p>
      <w:pPr>
        <w:spacing w:after="0" w:line="151" w:lineRule="exact"/>
        <w:rPr>
          <w:sz w:val="20"/>
          <w:szCs w:val="20"/>
          <w:color w:val="auto"/>
        </w:rPr>
      </w:pPr>
    </w:p>
    <w:p>
      <w:pPr>
        <w:ind w:left="1540" w:hanging="384"/>
        <w:spacing w:after="0" w:line="314" w:lineRule="auto"/>
        <w:tabs>
          <w:tab w:leader="none" w:pos="1540" w:val="left"/>
        </w:tabs>
        <w:numPr>
          <w:ilvl w:val="1"/>
          <w:numId w:val="32"/>
        </w:numPr>
        <w:rPr>
          <w:rFonts w:ascii="Arial" w:cs="Arial" w:eastAsia="Arial" w:hAnsi="Arial"/>
          <w:sz w:val="19"/>
          <w:szCs w:val="19"/>
          <w:color w:val="2A2A2A"/>
        </w:rPr>
      </w:pPr>
      <w:r>
        <w:rPr>
          <w:rFonts w:ascii="Arial" w:cs="Arial" w:eastAsia="Arial" w:hAnsi="Arial"/>
          <w:sz w:val="19"/>
          <w:szCs w:val="19"/>
          <w:color w:val="2A2A2A"/>
        </w:rPr>
        <w:t>For the Plan Year ending on December 31, 2013, the Company Growth Rate shall be the December 2012 average Moody's Corporate Bond Index rate.</w:t>
      </w:r>
    </w:p>
    <w:p>
      <w:pPr>
        <w:spacing w:after="0" w:line="143" w:lineRule="exact"/>
        <w:rPr>
          <w:rFonts w:ascii="Arial" w:cs="Arial" w:eastAsia="Arial" w:hAnsi="Arial"/>
          <w:sz w:val="19"/>
          <w:szCs w:val="19"/>
          <w:color w:val="2A2A2A"/>
        </w:rPr>
      </w:pPr>
    </w:p>
    <w:p>
      <w:pPr>
        <w:ind w:left="1540" w:hanging="411"/>
        <w:spacing w:after="0" w:line="304" w:lineRule="auto"/>
        <w:tabs>
          <w:tab w:leader="none" w:pos="1540" w:val="left"/>
        </w:tabs>
        <w:numPr>
          <w:ilvl w:val="1"/>
          <w:numId w:val="32"/>
        </w:numPr>
        <w:rPr>
          <w:rFonts w:ascii="Arial" w:cs="Arial" w:eastAsia="Arial" w:hAnsi="Arial"/>
          <w:sz w:val="20"/>
          <w:szCs w:val="20"/>
          <w:color w:val="2A2A2A"/>
        </w:rPr>
      </w:pPr>
      <w:r>
        <w:rPr>
          <w:rFonts w:ascii="Arial" w:cs="Arial" w:eastAsia="Arial" w:hAnsi="Arial"/>
          <w:sz w:val="19"/>
          <w:szCs w:val="19"/>
          <w:color w:val="2A2A2A"/>
        </w:rPr>
        <w:t>For the Plan Year ending on December 31, 2014, the Company Growth Rate will be the two-year average of NPL Construction Co.'s EBITDA growth rate, determined as of September 30, 2014.</w:t>
      </w:r>
    </w:p>
    <w:p>
      <w:pPr>
        <w:spacing w:after="0" w:line="160" w:lineRule="exact"/>
        <w:rPr>
          <w:rFonts w:ascii="Arial" w:cs="Arial" w:eastAsia="Arial" w:hAnsi="Arial"/>
          <w:sz w:val="20"/>
          <w:szCs w:val="20"/>
          <w:color w:val="2A2A2A"/>
        </w:rPr>
      </w:pPr>
    </w:p>
    <w:p>
      <w:pPr>
        <w:jc w:val="both"/>
        <w:ind w:left="1560" w:hanging="404"/>
        <w:spacing w:after="0" w:line="288" w:lineRule="auto"/>
        <w:tabs>
          <w:tab w:leader="none" w:pos="1542" w:val="left"/>
        </w:tabs>
        <w:numPr>
          <w:ilvl w:val="1"/>
          <w:numId w:val="32"/>
        </w:numPr>
        <w:rPr>
          <w:rFonts w:ascii="Arial" w:cs="Arial" w:eastAsia="Arial" w:hAnsi="Arial"/>
          <w:sz w:val="20"/>
          <w:szCs w:val="20"/>
          <w:color w:val="2A2A2A"/>
        </w:rPr>
      </w:pPr>
      <w:r>
        <w:rPr>
          <w:rFonts w:ascii="Arial" w:cs="Arial" w:eastAsia="Arial" w:hAnsi="Arial"/>
          <w:sz w:val="19"/>
          <w:szCs w:val="19"/>
          <w:color w:val="2A2A2A"/>
        </w:rPr>
        <w:t>For the Plan Year ending on December 31, 2015, and each subsequent Plan Year ending before January 1, 2019, the Company Growth Rate for such year will be the three-year average of the Company's period to period EBITDA growth rate for each of the three preceding twelve-month periods ending as of the previous September 30.</w:t>
      </w:r>
    </w:p>
    <w:p>
      <w:pPr>
        <w:spacing w:after="0" w:line="179" w:lineRule="exact"/>
        <w:rPr>
          <w:rFonts w:ascii="Arial" w:cs="Arial" w:eastAsia="Arial" w:hAnsi="Arial"/>
          <w:sz w:val="20"/>
          <w:szCs w:val="20"/>
          <w:color w:val="2A2A2A"/>
        </w:rPr>
      </w:pPr>
    </w:p>
    <w:p>
      <w:pPr>
        <w:ind w:left="1540" w:hanging="411"/>
        <w:spacing w:after="0" w:line="314" w:lineRule="auto"/>
        <w:tabs>
          <w:tab w:leader="none" w:pos="1540" w:val="left"/>
        </w:tabs>
        <w:numPr>
          <w:ilvl w:val="0"/>
          <w:numId w:val="33"/>
        </w:numPr>
        <w:rPr>
          <w:rFonts w:ascii="Arial" w:cs="Arial" w:eastAsia="Arial" w:hAnsi="Arial"/>
          <w:sz w:val="19"/>
          <w:szCs w:val="19"/>
          <w:color w:val="2A2A2A"/>
        </w:rPr>
      </w:pPr>
      <w:r>
        <w:rPr>
          <w:rFonts w:ascii="Arial" w:cs="Arial" w:eastAsia="Arial" w:hAnsi="Arial"/>
          <w:sz w:val="19"/>
          <w:szCs w:val="19"/>
          <w:color w:val="2A2A2A"/>
        </w:rPr>
        <w:t>For the Plan Year ending on December 31, 2019, and each subsequent Plan Year, the Company Growth Rate for such year will be determined using the following Company enterprise value formula:</w:t>
      </w:r>
    </w:p>
    <w:p>
      <w:pPr>
        <w:spacing w:after="0" w:line="72" w:lineRule="exact"/>
        <w:rPr>
          <w:sz w:val="20"/>
          <w:szCs w:val="20"/>
          <w:color w:val="auto"/>
        </w:rPr>
      </w:pPr>
    </w:p>
    <w:p>
      <w:pPr>
        <w:ind w:left="2140" w:firstLine="14"/>
        <w:spacing w:after="0" w:line="396" w:lineRule="auto"/>
        <w:rPr>
          <w:sz w:val="20"/>
          <w:szCs w:val="20"/>
          <w:color w:val="auto"/>
        </w:rPr>
      </w:pPr>
      <w:r>
        <w:rPr>
          <w:rFonts w:ascii="Arial" w:cs="Arial" w:eastAsia="Arial" w:hAnsi="Arial"/>
          <w:sz w:val="19"/>
          <w:szCs w:val="19"/>
          <w:color w:val="2A2A2A"/>
        </w:rPr>
        <w:t xml:space="preserve">(EBITDA x multiplier) - Net Debt </w:t>
      </w:r>
      <w:r>
        <w:rPr>
          <w:rFonts w:ascii="Arial" w:cs="Arial" w:eastAsia="Arial" w:hAnsi="Arial"/>
          <w:sz w:val="26"/>
          <w:szCs w:val="26"/>
          <w:color w:val="2A2A2A"/>
        </w:rPr>
        <w:t>=</w:t>
      </w:r>
      <w:r>
        <w:rPr>
          <w:rFonts w:ascii="Arial" w:cs="Arial" w:eastAsia="Arial" w:hAnsi="Arial"/>
          <w:sz w:val="19"/>
          <w:szCs w:val="19"/>
          <w:color w:val="2A2A2A"/>
        </w:rPr>
        <w:t xml:space="preserve"> Rate of Return (subject to a floor minimum return of a negative five percent (-5%) and a maximum return ceiling of a positive fifteen percent (15%)).</w:t>
      </w:r>
    </w:p>
    <w:p>
      <w:pPr>
        <w:spacing w:after="0" w:line="90" w:lineRule="exact"/>
        <w:rPr>
          <w:sz w:val="20"/>
          <w:szCs w:val="20"/>
          <w:color w:val="auto"/>
        </w:rPr>
      </w:pPr>
    </w:p>
    <w:p>
      <w:pPr>
        <w:ind w:left="1500" w:right="380"/>
        <w:spacing w:after="0" w:line="335" w:lineRule="auto"/>
        <w:rPr>
          <w:sz w:val="20"/>
          <w:szCs w:val="20"/>
          <w:color w:val="auto"/>
        </w:rPr>
      </w:pPr>
      <w:r>
        <w:rPr>
          <w:rFonts w:ascii="Arial" w:cs="Arial" w:eastAsia="Arial" w:hAnsi="Arial"/>
          <w:sz w:val="19"/>
          <w:szCs w:val="19"/>
          <w:color w:val="2A2A2A"/>
        </w:rPr>
        <w:t>The Board of Directors shall in its discretion determine the EBITDA, multiplier, and Net Debt numbers to be utilized in determining the Company Growth Rate for a Plan Year.</w:t>
      </w:r>
    </w:p>
    <w:p>
      <w:pPr>
        <w:spacing w:after="0" w:line="111" w:lineRule="exact"/>
        <w:rPr>
          <w:sz w:val="20"/>
          <w:szCs w:val="20"/>
          <w:color w:val="auto"/>
        </w:rPr>
      </w:pPr>
    </w:p>
    <w:p>
      <w:pPr>
        <w:jc w:val="both"/>
        <w:ind w:left="1500" w:hanging="385"/>
        <w:spacing w:after="0" w:line="299" w:lineRule="auto"/>
        <w:tabs>
          <w:tab w:leader="none" w:pos="1500" w:val="left"/>
        </w:tabs>
        <w:numPr>
          <w:ilvl w:val="0"/>
          <w:numId w:val="34"/>
        </w:numPr>
        <w:rPr>
          <w:rFonts w:ascii="Arial" w:cs="Arial" w:eastAsia="Arial" w:hAnsi="Arial"/>
          <w:sz w:val="19"/>
          <w:szCs w:val="19"/>
          <w:color w:val="2A2A2A"/>
        </w:rPr>
      </w:pPr>
      <w:r>
        <w:rPr>
          <w:rFonts w:ascii="Arial" w:cs="Arial" w:eastAsia="Arial" w:hAnsi="Arial"/>
          <w:sz w:val="19"/>
          <w:szCs w:val="19"/>
          <w:color w:val="2A2A2A"/>
        </w:rPr>
        <w:t>Notwithstanding anything else in this Plan to the contrary, for Plan Years starting on or after January 1, 2014, the maximum Company Growth Rate loss shall be -5% (i.e., negative five percent), and the maximum Company Growth Rate gain shall be 15% (i.e., positive fifteen percent).</w:t>
      </w:r>
    </w:p>
    <w:p>
      <w:pPr>
        <w:spacing w:after="0" w:line="169" w:lineRule="exact"/>
        <w:rPr>
          <w:sz w:val="20"/>
          <w:szCs w:val="20"/>
          <w:color w:val="auto"/>
        </w:rPr>
      </w:pPr>
    </w:p>
    <w:p>
      <w:pPr>
        <w:ind w:left="1080" w:right="200" w:hanging="26"/>
        <w:spacing w:after="0" w:line="286" w:lineRule="auto"/>
        <w:rPr>
          <w:sz w:val="20"/>
          <w:szCs w:val="20"/>
          <w:color w:val="auto"/>
        </w:rPr>
      </w:pPr>
      <w:r>
        <w:rPr>
          <w:rFonts w:ascii="Arial" w:cs="Arial" w:eastAsia="Arial" w:hAnsi="Arial"/>
          <w:sz w:val="20"/>
          <w:szCs w:val="20"/>
          <w:i w:val="1"/>
          <w:iCs w:val="1"/>
          <w:color w:val="2A2A2A"/>
        </w:rPr>
        <w:t xml:space="preserve">Allocations to the Performance Fund. </w:t>
      </w:r>
      <w:r>
        <w:rPr>
          <w:rFonts w:ascii="Arial" w:cs="Arial" w:eastAsia="Arial" w:hAnsi="Arial"/>
          <w:sz w:val="18"/>
          <w:szCs w:val="18"/>
          <w:color w:val="2A2A2A"/>
        </w:rPr>
        <w:t>The Company, in its sole and absolute discretion, may permit a Participant to</w:t>
      </w:r>
      <w:r>
        <w:rPr>
          <w:rFonts w:ascii="Arial" w:cs="Arial" w:eastAsia="Arial" w:hAnsi="Arial"/>
          <w:sz w:val="20"/>
          <w:szCs w:val="20"/>
          <w:i w:val="1"/>
          <w:iCs w:val="1"/>
          <w:color w:val="2A2A2A"/>
        </w:rPr>
        <w:t xml:space="preserve"> </w:t>
      </w:r>
      <w:r>
        <w:rPr>
          <w:rFonts w:ascii="Arial" w:cs="Arial" w:eastAsia="Arial" w:hAnsi="Arial"/>
          <w:sz w:val="18"/>
          <w:szCs w:val="18"/>
          <w:color w:val="2A2A2A"/>
        </w:rPr>
        <w:t>allocate an existing Account to the Performance Fund as follows:</w:t>
      </w:r>
    </w:p>
    <w:p>
      <w:pPr>
        <w:spacing w:after="0" w:line="202" w:lineRule="exact"/>
        <w:rPr>
          <w:sz w:val="20"/>
          <w:szCs w:val="20"/>
          <w:color w:val="auto"/>
        </w:rPr>
      </w:pPr>
    </w:p>
    <w:p>
      <w:pPr>
        <w:ind w:left="1480" w:hanging="324"/>
        <w:spacing w:after="0" w:line="308" w:lineRule="auto"/>
        <w:tabs>
          <w:tab w:leader="none" w:pos="1415" w:val="left"/>
        </w:tabs>
        <w:numPr>
          <w:ilvl w:val="0"/>
          <w:numId w:val="35"/>
        </w:numPr>
        <w:rPr>
          <w:rFonts w:ascii="Arial" w:cs="Arial" w:eastAsia="Arial" w:hAnsi="Arial"/>
          <w:sz w:val="19"/>
          <w:szCs w:val="19"/>
          <w:color w:val="2A2A2A"/>
        </w:rPr>
      </w:pPr>
      <w:r>
        <w:rPr>
          <w:rFonts w:ascii="Arial" w:cs="Arial" w:eastAsia="Arial" w:hAnsi="Arial"/>
          <w:sz w:val="19"/>
          <w:szCs w:val="19"/>
          <w:color w:val="2A2A2A"/>
        </w:rPr>
        <w:t>A Participant may make a one-time allocation of the balance of any or all Separation from Service Accounts to the Performance Fund, provided such transfer is completed no later than March 13, 2013.</w:t>
      </w:r>
    </w:p>
    <w:p>
      <w:pPr>
        <w:spacing w:after="0" w:line="249" w:lineRule="exact"/>
        <w:rPr>
          <w:sz w:val="20"/>
          <w:szCs w:val="20"/>
          <w:color w:val="auto"/>
        </w:rPr>
      </w:pPr>
    </w:p>
    <w:p>
      <w:pPr>
        <w:ind w:left="1540" w:hanging="398"/>
        <w:spacing w:after="0" w:line="293" w:lineRule="auto"/>
        <w:tabs>
          <w:tab w:leader="none" w:pos="1428" w:val="left"/>
        </w:tabs>
        <w:numPr>
          <w:ilvl w:val="0"/>
          <w:numId w:val="36"/>
        </w:numPr>
        <w:rPr>
          <w:rFonts w:ascii="Arial" w:cs="Arial" w:eastAsia="Arial" w:hAnsi="Arial"/>
          <w:sz w:val="21"/>
          <w:szCs w:val="21"/>
          <w:color w:val="2A2A2A"/>
        </w:rPr>
      </w:pPr>
      <w:r>
        <w:rPr>
          <w:rFonts w:ascii="Arial" w:cs="Arial" w:eastAsia="Arial" w:hAnsi="Arial"/>
          <w:sz w:val="19"/>
          <w:szCs w:val="19"/>
          <w:color w:val="2A2A2A"/>
        </w:rPr>
        <w:t>Mandatory and discretionary deferrals of Compensation earned in 2013 and subsequent years before 2020 will be allocated to the Performance Fund under the terms of the LTCIP pursuant to the rules of the LTCIP that existed in each such year.</w:t>
      </w:r>
    </w:p>
    <w:p>
      <w:pPr>
        <w:spacing w:after="0" w:line="190" w:lineRule="exact"/>
        <w:rPr>
          <w:sz w:val="20"/>
          <w:szCs w:val="20"/>
          <w:color w:val="auto"/>
        </w:rPr>
      </w:pPr>
    </w:p>
    <w:p>
      <w:pPr>
        <w:ind w:left="860"/>
        <w:spacing w:after="0" w:line="348" w:lineRule="auto"/>
        <w:rPr>
          <w:sz w:val="20"/>
          <w:szCs w:val="20"/>
          <w:color w:val="auto"/>
        </w:rPr>
      </w:pPr>
      <w:r>
        <w:rPr>
          <w:rFonts w:ascii="Arial" w:cs="Arial" w:eastAsia="Arial" w:hAnsi="Arial"/>
          <w:sz w:val="18"/>
          <w:szCs w:val="18"/>
          <w:i w:val="1"/>
          <w:iCs w:val="1"/>
          <w:color w:val="2A2A2A"/>
        </w:rPr>
        <w:t xml:space="preserve">Allocations from the Performance Fund. </w:t>
      </w:r>
      <w:r>
        <w:rPr>
          <w:rFonts w:ascii="Arial" w:cs="Arial" w:eastAsia="Arial" w:hAnsi="Arial"/>
          <w:sz w:val="16"/>
          <w:szCs w:val="16"/>
          <w:color w:val="2A2A2A"/>
        </w:rPr>
        <w:t>If the Participant's allocation to the Performance Fund as of January 1 of a Plan</w:t>
      </w:r>
      <w:r>
        <w:rPr>
          <w:rFonts w:ascii="Arial" w:cs="Arial" w:eastAsia="Arial" w:hAnsi="Arial"/>
          <w:sz w:val="18"/>
          <w:szCs w:val="18"/>
          <w:i w:val="1"/>
          <w:iCs w:val="1"/>
          <w:color w:val="2A2A2A"/>
        </w:rPr>
        <w:t xml:space="preserve"> </w:t>
      </w:r>
      <w:r>
        <w:rPr>
          <w:rFonts w:ascii="Arial" w:cs="Arial" w:eastAsia="Arial" w:hAnsi="Arial"/>
          <w:sz w:val="16"/>
          <w:szCs w:val="16"/>
          <w:color w:val="2A2A2A"/>
        </w:rPr>
        <w:t>Year (after Company Growth Rate credits/ debits are applied on or around December 31 for the immediately preceding Plan Year) exceeds a multiple of the Participant's salary as determined by the Company in its sole and absolute discretion and as communicated to the Participant, the excess amount will be initially transferred from the Performance Fund to the</w:t>
      </w:r>
    </w:p>
    <w:p>
      <w:pPr>
        <w:sectPr>
          <w:pgSz w:w="11900" w:h="16895" w:orient="portrait"/>
          <w:cols w:equalWidth="0" w:num="1">
            <w:col w:w="10120"/>
          </w:cols>
          <w:pgMar w:left="1440" w:top="347" w:right="339" w:bottom="0" w:gutter="0" w:footer="0" w:header="0"/>
        </w:sectPr>
      </w:pPr>
    </w:p>
    <w:bookmarkStart w:id="64" w:name="page65"/>
    <w:bookmarkEnd w:id="64"/>
    <w:p>
      <w:pPr>
        <w:ind w:left="860" w:right="360"/>
        <w:spacing w:after="0" w:line="287" w:lineRule="auto"/>
        <w:rPr>
          <w:sz w:val="20"/>
          <w:szCs w:val="20"/>
          <w:color w:val="auto"/>
        </w:rPr>
      </w:pPr>
      <w:r>
        <w:rPr>
          <w:rFonts w:ascii="Arial" w:cs="Arial" w:eastAsia="Arial" w:hAnsi="Arial"/>
          <w:sz w:val="19"/>
          <w:szCs w:val="19"/>
          <w:color w:val="2A2A2A"/>
        </w:rPr>
        <w:t>default investment fund under Section 8.5, after which the Participant can allocate to one or more of the investment options then available under Section 8.3. Allocations from the Performance Fund will be made from the most recent bonus class year allocated to the Performance Fund, followed by the most recent salary class year allocated to the Performance Fund, and then from the next most recent bonus class year, followed by the next most recent salary class year.</w:t>
      </w:r>
    </w:p>
    <w:p>
      <w:pPr>
        <w:spacing w:after="0" w:line="206" w:lineRule="exact"/>
        <w:rPr>
          <w:sz w:val="20"/>
          <w:szCs w:val="20"/>
          <w:color w:val="auto"/>
        </w:rPr>
      </w:pPr>
    </w:p>
    <w:p>
      <w:pPr>
        <w:ind w:left="840" w:firstLine="54"/>
        <w:spacing w:after="0" w:line="303" w:lineRule="auto"/>
        <w:rPr>
          <w:sz w:val="20"/>
          <w:szCs w:val="20"/>
          <w:color w:val="auto"/>
        </w:rPr>
      </w:pPr>
      <w:r>
        <w:rPr>
          <w:rFonts w:ascii="Arial" w:cs="Arial" w:eastAsia="Arial" w:hAnsi="Arial"/>
          <w:sz w:val="17"/>
          <w:szCs w:val="17"/>
          <w:color w:val="2A2A2A"/>
        </w:rPr>
        <w:t>Notwithstanding the foregoing, effective January 01, 2019, there shall be a limit on the amount of a Participant's Plan Account that can be credited to the Performance Fund. To the extent that at the beginning of a Plan Year the portion of the Participant's Account that is credited to the Performance Fund investment option exceeds the Maximum Amount, the excess shall be debited from such option and credited to a default EDCP investment option selected by the Committee; the amount credited to the default fund shall remain credited to such fund until the Participant, in accordance with Section 8.4, makes a new investment election with respect to such excess. In the Plan Years beginning before January 1, 2019, the term "Maximum Amount" shall mean an amount equal to the Participant's Section 4.1(c) Target Amount. In the Plan Year beginning January 1, 2019, the term "Maximum Amount" shall mean one hundred fifty percent (150%) of the Participant's Section 4.l (c) Target Amount. In the Plan Year beginning on or after January 01, 2020, the term "Maximum Amount" shall mean one-half (1/2) of one hundred fifty percent (150%) of the Participant's Target Amount; provided, however, that the January 01, 2020, change to the Maximum Amount will not apply to a Participant with a Performance Fund balance on December 31, 2019, that exceeds the otherwise applicable Maximum Amount for the Participant on January 01, 2020.</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20"/>
          <w:szCs w:val="20"/>
          <w:i w:val="1"/>
          <w:iCs w:val="1"/>
          <w:color w:val="2A2A2A"/>
        </w:rPr>
        <w:t>Allocations from the Performance Fund Upon Separation from Service.</w:t>
      </w:r>
    </w:p>
    <w:p>
      <w:pPr>
        <w:spacing w:after="0" w:line="21" w:lineRule="exact"/>
        <w:rPr>
          <w:sz w:val="20"/>
          <w:szCs w:val="20"/>
          <w:color w:val="auto"/>
        </w:rPr>
      </w:pPr>
    </w:p>
    <w:p>
      <w:pPr>
        <w:jc w:val="both"/>
        <w:ind w:left="840"/>
        <w:spacing w:after="0" w:line="306" w:lineRule="auto"/>
        <w:rPr>
          <w:sz w:val="20"/>
          <w:szCs w:val="20"/>
          <w:color w:val="auto"/>
        </w:rPr>
      </w:pPr>
      <w:r>
        <w:rPr>
          <w:rFonts w:ascii="Arial" w:cs="Arial" w:eastAsia="Arial" w:hAnsi="Arial"/>
          <w:sz w:val="17"/>
          <w:szCs w:val="17"/>
          <w:color w:val="2A2A2A"/>
        </w:rPr>
        <w:t>Notwithstanding any other provision in this Plan to the contrary, in the calendar year in which a Participant incurs a Separation From Service (the "Termination Year"), the portion of the Participant's Account that is credited to the Performance Fund shall, within 30 days of the Participant's date of termination, be debited from such option and credited to another Plan investment option selected by the Committee and shall remain credited to such option until the Participant, in accordance with Plan Section 8.4, makes an election to have such amount credited to another Plan investment option. For the segment of the Termination Year that all or part of the terminating Participant's Account is credited to the Performance Fund, the amount so credited will be deemed to have solely earned a rate of return equal to the average Moody's Corporate Bond Index rate of return as of the immediately preceding December.</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21"/>
          <w:szCs w:val="21"/>
          <w:b w:val="1"/>
          <w:bCs w:val="1"/>
          <w:color w:val="2A2A2A"/>
        </w:rPr>
        <w:t>ARTICLE IX</w:t>
      </w:r>
    </w:p>
    <w:p>
      <w:pPr>
        <w:spacing w:after="0" w:line="26" w:lineRule="exact"/>
        <w:rPr>
          <w:sz w:val="20"/>
          <w:szCs w:val="20"/>
          <w:color w:val="auto"/>
        </w:rPr>
      </w:pPr>
    </w:p>
    <w:p>
      <w:pPr>
        <w:ind w:left="1300"/>
        <w:spacing w:after="0"/>
        <w:rPr>
          <w:sz w:val="20"/>
          <w:szCs w:val="20"/>
          <w:color w:val="auto"/>
        </w:rPr>
      </w:pPr>
      <w:r>
        <w:rPr>
          <w:rFonts w:ascii="Arial" w:cs="Arial" w:eastAsia="Arial" w:hAnsi="Arial"/>
          <w:sz w:val="21"/>
          <w:szCs w:val="21"/>
          <w:i w:val="1"/>
          <w:iCs w:val="1"/>
          <w:color w:val="2A2A2A"/>
        </w:rPr>
        <w:t>Adm</w:t>
      </w:r>
      <w:r>
        <w:rPr>
          <w:rFonts w:ascii="Arial" w:cs="Arial" w:eastAsia="Arial" w:hAnsi="Arial"/>
          <w:sz w:val="21"/>
          <w:szCs w:val="21"/>
          <w:i w:val="1"/>
          <w:iCs w:val="1"/>
          <w:color w:val="565656"/>
        </w:rPr>
        <w:t>inistratio</w:t>
      </w:r>
      <w:r>
        <w:rPr>
          <w:rFonts w:ascii="Arial" w:cs="Arial" w:eastAsia="Arial" w:hAnsi="Arial"/>
          <w:sz w:val="21"/>
          <w:szCs w:val="21"/>
          <w:i w:val="1"/>
          <w:iCs w:val="1"/>
          <w:color w:val="2A2A2A"/>
        </w:rPr>
        <w:t>n</w:t>
      </w:r>
    </w:p>
    <w:p>
      <w:pPr>
        <w:spacing w:after="0" w:line="218" w:lineRule="exact"/>
        <w:rPr>
          <w:sz w:val="20"/>
          <w:szCs w:val="20"/>
          <w:color w:val="auto"/>
        </w:rPr>
      </w:pPr>
    </w:p>
    <w:p>
      <w:pPr>
        <w:jc w:val="both"/>
        <w:ind w:left="900" w:hanging="633"/>
        <w:spacing w:after="0" w:line="274" w:lineRule="auto"/>
        <w:tabs>
          <w:tab w:leader="none" w:pos="880" w:val="left"/>
        </w:tabs>
        <w:rPr>
          <w:sz w:val="20"/>
          <w:szCs w:val="20"/>
          <w:color w:val="auto"/>
        </w:rPr>
      </w:pPr>
      <w:r>
        <w:rPr>
          <w:rFonts w:ascii="Arial" w:cs="Arial" w:eastAsia="Arial" w:hAnsi="Arial"/>
          <w:sz w:val="19"/>
          <w:szCs w:val="19"/>
          <w:color w:val="2A2A2A"/>
        </w:rPr>
        <w:t>9.1</w:t>
      </w:r>
      <w:r>
        <w:rPr>
          <w:sz w:val="20"/>
          <w:szCs w:val="20"/>
          <w:color w:val="auto"/>
        </w:rPr>
        <w:tab/>
      </w:r>
      <w:r>
        <w:rPr>
          <w:rFonts w:ascii="Arial" w:cs="Arial" w:eastAsia="Arial" w:hAnsi="Arial"/>
          <w:sz w:val="19"/>
          <w:szCs w:val="19"/>
          <w:u w:val="single" w:color="auto"/>
          <w:color w:val="2A2A2A"/>
        </w:rPr>
        <w:t>Plan Administration</w:t>
      </w:r>
      <w:r>
        <w:rPr>
          <w:rFonts w:ascii="Arial" w:cs="Arial" w:eastAsia="Arial" w:hAnsi="Arial"/>
          <w:sz w:val="19"/>
          <w:szCs w:val="19"/>
          <w:color w:val="2A2A2A"/>
        </w:rPr>
        <w:t>. The Plan shall be administered by the Committee. The Committee shall have the authority to</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control and manage the operation and administration of the Plan, including the authority and ability to delegate administrative functions to a third party. Claims for benefits shall be filed with the Committee and resolved in accordance with the claims procedures in Article XII.</w:t>
      </w:r>
    </w:p>
    <w:p>
      <w:pPr>
        <w:spacing w:after="0" w:line="196" w:lineRule="exact"/>
        <w:rPr>
          <w:sz w:val="20"/>
          <w:szCs w:val="20"/>
          <w:color w:val="auto"/>
        </w:rPr>
      </w:pPr>
    </w:p>
    <w:p>
      <w:pPr>
        <w:jc w:val="both"/>
        <w:ind w:left="880" w:hanging="634"/>
        <w:spacing w:after="0" w:line="298" w:lineRule="auto"/>
        <w:tabs>
          <w:tab w:leader="none" w:pos="860" w:val="left"/>
        </w:tabs>
        <w:rPr>
          <w:sz w:val="20"/>
          <w:szCs w:val="20"/>
          <w:color w:val="auto"/>
        </w:rPr>
      </w:pPr>
      <w:r>
        <w:rPr>
          <w:rFonts w:ascii="Arial" w:cs="Arial" w:eastAsia="Arial" w:hAnsi="Arial"/>
          <w:sz w:val="19"/>
          <w:szCs w:val="19"/>
          <w:color w:val="2A2A2A"/>
        </w:rPr>
        <w:t>9.2</w:t>
      </w:r>
      <w:r>
        <w:rPr>
          <w:sz w:val="20"/>
          <w:szCs w:val="20"/>
          <w:color w:val="auto"/>
        </w:rPr>
        <w:tab/>
      </w:r>
      <w:r>
        <w:rPr>
          <w:rFonts w:ascii="Arial" w:cs="Arial" w:eastAsia="Arial" w:hAnsi="Arial"/>
          <w:sz w:val="19"/>
          <w:szCs w:val="19"/>
          <w:u w:val="single" w:color="auto"/>
          <w:color w:val="424242"/>
        </w:rPr>
        <w:t>Actions by Committee</w:t>
      </w:r>
      <w:r>
        <w:rPr>
          <w:rFonts w:ascii="Arial" w:cs="Arial" w:eastAsia="Arial" w:hAnsi="Arial"/>
          <w:sz w:val="19"/>
          <w:szCs w:val="19"/>
          <w:color w:val="424242"/>
        </w:rPr>
        <w:t>.</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Each decision of a majority of the members of the Committee then in office shall constitute the</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final and binding act of the Committee. The Committee may act with or without a meeting being called or held and shall keep minutes of all meetings held and a record of all actions taken by written consent.</w:t>
      </w:r>
    </w:p>
    <w:p>
      <w:pPr>
        <w:spacing w:after="0" w:line="166" w:lineRule="exact"/>
        <w:rPr>
          <w:sz w:val="20"/>
          <w:szCs w:val="20"/>
          <w:color w:val="auto"/>
        </w:rPr>
      </w:pPr>
    </w:p>
    <w:p>
      <w:pPr>
        <w:jc w:val="both"/>
        <w:ind w:left="880" w:hanging="647"/>
        <w:spacing w:after="0" w:line="278" w:lineRule="auto"/>
        <w:tabs>
          <w:tab w:leader="none" w:pos="860" w:val="left"/>
        </w:tabs>
        <w:rPr>
          <w:sz w:val="20"/>
          <w:szCs w:val="20"/>
          <w:color w:val="auto"/>
        </w:rPr>
      </w:pPr>
      <w:r>
        <w:rPr>
          <w:rFonts w:ascii="Arial" w:cs="Arial" w:eastAsia="Arial" w:hAnsi="Arial"/>
          <w:sz w:val="19"/>
          <w:szCs w:val="19"/>
          <w:color w:val="2A2A2A"/>
        </w:rPr>
        <w:t>9.3</w:t>
      </w:r>
      <w:r>
        <w:rPr>
          <w:sz w:val="20"/>
          <w:szCs w:val="20"/>
          <w:color w:val="auto"/>
        </w:rPr>
        <w:tab/>
      </w:r>
      <w:r>
        <w:rPr>
          <w:rFonts w:ascii="Arial" w:cs="Arial" w:eastAsia="Arial" w:hAnsi="Arial"/>
          <w:sz w:val="19"/>
          <w:szCs w:val="19"/>
          <w:u w:val="single" w:color="auto"/>
          <w:color w:val="2A2A2A"/>
        </w:rPr>
        <w:t>Powers of Committee</w:t>
      </w:r>
      <w:r>
        <w:rPr>
          <w:rFonts w:ascii="Arial" w:cs="Arial" w:eastAsia="Arial" w:hAnsi="Arial"/>
          <w:sz w:val="19"/>
          <w:szCs w:val="19"/>
          <w:color w:val="2A2A2A"/>
        </w:rPr>
        <w:t>. The Committee shall have all powers and discretionary authority necessary or appropriate to</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supervise the administration of the Plan and to control its operation in accordance with its terms, including, but not by way of limitation, the following powers and discretionary authority:</w:t>
      </w:r>
    </w:p>
    <w:p>
      <w:pPr>
        <w:spacing w:after="0" w:line="186" w:lineRule="exact"/>
        <w:rPr>
          <w:sz w:val="20"/>
          <w:szCs w:val="20"/>
          <w:color w:val="auto"/>
        </w:rPr>
      </w:pPr>
    </w:p>
    <w:p>
      <w:pPr>
        <w:jc w:val="both"/>
        <w:ind w:left="1520" w:hanging="621"/>
        <w:spacing w:after="0" w:line="278" w:lineRule="auto"/>
        <w:tabs>
          <w:tab w:leader="none" w:pos="1502" w:val="left"/>
        </w:tabs>
        <w:numPr>
          <w:ilvl w:val="1"/>
          <w:numId w:val="37"/>
        </w:numPr>
        <w:rPr>
          <w:rFonts w:ascii="Arial" w:cs="Arial" w:eastAsia="Arial" w:hAnsi="Arial"/>
          <w:sz w:val="19"/>
          <w:szCs w:val="19"/>
          <w:color w:val="2A2A2A"/>
        </w:rPr>
      </w:pPr>
      <w:r>
        <w:rPr>
          <w:rFonts w:ascii="Arial" w:cs="Arial" w:eastAsia="Arial" w:hAnsi="Arial"/>
          <w:sz w:val="19"/>
          <w:szCs w:val="19"/>
          <w:color w:val="2A2A2A"/>
        </w:rPr>
        <w:t>To interpret and determine the meaning and validity of the provisions of the Plan, and to determine any question arising under, or in connection with, the administration, operation or validity of the Plan, or any amendment thereto;</w:t>
      </w:r>
    </w:p>
    <w:p>
      <w:pPr>
        <w:spacing w:after="0" w:line="172" w:lineRule="exact"/>
        <w:rPr>
          <w:rFonts w:ascii="Arial" w:cs="Arial" w:eastAsia="Arial" w:hAnsi="Arial"/>
          <w:sz w:val="19"/>
          <w:szCs w:val="19"/>
          <w:color w:val="2A2A2A"/>
        </w:rPr>
      </w:pPr>
    </w:p>
    <w:p>
      <w:pPr>
        <w:ind w:left="1500" w:right="20" w:hanging="614"/>
        <w:spacing w:after="0" w:line="290" w:lineRule="auto"/>
        <w:tabs>
          <w:tab w:leader="none" w:pos="1500" w:val="left"/>
        </w:tabs>
        <w:numPr>
          <w:ilvl w:val="1"/>
          <w:numId w:val="37"/>
        </w:numPr>
        <w:rPr>
          <w:rFonts w:ascii="Arial" w:cs="Arial" w:eastAsia="Arial" w:hAnsi="Arial"/>
          <w:sz w:val="19"/>
          <w:szCs w:val="19"/>
          <w:color w:val="2A2A2A"/>
        </w:rPr>
      </w:pPr>
      <w:r>
        <w:rPr>
          <w:rFonts w:ascii="Arial" w:cs="Arial" w:eastAsia="Arial" w:hAnsi="Arial"/>
          <w:sz w:val="19"/>
          <w:szCs w:val="19"/>
          <w:color w:val="2A2A2A"/>
        </w:rPr>
        <w:t>To determine any and all considerations affecting the eligibility of any employee to become a Participant or remain a Participant in the Plan;</w:t>
      </w:r>
    </w:p>
    <w:p>
      <w:pPr>
        <w:spacing w:after="0" w:line="160" w:lineRule="exact"/>
        <w:rPr>
          <w:rFonts w:ascii="Arial" w:cs="Arial" w:eastAsia="Arial" w:hAnsi="Arial"/>
          <w:sz w:val="19"/>
          <w:szCs w:val="19"/>
          <w:color w:val="2A2A2A"/>
        </w:rPr>
      </w:pPr>
    </w:p>
    <w:p>
      <w:pPr>
        <w:ind w:left="1500" w:hanging="614"/>
        <w:spacing w:after="0"/>
        <w:tabs>
          <w:tab w:leader="none" w:pos="1500" w:val="left"/>
        </w:tabs>
        <w:numPr>
          <w:ilvl w:val="0"/>
          <w:numId w:val="38"/>
        </w:numPr>
        <w:rPr>
          <w:rFonts w:ascii="Arial" w:cs="Arial" w:eastAsia="Arial" w:hAnsi="Arial"/>
          <w:sz w:val="19"/>
          <w:szCs w:val="19"/>
          <w:color w:val="2A2A2A"/>
        </w:rPr>
      </w:pPr>
      <w:r>
        <w:rPr>
          <w:rFonts w:ascii="Arial" w:cs="Arial" w:eastAsia="Arial" w:hAnsi="Arial"/>
          <w:sz w:val="19"/>
          <w:szCs w:val="19"/>
          <w:color w:val="2A2A2A"/>
        </w:rPr>
        <w:t>To maintain one or more separate Accounts for each Participant;</w:t>
      </w:r>
    </w:p>
    <w:p>
      <w:pPr>
        <w:spacing w:after="0" w:line="240" w:lineRule="exact"/>
        <w:rPr>
          <w:rFonts w:ascii="Arial" w:cs="Arial" w:eastAsia="Arial" w:hAnsi="Arial"/>
          <w:sz w:val="19"/>
          <w:szCs w:val="19"/>
          <w:color w:val="2A2A2A"/>
        </w:rPr>
      </w:pPr>
    </w:p>
    <w:p>
      <w:pPr>
        <w:ind w:left="1500" w:hanging="614"/>
        <w:spacing w:after="0"/>
        <w:tabs>
          <w:tab w:leader="none" w:pos="1500" w:val="left"/>
        </w:tabs>
        <w:numPr>
          <w:ilvl w:val="0"/>
          <w:numId w:val="38"/>
        </w:numPr>
        <w:rPr>
          <w:rFonts w:ascii="Arial" w:cs="Arial" w:eastAsia="Arial" w:hAnsi="Arial"/>
          <w:sz w:val="19"/>
          <w:szCs w:val="19"/>
          <w:color w:val="2A2A2A"/>
        </w:rPr>
      </w:pPr>
      <w:r>
        <w:rPr>
          <w:rFonts w:ascii="Arial" w:cs="Arial" w:eastAsia="Arial" w:hAnsi="Arial"/>
          <w:sz w:val="19"/>
          <w:szCs w:val="19"/>
          <w:color w:val="2A2A2A"/>
        </w:rPr>
        <w:t>To credit Compensation Deferrals and deemed interest to Participants' Accounts;</w:t>
      </w:r>
    </w:p>
    <w:p>
      <w:pPr>
        <w:spacing w:after="0" w:line="240" w:lineRule="exact"/>
        <w:rPr>
          <w:rFonts w:ascii="Arial" w:cs="Arial" w:eastAsia="Arial" w:hAnsi="Arial"/>
          <w:sz w:val="19"/>
          <w:szCs w:val="19"/>
          <w:color w:val="2A2A2A"/>
        </w:rPr>
      </w:pPr>
    </w:p>
    <w:p>
      <w:pPr>
        <w:ind w:left="1500" w:hanging="614"/>
        <w:spacing w:after="0"/>
        <w:tabs>
          <w:tab w:leader="none" w:pos="1500" w:val="left"/>
        </w:tabs>
        <w:numPr>
          <w:ilvl w:val="0"/>
          <w:numId w:val="38"/>
        </w:numPr>
        <w:rPr>
          <w:rFonts w:ascii="Arial" w:cs="Arial" w:eastAsia="Arial" w:hAnsi="Arial"/>
          <w:sz w:val="19"/>
          <w:szCs w:val="19"/>
          <w:color w:val="2A2A2A"/>
        </w:rPr>
      </w:pPr>
      <w:r>
        <w:rPr>
          <w:rFonts w:ascii="Arial" w:cs="Arial" w:eastAsia="Arial" w:hAnsi="Arial"/>
          <w:sz w:val="19"/>
          <w:szCs w:val="19"/>
          <w:color w:val="2A2A2A"/>
        </w:rPr>
        <w:t>To establish and revise an accounting method or formula for the Plan;</w:t>
      </w:r>
    </w:p>
    <w:p>
      <w:pPr>
        <w:spacing w:after="0" w:line="252" w:lineRule="exact"/>
        <w:rPr>
          <w:rFonts w:ascii="Arial" w:cs="Arial" w:eastAsia="Arial" w:hAnsi="Arial"/>
          <w:sz w:val="19"/>
          <w:szCs w:val="19"/>
          <w:color w:val="2A2A2A"/>
        </w:rPr>
      </w:pPr>
    </w:p>
    <w:p>
      <w:pPr>
        <w:ind w:left="1500" w:hanging="614"/>
        <w:spacing w:after="0"/>
        <w:tabs>
          <w:tab w:leader="none" w:pos="1500" w:val="left"/>
        </w:tabs>
        <w:numPr>
          <w:ilvl w:val="0"/>
          <w:numId w:val="38"/>
        </w:numPr>
        <w:rPr>
          <w:rFonts w:ascii="Arial" w:cs="Arial" w:eastAsia="Arial" w:hAnsi="Arial"/>
          <w:sz w:val="21"/>
          <w:szCs w:val="21"/>
          <w:color w:val="2A2A2A"/>
        </w:rPr>
      </w:pPr>
      <w:r>
        <w:rPr>
          <w:rFonts w:ascii="Arial" w:cs="Arial" w:eastAsia="Arial" w:hAnsi="Arial"/>
          <w:sz w:val="19"/>
          <w:szCs w:val="19"/>
          <w:color w:val="2A2A2A"/>
        </w:rPr>
        <w:t>To determine the status and rights of Participants and their spouses, Beneficiaries or estates;</w:t>
      </w:r>
    </w:p>
    <w:p>
      <w:pPr>
        <w:spacing w:after="0" w:line="232" w:lineRule="exact"/>
        <w:rPr>
          <w:rFonts w:ascii="Arial" w:cs="Arial" w:eastAsia="Arial" w:hAnsi="Arial"/>
          <w:sz w:val="21"/>
          <w:szCs w:val="21"/>
          <w:color w:val="2A2A2A"/>
        </w:rPr>
      </w:pPr>
    </w:p>
    <w:p>
      <w:pPr>
        <w:ind w:left="1520" w:hanging="661"/>
        <w:spacing w:after="0" w:line="295" w:lineRule="auto"/>
        <w:tabs>
          <w:tab w:leader="none" w:pos="1502" w:val="left"/>
        </w:tabs>
        <w:numPr>
          <w:ilvl w:val="1"/>
          <w:numId w:val="38"/>
        </w:numPr>
        <w:rPr>
          <w:rFonts w:ascii="Arial" w:cs="Arial" w:eastAsia="Arial" w:hAnsi="Arial"/>
          <w:sz w:val="21"/>
          <w:szCs w:val="21"/>
          <w:color w:val="2A2A2A"/>
        </w:rPr>
      </w:pPr>
      <w:r>
        <w:rPr>
          <w:rFonts w:ascii="Arial" w:cs="Arial" w:eastAsia="Arial" w:hAnsi="Arial"/>
          <w:sz w:val="19"/>
          <w:szCs w:val="19"/>
          <w:color w:val="2A2A2A"/>
        </w:rPr>
        <w:t>To employ such counsel, agents, and advisers, and to obtain such legal, clerical and other services, as it may deem necessary or appropriate in carrying out the provisions of the Plan;</w:t>
      </w:r>
    </w:p>
    <w:p>
      <w:pPr>
        <w:spacing w:after="0" w:line="177" w:lineRule="exact"/>
        <w:rPr>
          <w:rFonts w:ascii="Arial" w:cs="Arial" w:eastAsia="Arial" w:hAnsi="Arial"/>
          <w:sz w:val="21"/>
          <w:szCs w:val="21"/>
          <w:color w:val="2A2A2A"/>
        </w:rPr>
      </w:pPr>
    </w:p>
    <w:p>
      <w:pPr>
        <w:ind w:left="1500" w:hanging="641"/>
        <w:spacing w:after="0" w:line="280" w:lineRule="auto"/>
        <w:tabs>
          <w:tab w:leader="none" w:pos="1500" w:val="left"/>
        </w:tabs>
        <w:numPr>
          <w:ilvl w:val="1"/>
          <w:numId w:val="38"/>
        </w:numPr>
        <w:rPr>
          <w:rFonts w:ascii="Arial" w:cs="Arial" w:eastAsia="Arial" w:hAnsi="Arial"/>
          <w:sz w:val="21"/>
          <w:szCs w:val="21"/>
          <w:color w:val="2A2A2A"/>
        </w:rPr>
      </w:pPr>
      <w:r>
        <w:rPr>
          <w:rFonts w:ascii="Arial" w:cs="Arial" w:eastAsia="Arial" w:hAnsi="Arial"/>
          <w:sz w:val="19"/>
          <w:szCs w:val="19"/>
          <w:color w:val="2A2A2A"/>
        </w:rPr>
        <w:t>To establish, from time to time, rules for the performance of its powers and duties and for the administration of the Plan;</w:t>
      </w:r>
    </w:p>
    <w:p>
      <w:pPr>
        <w:spacing w:after="0" w:line="192" w:lineRule="exact"/>
        <w:rPr>
          <w:sz w:val="20"/>
          <w:szCs w:val="20"/>
          <w:color w:val="auto"/>
        </w:rPr>
      </w:pPr>
    </w:p>
    <w:p>
      <w:pPr>
        <w:ind w:left="1500" w:hanging="614"/>
        <w:spacing w:after="0"/>
        <w:tabs>
          <w:tab w:leader="none" w:pos="1500" w:val="left"/>
        </w:tabs>
        <w:numPr>
          <w:ilvl w:val="0"/>
          <w:numId w:val="39"/>
        </w:numPr>
        <w:rPr>
          <w:rFonts w:ascii="Arial" w:cs="Arial" w:eastAsia="Arial" w:hAnsi="Arial"/>
          <w:sz w:val="20"/>
          <w:szCs w:val="20"/>
          <w:color w:val="2A2A2A"/>
        </w:rPr>
      </w:pPr>
      <w:r>
        <w:rPr>
          <w:rFonts w:ascii="Arial" w:cs="Arial" w:eastAsia="Arial" w:hAnsi="Arial"/>
          <w:sz w:val="18"/>
          <w:szCs w:val="18"/>
          <w:color w:val="2A2A2A"/>
        </w:rPr>
        <w:t>To arrange for periodic distribution to each Participant of a statement of benefits accrued under the Plan;</w:t>
      </w:r>
    </w:p>
    <w:p>
      <w:pPr>
        <w:sectPr>
          <w:pgSz w:w="11900" w:h="16838" w:orient="portrait"/>
          <w:cols w:equalWidth="0" w:num="1">
            <w:col w:w="10120"/>
          </w:cols>
          <w:pgMar w:left="1440" w:top="144" w:right="339" w:bottom="0" w:gutter="0" w:footer="0" w:header="0"/>
        </w:sectPr>
      </w:pPr>
    </w:p>
    <w:bookmarkStart w:id="65" w:name="page66"/>
    <w:bookmarkEnd w:id="65"/>
    <w:p>
      <w:pPr>
        <w:ind w:left="1500" w:hanging="614"/>
        <w:spacing w:after="0" w:line="295" w:lineRule="auto"/>
        <w:tabs>
          <w:tab w:leader="none" w:pos="1500" w:val="left"/>
        </w:tabs>
        <w:numPr>
          <w:ilvl w:val="0"/>
          <w:numId w:val="40"/>
        </w:numPr>
        <w:rPr>
          <w:rFonts w:ascii="Arial" w:cs="Arial" w:eastAsia="Arial" w:hAnsi="Arial"/>
          <w:sz w:val="21"/>
          <w:szCs w:val="21"/>
          <w:color w:val="2A2A2A"/>
        </w:rPr>
      </w:pPr>
      <w:r>
        <w:rPr>
          <w:rFonts w:ascii="Arial" w:cs="Arial" w:eastAsia="Arial" w:hAnsi="Arial"/>
          <w:sz w:val="19"/>
          <w:szCs w:val="19"/>
          <w:color w:val="2A2A2A"/>
        </w:rPr>
        <w:t>To publish a claims and appeal procedure satisfying the minimum standards of Section 503 of ERISA pursuant to which individuals or estates may claim Plan benefits and appeal denials of such claims;</w:t>
      </w:r>
    </w:p>
    <w:p>
      <w:pPr>
        <w:spacing w:after="0" w:line="244" w:lineRule="exact"/>
        <w:rPr>
          <w:rFonts w:ascii="Arial" w:cs="Arial" w:eastAsia="Arial" w:hAnsi="Arial"/>
          <w:sz w:val="21"/>
          <w:szCs w:val="21"/>
          <w:color w:val="2A2A2A"/>
        </w:rPr>
      </w:pPr>
    </w:p>
    <w:p>
      <w:pPr>
        <w:ind w:left="1540" w:hanging="627"/>
        <w:spacing w:after="0" w:line="353" w:lineRule="auto"/>
        <w:tabs>
          <w:tab w:leader="none" w:pos="1540" w:val="left"/>
        </w:tabs>
        <w:numPr>
          <w:ilvl w:val="1"/>
          <w:numId w:val="40"/>
        </w:numPr>
        <w:rPr>
          <w:rFonts w:ascii="Arial" w:cs="Arial" w:eastAsia="Arial" w:hAnsi="Arial"/>
          <w:sz w:val="17"/>
          <w:szCs w:val="17"/>
          <w:color w:val="2A2A2A"/>
        </w:rPr>
      </w:pPr>
      <w:r>
        <w:rPr>
          <w:rFonts w:ascii="Arial" w:cs="Arial" w:eastAsia="Arial" w:hAnsi="Arial"/>
          <w:sz w:val="17"/>
          <w:szCs w:val="17"/>
          <w:color w:val="2A2A2A"/>
        </w:rPr>
        <w:t>To delegate to any one or more of its members or to any other person, severally or jointly, the authority to perform for and on behalf of the Committee one or more of the functions of the Committee under the Plan; and</w:t>
      </w:r>
    </w:p>
    <w:p>
      <w:pPr>
        <w:spacing w:after="0" w:line="45" w:lineRule="exact"/>
        <w:rPr>
          <w:rFonts w:ascii="Arial" w:cs="Arial" w:eastAsia="Arial" w:hAnsi="Arial"/>
          <w:sz w:val="17"/>
          <w:szCs w:val="17"/>
          <w:color w:val="2A2A2A"/>
        </w:rPr>
      </w:pPr>
    </w:p>
    <w:p>
      <w:pPr>
        <w:ind w:left="1540" w:right="20" w:hanging="627"/>
        <w:spacing w:after="0" w:line="276" w:lineRule="auto"/>
        <w:tabs>
          <w:tab w:leader="none" w:pos="1540" w:val="left"/>
        </w:tabs>
        <w:numPr>
          <w:ilvl w:val="1"/>
          <w:numId w:val="40"/>
        </w:numPr>
        <w:rPr>
          <w:rFonts w:ascii="Arial" w:cs="Arial" w:eastAsia="Arial" w:hAnsi="Arial"/>
          <w:sz w:val="19"/>
          <w:szCs w:val="19"/>
          <w:color w:val="2A2A2A"/>
        </w:rPr>
      </w:pPr>
      <w:r>
        <w:rPr>
          <w:rFonts w:ascii="Arial" w:cs="Arial" w:eastAsia="Arial" w:hAnsi="Arial"/>
          <w:sz w:val="19"/>
          <w:szCs w:val="19"/>
          <w:color w:val="2A2A2A"/>
        </w:rPr>
        <w:t>To decide all issues and questions regarding Account balances and the time, form, manner, and amount of distributions to Participants.</w:t>
      </w:r>
    </w:p>
    <w:p>
      <w:pPr>
        <w:spacing w:after="0" w:line="178" w:lineRule="exact"/>
        <w:rPr>
          <w:sz w:val="20"/>
          <w:szCs w:val="20"/>
          <w:color w:val="auto"/>
        </w:rPr>
      </w:pPr>
    </w:p>
    <w:p>
      <w:pPr>
        <w:jc w:val="both"/>
        <w:ind w:left="900" w:hanging="633"/>
        <w:spacing w:after="0" w:line="292" w:lineRule="auto"/>
        <w:tabs>
          <w:tab w:leader="none" w:pos="880" w:val="left"/>
        </w:tabs>
        <w:rPr>
          <w:sz w:val="20"/>
          <w:szCs w:val="20"/>
          <w:color w:val="auto"/>
        </w:rPr>
      </w:pPr>
      <w:r>
        <w:rPr>
          <w:rFonts w:ascii="Arial" w:cs="Arial" w:eastAsia="Arial" w:hAnsi="Arial"/>
          <w:sz w:val="19"/>
          <w:szCs w:val="19"/>
          <w:color w:val="2A2A2A"/>
        </w:rPr>
        <w:t>9.4</w:t>
      </w:r>
      <w:r>
        <w:rPr>
          <w:sz w:val="20"/>
          <w:szCs w:val="20"/>
          <w:color w:val="auto"/>
        </w:rPr>
        <w:tab/>
      </w:r>
      <w:r>
        <w:rPr>
          <w:rFonts w:ascii="Arial" w:cs="Arial" w:eastAsia="Arial" w:hAnsi="Arial"/>
          <w:sz w:val="19"/>
          <w:szCs w:val="19"/>
          <w:u w:val="single" w:color="auto"/>
          <w:color w:val="2A2A2A"/>
        </w:rPr>
        <w:t xml:space="preserve">Administration Upon </w:t>
      </w:r>
      <w:r>
        <w:rPr>
          <w:rFonts w:ascii="Arial" w:cs="Arial" w:eastAsia="Arial" w:hAnsi="Arial"/>
          <w:sz w:val="19"/>
          <w:szCs w:val="19"/>
          <w:color w:val="4F4F4F"/>
        </w:rPr>
        <w:t>C</w:t>
      </w:r>
      <w:r>
        <w:rPr>
          <w:rFonts w:ascii="Arial" w:cs="Arial" w:eastAsia="Arial" w:hAnsi="Arial"/>
          <w:sz w:val="19"/>
          <w:szCs w:val="19"/>
          <w:u w:val="single" w:color="auto"/>
          <w:color w:val="2A2A2A"/>
        </w:rPr>
        <w:t xml:space="preserve">hange </w:t>
      </w:r>
      <w:r>
        <w:rPr>
          <w:rFonts w:ascii="Arial" w:cs="Arial" w:eastAsia="Arial" w:hAnsi="Arial"/>
          <w:sz w:val="19"/>
          <w:szCs w:val="19"/>
          <w:u w:val="single" w:color="auto"/>
          <w:color w:val="3F3F3F"/>
        </w:rPr>
        <w:t>in</w:t>
      </w:r>
      <w:r>
        <w:rPr>
          <w:rFonts w:ascii="Arial" w:cs="Arial" w:eastAsia="Arial" w:hAnsi="Arial"/>
          <w:sz w:val="19"/>
          <w:szCs w:val="19"/>
          <w:u w:val="single" w:color="auto"/>
          <w:color w:val="2A2A2A"/>
        </w:rPr>
        <w:t xml:space="preserve"> </w:t>
      </w:r>
      <w:r>
        <w:rPr>
          <w:rFonts w:ascii="Arial" w:cs="Arial" w:eastAsia="Arial" w:hAnsi="Arial"/>
          <w:sz w:val="19"/>
          <w:szCs w:val="19"/>
          <w:u w:val="single" w:color="auto"/>
          <w:color w:val="3F3F3F"/>
        </w:rPr>
        <w:t>Control</w:t>
      </w:r>
      <w:r>
        <w:rPr>
          <w:rFonts w:ascii="Arial" w:cs="Arial" w:eastAsia="Arial" w:hAnsi="Arial"/>
          <w:sz w:val="19"/>
          <w:szCs w:val="19"/>
          <w:color w:val="3F3F3F"/>
        </w:rPr>
        <w:t>.</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Upon a Change in Control, the Committee, as constituted immediately prior to</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such Change in Control, shall continue to act as the Committee. The individual who was the Chief Executive Officer of the Company immediately prior to the Change in Control (the "Ex-CEO") shall have the authority (but shall not be obligated) to appoint an independent third party to act as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-543560</wp:posOffset>
            </wp:positionV>
            <wp:extent cx="109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53" w:lineRule="exact"/>
        <w:rPr>
          <w:sz w:val="20"/>
          <w:szCs w:val="20"/>
          <w:color w:val="auto"/>
        </w:rPr>
      </w:pPr>
    </w:p>
    <w:p>
      <w:pPr>
        <w:jc w:val="both"/>
        <w:ind w:left="880"/>
        <w:spacing w:after="0" w:line="274" w:lineRule="auto"/>
        <w:rPr>
          <w:sz w:val="20"/>
          <w:szCs w:val="20"/>
          <w:color w:val="auto"/>
        </w:rPr>
      </w:pPr>
      <w:r>
        <w:rPr>
          <w:rFonts w:ascii="Arial" w:cs="Arial" w:eastAsia="Arial" w:hAnsi="Arial"/>
          <w:sz w:val="19"/>
          <w:szCs w:val="19"/>
          <w:color w:val="2A2A2A"/>
        </w:rPr>
        <w:t>After a Change in Control, no member of the Committee may be removed (and/ or replaced) by the Company without the consent of either (a) 2/3 of the members of the Board of Directors of the Company and a majority of Participants and Beneficiaries with Account Balances or (b) the Ex-CEO or, in the event the Ex-CEO is no longer a Plan Participant, his or her appointee who is a Plan Participant.</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9"/>
          <w:szCs w:val="19"/>
          <w:color w:val="2A2A2A"/>
        </w:rPr>
        <w:t>The Participating Employers shall, with respect to the Committee identified under this Section:</w:t>
      </w:r>
    </w:p>
    <w:p>
      <w:pPr>
        <w:spacing w:after="0" w:line="25" w:lineRule="exact"/>
        <w:rPr>
          <w:sz w:val="20"/>
          <w:szCs w:val="20"/>
          <w:color w:val="auto"/>
        </w:rPr>
      </w:pPr>
    </w:p>
    <w:p>
      <w:pPr>
        <w:jc w:val="both"/>
        <w:ind w:left="880" w:firstLine="19"/>
        <w:spacing w:after="0" w:line="325" w:lineRule="auto"/>
        <w:tabs>
          <w:tab w:leader="none" w:pos="1297" w:val="left"/>
        </w:tabs>
        <w:numPr>
          <w:ilvl w:val="0"/>
          <w:numId w:val="41"/>
        </w:numPr>
        <w:rPr>
          <w:rFonts w:ascii="Arial" w:cs="Arial" w:eastAsia="Arial" w:hAnsi="Arial"/>
          <w:sz w:val="17"/>
          <w:szCs w:val="17"/>
          <w:color w:val="2A2A2A"/>
        </w:rPr>
      </w:pPr>
      <w:r>
        <w:rPr>
          <w:rFonts w:ascii="Arial" w:cs="Arial" w:eastAsia="Arial" w:hAnsi="Arial"/>
          <w:sz w:val="17"/>
          <w:szCs w:val="17"/>
          <w:color w:val="2A2A2A"/>
        </w:rPr>
        <w:t>pay all reasonable expenses and fees of the Committee, (b) indemnify the Committee (including individuals serving as Committee members) in accordance with Section 9.6, and (c) supply full and timely information to the Committee on all matters related to the Plan, Participants, Beneficiaries and Accounts as the Committee may reasonably require.</w:t>
      </w:r>
    </w:p>
    <w:p>
      <w:pPr>
        <w:spacing w:after="0" w:line="178" w:lineRule="exact"/>
        <w:rPr>
          <w:sz w:val="20"/>
          <w:szCs w:val="20"/>
          <w:color w:val="auto"/>
        </w:rPr>
      </w:pPr>
    </w:p>
    <w:p>
      <w:pPr>
        <w:jc w:val="both"/>
        <w:ind w:left="860" w:hanging="647"/>
        <w:spacing w:after="0" w:line="274" w:lineRule="auto"/>
        <w:tabs>
          <w:tab w:leader="none" w:pos="840" w:val="left"/>
        </w:tabs>
        <w:rPr>
          <w:sz w:val="20"/>
          <w:szCs w:val="20"/>
          <w:color w:val="auto"/>
        </w:rPr>
      </w:pPr>
      <w:r>
        <w:rPr>
          <w:rFonts w:ascii="Arial" w:cs="Arial" w:eastAsia="Arial" w:hAnsi="Arial"/>
          <w:sz w:val="19"/>
          <w:szCs w:val="19"/>
          <w:color w:val="2A2A2A"/>
        </w:rPr>
        <w:t>9.5</w:t>
      </w:r>
      <w:r>
        <w:rPr>
          <w:sz w:val="20"/>
          <w:szCs w:val="20"/>
          <w:color w:val="auto"/>
        </w:rPr>
        <w:tab/>
      </w:r>
      <w:r>
        <w:rPr>
          <w:rFonts w:ascii="Arial" w:cs="Arial" w:eastAsia="Arial" w:hAnsi="Arial"/>
          <w:sz w:val="19"/>
          <w:szCs w:val="19"/>
          <w:u w:val="single" w:color="auto"/>
          <w:color w:val="3F3F3F"/>
        </w:rPr>
        <w:t>Withholding</w:t>
      </w:r>
      <w:r>
        <w:rPr>
          <w:rFonts w:ascii="Arial" w:cs="Arial" w:eastAsia="Arial" w:hAnsi="Arial"/>
          <w:sz w:val="19"/>
          <w:szCs w:val="19"/>
          <w:color w:val="3F3F3F"/>
        </w:rPr>
        <w:t>.</w:t>
      </w:r>
      <w:r>
        <w:rPr>
          <w:rFonts w:ascii="Arial" w:cs="Arial" w:eastAsia="Arial" w:hAnsi="Arial"/>
          <w:sz w:val="19"/>
          <w:szCs w:val="19"/>
          <w:u w:val="single" w:color="auto"/>
          <w:color w:val="3F3F3F"/>
        </w:rPr>
        <w:t xml:space="preserve"> </w:t>
      </w:r>
      <w:r>
        <w:rPr>
          <w:rFonts w:ascii="Arial" w:cs="Arial" w:eastAsia="Arial" w:hAnsi="Arial"/>
          <w:sz w:val="19"/>
          <w:szCs w:val="19"/>
          <w:color w:val="2A2A2A"/>
        </w:rPr>
        <w:t>The Participating Employer shall have the right to withhold from any payment due under the Plan (or with</w:t>
      </w:r>
      <w:r>
        <w:rPr>
          <w:rFonts w:ascii="Arial" w:cs="Arial" w:eastAsia="Arial" w:hAnsi="Arial"/>
          <w:sz w:val="19"/>
          <w:szCs w:val="19"/>
          <w:u w:val="single" w:color="auto"/>
          <w:color w:val="3F3F3F"/>
        </w:rPr>
        <w:t xml:space="preserve"> </w:t>
      </w:r>
      <w:r>
        <w:rPr>
          <w:rFonts w:ascii="Arial" w:cs="Arial" w:eastAsia="Arial" w:hAnsi="Arial"/>
          <w:sz w:val="19"/>
          <w:szCs w:val="19"/>
          <w:color w:val="2A2A2A"/>
        </w:rPr>
        <w:t>respect to any amounts credited to the Plan) any taxes required by law to be withheld in respect of such payment (or credit). Withholdings with respect to amounts credited to the Plan shall be deducted from Compensation that has not been deferred to the Plan.</w:t>
      </w:r>
    </w:p>
    <w:p>
      <w:pPr>
        <w:spacing w:after="0" w:line="217" w:lineRule="exact"/>
        <w:rPr>
          <w:sz w:val="20"/>
          <w:szCs w:val="20"/>
          <w:color w:val="auto"/>
        </w:rPr>
      </w:pPr>
    </w:p>
    <w:p>
      <w:pPr>
        <w:jc w:val="both"/>
        <w:ind w:left="840" w:hanging="634"/>
        <w:spacing w:after="0" w:line="301" w:lineRule="auto"/>
        <w:tabs>
          <w:tab w:leader="none" w:pos="820" w:val="left"/>
        </w:tabs>
        <w:rPr>
          <w:sz w:val="20"/>
          <w:szCs w:val="20"/>
          <w:color w:val="auto"/>
        </w:rPr>
      </w:pPr>
      <w:r>
        <w:rPr>
          <w:rFonts w:ascii="Arial" w:cs="Arial" w:eastAsia="Arial" w:hAnsi="Arial"/>
          <w:sz w:val="19"/>
          <w:szCs w:val="19"/>
          <w:color w:val="2A2A2A"/>
        </w:rPr>
        <w:t>9.6</w:t>
      </w:r>
      <w:r>
        <w:rPr>
          <w:sz w:val="20"/>
          <w:szCs w:val="20"/>
          <w:color w:val="auto"/>
        </w:rPr>
        <w:tab/>
      </w:r>
      <w:r>
        <w:rPr>
          <w:rFonts w:ascii="Arial" w:cs="Arial" w:eastAsia="Arial" w:hAnsi="Arial"/>
          <w:sz w:val="18"/>
          <w:szCs w:val="18"/>
          <w:u w:val="single" w:color="auto"/>
          <w:color w:val="3F3F3F"/>
        </w:rPr>
        <w:t>Indemnification</w:t>
      </w:r>
      <w:r>
        <w:rPr>
          <w:rFonts w:ascii="Arial" w:cs="Arial" w:eastAsia="Arial" w:hAnsi="Arial"/>
          <w:sz w:val="18"/>
          <w:szCs w:val="18"/>
          <w:color w:val="3F3F3F"/>
        </w:rPr>
        <w:t>.</w:t>
      </w:r>
      <w:r>
        <w:rPr>
          <w:rFonts w:ascii="Arial" w:cs="Arial" w:eastAsia="Arial" w:hAnsi="Arial"/>
          <w:sz w:val="18"/>
          <w:szCs w:val="18"/>
          <w:u w:val="single" w:color="auto"/>
          <w:color w:val="3F3F3F"/>
        </w:rPr>
        <w:t xml:space="preserve"> </w:t>
      </w:r>
      <w:r>
        <w:rPr>
          <w:rFonts w:ascii="Arial" w:cs="Arial" w:eastAsia="Arial" w:hAnsi="Arial"/>
          <w:sz w:val="18"/>
          <w:szCs w:val="18"/>
          <w:color w:val="2A2A2A"/>
        </w:rPr>
        <w:t>The Participating Employer shall indemnify and hold harmless each employee, officer, director, agent or</w:t>
      </w:r>
      <w:r>
        <w:rPr>
          <w:rFonts w:ascii="Arial" w:cs="Arial" w:eastAsia="Arial" w:hAnsi="Arial"/>
          <w:sz w:val="18"/>
          <w:szCs w:val="18"/>
          <w:u w:val="single" w:color="auto"/>
          <w:color w:val="3F3F3F"/>
        </w:rPr>
        <w:t xml:space="preserve"> </w:t>
      </w:r>
      <w:r>
        <w:rPr>
          <w:rFonts w:ascii="Arial" w:cs="Arial" w:eastAsia="Arial" w:hAnsi="Arial"/>
          <w:sz w:val="18"/>
          <w:szCs w:val="18"/>
          <w:color w:val="2A2A2A"/>
        </w:rPr>
        <w:t>organization, to whom or to which are delegated duties, responsibilities, and authority under the Plan or otherwise with respect to administration of the Plan, including, without limitation, the Committee and its agents, against all claims, liabilities, fines and penalties, and all expenses reasonably incurred by or imposed upon him or her or it (including but not limited to reasonable attorneys' fees) which arise as a result of his or her or its actions or failure to act in connection with the operation and administration of the Plan to the extent lawfully allowable and to the extent that such claim, liability, fine, penalty, or expense is not paid for by liability insurance purchased or paid for by the Participating Employer. Notwithstanding the foregoing, the Participating Employer shall not indemnify any person or organization if his or her or its actions or failure to act are due to gross negligence or willful misconduct or for any such amount incurred through any settlement or compromise of any action unless the Participating Employer consents in writing to such settlement or compromise.</w:t>
      </w:r>
    </w:p>
    <w:p>
      <w:pPr>
        <w:spacing w:after="0" w:line="282" w:lineRule="exact"/>
        <w:rPr>
          <w:sz w:val="20"/>
          <w:szCs w:val="20"/>
          <w:color w:val="auto"/>
        </w:rPr>
      </w:pPr>
    </w:p>
    <w:p>
      <w:pPr>
        <w:jc w:val="both"/>
        <w:ind w:left="920" w:hanging="638"/>
        <w:spacing w:after="0" w:line="271" w:lineRule="auto"/>
        <w:tabs>
          <w:tab w:leader="none" w:pos="900" w:val="left"/>
        </w:tabs>
        <w:rPr>
          <w:sz w:val="20"/>
          <w:szCs w:val="20"/>
          <w:color w:val="auto"/>
        </w:rPr>
      </w:pPr>
      <w:r>
        <w:rPr>
          <w:rFonts w:ascii="Arial" w:cs="Arial" w:eastAsia="Arial" w:hAnsi="Arial"/>
          <w:sz w:val="20"/>
          <w:szCs w:val="20"/>
          <w:color w:val="333333"/>
        </w:rPr>
        <w:t>9.7</w:t>
      </w:r>
      <w:r>
        <w:rPr>
          <w:sz w:val="20"/>
          <w:szCs w:val="20"/>
          <w:color w:val="auto"/>
        </w:rPr>
        <w:tab/>
      </w:r>
      <w:r>
        <w:rPr>
          <w:rFonts w:ascii="Arial" w:cs="Arial" w:eastAsia="Arial" w:hAnsi="Arial"/>
          <w:sz w:val="20"/>
          <w:szCs w:val="20"/>
          <w:u w:val="single" w:color="auto"/>
          <w:color w:val="333333"/>
        </w:rPr>
        <w:t>Delegation of Authority</w:t>
      </w:r>
      <w:r>
        <w:rPr>
          <w:rFonts w:ascii="Arial" w:cs="Arial" w:eastAsia="Arial" w:hAnsi="Arial"/>
          <w:sz w:val="20"/>
          <w:szCs w:val="20"/>
          <w:color w:val="333333"/>
        </w:rPr>
        <w:t>.</w:t>
      </w:r>
      <w:r>
        <w:rPr>
          <w:rFonts w:ascii="Arial" w:cs="Arial" w:eastAsia="Arial" w:hAnsi="Arial"/>
          <w:sz w:val="20"/>
          <w:szCs w:val="20"/>
          <w:u w:val="single" w:color="auto"/>
          <w:color w:val="333333"/>
        </w:rPr>
        <w:t xml:space="preserve"> </w:t>
      </w:r>
      <w:r>
        <w:rPr>
          <w:rFonts w:ascii="Arial" w:cs="Arial" w:eastAsia="Arial" w:hAnsi="Arial"/>
          <w:sz w:val="18"/>
          <w:szCs w:val="18"/>
          <w:color w:val="333333"/>
        </w:rPr>
        <w:t>In</w:t>
      </w:r>
      <w:r>
        <w:rPr>
          <w:rFonts w:ascii="Arial" w:cs="Arial" w:eastAsia="Arial" w:hAnsi="Arial"/>
          <w:sz w:val="20"/>
          <w:szCs w:val="20"/>
          <w:u w:val="single" w:color="auto"/>
          <w:color w:val="333333"/>
        </w:rPr>
        <w:t xml:space="preserve"> </w:t>
      </w:r>
      <w:r>
        <w:rPr>
          <w:rFonts w:ascii="Arial" w:cs="Arial" w:eastAsia="Arial" w:hAnsi="Arial"/>
          <w:sz w:val="20"/>
          <w:szCs w:val="20"/>
          <w:color w:val="333333"/>
        </w:rPr>
        <w:t>the administration of this Plan, the Committee may, from time to time, employ agents</w:t>
      </w:r>
      <w:r>
        <w:rPr>
          <w:rFonts w:ascii="Arial" w:cs="Arial" w:eastAsia="Arial" w:hAnsi="Arial"/>
          <w:sz w:val="20"/>
          <w:szCs w:val="20"/>
          <w:u w:val="single" w:color="auto"/>
          <w:color w:val="333333"/>
        </w:rPr>
        <w:t xml:space="preserve"> </w:t>
      </w:r>
      <w:r>
        <w:rPr>
          <w:rFonts w:ascii="Arial" w:cs="Arial" w:eastAsia="Arial" w:hAnsi="Arial"/>
          <w:sz w:val="20"/>
          <w:szCs w:val="20"/>
          <w:color w:val="333333"/>
        </w:rPr>
        <w:t xml:space="preserve">and delegate to them such administrative duties as it sees </w:t>
      </w:r>
      <w:r>
        <w:rPr>
          <w:rFonts w:ascii="Arial" w:cs="Arial" w:eastAsia="Arial" w:hAnsi="Arial"/>
          <w:sz w:val="18"/>
          <w:szCs w:val="18"/>
          <w:color w:val="333333"/>
        </w:rPr>
        <w:t>fit,</w:t>
      </w:r>
      <w:r>
        <w:rPr>
          <w:rFonts w:ascii="Arial" w:cs="Arial" w:eastAsia="Arial" w:hAnsi="Arial"/>
          <w:sz w:val="20"/>
          <w:szCs w:val="20"/>
          <w:color w:val="333333"/>
        </w:rPr>
        <w:t xml:space="preserve"> and may from time to time consult with legal counsel who may be legal counsel to the Company.</w:t>
      </w:r>
    </w:p>
    <w:p>
      <w:pPr>
        <w:spacing w:after="0" w:line="193" w:lineRule="exact"/>
        <w:rPr>
          <w:sz w:val="20"/>
          <w:szCs w:val="20"/>
          <w:color w:val="auto"/>
        </w:rPr>
      </w:pPr>
    </w:p>
    <w:p>
      <w:pPr>
        <w:jc w:val="both"/>
        <w:ind w:left="900" w:hanging="624"/>
        <w:spacing w:after="0" w:line="306" w:lineRule="auto"/>
        <w:tabs>
          <w:tab w:leader="none" w:pos="880" w:val="left"/>
        </w:tabs>
        <w:rPr>
          <w:sz w:val="20"/>
          <w:szCs w:val="20"/>
          <w:color w:val="auto"/>
        </w:rPr>
      </w:pPr>
      <w:r>
        <w:rPr>
          <w:rFonts w:ascii="Arial" w:cs="Arial" w:eastAsia="Arial" w:hAnsi="Arial"/>
          <w:sz w:val="20"/>
          <w:szCs w:val="20"/>
          <w:color w:val="333333"/>
        </w:rPr>
        <w:t>9.8</w:t>
      </w:r>
      <w:r>
        <w:rPr>
          <w:sz w:val="20"/>
          <w:szCs w:val="20"/>
          <w:color w:val="auto"/>
        </w:rPr>
        <w:tab/>
      </w:r>
      <w:r>
        <w:rPr>
          <w:rFonts w:ascii="Arial" w:cs="Arial" w:eastAsia="Arial" w:hAnsi="Arial"/>
          <w:sz w:val="18"/>
          <w:szCs w:val="18"/>
          <w:u w:val="single" w:color="auto"/>
          <w:color w:val="333333"/>
        </w:rPr>
        <w:t>Binding Decisions or Actions</w:t>
      </w:r>
      <w:r>
        <w:rPr>
          <w:rFonts w:ascii="Arial" w:cs="Arial" w:eastAsia="Arial" w:hAnsi="Arial"/>
          <w:sz w:val="18"/>
          <w:szCs w:val="18"/>
          <w:color w:val="333333"/>
        </w:rPr>
        <w:t>. The decision or action of the Committee in respect of any question arising out of or</w:t>
      </w:r>
      <w:r>
        <w:rPr>
          <w:rFonts w:ascii="Arial" w:cs="Arial" w:eastAsia="Arial" w:hAnsi="Arial"/>
          <w:sz w:val="18"/>
          <w:szCs w:val="18"/>
          <w:u w:val="single" w:color="auto"/>
          <w:color w:val="333333"/>
        </w:rPr>
        <w:t xml:space="preserve"> </w:t>
      </w:r>
      <w:r>
        <w:rPr>
          <w:rFonts w:ascii="Arial" w:cs="Arial" w:eastAsia="Arial" w:hAnsi="Arial"/>
          <w:sz w:val="18"/>
          <w:szCs w:val="18"/>
          <w:color w:val="333333"/>
        </w:rPr>
        <w:t>in connection with the administration, interpretation and application of the Plan and the rules and regulations thereunder shall be final and conclusive and binding upon all persons having any interest in the Plan.</w:t>
      </w:r>
    </w:p>
    <w:p>
      <w:pPr>
        <w:spacing w:after="0" w:line="137"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333333"/>
        </w:rPr>
        <w:t>ARTICLE X</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333333"/>
        </w:rPr>
        <w:t>Amendment and Termination</w:t>
      </w:r>
    </w:p>
    <w:p>
      <w:pPr>
        <w:spacing w:after="0" w:line="231" w:lineRule="exact"/>
        <w:rPr>
          <w:sz w:val="20"/>
          <w:szCs w:val="20"/>
          <w:color w:val="auto"/>
        </w:rPr>
      </w:pPr>
    </w:p>
    <w:p>
      <w:pPr>
        <w:jc w:val="both"/>
        <w:ind w:left="860" w:hanging="593"/>
        <w:spacing w:after="0" w:line="286" w:lineRule="auto"/>
        <w:tabs>
          <w:tab w:leader="none" w:pos="840" w:val="left"/>
        </w:tabs>
        <w:rPr>
          <w:sz w:val="20"/>
          <w:szCs w:val="20"/>
          <w:color w:val="auto"/>
        </w:rPr>
      </w:pPr>
      <w:r>
        <w:rPr>
          <w:rFonts w:ascii="Arial" w:cs="Arial" w:eastAsia="Arial" w:hAnsi="Arial"/>
          <w:sz w:val="20"/>
          <w:szCs w:val="20"/>
          <w:color w:val="333333"/>
        </w:rPr>
        <w:t>10.1</w:t>
      </w:r>
      <w:r>
        <w:rPr>
          <w:sz w:val="20"/>
          <w:szCs w:val="20"/>
          <w:color w:val="auto"/>
        </w:rPr>
        <w:tab/>
      </w:r>
      <w:r>
        <w:rPr>
          <w:rFonts w:ascii="Arial" w:cs="Arial" w:eastAsia="Arial" w:hAnsi="Arial"/>
          <w:sz w:val="18"/>
          <w:szCs w:val="18"/>
          <w:u w:val="single" w:color="auto"/>
          <w:color w:val="464646"/>
        </w:rPr>
        <w:t xml:space="preserve">Termination. </w:t>
      </w:r>
      <w:r>
        <w:rPr>
          <w:rFonts w:ascii="Arial" w:cs="Arial" w:eastAsia="Arial" w:hAnsi="Arial"/>
          <w:sz w:val="18"/>
          <w:szCs w:val="18"/>
          <w:color w:val="333333"/>
        </w:rPr>
        <w:t>The Company and each other Participating Employer intend to continue the Plan indefinitely, and to</w:t>
      </w:r>
      <w:r>
        <w:rPr>
          <w:rFonts w:ascii="Arial" w:cs="Arial" w:eastAsia="Arial" w:hAnsi="Arial"/>
          <w:sz w:val="18"/>
          <w:szCs w:val="18"/>
          <w:u w:val="single" w:color="auto"/>
          <w:color w:val="464646"/>
        </w:rPr>
        <w:t xml:space="preserve"> </w:t>
      </w:r>
      <w:r>
        <w:rPr>
          <w:rFonts w:ascii="Arial" w:cs="Arial" w:eastAsia="Arial" w:hAnsi="Arial"/>
          <w:sz w:val="18"/>
          <w:szCs w:val="18"/>
          <w:color w:val="333333"/>
        </w:rPr>
        <w:t xml:space="preserve">maintain each Participant's Account until it is scheduled to be paid to </w:t>
      </w:r>
      <w:r>
        <w:rPr>
          <w:rFonts w:ascii="Arial" w:cs="Arial" w:eastAsia="Arial" w:hAnsi="Arial"/>
          <w:sz w:val="16"/>
          <w:szCs w:val="16"/>
          <w:color w:val="333333"/>
        </w:rPr>
        <w:t>him</w:t>
      </w:r>
      <w:r>
        <w:rPr>
          <w:rFonts w:ascii="Arial" w:cs="Arial" w:eastAsia="Arial" w:hAnsi="Arial"/>
          <w:sz w:val="18"/>
          <w:szCs w:val="18"/>
          <w:color w:val="333333"/>
        </w:rPr>
        <w:t xml:space="preserve"> or her in accordance with the provisions of the Plan. However, the Plan is voluntary on the part of the Company and the other Participating Employers, and the Participating Employers do not guarantee to continue the Plan. Accordingly, the Company reserves the right to discontinue its sponsorship of the Plan (or the sponsorship of another Participating Employer) and/ or to terminate the Plan at any time with respect to any or all of its participating Eligible Employees (or all of another Participating </w:t>
      </w:r>
      <w:r>
        <w:rPr>
          <w:rFonts w:ascii="Arial" w:cs="Arial" w:eastAsia="Arial" w:hAnsi="Arial"/>
          <w:sz w:val="18"/>
          <w:szCs w:val="18"/>
          <w:color w:val="464646"/>
        </w:rPr>
        <w:t xml:space="preserve">Employer's </w:t>
      </w:r>
      <w:r>
        <w:rPr>
          <w:rFonts w:ascii="Arial" w:cs="Arial" w:eastAsia="Arial" w:hAnsi="Arial"/>
          <w:sz w:val="18"/>
          <w:szCs w:val="18"/>
          <w:color w:val="333333"/>
        </w:rPr>
        <w:t>Eligible Employees), by action of the Board of Directors. Upon the termination of the Plan with respect</w:t>
      </w:r>
      <w:r>
        <w:rPr>
          <w:rFonts w:ascii="Arial" w:cs="Arial" w:eastAsia="Arial" w:hAnsi="Arial"/>
          <w:sz w:val="18"/>
          <w:szCs w:val="18"/>
          <w:color w:val="464646"/>
        </w:rPr>
        <w:t xml:space="preserve"> </w:t>
      </w:r>
      <w:r>
        <w:rPr>
          <w:rFonts w:ascii="Arial" w:cs="Arial" w:eastAsia="Arial" w:hAnsi="Arial"/>
          <w:sz w:val="18"/>
          <w:szCs w:val="18"/>
          <w:color w:val="333333"/>
        </w:rPr>
        <w:t xml:space="preserve">to any Participating Employer, the participation of the affected Participants who are employed by that Participating Employer shall terminate. However, after the Plan termination, the Account Balances of such Participants shall continue to be credited with Deferrals attributable to a deferral election that was in effect prior to the Plan termination to the extent deemed necessary to comply with Code Section 409A and related Treasury Regulations, and additional amounts shall continue to be credited or debited to such Participants' Account Balances pursuant to Article VIII. The investment options available to Participants following the termination of the Plan shall, subject to the rules in Article VIII, be comparable in number and type to those investment options available to Participants in the Plan Year preceding the Plan Year in which the Plan termination is effective. </w:t>
      </w:r>
      <w:r>
        <w:rPr>
          <w:rFonts w:ascii="Arial" w:cs="Arial" w:eastAsia="Arial" w:hAnsi="Arial"/>
          <w:sz w:val="16"/>
          <w:szCs w:val="16"/>
          <w:color w:val="333333"/>
        </w:rPr>
        <w:t>In</w:t>
      </w:r>
      <w:r>
        <w:rPr>
          <w:rFonts w:ascii="Arial" w:cs="Arial" w:eastAsia="Arial" w:hAnsi="Arial"/>
          <w:sz w:val="18"/>
          <w:szCs w:val="18"/>
          <w:color w:val="333333"/>
        </w:rPr>
        <w:t xml:space="preserve"> addition, following a Plan</w:t>
      </w:r>
    </w:p>
    <w:p>
      <w:pPr>
        <w:sectPr>
          <w:pgSz w:w="11900" w:h="16838" w:orient="portrait"/>
          <w:cols w:equalWidth="0" w:num="1">
            <w:col w:w="10120"/>
          </w:cols>
          <w:pgMar w:left="1440" w:top="144" w:right="339" w:bottom="0" w:gutter="0" w:footer="0" w:header="0"/>
        </w:sectPr>
      </w:pPr>
    </w:p>
    <w:bookmarkStart w:id="66" w:name="page67"/>
    <w:bookmarkEnd w:id="66"/>
    <w:p>
      <w:pPr>
        <w:spacing w:after="0" w:line="18" w:lineRule="exact"/>
        <w:rPr>
          <w:sz w:val="20"/>
          <w:szCs w:val="20"/>
          <w:color w:val="auto"/>
        </w:rPr>
      </w:pPr>
    </w:p>
    <w:p>
      <w:pPr>
        <w:jc w:val="both"/>
        <w:ind w:left="860"/>
        <w:spacing w:after="0" w:line="291" w:lineRule="auto"/>
        <w:rPr>
          <w:sz w:val="20"/>
          <w:szCs w:val="20"/>
          <w:color w:val="auto"/>
        </w:rPr>
      </w:pPr>
      <w:r>
        <w:rPr>
          <w:rFonts w:ascii="Arial" w:cs="Arial" w:eastAsia="Arial" w:hAnsi="Arial"/>
          <w:sz w:val="18"/>
          <w:szCs w:val="18"/>
          <w:color w:val="333333"/>
        </w:rPr>
        <w:t xml:space="preserve">termination, Participant Account Balances shall remain in the Plan and shall not be distributed until such amounts become eligible for distribution in accordance with the other applicable provisions of the Plan. Notwithstanding the preceding sentence, to the extent permitted by Treasury Regulations Section 1.409A-3(j)(4)(ix), the Company may provide that, upon termination of the Plan, all Account Balances of the Participants shall be distributed, subject to and in accordance with any rules established by the Company deemed necessary to comply with the applicable requirements and limitations of </w:t>
      </w:r>
      <w:r>
        <w:rPr>
          <w:rFonts w:ascii="Arial" w:cs="Arial" w:eastAsia="Arial" w:hAnsi="Arial"/>
          <w:sz w:val="18"/>
          <w:szCs w:val="18"/>
          <w:color w:val="464646"/>
        </w:rPr>
        <w:t>Treasury</w:t>
      </w:r>
      <w:r>
        <w:rPr>
          <w:rFonts w:ascii="Arial" w:cs="Arial" w:eastAsia="Arial" w:hAnsi="Arial"/>
          <w:sz w:val="18"/>
          <w:szCs w:val="18"/>
          <w:color w:val="333333"/>
        </w:rPr>
        <w:t xml:space="preserve"> Regulations Section 1.409A-3(j)(4)(ix).</w:t>
      </w:r>
    </w:p>
    <w:p>
      <w:pPr>
        <w:spacing w:after="0" w:line="155"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20"/>
          <w:szCs w:val="20"/>
          <w:color w:val="333333"/>
        </w:rPr>
        <w:t>10.2</w:t>
      </w:r>
      <w:r>
        <w:rPr>
          <w:sz w:val="20"/>
          <w:szCs w:val="20"/>
          <w:color w:val="auto"/>
        </w:rPr>
        <w:tab/>
      </w:r>
      <w:r>
        <w:rPr>
          <w:rFonts w:ascii="Arial" w:cs="Arial" w:eastAsia="Arial" w:hAnsi="Arial"/>
          <w:sz w:val="16"/>
          <w:szCs w:val="16"/>
          <w:u w:val="single" w:color="auto"/>
          <w:color w:val="333333"/>
        </w:rPr>
        <w:t>Amendments</w:t>
      </w:r>
      <w:r>
        <w:rPr>
          <w:rFonts w:ascii="Arial" w:cs="Arial" w:eastAsia="Arial" w:hAnsi="Arial"/>
          <w:sz w:val="16"/>
          <w:szCs w:val="16"/>
          <w:color w:val="333333"/>
        </w:rPr>
        <w:t>.</w:t>
      </w:r>
    </w:p>
    <w:p>
      <w:pPr>
        <w:spacing w:after="0" w:line="256" w:lineRule="exact"/>
        <w:rPr>
          <w:sz w:val="20"/>
          <w:szCs w:val="20"/>
          <w:color w:val="auto"/>
        </w:rPr>
      </w:pPr>
    </w:p>
    <w:p>
      <w:pPr>
        <w:jc w:val="both"/>
        <w:ind w:left="1500" w:hanging="614"/>
        <w:spacing w:after="0" w:line="291" w:lineRule="auto"/>
        <w:tabs>
          <w:tab w:leader="none" w:pos="1500" w:val="left"/>
        </w:tabs>
        <w:numPr>
          <w:ilvl w:val="0"/>
          <w:numId w:val="42"/>
        </w:numPr>
        <w:rPr>
          <w:rFonts w:ascii="Arial" w:cs="Arial" w:eastAsia="Arial" w:hAnsi="Arial"/>
          <w:sz w:val="18"/>
          <w:szCs w:val="18"/>
          <w:color w:val="333333"/>
        </w:rPr>
      </w:pPr>
      <w:r>
        <w:rPr>
          <w:rFonts w:ascii="Arial" w:cs="Arial" w:eastAsia="Arial" w:hAnsi="Arial"/>
          <w:sz w:val="18"/>
          <w:szCs w:val="18"/>
          <w:color w:val="333333"/>
        </w:rPr>
        <w:t>The Company, by action taken by the Board of Directors, may amend the Plan at any time and for any reason, provided that any such amendment shall not reduce the vested Account Balances of any Participant accrued as of the date of any such amendment or restatement (as if the Participant had incurred a Separation from Service on such date). The Compensation Committee shall have the authority to amend the Plan for the purpose of: (i) conforming the Plan to the requirements of law (which amendments, notwithstanding any provisions in this Section 10.2 to the contrary, may also be made</w:t>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19"/>
          <w:szCs w:val="19"/>
          <w:color w:val="2A2A2A"/>
        </w:rPr>
        <w:t xml:space="preserve">without the consent of any Participant), </w:t>
      </w:r>
      <w:r>
        <w:rPr>
          <w:rFonts w:ascii="Arial" w:cs="Arial" w:eastAsia="Arial" w:hAnsi="Arial"/>
          <w:sz w:val="20"/>
          <w:szCs w:val="20"/>
          <w:color w:val="2A2A2A"/>
        </w:rPr>
        <w:t>(ii)</w:t>
      </w:r>
      <w:r>
        <w:rPr>
          <w:rFonts w:ascii="Arial" w:cs="Arial" w:eastAsia="Arial" w:hAnsi="Arial"/>
          <w:sz w:val="19"/>
          <w:szCs w:val="19"/>
          <w:color w:val="2A2A2A"/>
        </w:rPr>
        <w:t xml:space="preserve"> facilitating the administration of the Plan,</w:t>
      </w:r>
    </w:p>
    <w:p>
      <w:pPr>
        <w:spacing w:after="0" w:line="45" w:lineRule="exact"/>
        <w:rPr>
          <w:sz w:val="20"/>
          <w:szCs w:val="20"/>
          <w:color w:val="auto"/>
        </w:rPr>
      </w:pPr>
    </w:p>
    <w:p>
      <w:pPr>
        <w:ind w:left="2500" w:hanging="926"/>
        <w:spacing w:after="0"/>
        <w:tabs>
          <w:tab w:leader="none" w:pos="2500" w:val="left"/>
        </w:tabs>
        <w:numPr>
          <w:ilvl w:val="3"/>
          <w:numId w:val="43"/>
        </w:numPr>
        <w:rPr>
          <w:rFonts w:ascii="Arial" w:cs="Arial" w:eastAsia="Arial" w:hAnsi="Arial"/>
          <w:sz w:val="19"/>
          <w:szCs w:val="19"/>
          <w:color w:val="2A2A2A"/>
        </w:rPr>
      </w:pPr>
      <w:r>
        <w:rPr>
          <w:rFonts w:ascii="Arial" w:cs="Arial" w:eastAsia="Arial" w:hAnsi="Arial"/>
          <w:sz w:val="17"/>
          <w:szCs w:val="17"/>
          <w:color w:val="2A2A2A"/>
        </w:rPr>
        <w:t>clarifying provisions based on the Compensation Committee's interpretation of the document, and</w:t>
      </w:r>
    </w:p>
    <w:p>
      <w:pPr>
        <w:spacing w:after="0" w:line="27" w:lineRule="exact"/>
        <w:rPr>
          <w:rFonts w:ascii="Arial" w:cs="Arial" w:eastAsia="Arial" w:hAnsi="Arial"/>
          <w:sz w:val="19"/>
          <w:szCs w:val="19"/>
          <w:color w:val="2A2A2A"/>
        </w:rPr>
      </w:pPr>
    </w:p>
    <w:p>
      <w:pPr>
        <w:ind w:left="1880" w:hanging="319"/>
        <w:spacing w:after="0"/>
        <w:tabs>
          <w:tab w:leader="none" w:pos="1880" w:val="left"/>
        </w:tabs>
        <w:numPr>
          <w:ilvl w:val="2"/>
          <w:numId w:val="44"/>
        </w:numPr>
        <w:rPr>
          <w:rFonts w:ascii="Arial" w:cs="Arial" w:eastAsia="Arial" w:hAnsi="Arial"/>
          <w:sz w:val="19"/>
          <w:szCs w:val="19"/>
          <w:color w:val="2A2A2A"/>
        </w:rPr>
      </w:pPr>
      <w:r>
        <w:rPr>
          <w:rFonts w:ascii="Arial" w:cs="Arial" w:eastAsia="Arial" w:hAnsi="Arial"/>
          <w:sz w:val="19"/>
          <w:szCs w:val="19"/>
          <w:color w:val="2A2A2A"/>
        </w:rPr>
        <w:t>making such other amendments as the Board of Directors may authorize.</w:t>
      </w:r>
    </w:p>
    <w:p>
      <w:pPr>
        <w:spacing w:after="0" w:line="224" w:lineRule="exact"/>
        <w:rPr>
          <w:rFonts w:ascii="Arial" w:cs="Arial" w:eastAsia="Arial" w:hAnsi="Arial"/>
          <w:sz w:val="19"/>
          <w:szCs w:val="19"/>
          <w:color w:val="2A2A2A"/>
        </w:rPr>
      </w:pPr>
    </w:p>
    <w:p>
      <w:pPr>
        <w:jc w:val="both"/>
        <w:ind w:left="1540" w:hanging="627"/>
        <w:spacing w:after="0" w:line="313" w:lineRule="auto"/>
        <w:tabs>
          <w:tab w:leader="none" w:pos="1540" w:val="left"/>
        </w:tabs>
        <w:numPr>
          <w:ilvl w:val="0"/>
          <w:numId w:val="45"/>
        </w:numPr>
        <w:rPr>
          <w:rFonts w:ascii="Arial" w:cs="Arial" w:eastAsia="Arial" w:hAnsi="Arial"/>
          <w:sz w:val="20"/>
          <w:szCs w:val="20"/>
          <w:color w:val="2A2A2A"/>
        </w:rPr>
      </w:pPr>
      <w:r>
        <w:rPr>
          <w:rFonts w:ascii="Arial" w:cs="Arial" w:eastAsia="Arial" w:hAnsi="Arial"/>
          <w:sz w:val="18"/>
          <w:szCs w:val="18"/>
          <w:color w:val="2A2A2A"/>
        </w:rPr>
        <w:t>Notwithstanding anything to the contrary in the Plan, if and to the extent the Compensation Committee shall determine that the terms of the Plan may result in the failure of the Plan, or amounts deferred by or for any Participant under the Plan, to comply with the requirements of Code Section 409A, or any applicable regulations or guidance promulgated by the Secretary of the Treasury in connection therewith, the Compensation Committee shall have authority to take such action to amend, modify, cancel or terminate the Plan (effective with respect to all Employers) or distribute any or all of the amounts deferred by or for a Participant, as it deems necessary or advisable, including without limitation:</w:t>
      </w:r>
    </w:p>
    <w:p>
      <w:pPr>
        <w:spacing w:after="0" w:line="186" w:lineRule="exact"/>
        <w:rPr>
          <w:rFonts w:ascii="Arial" w:cs="Arial" w:eastAsia="Arial" w:hAnsi="Arial"/>
          <w:sz w:val="20"/>
          <w:szCs w:val="20"/>
          <w:color w:val="2A2A2A"/>
        </w:rPr>
      </w:pPr>
    </w:p>
    <w:p>
      <w:pPr>
        <w:jc w:val="both"/>
        <w:ind w:left="2180" w:hanging="633"/>
        <w:spacing w:after="0" w:line="284" w:lineRule="auto"/>
        <w:tabs>
          <w:tab w:leader="none" w:pos="2180" w:val="left"/>
        </w:tabs>
        <w:numPr>
          <w:ilvl w:val="1"/>
          <w:numId w:val="45"/>
        </w:numPr>
        <w:rPr>
          <w:rFonts w:ascii="Arial" w:cs="Arial" w:eastAsia="Arial" w:hAnsi="Arial"/>
          <w:sz w:val="20"/>
          <w:szCs w:val="20"/>
          <w:color w:val="2A2A2A"/>
        </w:rPr>
      </w:pPr>
      <w:r>
        <w:rPr>
          <w:rFonts w:ascii="Arial" w:cs="Arial" w:eastAsia="Arial" w:hAnsi="Arial"/>
          <w:sz w:val="19"/>
          <w:szCs w:val="19"/>
          <w:color w:val="2A2A2A"/>
        </w:rPr>
        <w:t>Any amendment or modification of the Plan to conform the Plan to the requirements of Code Section 409A or any regulations or other guidance thereunder (including, without limitation, any amendment or modification of the terms of any applicable to any Participant's Accounts regarding the timing or form of payment).</w:t>
      </w:r>
    </w:p>
    <w:p>
      <w:pPr>
        <w:spacing w:after="0" w:line="181" w:lineRule="exact"/>
        <w:rPr>
          <w:sz w:val="20"/>
          <w:szCs w:val="20"/>
          <w:color w:val="auto"/>
        </w:rPr>
      </w:pPr>
    </w:p>
    <w:p>
      <w:pPr>
        <w:ind w:left="2160" w:hanging="626"/>
        <w:spacing w:after="0" w:line="280" w:lineRule="auto"/>
        <w:tabs>
          <w:tab w:leader="none" w:pos="2160" w:val="left"/>
        </w:tabs>
        <w:numPr>
          <w:ilvl w:val="0"/>
          <w:numId w:val="46"/>
        </w:numPr>
        <w:rPr>
          <w:rFonts w:ascii="Arial" w:cs="Arial" w:eastAsia="Arial" w:hAnsi="Arial"/>
          <w:sz w:val="21"/>
          <w:szCs w:val="21"/>
          <w:color w:val="2A2A2A"/>
        </w:rPr>
      </w:pPr>
      <w:r>
        <w:rPr>
          <w:rFonts w:ascii="Arial" w:cs="Arial" w:eastAsia="Arial" w:hAnsi="Arial"/>
          <w:sz w:val="19"/>
          <w:szCs w:val="19"/>
          <w:color w:val="2A2A2A"/>
        </w:rPr>
        <w:t>Any cancellation or termination of any unvested interest in a Participant's Accounts without any payment to the Participant.</w:t>
      </w:r>
    </w:p>
    <w:p>
      <w:pPr>
        <w:spacing w:after="0" w:line="192" w:lineRule="exact"/>
        <w:rPr>
          <w:rFonts w:ascii="Arial" w:cs="Arial" w:eastAsia="Arial" w:hAnsi="Arial"/>
          <w:sz w:val="21"/>
          <w:szCs w:val="21"/>
          <w:color w:val="2A2A2A"/>
        </w:rPr>
      </w:pPr>
    </w:p>
    <w:p>
      <w:pPr>
        <w:ind w:left="2160" w:hanging="626"/>
        <w:spacing w:after="0" w:line="295" w:lineRule="auto"/>
        <w:tabs>
          <w:tab w:leader="none" w:pos="2160" w:val="left"/>
        </w:tabs>
        <w:numPr>
          <w:ilvl w:val="0"/>
          <w:numId w:val="46"/>
        </w:numPr>
        <w:rPr>
          <w:rFonts w:ascii="Arial" w:cs="Arial" w:eastAsia="Arial" w:hAnsi="Arial"/>
          <w:sz w:val="21"/>
          <w:szCs w:val="21"/>
          <w:color w:val="2A2A2A"/>
        </w:rPr>
      </w:pPr>
      <w:r>
        <w:rPr>
          <w:rFonts w:ascii="Arial" w:cs="Arial" w:eastAsia="Arial" w:hAnsi="Arial"/>
          <w:sz w:val="19"/>
          <w:szCs w:val="19"/>
          <w:color w:val="2A2A2A"/>
        </w:rPr>
        <w:t>Any cancellation or termination of any vested interest in any Participant's Accounts, with immediate payment to the Participant of the amount otherwise payable to such Participant.</w:t>
      </w:r>
    </w:p>
    <w:p>
      <w:pPr>
        <w:spacing w:after="0" w:line="190" w:lineRule="exact"/>
        <w:rPr>
          <w:rFonts w:ascii="Arial" w:cs="Arial" w:eastAsia="Arial" w:hAnsi="Arial"/>
          <w:sz w:val="21"/>
          <w:szCs w:val="21"/>
          <w:color w:val="2A2A2A"/>
        </w:rPr>
      </w:pPr>
    </w:p>
    <w:p>
      <w:pPr>
        <w:ind w:left="2160" w:hanging="626"/>
        <w:spacing w:after="0" w:line="295" w:lineRule="auto"/>
        <w:tabs>
          <w:tab w:leader="none" w:pos="2160" w:val="left"/>
        </w:tabs>
        <w:numPr>
          <w:ilvl w:val="0"/>
          <w:numId w:val="46"/>
        </w:numPr>
        <w:rPr>
          <w:rFonts w:ascii="Arial" w:cs="Arial" w:eastAsia="Arial" w:hAnsi="Arial"/>
          <w:sz w:val="21"/>
          <w:szCs w:val="21"/>
          <w:color w:val="2A2A2A"/>
        </w:rPr>
      </w:pPr>
      <w:r>
        <w:rPr>
          <w:rFonts w:ascii="Arial" w:cs="Arial" w:eastAsia="Arial" w:hAnsi="Arial"/>
          <w:sz w:val="19"/>
          <w:szCs w:val="19"/>
          <w:color w:val="2A2A2A"/>
        </w:rPr>
        <w:t>Any such amendment, modification, cancellation, or termination of the Plan that may adversely affect the rights of a Participant without the Participant's consent.</w:t>
      </w:r>
    </w:p>
    <w:p>
      <w:pPr>
        <w:spacing w:after="0" w:line="200" w:lineRule="exact"/>
        <w:rPr>
          <w:sz w:val="20"/>
          <w:szCs w:val="20"/>
          <w:color w:val="auto"/>
        </w:rPr>
      </w:pPr>
    </w:p>
    <w:p>
      <w:pPr>
        <w:spacing w:after="0" w:line="210"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2A2A2A"/>
        </w:rPr>
        <w:t xml:space="preserve">ARTICLE </w:t>
      </w:r>
      <w:r>
        <w:rPr>
          <w:rFonts w:ascii="Arial" w:cs="Arial" w:eastAsia="Arial" w:hAnsi="Arial"/>
          <w:sz w:val="21"/>
          <w:szCs w:val="21"/>
          <w:color w:val="2A2A2A"/>
        </w:rPr>
        <w:t>XI</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21"/>
          <w:szCs w:val="21"/>
          <w:i w:val="1"/>
          <w:iCs w:val="1"/>
          <w:color w:val="2A2A2A"/>
        </w:rPr>
        <w:t>Informal Funding</w:t>
      </w:r>
    </w:p>
    <w:p>
      <w:pPr>
        <w:spacing w:after="0" w:line="231" w:lineRule="exact"/>
        <w:rPr>
          <w:sz w:val="20"/>
          <w:szCs w:val="20"/>
          <w:color w:val="auto"/>
        </w:rPr>
      </w:pPr>
    </w:p>
    <w:p>
      <w:pPr>
        <w:jc w:val="both"/>
        <w:ind w:left="840" w:hanging="633"/>
        <w:spacing w:after="0" w:line="270" w:lineRule="auto"/>
        <w:tabs>
          <w:tab w:leader="none" w:pos="820" w:val="left"/>
        </w:tabs>
        <w:rPr>
          <w:sz w:val="20"/>
          <w:szCs w:val="20"/>
          <w:color w:val="auto"/>
        </w:rPr>
      </w:pPr>
      <w:r>
        <w:rPr>
          <w:rFonts w:ascii="Arial" w:cs="Arial" w:eastAsia="Arial" w:hAnsi="Arial"/>
          <w:sz w:val="19"/>
          <w:szCs w:val="19"/>
          <w:color w:val="2A2A2A"/>
        </w:rPr>
        <w:t>11.1</w:t>
      </w:r>
      <w:r>
        <w:rPr>
          <w:sz w:val="20"/>
          <w:szCs w:val="20"/>
          <w:color w:val="auto"/>
        </w:rPr>
        <w:tab/>
      </w:r>
      <w:r>
        <w:rPr>
          <w:rFonts w:ascii="Arial" w:cs="Arial" w:eastAsia="Arial" w:hAnsi="Arial"/>
          <w:sz w:val="19"/>
          <w:szCs w:val="19"/>
          <w:u w:val="single" w:color="auto"/>
          <w:color w:val="464646"/>
        </w:rPr>
        <w:t>Genera</w:t>
      </w:r>
      <w:r>
        <w:rPr>
          <w:rFonts w:ascii="Arial" w:cs="Arial" w:eastAsia="Arial" w:hAnsi="Arial"/>
          <w:sz w:val="19"/>
          <w:szCs w:val="19"/>
          <w:u w:val="single" w:color="auto"/>
          <w:color w:val="2A2A2A"/>
        </w:rPr>
        <w:t>l</w:t>
      </w:r>
      <w:r>
        <w:rPr>
          <w:rFonts w:ascii="Arial" w:cs="Arial" w:eastAsia="Arial" w:hAnsi="Arial"/>
          <w:sz w:val="19"/>
          <w:szCs w:val="19"/>
          <w:u w:val="single" w:color="auto"/>
          <w:color w:val="464646"/>
        </w:rPr>
        <w:t xml:space="preserve"> Assets</w:t>
      </w:r>
      <w:r>
        <w:rPr>
          <w:rFonts w:ascii="Arial" w:cs="Arial" w:eastAsia="Arial" w:hAnsi="Arial"/>
          <w:sz w:val="19"/>
          <w:szCs w:val="19"/>
          <w:color w:val="2A2A2A"/>
        </w:rPr>
        <w:t>. Obligations established under the terms of the Plan may be satisfied from the general funds of the</w:t>
      </w:r>
      <w:r>
        <w:rPr>
          <w:rFonts w:ascii="Arial" w:cs="Arial" w:eastAsia="Arial" w:hAnsi="Arial"/>
          <w:sz w:val="19"/>
          <w:szCs w:val="19"/>
          <w:u w:val="single" w:color="auto"/>
          <w:color w:val="464646"/>
        </w:rPr>
        <w:t xml:space="preserve"> </w:t>
      </w:r>
      <w:r>
        <w:rPr>
          <w:rFonts w:ascii="Arial" w:cs="Arial" w:eastAsia="Arial" w:hAnsi="Arial"/>
          <w:sz w:val="19"/>
          <w:szCs w:val="19"/>
          <w:color w:val="2A2A2A"/>
        </w:rPr>
        <w:t>Participating Employers, or a trust described in this Article XI. No Participant, spouse or Beneficiary shall have any right, title or interest whatever in any assets of the Participating Employers. Nothing contained in this Plan, and no action taken pursuant to its provisions, shall create or be construed to create a trust of any kind, or a fiduciary relationship, between the Participating Employers and any Employee, Director, spouse, or Beneficiary. To the extent that any person acquires a right to receive payments hereunder, such rights are no greater than the right of an unsecured general creditor of the Participating Employers.</w:t>
      </w:r>
    </w:p>
    <w:p>
      <w:pPr>
        <w:spacing w:after="0" w:line="196" w:lineRule="exact"/>
        <w:rPr>
          <w:sz w:val="20"/>
          <w:szCs w:val="20"/>
          <w:color w:val="auto"/>
        </w:rPr>
      </w:pPr>
    </w:p>
    <w:p>
      <w:pPr>
        <w:jc w:val="both"/>
        <w:ind w:left="840" w:hanging="638"/>
        <w:spacing w:after="0" w:line="290" w:lineRule="auto"/>
        <w:tabs>
          <w:tab w:leader="none" w:pos="820" w:val="left"/>
        </w:tabs>
        <w:rPr>
          <w:sz w:val="20"/>
          <w:szCs w:val="20"/>
          <w:color w:val="auto"/>
        </w:rPr>
      </w:pPr>
      <w:r>
        <w:rPr>
          <w:rFonts w:ascii="Arial" w:cs="Arial" w:eastAsia="Arial" w:hAnsi="Arial"/>
          <w:sz w:val="19"/>
          <w:szCs w:val="19"/>
          <w:color w:val="2A2A2A"/>
        </w:rPr>
        <w:t>11.2</w:t>
      </w:r>
      <w:r>
        <w:rPr>
          <w:sz w:val="20"/>
          <w:szCs w:val="20"/>
          <w:color w:val="auto"/>
        </w:rPr>
        <w:tab/>
      </w:r>
      <w:r>
        <w:rPr>
          <w:rFonts w:ascii="Arial" w:cs="Arial" w:eastAsia="Arial" w:hAnsi="Arial"/>
          <w:sz w:val="19"/>
          <w:szCs w:val="19"/>
          <w:u w:val="single" w:color="auto"/>
          <w:color w:val="2A2A2A"/>
        </w:rPr>
        <w:t>Rabbi Trust</w:t>
      </w:r>
      <w:r>
        <w:rPr>
          <w:rFonts w:ascii="Arial" w:cs="Arial" w:eastAsia="Arial" w:hAnsi="Arial"/>
          <w:sz w:val="19"/>
          <w:szCs w:val="19"/>
          <w:color w:val="2A2A2A"/>
        </w:rPr>
        <w:t>. A Participating Employer may, in its sole discretion, establish a grantor trust, commonly known as a rabbi</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trust, as a vehicle for accumulating assets to pay benefits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880"/>
        <w:spacing w:after="0" w:line="278" w:lineRule="auto"/>
        <w:rPr>
          <w:sz w:val="20"/>
          <w:szCs w:val="20"/>
          <w:color w:val="auto"/>
        </w:rPr>
      </w:pPr>
      <w:r>
        <w:rPr>
          <w:rFonts w:ascii="Arial" w:cs="Arial" w:eastAsia="Arial" w:hAnsi="Arial"/>
          <w:sz w:val="19"/>
          <w:szCs w:val="19"/>
          <w:color w:val="2A2A2A"/>
        </w:rPr>
        <w:t>the Plan. Payments under the Plan may be paid from the general assets of the Participating Employers or from the assets of any such rabbi trust. Payment from any such source shall reduce the obligation owed to the Participant or Beneficiary under the Plan.</w:t>
      </w:r>
    </w:p>
    <w:p>
      <w:pPr>
        <w:sectPr>
          <w:pgSz w:w="11900" w:h="16857" w:orient="portrait"/>
          <w:cols w:equalWidth="0" w:num="1">
            <w:col w:w="10120"/>
          </w:cols>
          <w:pgMar w:left="1440" w:top="136" w:right="339"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960"/>
        <w:spacing w:after="0"/>
        <w:rPr>
          <w:sz w:val="20"/>
          <w:szCs w:val="20"/>
          <w:color w:val="auto"/>
        </w:rPr>
      </w:pPr>
      <w:r>
        <w:rPr>
          <w:rFonts w:ascii="Arial" w:cs="Arial" w:eastAsia="Arial" w:hAnsi="Arial"/>
          <w:sz w:val="21"/>
          <w:szCs w:val="21"/>
          <w:b w:val="1"/>
          <w:bCs w:val="1"/>
          <w:color w:val="2A2A2A"/>
        </w:rPr>
        <w:t>ARTICLE XII</w:t>
      </w:r>
    </w:p>
    <w:p>
      <w:pPr>
        <w:sectPr>
          <w:pgSz w:w="11900" w:h="16857" w:orient="portrait"/>
          <w:cols w:equalWidth="0" w:num="1">
            <w:col w:w="10120"/>
          </w:cols>
          <w:pgMar w:left="1440" w:top="136" w:right="339" w:bottom="0" w:gutter="0" w:footer="0" w:header="0"/>
          <w:type w:val="continuous"/>
        </w:sectPr>
      </w:pPr>
    </w:p>
    <w:bookmarkStart w:id="67" w:name="page68"/>
    <w:bookmarkEnd w:id="67"/>
    <w:p>
      <w:pPr>
        <w:spacing w:after="0" w:line="109" w:lineRule="exact"/>
        <w:rPr>
          <w:sz w:val="20"/>
          <w:szCs w:val="20"/>
          <w:color w:val="auto"/>
        </w:rPr>
      </w:pPr>
    </w:p>
    <w:p>
      <w:pPr>
        <w:ind w:left="4220"/>
        <w:spacing w:after="0"/>
        <w:rPr>
          <w:sz w:val="20"/>
          <w:szCs w:val="20"/>
          <w:color w:val="auto"/>
        </w:rPr>
      </w:pPr>
      <w:r>
        <w:rPr>
          <w:rFonts w:ascii="Arial" w:cs="Arial" w:eastAsia="Arial" w:hAnsi="Arial"/>
          <w:sz w:val="20"/>
          <w:szCs w:val="20"/>
          <w:i w:val="1"/>
          <w:iCs w:val="1"/>
          <w:color w:val="2A2A2A"/>
        </w:rPr>
        <w:t>Claims</w:t>
      </w:r>
    </w:p>
    <w:p>
      <w:pPr>
        <w:spacing w:after="0" w:line="277" w:lineRule="exact"/>
        <w:rPr>
          <w:sz w:val="20"/>
          <w:szCs w:val="20"/>
          <w:color w:val="auto"/>
        </w:rPr>
      </w:pPr>
    </w:p>
    <w:p>
      <w:pPr>
        <w:jc w:val="both"/>
        <w:ind w:left="860" w:hanging="607"/>
        <w:spacing w:after="0" w:line="274" w:lineRule="auto"/>
        <w:tabs>
          <w:tab w:leader="none" w:pos="840" w:val="left"/>
        </w:tabs>
        <w:rPr>
          <w:sz w:val="20"/>
          <w:szCs w:val="20"/>
          <w:color w:val="auto"/>
        </w:rPr>
      </w:pPr>
      <w:r>
        <w:rPr>
          <w:rFonts w:ascii="Arial" w:cs="Arial" w:eastAsia="Arial" w:hAnsi="Arial"/>
          <w:sz w:val="19"/>
          <w:szCs w:val="19"/>
          <w:color w:val="2A2A2A"/>
        </w:rPr>
        <w:t>12.1</w:t>
      </w:r>
      <w:r>
        <w:rPr>
          <w:sz w:val="20"/>
          <w:szCs w:val="20"/>
          <w:color w:val="auto"/>
        </w:rPr>
        <w:tab/>
      </w:r>
      <w:r>
        <w:rPr>
          <w:rFonts w:ascii="Arial" w:cs="Arial" w:eastAsia="Arial" w:hAnsi="Arial"/>
          <w:sz w:val="19"/>
          <w:szCs w:val="19"/>
          <w:u w:val="single" w:color="auto"/>
          <w:color w:val="3F3F3F"/>
        </w:rPr>
        <w:t>Claim Procedure</w:t>
      </w:r>
      <w:r>
        <w:rPr>
          <w:rFonts w:ascii="Arial" w:cs="Arial" w:eastAsia="Arial" w:hAnsi="Arial"/>
          <w:sz w:val="19"/>
          <w:szCs w:val="19"/>
          <w:color w:val="3F3F3F"/>
        </w:rPr>
        <w:t>.</w:t>
      </w:r>
      <w:r>
        <w:rPr>
          <w:rFonts w:ascii="Arial" w:cs="Arial" w:eastAsia="Arial" w:hAnsi="Arial"/>
          <w:sz w:val="19"/>
          <w:szCs w:val="19"/>
          <w:u w:val="single" w:color="auto"/>
          <w:color w:val="3F3F3F"/>
        </w:rPr>
        <w:t xml:space="preserve"> </w:t>
      </w:r>
      <w:r>
        <w:rPr>
          <w:rFonts w:ascii="Arial" w:cs="Arial" w:eastAsia="Arial" w:hAnsi="Arial"/>
          <w:sz w:val="19"/>
          <w:szCs w:val="19"/>
          <w:color w:val="2A2A2A"/>
        </w:rPr>
        <w:t>A Participant or a beneficiary (the "Claimant") must file with the Committee a written claim for benefits</w:t>
      </w:r>
      <w:r>
        <w:rPr>
          <w:rFonts w:ascii="Arial" w:cs="Arial" w:eastAsia="Arial" w:hAnsi="Arial"/>
          <w:sz w:val="19"/>
          <w:szCs w:val="19"/>
          <w:u w:val="single" w:color="auto"/>
          <w:color w:val="3F3F3F"/>
        </w:rPr>
        <w:t xml:space="preserve"> </w:t>
      </w:r>
      <w:r>
        <w:rPr>
          <w:rFonts w:ascii="Arial" w:cs="Arial" w:eastAsia="Arial" w:hAnsi="Arial"/>
          <w:sz w:val="19"/>
          <w:szCs w:val="19"/>
          <w:color w:val="2A2A2A"/>
        </w:rPr>
        <w:t>if the Claimant believes he or she has not received the benefits he or she is entitled to receive. Any such claim must be filed within 90 days after the first date the Claimant knew or should have known of such a failure. Any claim filed after such time will be untimely.</w:t>
      </w:r>
    </w:p>
    <w:p>
      <w:pPr>
        <w:spacing w:after="0" w:line="182" w:lineRule="exact"/>
        <w:rPr>
          <w:sz w:val="20"/>
          <w:szCs w:val="20"/>
          <w:color w:val="auto"/>
        </w:rPr>
      </w:pPr>
    </w:p>
    <w:p>
      <w:pPr>
        <w:jc w:val="both"/>
        <w:ind w:left="1520" w:hanging="634"/>
        <w:spacing w:after="0" w:line="321" w:lineRule="auto"/>
        <w:tabs>
          <w:tab w:leader="none" w:pos="1502" w:val="left"/>
        </w:tabs>
        <w:numPr>
          <w:ilvl w:val="1"/>
          <w:numId w:val="47"/>
        </w:numPr>
        <w:rPr>
          <w:rFonts w:ascii="Arial" w:cs="Arial" w:eastAsia="Arial" w:hAnsi="Arial"/>
          <w:sz w:val="18"/>
          <w:szCs w:val="18"/>
          <w:color w:val="2A2A2A"/>
        </w:rPr>
      </w:pPr>
      <w:r>
        <w:rPr>
          <w:rFonts w:ascii="Arial" w:cs="Arial" w:eastAsia="Arial" w:hAnsi="Arial"/>
          <w:sz w:val="19"/>
          <w:szCs w:val="19"/>
          <w:i w:val="1"/>
          <w:iCs w:val="1"/>
          <w:color w:val="2A2A2A"/>
        </w:rPr>
        <w:t xml:space="preserve">In General. </w:t>
      </w:r>
      <w:r>
        <w:rPr>
          <w:rFonts w:ascii="Arial" w:cs="Arial" w:eastAsia="Arial" w:hAnsi="Arial"/>
          <w:sz w:val="17"/>
          <w:szCs w:val="17"/>
          <w:color w:val="2A2A2A"/>
        </w:rPr>
        <w:t>The Committee must render a decision on the claim within 90 days of the Claimant's written claim</w:t>
      </w:r>
      <w:r>
        <w:rPr>
          <w:rFonts w:ascii="Arial" w:cs="Arial" w:eastAsia="Arial" w:hAnsi="Arial"/>
          <w:sz w:val="19"/>
          <w:szCs w:val="19"/>
          <w:i w:val="1"/>
          <w:iCs w:val="1"/>
          <w:color w:val="2A2A2A"/>
        </w:rPr>
        <w:t xml:space="preserve"> </w:t>
      </w:r>
      <w:r>
        <w:rPr>
          <w:rFonts w:ascii="Arial" w:cs="Arial" w:eastAsia="Arial" w:hAnsi="Arial"/>
          <w:sz w:val="17"/>
          <w:szCs w:val="17"/>
          <w:color w:val="2A2A2A"/>
        </w:rPr>
        <w:t xml:space="preserve">for benefits, provided that the Committee, in its discretion, may determine that an additional 90-day extension is warranted if it needs additional time to review the claim due to matters beyond the control of the Committee. </w:t>
      </w:r>
      <w:r>
        <w:rPr>
          <w:rFonts w:ascii="Arial" w:cs="Arial" w:eastAsia="Arial" w:hAnsi="Arial"/>
          <w:sz w:val="16"/>
          <w:szCs w:val="16"/>
          <w:color w:val="2A2A2A"/>
        </w:rPr>
        <w:t>In</w:t>
      </w:r>
      <w:r>
        <w:rPr>
          <w:rFonts w:ascii="Arial" w:cs="Arial" w:eastAsia="Arial" w:hAnsi="Arial"/>
          <w:sz w:val="17"/>
          <w:szCs w:val="17"/>
          <w:color w:val="2A2A2A"/>
        </w:rPr>
        <w:t xml:space="preserve"> such event, the Committee shall notify the Claimant prior to the end of the initial period that an extension is needed, the reason therefore and the date by which the Committee expects to render a decision.</w:t>
      </w:r>
    </w:p>
    <w:p>
      <w:pPr>
        <w:spacing w:after="0" w:line="133" w:lineRule="exact"/>
        <w:rPr>
          <w:rFonts w:ascii="Arial" w:cs="Arial" w:eastAsia="Arial" w:hAnsi="Arial"/>
          <w:sz w:val="18"/>
          <w:szCs w:val="18"/>
          <w:color w:val="2A2A2A"/>
        </w:rPr>
      </w:pPr>
    </w:p>
    <w:p>
      <w:pPr>
        <w:jc w:val="both"/>
        <w:ind w:left="1480" w:hanging="648"/>
        <w:spacing w:after="0" w:line="314" w:lineRule="auto"/>
        <w:tabs>
          <w:tab w:leader="none" w:pos="1480" w:val="left"/>
        </w:tabs>
        <w:numPr>
          <w:ilvl w:val="0"/>
          <w:numId w:val="48"/>
        </w:numPr>
        <w:rPr>
          <w:rFonts w:ascii="Arial" w:cs="Arial" w:eastAsia="Arial" w:hAnsi="Arial"/>
          <w:sz w:val="18"/>
          <w:szCs w:val="18"/>
          <w:color w:val="2A2A2A"/>
        </w:rPr>
      </w:pPr>
      <w:r>
        <w:rPr>
          <w:rFonts w:ascii="Arial" w:cs="Arial" w:eastAsia="Arial" w:hAnsi="Arial"/>
          <w:sz w:val="19"/>
          <w:szCs w:val="19"/>
          <w:i w:val="1"/>
          <w:iCs w:val="1"/>
          <w:color w:val="2A2A2A"/>
        </w:rPr>
        <w:t xml:space="preserve">Disability Benefits. </w:t>
      </w:r>
      <w:r>
        <w:rPr>
          <w:rFonts w:ascii="Arial" w:cs="Arial" w:eastAsia="Arial" w:hAnsi="Arial"/>
          <w:sz w:val="17"/>
          <w:szCs w:val="17"/>
          <w:color w:val="2A2A2A"/>
        </w:rPr>
        <w:t>Notice of denial of a Disability Benefit will be provided within 45 days of the Committee's</w:t>
      </w:r>
      <w:r>
        <w:rPr>
          <w:rFonts w:ascii="Arial" w:cs="Arial" w:eastAsia="Arial" w:hAnsi="Arial"/>
          <w:sz w:val="19"/>
          <w:szCs w:val="19"/>
          <w:i w:val="1"/>
          <w:iCs w:val="1"/>
          <w:color w:val="2A2A2A"/>
        </w:rPr>
        <w:t xml:space="preserve"> </w:t>
      </w:r>
      <w:r>
        <w:rPr>
          <w:rFonts w:ascii="Arial" w:cs="Arial" w:eastAsia="Arial" w:hAnsi="Arial"/>
          <w:sz w:val="17"/>
          <w:szCs w:val="17"/>
          <w:color w:val="2A2A2A"/>
        </w:rPr>
        <w:t>receipt of the Claimant's claim for a Disability Benefit. If the Committee determines that it needs additional time to review the Disability claim, the Committee will provide the Claimant with a notice of the extension before the end of the initial 45 day period. Such extension period may not exceed 30 days. If the Committee determines that a decision cannot be made within the first extension period due to matters beyond the control of the Committee, the time period for making a determination may be further extended for an additional 30 days. If such an additional extension is necessary, the Committee shall notify the Claimant prior to the expiration of the initial 30 day extension. Any notice of extension shall indicate the circumstances necessitating the extension of time, the date by which the Committee expects to furnish a notice of decision, the specific standards on which such entitlement to a benefit is based, the unresolved issues that prevent a decision on the claim and any additional information needed to resolve those issues. A Claimant will be provided a minimum of 45 days to submit any necessary additional information to the Committee. In the event that a 30 day extension is necessary due to a Claimant's failure to submit information necessary to decide a claim, the period for furnishing a notice of decision shall be tolled from the date on which the notice of the extension is sent to the Claimant until the earlier of the date the Claimant responds to the request for additional information or the response deadline.</w:t>
      </w:r>
    </w:p>
    <w:p>
      <w:pPr>
        <w:spacing w:after="0" w:line="113" w:lineRule="exact"/>
        <w:rPr>
          <w:rFonts w:ascii="Arial" w:cs="Arial" w:eastAsia="Arial" w:hAnsi="Arial"/>
          <w:sz w:val="18"/>
          <w:szCs w:val="18"/>
          <w:color w:val="2A2A2A"/>
        </w:rPr>
      </w:pPr>
    </w:p>
    <w:p>
      <w:pPr>
        <w:ind w:left="1480" w:hanging="648"/>
        <w:spacing w:after="0" w:line="272" w:lineRule="auto"/>
        <w:tabs>
          <w:tab w:leader="none" w:pos="1480" w:val="left"/>
        </w:tabs>
        <w:numPr>
          <w:ilvl w:val="0"/>
          <w:numId w:val="48"/>
        </w:numPr>
        <w:rPr>
          <w:rFonts w:ascii="Arial" w:cs="Arial" w:eastAsia="Arial" w:hAnsi="Arial"/>
          <w:sz w:val="19"/>
          <w:szCs w:val="19"/>
          <w:color w:val="2A2A2A"/>
        </w:rPr>
      </w:pPr>
      <w:r>
        <w:rPr>
          <w:rFonts w:ascii="Arial" w:cs="Arial" w:eastAsia="Arial" w:hAnsi="Arial"/>
          <w:sz w:val="20"/>
          <w:szCs w:val="20"/>
          <w:i w:val="1"/>
          <w:iCs w:val="1"/>
          <w:color w:val="2A2A2A"/>
        </w:rPr>
        <w:t xml:space="preserve">Contents of Notice. </w:t>
      </w:r>
      <w:r>
        <w:rPr>
          <w:rFonts w:ascii="Arial" w:cs="Arial" w:eastAsia="Arial" w:hAnsi="Arial"/>
          <w:sz w:val="18"/>
          <w:szCs w:val="18"/>
          <w:color w:val="2A2A2A"/>
        </w:rPr>
        <w:t>If a Claimant's request for benefits is denied, the notice of denial shall be in writing and shall</w:t>
      </w:r>
      <w:r>
        <w:rPr>
          <w:rFonts w:ascii="Arial" w:cs="Arial" w:eastAsia="Arial" w:hAnsi="Arial"/>
          <w:sz w:val="20"/>
          <w:szCs w:val="20"/>
          <w:i w:val="1"/>
          <w:iCs w:val="1"/>
          <w:color w:val="2A2A2A"/>
        </w:rPr>
        <w:t xml:space="preserve"> </w:t>
      </w:r>
      <w:r>
        <w:rPr>
          <w:rFonts w:ascii="Arial" w:cs="Arial" w:eastAsia="Arial" w:hAnsi="Arial"/>
          <w:sz w:val="18"/>
          <w:szCs w:val="18"/>
          <w:color w:val="2A2A2A"/>
        </w:rPr>
        <w:t>contain the following information:</w:t>
      </w:r>
    </w:p>
    <w:p>
      <w:pPr>
        <w:spacing w:after="0" w:line="188" w:lineRule="exact"/>
        <w:rPr>
          <w:rFonts w:ascii="Arial" w:cs="Arial" w:eastAsia="Arial" w:hAnsi="Arial"/>
          <w:sz w:val="19"/>
          <w:szCs w:val="19"/>
          <w:color w:val="2A2A2A"/>
        </w:rPr>
      </w:pPr>
    </w:p>
    <w:p>
      <w:pPr>
        <w:ind w:left="2100" w:hanging="607"/>
        <w:spacing w:after="0"/>
        <w:tabs>
          <w:tab w:leader="none" w:pos="2100" w:val="left"/>
        </w:tabs>
        <w:numPr>
          <w:ilvl w:val="2"/>
          <w:numId w:val="48"/>
        </w:numPr>
        <w:rPr>
          <w:rFonts w:ascii="Arial" w:cs="Arial" w:eastAsia="Arial" w:hAnsi="Arial"/>
          <w:sz w:val="19"/>
          <w:szCs w:val="19"/>
          <w:color w:val="2A2A2A"/>
        </w:rPr>
      </w:pPr>
      <w:r>
        <w:rPr>
          <w:rFonts w:ascii="Arial" w:cs="Arial" w:eastAsia="Arial" w:hAnsi="Arial"/>
          <w:sz w:val="19"/>
          <w:szCs w:val="19"/>
          <w:color w:val="2A2A2A"/>
        </w:rPr>
        <w:t>The specific reason or reasons for the denial in plain language;</w:t>
      </w:r>
    </w:p>
    <w:p>
      <w:pPr>
        <w:spacing w:after="0" w:line="306" w:lineRule="exact"/>
        <w:rPr>
          <w:rFonts w:ascii="Arial" w:cs="Arial" w:eastAsia="Arial" w:hAnsi="Arial"/>
          <w:sz w:val="19"/>
          <w:szCs w:val="19"/>
          <w:color w:val="2A2A2A"/>
        </w:rPr>
      </w:pPr>
    </w:p>
    <w:p>
      <w:pPr>
        <w:ind w:left="2180" w:hanging="619"/>
        <w:spacing w:after="0"/>
        <w:tabs>
          <w:tab w:leader="none" w:pos="2180" w:val="left"/>
        </w:tabs>
        <w:numPr>
          <w:ilvl w:val="3"/>
          <w:numId w:val="48"/>
        </w:numPr>
        <w:rPr>
          <w:rFonts w:ascii="Arial" w:cs="Arial" w:eastAsia="Arial" w:hAnsi="Arial"/>
          <w:sz w:val="21"/>
          <w:szCs w:val="21"/>
          <w:color w:val="2A2A2A"/>
        </w:rPr>
      </w:pPr>
      <w:r>
        <w:rPr>
          <w:rFonts w:ascii="Arial" w:cs="Arial" w:eastAsia="Arial" w:hAnsi="Arial"/>
          <w:sz w:val="19"/>
          <w:szCs w:val="19"/>
          <w:color w:val="2A2A2A"/>
        </w:rPr>
        <w:t>A specific reference to the pertinent Plan provisions on which the denial is based;</w:t>
      </w:r>
    </w:p>
    <w:p>
      <w:pPr>
        <w:spacing w:after="0" w:line="232" w:lineRule="exact"/>
        <w:rPr>
          <w:rFonts w:ascii="Arial" w:cs="Arial" w:eastAsia="Arial" w:hAnsi="Arial"/>
          <w:sz w:val="21"/>
          <w:szCs w:val="21"/>
          <w:color w:val="2A2A2A"/>
        </w:rPr>
      </w:pPr>
    </w:p>
    <w:p>
      <w:pPr>
        <w:ind w:left="2220" w:hanging="632"/>
        <w:spacing w:after="0" w:line="295" w:lineRule="auto"/>
        <w:tabs>
          <w:tab w:leader="none" w:pos="2202" w:val="left"/>
        </w:tabs>
        <w:numPr>
          <w:ilvl w:val="4"/>
          <w:numId w:val="48"/>
        </w:numPr>
        <w:rPr>
          <w:rFonts w:ascii="Arial" w:cs="Arial" w:eastAsia="Arial" w:hAnsi="Arial"/>
          <w:sz w:val="21"/>
          <w:szCs w:val="21"/>
          <w:color w:val="2A2A2A"/>
        </w:rPr>
      </w:pPr>
      <w:r>
        <w:rPr>
          <w:rFonts w:ascii="Arial" w:cs="Arial" w:eastAsia="Arial" w:hAnsi="Arial"/>
          <w:sz w:val="19"/>
          <w:szCs w:val="19"/>
          <w:color w:val="2A2A2A"/>
        </w:rPr>
        <w:t>A description of any additional material or information necessary for the Claimant to perfect the claim and an explanation of why such material or information is necessary;</w:t>
      </w:r>
    </w:p>
    <w:p>
      <w:pPr>
        <w:spacing w:after="0" w:line="191" w:lineRule="exact"/>
        <w:rPr>
          <w:sz w:val="20"/>
          <w:szCs w:val="20"/>
          <w:color w:val="auto"/>
        </w:rPr>
      </w:pPr>
    </w:p>
    <w:p>
      <w:pPr>
        <w:ind w:left="2180" w:hanging="619"/>
        <w:spacing w:after="0"/>
        <w:tabs>
          <w:tab w:leader="none" w:pos="2180" w:val="left"/>
        </w:tabs>
        <w:numPr>
          <w:ilvl w:val="0"/>
          <w:numId w:val="49"/>
        </w:numPr>
        <w:rPr>
          <w:rFonts w:ascii="Arial" w:cs="Arial" w:eastAsia="Arial" w:hAnsi="Arial"/>
          <w:sz w:val="17"/>
          <w:szCs w:val="17"/>
          <w:color w:val="2A2A2A"/>
        </w:rPr>
      </w:pPr>
      <w:r>
        <w:rPr>
          <w:rFonts w:ascii="Arial" w:cs="Arial" w:eastAsia="Arial" w:hAnsi="Arial"/>
          <w:sz w:val="17"/>
          <w:szCs w:val="17"/>
          <w:color w:val="2A2A2A"/>
        </w:rPr>
        <w:t>An explanation of the claims review procedures and the time limits applicable to such procedures; and</w:t>
      </w:r>
    </w:p>
    <w:p>
      <w:pPr>
        <w:spacing w:after="0" w:line="263" w:lineRule="exact"/>
        <w:rPr>
          <w:rFonts w:ascii="Arial" w:cs="Arial" w:eastAsia="Arial" w:hAnsi="Arial"/>
          <w:sz w:val="17"/>
          <w:szCs w:val="17"/>
          <w:color w:val="2A2A2A"/>
        </w:rPr>
      </w:pPr>
    </w:p>
    <w:p>
      <w:pPr>
        <w:ind w:left="2200" w:hanging="639"/>
        <w:spacing w:after="0" w:line="305" w:lineRule="auto"/>
        <w:tabs>
          <w:tab w:leader="none" w:pos="2182" w:val="left"/>
        </w:tabs>
        <w:numPr>
          <w:ilvl w:val="0"/>
          <w:numId w:val="49"/>
        </w:numPr>
        <w:rPr>
          <w:rFonts w:ascii="Arial" w:cs="Arial" w:eastAsia="Arial" w:hAnsi="Arial"/>
          <w:sz w:val="19"/>
          <w:szCs w:val="19"/>
          <w:color w:val="2A2A2A"/>
        </w:rPr>
      </w:pPr>
      <w:r>
        <w:rPr>
          <w:rFonts w:ascii="Arial" w:cs="Arial" w:eastAsia="Arial" w:hAnsi="Arial"/>
          <w:sz w:val="19"/>
          <w:szCs w:val="19"/>
          <w:color w:val="2A2A2A"/>
        </w:rPr>
        <w:t>A statement of the Claimant's right to bring a civil action under Section 502(a) of ERISA following an adverse determination upon review.</w:t>
      </w:r>
    </w:p>
    <w:p>
      <w:pPr>
        <w:spacing w:after="0" w:line="160" w:lineRule="exact"/>
        <w:rPr>
          <w:rFonts w:ascii="Arial" w:cs="Arial" w:eastAsia="Arial" w:hAnsi="Arial"/>
          <w:sz w:val="19"/>
          <w:szCs w:val="19"/>
          <w:color w:val="2A2A2A"/>
        </w:rPr>
      </w:pPr>
    </w:p>
    <w:p>
      <w:pPr>
        <w:jc w:val="both"/>
        <w:ind w:left="2180" w:hanging="619"/>
        <w:spacing w:after="0" w:line="289" w:lineRule="auto"/>
        <w:tabs>
          <w:tab w:leader="none" w:pos="2180" w:val="left"/>
        </w:tabs>
        <w:numPr>
          <w:ilvl w:val="0"/>
          <w:numId w:val="49"/>
        </w:numPr>
        <w:rPr>
          <w:rFonts w:ascii="Arial" w:cs="Arial" w:eastAsia="Arial" w:hAnsi="Arial"/>
          <w:sz w:val="19"/>
          <w:szCs w:val="19"/>
          <w:color w:val="2A2A2A"/>
        </w:rPr>
      </w:pPr>
      <w:r>
        <w:rPr>
          <w:rFonts w:ascii="Arial" w:cs="Arial" w:eastAsia="Arial" w:hAnsi="Arial"/>
          <w:sz w:val="18"/>
          <w:szCs w:val="18"/>
          <w:color w:val="2A2A2A"/>
        </w:rPr>
        <w:t>In the case of a complete or partial denial of a Disability benefit claim, the notice shall provide a statement that the Committee will provide to the Claimant, upon request and free of charge, a copy of any internal rule, guideline, protocol or other similar criterion that was relied upon in making the decision.</w:t>
      </w:r>
    </w:p>
    <w:p>
      <w:pPr>
        <w:spacing w:after="0" w:line="164"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9"/>
          <w:szCs w:val="19"/>
          <w:color w:val="2A2A2A"/>
        </w:rPr>
        <w:t>12.2</w:t>
      </w:r>
      <w:r>
        <w:rPr>
          <w:sz w:val="20"/>
          <w:szCs w:val="20"/>
          <w:color w:val="auto"/>
        </w:rPr>
        <w:tab/>
      </w:r>
      <w:r>
        <w:rPr>
          <w:rFonts w:ascii="Arial" w:cs="Arial" w:eastAsia="Arial" w:hAnsi="Arial"/>
          <w:sz w:val="17"/>
          <w:szCs w:val="17"/>
          <w:u w:val="single" w:color="auto"/>
          <w:color w:val="2A2A2A"/>
        </w:rPr>
        <w:t>Appeal</w:t>
      </w:r>
      <w:r>
        <w:rPr>
          <w:rFonts w:ascii="Arial" w:cs="Arial" w:eastAsia="Arial" w:hAnsi="Arial"/>
          <w:sz w:val="17"/>
          <w:szCs w:val="17"/>
          <w:color w:val="2A2A2A"/>
        </w:rPr>
        <w:t>.</w:t>
      </w:r>
    </w:p>
    <w:p>
      <w:pPr>
        <w:spacing w:after="0" w:line="246" w:lineRule="exact"/>
        <w:rPr>
          <w:sz w:val="20"/>
          <w:szCs w:val="20"/>
          <w:color w:val="auto"/>
        </w:rPr>
      </w:pPr>
    </w:p>
    <w:p>
      <w:pPr>
        <w:jc w:val="both"/>
        <w:ind w:left="1500" w:hanging="601"/>
        <w:spacing w:after="0" w:line="314" w:lineRule="auto"/>
        <w:tabs>
          <w:tab w:leader="none" w:pos="1500" w:val="left"/>
        </w:tabs>
        <w:numPr>
          <w:ilvl w:val="0"/>
          <w:numId w:val="50"/>
        </w:numPr>
        <w:rPr>
          <w:rFonts w:ascii="Arial" w:cs="Arial" w:eastAsia="Arial" w:hAnsi="Arial"/>
          <w:sz w:val="18"/>
          <w:szCs w:val="18"/>
          <w:color w:val="2A2A2A"/>
        </w:rPr>
      </w:pPr>
      <w:r>
        <w:rPr>
          <w:rFonts w:ascii="Arial" w:cs="Arial" w:eastAsia="Arial" w:hAnsi="Arial"/>
          <w:sz w:val="19"/>
          <w:szCs w:val="19"/>
          <w:i w:val="1"/>
          <w:iCs w:val="1"/>
          <w:color w:val="2A2A2A"/>
        </w:rPr>
        <w:t xml:space="preserve">In General. </w:t>
      </w:r>
      <w:r>
        <w:rPr>
          <w:rFonts w:ascii="Arial" w:cs="Arial" w:eastAsia="Arial" w:hAnsi="Arial"/>
          <w:sz w:val="17"/>
          <w:szCs w:val="17"/>
          <w:color w:val="2A2A2A"/>
        </w:rPr>
        <w:t>A Claimant dissatisfied with the Committee's decision must file a written appeal to the Committee</w:t>
      </w:r>
      <w:r>
        <w:rPr>
          <w:rFonts w:ascii="Arial" w:cs="Arial" w:eastAsia="Arial" w:hAnsi="Arial"/>
          <w:sz w:val="19"/>
          <w:szCs w:val="19"/>
          <w:i w:val="1"/>
          <w:iCs w:val="1"/>
          <w:color w:val="2A2A2A"/>
        </w:rPr>
        <w:t xml:space="preserve"> </w:t>
      </w:r>
      <w:r>
        <w:rPr>
          <w:rFonts w:ascii="Arial" w:cs="Arial" w:eastAsia="Arial" w:hAnsi="Arial"/>
          <w:sz w:val="17"/>
          <w:szCs w:val="17"/>
          <w:color w:val="2A2A2A"/>
        </w:rPr>
        <w:t>within 60 days after Claimant's receipt of the decision or deemed denial. Any claim filed more than 60 days after Claimant's receipt of the decision will be untimely. The Claimant will have the opportunity, upon request and free of charge, to have reasonable access to and copies of all documents, records and other information relevant to the Claimant's appeal. The Claimant may submit written comments, documents, records and other information relating to his or her claim with the appeal. The Committee will review all comments, documents, records and other information submitted by the Claimant relating to the claim, regardless of whether such information was submitted or considered in the initial claim determination. The Committee shall make a determination on the appeal within 60 days after receiving the Claimant's written appeal, provided that the Committee may determine that an additional 60-day extension is necessary due to circumstances beyond the Committee's control, in which event the Committee shall notify the Claimant prior to the end of the initial period that an extension is needed, the reason therefore and the date by which the Committee expects to render a decision.</w:t>
      </w:r>
    </w:p>
    <w:p>
      <w:pPr>
        <w:spacing w:after="0" w:line="164" w:lineRule="exact"/>
        <w:rPr>
          <w:rFonts w:ascii="Arial" w:cs="Arial" w:eastAsia="Arial" w:hAnsi="Arial"/>
          <w:sz w:val="18"/>
          <w:szCs w:val="18"/>
          <w:color w:val="2A2A2A"/>
        </w:rPr>
      </w:pPr>
    </w:p>
    <w:p>
      <w:pPr>
        <w:jc w:val="both"/>
        <w:ind w:left="1500" w:hanging="614"/>
        <w:spacing w:after="0" w:line="330" w:lineRule="auto"/>
        <w:tabs>
          <w:tab w:leader="none" w:pos="1500" w:val="left"/>
        </w:tabs>
        <w:numPr>
          <w:ilvl w:val="0"/>
          <w:numId w:val="50"/>
        </w:numPr>
        <w:rPr>
          <w:rFonts w:ascii="Arial" w:cs="Arial" w:eastAsia="Arial" w:hAnsi="Arial"/>
          <w:sz w:val="18"/>
          <w:szCs w:val="18"/>
          <w:color w:val="2A2A2A"/>
        </w:rPr>
      </w:pPr>
      <w:r>
        <w:rPr>
          <w:rFonts w:ascii="Arial" w:cs="Arial" w:eastAsia="Arial" w:hAnsi="Arial"/>
          <w:sz w:val="19"/>
          <w:szCs w:val="19"/>
          <w:i w:val="1"/>
          <w:iCs w:val="1"/>
          <w:color w:val="2A2A2A"/>
        </w:rPr>
        <w:t xml:space="preserve">Disability Benefits. </w:t>
      </w:r>
      <w:r>
        <w:rPr>
          <w:rFonts w:ascii="Arial" w:cs="Arial" w:eastAsia="Arial" w:hAnsi="Arial"/>
          <w:sz w:val="17"/>
          <w:szCs w:val="17"/>
          <w:color w:val="2A2A2A"/>
        </w:rPr>
        <w:t>Appeal of a denied Disability benefits claim must be filed in writing with the Committee no</w:t>
      </w:r>
      <w:r>
        <w:rPr>
          <w:rFonts w:ascii="Arial" w:cs="Arial" w:eastAsia="Arial" w:hAnsi="Arial"/>
          <w:sz w:val="19"/>
          <w:szCs w:val="19"/>
          <w:i w:val="1"/>
          <w:iCs w:val="1"/>
          <w:color w:val="2A2A2A"/>
        </w:rPr>
        <w:t xml:space="preserve"> </w:t>
      </w:r>
      <w:r>
        <w:rPr>
          <w:rFonts w:ascii="Arial" w:cs="Arial" w:eastAsia="Arial" w:hAnsi="Arial"/>
          <w:sz w:val="17"/>
          <w:szCs w:val="17"/>
          <w:color w:val="2A2A2A"/>
        </w:rPr>
        <w:t>later than 180 days after receipt of the written notification of such claim denial. The review shall be conducted by the Committee (exclusive of the person who made the initial adverse decision or such person's subordinate). In</w:t>
      </w:r>
    </w:p>
    <w:p>
      <w:pPr>
        <w:sectPr>
          <w:pgSz w:w="11900" w:h="16947" w:orient="portrait"/>
          <w:cols w:equalWidth="0" w:num="1">
            <w:col w:w="10120"/>
          </w:cols>
          <w:pgMar w:left="1440" w:top="136" w:right="339" w:bottom="0" w:gutter="0" w:footer="0" w:header="0"/>
        </w:sectPr>
      </w:pPr>
    </w:p>
    <w:bookmarkStart w:id="68" w:name="page69"/>
    <w:bookmarkEnd w:id="68"/>
    <w:p>
      <w:pPr>
        <w:jc w:val="both"/>
        <w:ind w:left="2620"/>
        <w:spacing w:after="0" w:line="304" w:lineRule="auto"/>
        <w:rPr>
          <w:sz w:val="20"/>
          <w:szCs w:val="20"/>
          <w:color w:val="auto"/>
        </w:rPr>
      </w:pPr>
      <w:r>
        <w:rPr>
          <w:rFonts w:ascii="Arial" w:cs="Arial" w:eastAsia="Arial" w:hAnsi="Arial"/>
          <w:sz w:val="19"/>
          <w:szCs w:val="19"/>
          <w:color w:val="2A2A2A"/>
        </w:rPr>
        <w:t xml:space="preserve">reviewing the appeal, the Committee shall: (i) not afford deference to the initial denial of the claim, </w:t>
      </w:r>
      <w:r>
        <w:rPr>
          <w:rFonts w:ascii="Arial" w:cs="Arial" w:eastAsia="Arial" w:hAnsi="Arial"/>
          <w:sz w:val="20"/>
          <w:szCs w:val="20"/>
          <w:color w:val="2A2A2A"/>
        </w:rPr>
        <w:t>(ii)</w:t>
      </w:r>
      <w:r>
        <w:rPr>
          <w:rFonts w:ascii="Arial" w:cs="Arial" w:eastAsia="Arial" w:hAnsi="Arial"/>
          <w:sz w:val="19"/>
          <w:szCs w:val="19"/>
          <w:color w:val="2A2A2A"/>
        </w:rPr>
        <w:t xml:space="preserve"> consult a medical professional who has appropriate training and experience in the field of medicine relating to the Claimant's disability and who was neither consulted as part of the initial denial nor is the subordinate of such individual and </w:t>
      </w:r>
      <w:r>
        <w:rPr>
          <w:rFonts w:ascii="Arial" w:cs="Arial" w:eastAsia="Arial" w:hAnsi="Arial"/>
          <w:sz w:val="20"/>
          <w:szCs w:val="20"/>
          <w:color w:val="2A2A2A"/>
        </w:rPr>
        <w:t>(iii)</w:t>
      </w:r>
      <w:r>
        <w:rPr>
          <w:rFonts w:ascii="Arial" w:cs="Arial" w:eastAsia="Arial" w:hAnsi="Arial"/>
          <w:sz w:val="19"/>
          <w:szCs w:val="19"/>
          <w:color w:val="2A2A2A"/>
        </w:rPr>
        <w:t xml:space="preserve"> identify the medical or vocational experts whose advice was obtained with respect to the initial benefit denial, without regard to whether the advice was relied</w:t>
      </w:r>
    </w:p>
    <w:p>
      <w:pPr>
        <w:spacing w:after="0" w:line="271" w:lineRule="exact"/>
        <w:rPr>
          <w:sz w:val="20"/>
          <w:szCs w:val="20"/>
          <w:color w:val="auto"/>
        </w:rPr>
      </w:pPr>
    </w:p>
    <w:p>
      <w:pPr>
        <w:jc w:val="both"/>
        <w:ind w:left="2660" w:firstLine="13"/>
        <w:spacing w:after="0" w:line="291" w:lineRule="auto"/>
        <w:rPr>
          <w:sz w:val="20"/>
          <w:szCs w:val="20"/>
          <w:color w:val="auto"/>
        </w:rPr>
      </w:pPr>
      <w:r>
        <w:rPr>
          <w:rFonts w:ascii="Arial" w:cs="Arial" w:eastAsia="Arial" w:hAnsi="Arial"/>
          <w:sz w:val="18"/>
          <w:szCs w:val="18"/>
          <w:color w:val="2A2A2A"/>
        </w:rPr>
        <w:t>upon in making the decision. The Committee shall make its decision regarding the merits of the denied claim within 45 days following receipt of the appeal (or within 90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Committee expects to render the determination on review. Following its review of any additional information submitted by the Claimant, the Committee shall render a decision on its review of the denied claim.</w:t>
      </w:r>
    </w:p>
    <w:p>
      <w:pPr>
        <w:spacing w:after="0" w:line="169" w:lineRule="exact"/>
        <w:rPr>
          <w:sz w:val="20"/>
          <w:szCs w:val="20"/>
          <w:color w:val="auto"/>
        </w:rPr>
      </w:pPr>
    </w:p>
    <w:p>
      <w:pPr>
        <w:ind w:left="2660" w:right="20" w:hanging="654"/>
        <w:spacing w:after="0" w:line="327" w:lineRule="auto"/>
        <w:tabs>
          <w:tab w:leader="none" w:pos="2660" w:val="left"/>
        </w:tabs>
        <w:numPr>
          <w:ilvl w:val="0"/>
          <w:numId w:val="51"/>
        </w:numPr>
        <w:rPr>
          <w:rFonts w:ascii="Arial" w:cs="Arial" w:eastAsia="Arial" w:hAnsi="Arial"/>
          <w:sz w:val="19"/>
          <w:szCs w:val="19"/>
          <w:color w:val="2A2A2A"/>
        </w:rPr>
      </w:pPr>
      <w:r>
        <w:rPr>
          <w:rFonts w:ascii="Arial" w:cs="Arial" w:eastAsia="Arial" w:hAnsi="Arial"/>
          <w:sz w:val="19"/>
          <w:szCs w:val="19"/>
          <w:i w:val="1"/>
          <w:iCs w:val="1"/>
          <w:color w:val="2A2A2A"/>
        </w:rPr>
        <w:t xml:space="preserve">Contents of Notice. </w:t>
      </w:r>
      <w:r>
        <w:rPr>
          <w:rFonts w:ascii="Arial" w:cs="Arial" w:eastAsia="Arial" w:hAnsi="Arial"/>
          <w:sz w:val="19"/>
          <w:szCs w:val="19"/>
          <w:color w:val="2A2A2A"/>
        </w:rPr>
        <w:t>If the Claimant's appeal is denied in whole or part, the Committee shall provide written</w:t>
      </w:r>
      <w:r>
        <w:rPr>
          <w:rFonts w:ascii="Arial" w:cs="Arial" w:eastAsia="Arial" w:hAnsi="Arial"/>
          <w:sz w:val="19"/>
          <w:szCs w:val="19"/>
          <w:i w:val="1"/>
          <w:iCs w:val="1"/>
          <w:color w:val="2A2A2A"/>
        </w:rPr>
        <w:t xml:space="preserve"> </w:t>
      </w:r>
      <w:r>
        <w:rPr>
          <w:rFonts w:ascii="Arial" w:cs="Arial" w:eastAsia="Arial" w:hAnsi="Arial"/>
          <w:sz w:val="19"/>
          <w:szCs w:val="19"/>
          <w:color w:val="2A2A2A"/>
        </w:rPr>
        <w:t>notice to the Claimant of such denial. The written notice shall include the following information:</w:t>
      </w:r>
    </w:p>
    <w:p>
      <w:pPr>
        <w:spacing w:after="0" w:line="130" w:lineRule="exact"/>
        <w:rPr>
          <w:rFonts w:ascii="Arial" w:cs="Arial" w:eastAsia="Arial" w:hAnsi="Arial"/>
          <w:sz w:val="19"/>
          <w:szCs w:val="19"/>
          <w:color w:val="2A2A2A"/>
        </w:rPr>
      </w:pPr>
    </w:p>
    <w:p>
      <w:pPr>
        <w:ind w:left="3260" w:hanging="606"/>
        <w:spacing w:after="0"/>
        <w:tabs>
          <w:tab w:leader="none" w:pos="3260" w:val="left"/>
        </w:tabs>
        <w:numPr>
          <w:ilvl w:val="3"/>
          <w:numId w:val="51"/>
        </w:numPr>
        <w:rPr>
          <w:rFonts w:ascii="Arial" w:cs="Arial" w:eastAsia="Arial" w:hAnsi="Arial"/>
          <w:sz w:val="20"/>
          <w:szCs w:val="20"/>
          <w:color w:val="2A2A2A"/>
        </w:rPr>
      </w:pPr>
      <w:r>
        <w:rPr>
          <w:rFonts w:ascii="Arial" w:cs="Arial" w:eastAsia="Arial" w:hAnsi="Arial"/>
          <w:sz w:val="20"/>
          <w:szCs w:val="20"/>
          <w:color w:val="2A2A2A"/>
        </w:rPr>
        <w:t>The specific reason or reasons for the denial;</w:t>
      </w:r>
    </w:p>
    <w:p>
      <w:pPr>
        <w:spacing w:after="0" w:line="229" w:lineRule="exact"/>
        <w:rPr>
          <w:rFonts w:ascii="Arial" w:cs="Arial" w:eastAsia="Arial" w:hAnsi="Arial"/>
          <w:sz w:val="20"/>
          <w:szCs w:val="20"/>
          <w:color w:val="2A2A2A"/>
        </w:rPr>
      </w:pPr>
    </w:p>
    <w:p>
      <w:pPr>
        <w:ind w:left="3280" w:hanging="626"/>
        <w:spacing w:after="0"/>
        <w:tabs>
          <w:tab w:leader="none" w:pos="3280" w:val="left"/>
        </w:tabs>
        <w:numPr>
          <w:ilvl w:val="3"/>
          <w:numId w:val="51"/>
        </w:numPr>
        <w:rPr>
          <w:rFonts w:ascii="Arial" w:cs="Arial" w:eastAsia="Arial" w:hAnsi="Arial"/>
          <w:sz w:val="21"/>
          <w:szCs w:val="21"/>
          <w:color w:val="2A2A2A"/>
        </w:rPr>
      </w:pPr>
      <w:r>
        <w:rPr>
          <w:rFonts w:ascii="Arial" w:cs="Arial" w:eastAsia="Arial" w:hAnsi="Arial"/>
          <w:sz w:val="20"/>
          <w:szCs w:val="20"/>
          <w:color w:val="2A2A2A"/>
        </w:rPr>
        <w:t>A specific reference to the pertinent Plan provisions on which the denial is based;</w:t>
      </w:r>
    </w:p>
    <w:p>
      <w:pPr>
        <w:spacing w:after="0" w:line="231" w:lineRule="exact"/>
        <w:rPr>
          <w:rFonts w:ascii="Arial" w:cs="Arial" w:eastAsia="Arial" w:hAnsi="Arial"/>
          <w:sz w:val="21"/>
          <w:szCs w:val="21"/>
          <w:color w:val="2A2A2A"/>
        </w:rPr>
      </w:pPr>
    </w:p>
    <w:p>
      <w:pPr>
        <w:jc w:val="both"/>
        <w:ind w:left="3260" w:hanging="633"/>
        <w:spacing w:after="0" w:line="271" w:lineRule="auto"/>
        <w:tabs>
          <w:tab w:leader="none" w:pos="3260" w:val="left"/>
        </w:tabs>
        <w:numPr>
          <w:ilvl w:val="2"/>
          <w:numId w:val="51"/>
        </w:numPr>
        <w:rPr>
          <w:rFonts w:ascii="Arial" w:cs="Arial" w:eastAsia="Arial" w:hAnsi="Arial"/>
          <w:sz w:val="21"/>
          <w:szCs w:val="21"/>
          <w:color w:val="2A2A2A"/>
        </w:rPr>
      </w:pPr>
      <w:r>
        <w:rPr>
          <w:rFonts w:ascii="Arial" w:cs="Arial" w:eastAsia="Arial" w:hAnsi="Arial"/>
          <w:sz w:val="20"/>
          <w:szCs w:val="20"/>
          <w:color w:val="2A2A2A"/>
        </w:rPr>
        <w:t>A statement that the Claimant is entitled to receive, upon request and free of charge, reasonable access to and copies of all documents, records, and other information relevant to the Claimant's claim; and</w:t>
      </w:r>
    </w:p>
    <w:p>
      <w:pPr>
        <w:spacing w:after="0" w:line="206" w:lineRule="exact"/>
        <w:rPr>
          <w:rFonts w:ascii="Arial" w:cs="Arial" w:eastAsia="Arial" w:hAnsi="Arial"/>
          <w:sz w:val="21"/>
          <w:szCs w:val="21"/>
          <w:color w:val="2A2A2A"/>
        </w:rPr>
      </w:pPr>
    </w:p>
    <w:p>
      <w:pPr>
        <w:ind w:left="3280" w:hanging="626"/>
        <w:spacing w:after="0"/>
        <w:tabs>
          <w:tab w:leader="none" w:pos="3280" w:val="left"/>
        </w:tabs>
        <w:numPr>
          <w:ilvl w:val="2"/>
          <w:numId w:val="51"/>
        </w:numPr>
        <w:rPr>
          <w:rFonts w:ascii="Arial" w:cs="Arial" w:eastAsia="Arial" w:hAnsi="Arial"/>
          <w:sz w:val="20"/>
          <w:szCs w:val="20"/>
          <w:color w:val="2A2A2A"/>
        </w:rPr>
      </w:pPr>
      <w:r>
        <w:rPr>
          <w:rFonts w:ascii="Arial" w:cs="Arial" w:eastAsia="Arial" w:hAnsi="Arial"/>
          <w:sz w:val="20"/>
          <w:szCs w:val="20"/>
          <w:color w:val="2A2A2A"/>
        </w:rPr>
        <w:t>A statement of the Claimant's right to bring a civil action under Section 502(a) of ERISA.</w:t>
      </w:r>
    </w:p>
    <w:p>
      <w:pPr>
        <w:spacing w:after="0" w:line="256" w:lineRule="exact"/>
        <w:rPr>
          <w:rFonts w:ascii="Arial" w:cs="Arial" w:eastAsia="Arial" w:hAnsi="Arial"/>
          <w:sz w:val="20"/>
          <w:szCs w:val="20"/>
          <w:color w:val="2A2A2A"/>
        </w:rPr>
      </w:pPr>
    </w:p>
    <w:p>
      <w:pPr>
        <w:jc w:val="both"/>
        <w:ind w:left="3260" w:hanging="633"/>
        <w:spacing w:after="0" w:line="274" w:lineRule="auto"/>
        <w:tabs>
          <w:tab w:leader="none" w:pos="3260" w:val="left"/>
        </w:tabs>
        <w:numPr>
          <w:ilvl w:val="1"/>
          <w:numId w:val="51"/>
        </w:numPr>
        <w:rPr>
          <w:rFonts w:ascii="Arial" w:cs="Arial" w:eastAsia="Arial" w:hAnsi="Arial"/>
          <w:sz w:val="20"/>
          <w:szCs w:val="20"/>
          <w:color w:val="2A2A2A"/>
        </w:rPr>
      </w:pPr>
      <w:r>
        <w:rPr>
          <w:rFonts w:ascii="Arial" w:cs="Arial" w:eastAsia="Arial" w:hAnsi="Arial"/>
          <w:sz w:val="20"/>
          <w:szCs w:val="20"/>
          <w:color w:val="2A2A2A"/>
        </w:rPr>
        <w:t xml:space="preserve">For the denial of a Disability benefit, the notice will also include a statement that the Committee will provide, upon request and free of charge, (A) any internal rule, guideline, protocol or other similar criterion relied upon in making the decision, (B) any medical opinion relied upon to make the decision and (C) the required statement under Section 2560.503-1 </w:t>
      </w:r>
      <w:r>
        <w:rPr>
          <w:rFonts w:ascii="Arial" w:cs="Arial" w:eastAsia="Arial" w:hAnsi="Arial"/>
          <w:sz w:val="21"/>
          <w:szCs w:val="21"/>
          <w:color w:val="2A2A2A"/>
        </w:rPr>
        <w:t>G)</w:t>
      </w:r>
      <w:r>
        <w:rPr>
          <w:rFonts w:ascii="Arial" w:cs="Arial" w:eastAsia="Arial" w:hAnsi="Arial"/>
          <w:sz w:val="20"/>
          <w:szCs w:val="20"/>
          <w:color w:val="2A2A2A"/>
        </w:rPr>
        <w:t xml:space="preserve"> (5)(iii) of the Department of Labor regulations.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n</w:t>
      </w:r>
    </w:p>
    <w:p>
      <w:pPr>
        <w:spacing w:after="0" w:line="6" w:lineRule="exact"/>
        <w:rPr>
          <w:sz w:val="20"/>
          <w:szCs w:val="20"/>
          <w:color w:val="auto"/>
        </w:rPr>
      </w:pPr>
    </w:p>
    <w:p>
      <w:pPr>
        <w:ind w:left="1320"/>
        <w:spacing w:after="0"/>
        <w:tabs>
          <w:tab w:leader="none" w:pos="1840" w:val="left"/>
        </w:tabs>
        <w:rPr>
          <w:sz w:val="20"/>
          <w:szCs w:val="20"/>
          <w:color w:val="auto"/>
        </w:rPr>
      </w:pPr>
      <w:r>
        <w:rPr>
          <w:rFonts w:ascii="Arial" w:cs="Arial" w:eastAsia="Arial" w:hAnsi="Arial"/>
          <w:sz w:val="20"/>
          <w:szCs w:val="20"/>
          <w:color w:val="2A2A2A"/>
        </w:rPr>
        <w:t>12.3</w:t>
      </w:r>
      <w:r>
        <w:rPr>
          <w:sz w:val="20"/>
          <w:szCs w:val="20"/>
          <w:color w:val="auto"/>
        </w:rPr>
        <w:tab/>
      </w:r>
      <w:r>
        <w:rPr>
          <w:rFonts w:ascii="Arial" w:cs="Arial" w:eastAsia="Arial" w:hAnsi="Arial"/>
          <w:sz w:val="18"/>
          <w:szCs w:val="18"/>
          <w:u w:val="single" w:color="auto"/>
          <w:color w:val="2A2A2A"/>
        </w:rPr>
        <w:t>Disability benefit claims</w:t>
      </w:r>
      <w:r>
        <w:rPr>
          <w:rFonts w:ascii="Arial" w:cs="Arial" w:eastAsia="Arial" w:hAnsi="Arial"/>
          <w:sz w:val="18"/>
          <w:szCs w:val="18"/>
          <w:color w:val="2A2A2A"/>
        </w:rPr>
        <w:t>. Notwithstanding any other provision in Article XII, this Section</w:t>
      </w:r>
    </w:p>
    <w:p>
      <w:pPr>
        <w:spacing w:after="0" w:line="11" w:lineRule="exact"/>
        <w:rPr>
          <w:sz w:val="20"/>
          <w:szCs w:val="20"/>
          <w:color w:val="auto"/>
        </w:rPr>
      </w:pPr>
    </w:p>
    <w:p>
      <w:pPr>
        <w:jc w:val="both"/>
        <w:ind w:left="1960" w:firstLine="13"/>
        <w:spacing w:after="0" w:line="278" w:lineRule="auto"/>
        <w:rPr>
          <w:sz w:val="20"/>
          <w:szCs w:val="20"/>
          <w:color w:val="auto"/>
        </w:rPr>
      </w:pPr>
      <w:r>
        <w:rPr>
          <w:rFonts w:ascii="Arial" w:cs="Arial" w:eastAsia="Arial" w:hAnsi="Arial"/>
          <w:sz w:val="19"/>
          <w:szCs w:val="19"/>
          <w:color w:val="2A2A2A"/>
        </w:rPr>
        <w:t>12.3 shall apply to claims made on or after April 1, 2018, the adjudication of which revolves around whether a Participant is Disabled. In the event a claim involves the issue of whether a Participant is Disabled, the Committee shall ensure that all claims and appeals relating to such issue are adjudicated in a manner designed to ensure the independence and impartiality of the persons involved in making the decision.</w:t>
      </w:r>
    </w:p>
    <w:p>
      <w:pPr>
        <w:spacing w:after="0" w:line="189" w:lineRule="exact"/>
        <w:rPr>
          <w:sz w:val="20"/>
          <w:szCs w:val="20"/>
          <w:color w:val="auto"/>
        </w:rPr>
      </w:pPr>
    </w:p>
    <w:p>
      <w:pPr>
        <w:jc w:val="both"/>
        <w:ind w:left="2620" w:hanging="655"/>
        <w:spacing w:after="0" w:line="341" w:lineRule="auto"/>
        <w:tabs>
          <w:tab w:leader="none" w:pos="2620" w:val="left"/>
        </w:tabs>
        <w:numPr>
          <w:ilvl w:val="0"/>
          <w:numId w:val="52"/>
        </w:numPr>
        <w:rPr>
          <w:rFonts w:ascii="Arial" w:cs="Arial" w:eastAsia="Arial" w:hAnsi="Arial"/>
          <w:sz w:val="18"/>
          <w:szCs w:val="18"/>
          <w:color w:val="2A2A2A"/>
        </w:rPr>
      </w:pPr>
      <w:r>
        <w:rPr>
          <w:rFonts w:ascii="Arial" w:cs="Arial" w:eastAsia="Arial" w:hAnsi="Arial"/>
          <w:sz w:val="18"/>
          <w:szCs w:val="18"/>
          <w:u w:val="single" w:color="auto"/>
          <w:color w:val="2A2A2A"/>
        </w:rPr>
        <w:t>Disabled</w:t>
      </w:r>
      <w:r>
        <w:rPr>
          <w:rFonts w:ascii="Arial" w:cs="Arial" w:eastAsia="Arial" w:hAnsi="Arial"/>
          <w:sz w:val="18"/>
          <w:szCs w:val="18"/>
          <w:color w:val="2A2A2A"/>
        </w:rPr>
        <w:t>. If a claim relates to a determination of whether a Participant is Disabled, and the claim requires an independent determination by the Committee, the Committee shall notify the Claimant of the Plan's adverse benefit determination within a reasonable period of time, but no later than forty-five (45) days after receipt of the claim. If, due to matters beyond the control of the Plan, the Committee needs additional time to process a claim, the Claimant will be notified, within forty-five (45) days after the</w:t>
      </w:r>
    </w:p>
    <w:p>
      <w:pPr>
        <w:spacing w:after="0" w:line="285" w:lineRule="exact"/>
        <w:rPr>
          <w:sz w:val="20"/>
          <w:szCs w:val="20"/>
          <w:color w:val="auto"/>
        </w:rPr>
      </w:pPr>
    </w:p>
    <w:p>
      <w:pPr>
        <w:jc w:val="both"/>
        <w:ind w:left="1080" w:firstLine="27"/>
        <w:spacing w:after="0" w:line="316" w:lineRule="auto"/>
        <w:rPr>
          <w:sz w:val="20"/>
          <w:szCs w:val="20"/>
          <w:color w:val="auto"/>
        </w:rPr>
      </w:pPr>
      <w:r>
        <w:rPr>
          <w:rFonts w:ascii="Arial" w:cs="Arial" w:eastAsia="Arial" w:hAnsi="Arial"/>
          <w:sz w:val="19"/>
          <w:szCs w:val="19"/>
          <w:color w:val="2B2B2B"/>
        </w:rPr>
        <w:t>Committee receives the claim, of those circumstances and of when the Committee expects to make its decision, but not beyond seventy-five (75) days. If, prior to the end of the extension period, due to matters beyond the control of the Plan, a decision cannot be rendered within that extension period, the period for making the determination may be extended for up to one hundred five (105) days, provided that the Committee notifies the Claimant of the circumstances requiring the extension and the date as of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w:t>
      </w:r>
    </w:p>
    <w:p>
      <w:pPr>
        <w:spacing w:after="0" w:line="183" w:lineRule="exact"/>
        <w:rPr>
          <w:sz w:val="20"/>
          <w:szCs w:val="20"/>
          <w:color w:val="auto"/>
        </w:rPr>
      </w:pPr>
    </w:p>
    <w:p>
      <w:pPr>
        <w:jc w:val="both"/>
        <w:ind w:left="1200" w:right="20" w:hanging="652"/>
        <w:spacing w:after="0" w:line="306" w:lineRule="auto"/>
        <w:tabs>
          <w:tab w:leader="none" w:pos="1200" w:val="left"/>
        </w:tabs>
        <w:numPr>
          <w:ilvl w:val="0"/>
          <w:numId w:val="53"/>
        </w:numPr>
        <w:rPr>
          <w:rFonts w:ascii="Arial" w:cs="Arial" w:eastAsia="Arial" w:hAnsi="Arial"/>
          <w:sz w:val="20"/>
          <w:szCs w:val="20"/>
          <w:color w:val="2A2A2A"/>
        </w:rPr>
      </w:pPr>
      <w:r>
        <w:rPr>
          <w:rFonts w:ascii="Arial" w:cs="Arial" w:eastAsia="Arial" w:hAnsi="Arial"/>
          <w:sz w:val="20"/>
          <w:szCs w:val="20"/>
          <w:u w:val="single" w:color="auto"/>
          <w:color w:val="414141"/>
        </w:rPr>
        <w:t>Notice of Decision</w:t>
      </w:r>
      <w:r>
        <w:rPr>
          <w:rFonts w:ascii="Arial" w:cs="Arial" w:eastAsia="Arial" w:hAnsi="Arial"/>
          <w:sz w:val="20"/>
          <w:szCs w:val="20"/>
          <w:color w:val="414141"/>
        </w:rPr>
        <w:t xml:space="preserve">. </w:t>
      </w:r>
      <w:r>
        <w:rPr>
          <w:rFonts w:ascii="Arial" w:cs="Arial" w:eastAsia="Arial" w:hAnsi="Arial"/>
          <w:sz w:val="20"/>
          <w:szCs w:val="20"/>
          <w:color w:val="2B2B2B"/>
        </w:rPr>
        <w:t>In the case of an adverse benefit determination by the Committee with respect to whether a Participant is</w:t>
      </w:r>
      <w:r>
        <w:rPr>
          <w:rFonts w:ascii="Arial" w:cs="Arial" w:eastAsia="Arial" w:hAnsi="Arial"/>
          <w:sz w:val="20"/>
          <w:szCs w:val="20"/>
          <w:color w:val="414141"/>
        </w:rPr>
        <w:t xml:space="preserve"> </w:t>
      </w:r>
      <w:r>
        <w:rPr>
          <w:rFonts w:ascii="Arial" w:cs="Arial" w:eastAsia="Arial" w:hAnsi="Arial"/>
          <w:sz w:val="20"/>
          <w:szCs w:val="20"/>
          <w:color w:val="2B2B2B"/>
        </w:rPr>
        <w:t>Disabled, the Committee will provide a notification in a culturally and linguistically appropriate manner (as described in Department of Labor Regulation Section 2560.503-1(o)) that shall set forth:</w:t>
      </w:r>
    </w:p>
    <w:p>
      <w:pPr>
        <w:spacing w:after="0" w:line="132" w:lineRule="exact"/>
        <w:rPr>
          <w:rFonts w:ascii="Arial" w:cs="Arial" w:eastAsia="Arial" w:hAnsi="Arial"/>
          <w:sz w:val="20"/>
          <w:szCs w:val="20"/>
          <w:color w:val="2A2A2A"/>
        </w:rPr>
      </w:pPr>
    </w:p>
    <w:p>
      <w:pPr>
        <w:ind w:left="1700" w:hanging="612"/>
        <w:spacing w:after="0"/>
        <w:tabs>
          <w:tab w:leader="none" w:pos="1700" w:val="left"/>
        </w:tabs>
        <w:numPr>
          <w:ilvl w:val="1"/>
          <w:numId w:val="53"/>
        </w:numPr>
        <w:rPr>
          <w:rFonts w:ascii="Arial" w:cs="Arial" w:eastAsia="Arial" w:hAnsi="Arial"/>
          <w:sz w:val="20"/>
          <w:szCs w:val="20"/>
          <w:color w:val="2B2B2B"/>
        </w:rPr>
      </w:pPr>
      <w:r>
        <w:rPr>
          <w:rFonts w:ascii="Arial" w:cs="Arial" w:eastAsia="Arial" w:hAnsi="Arial"/>
          <w:sz w:val="20"/>
          <w:szCs w:val="20"/>
          <w:color w:val="2B2B2B"/>
        </w:rPr>
        <w:t>The specific reasons for the denial;</w:t>
      </w:r>
    </w:p>
    <w:p>
      <w:pPr>
        <w:spacing w:after="0" w:line="242" w:lineRule="exact"/>
        <w:rPr>
          <w:rFonts w:ascii="Arial" w:cs="Arial" w:eastAsia="Arial" w:hAnsi="Arial"/>
          <w:sz w:val="20"/>
          <w:szCs w:val="20"/>
          <w:color w:val="2B2B2B"/>
        </w:rPr>
      </w:pPr>
    </w:p>
    <w:p>
      <w:pPr>
        <w:ind w:left="1700" w:hanging="612"/>
        <w:spacing w:after="0"/>
        <w:tabs>
          <w:tab w:leader="none" w:pos="1700" w:val="left"/>
        </w:tabs>
        <w:numPr>
          <w:ilvl w:val="1"/>
          <w:numId w:val="53"/>
        </w:numPr>
        <w:rPr>
          <w:rFonts w:ascii="Arial" w:cs="Arial" w:eastAsia="Arial" w:hAnsi="Arial"/>
          <w:sz w:val="20"/>
          <w:szCs w:val="20"/>
          <w:color w:val="2B2B2B"/>
        </w:rPr>
      </w:pPr>
      <w:r>
        <w:rPr>
          <w:rFonts w:ascii="Arial" w:cs="Arial" w:eastAsia="Arial" w:hAnsi="Arial"/>
          <w:sz w:val="20"/>
          <w:szCs w:val="20"/>
          <w:color w:val="2B2B2B"/>
        </w:rPr>
        <w:t>A reference to the specific provisions of the Plan or insurance contract on which the denial is based;</w:t>
      </w:r>
    </w:p>
    <w:p>
      <w:pPr>
        <w:spacing w:after="0" w:line="215" w:lineRule="exact"/>
        <w:rPr>
          <w:rFonts w:ascii="Arial" w:cs="Arial" w:eastAsia="Arial" w:hAnsi="Arial"/>
          <w:sz w:val="20"/>
          <w:szCs w:val="20"/>
          <w:color w:val="2B2B2B"/>
        </w:rPr>
      </w:pPr>
    </w:p>
    <w:p>
      <w:pPr>
        <w:ind w:left="1700" w:hanging="612"/>
        <w:spacing w:after="0"/>
        <w:tabs>
          <w:tab w:leader="none" w:pos="1700" w:val="left"/>
        </w:tabs>
        <w:numPr>
          <w:ilvl w:val="1"/>
          <w:numId w:val="53"/>
        </w:numPr>
        <w:rPr>
          <w:rFonts w:ascii="Arial" w:cs="Arial" w:eastAsia="Arial" w:hAnsi="Arial"/>
          <w:sz w:val="18"/>
          <w:szCs w:val="18"/>
          <w:color w:val="2B2B2B"/>
        </w:rPr>
      </w:pPr>
      <w:r>
        <w:rPr>
          <w:rFonts w:ascii="Arial" w:cs="Arial" w:eastAsia="Arial" w:hAnsi="Arial"/>
          <w:sz w:val="18"/>
          <w:szCs w:val="18"/>
          <w:color w:val="2B2B2B"/>
        </w:rPr>
        <w:t>Notice that the Claimant has a right to request a review of the claim denial and an explanation of the Plan's review</w:t>
      </w:r>
    </w:p>
    <w:p>
      <w:pPr>
        <w:sectPr>
          <w:pgSz w:w="11900" w:h="16838" w:orient="portrait"/>
          <w:cols w:equalWidth="0" w:num="1">
            <w:col w:w="11240"/>
          </w:cols>
          <w:pgMar w:left="320" w:top="140" w:right="339" w:bottom="0" w:gutter="0" w:footer="0" w:header="0"/>
        </w:sectPr>
      </w:pPr>
    </w:p>
    <w:bookmarkStart w:id="69" w:name="page70"/>
    <w:bookmarkEnd w:id="69"/>
    <w:p>
      <w:pPr>
        <w:spacing w:after="0" w:line="119" w:lineRule="exact"/>
        <w:rPr>
          <w:sz w:val="20"/>
          <w:szCs w:val="20"/>
          <w:color w:val="auto"/>
        </w:rPr>
      </w:pPr>
    </w:p>
    <w:p>
      <w:pPr>
        <w:ind w:left="632"/>
        <w:spacing w:after="0"/>
        <w:rPr>
          <w:sz w:val="20"/>
          <w:szCs w:val="20"/>
          <w:color w:val="auto"/>
        </w:rPr>
      </w:pPr>
      <w:r>
        <w:rPr>
          <w:rFonts w:ascii="Arial" w:cs="Arial" w:eastAsia="Arial" w:hAnsi="Arial"/>
          <w:sz w:val="20"/>
          <w:szCs w:val="20"/>
          <w:color w:val="2B2B2B"/>
        </w:rPr>
        <w:t>procedures and the time limits applicable to such procedures;</w:t>
      </w:r>
    </w:p>
    <w:p>
      <w:pPr>
        <w:spacing w:after="0" w:line="229" w:lineRule="exact"/>
        <w:rPr>
          <w:sz w:val="20"/>
          <w:szCs w:val="20"/>
          <w:color w:val="auto"/>
        </w:rPr>
      </w:pPr>
    </w:p>
    <w:p>
      <w:pPr>
        <w:ind w:left="632" w:hanging="632"/>
        <w:spacing w:after="0" w:line="378" w:lineRule="auto"/>
        <w:tabs>
          <w:tab w:leader="none" w:pos="614" w:val="left"/>
        </w:tabs>
        <w:numPr>
          <w:ilvl w:val="0"/>
          <w:numId w:val="54"/>
        </w:numPr>
        <w:rPr>
          <w:rFonts w:ascii="Arial" w:cs="Arial" w:eastAsia="Arial" w:hAnsi="Arial"/>
          <w:sz w:val="18"/>
          <w:szCs w:val="18"/>
          <w:color w:val="2B2B2B"/>
        </w:rPr>
      </w:pPr>
      <w:r>
        <w:rPr>
          <w:rFonts w:ascii="Arial" w:cs="Arial" w:eastAsia="Arial" w:hAnsi="Arial"/>
          <w:sz w:val="18"/>
          <w:szCs w:val="18"/>
          <w:color w:val="2B2B2B"/>
        </w:rPr>
        <w:t>A statement of the Claimant's right to bring a civil action under ERISA Section 502(a) following an adverse benefit determination on review, and a description of any time limit that applies under the Plan for bringing such an action;</w:t>
      </w:r>
    </w:p>
    <w:p>
      <w:pPr>
        <w:spacing w:after="0" w:line="104" w:lineRule="exact"/>
        <w:rPr>
          <w:rFonts w:ascii="Arial" w:cs="Arial" w:eastAsia="Arial" w:hAnsi="Arial"/>
          <w:sz w:val="18"/>
          <w:szCs w:val="18"/>
          <w:color w:val="2B2B2B"/>
        </w:rPr>
      </w:pPr>
    </w:p>
    <w:p>
      <w:pPr>
        <w:ind w:left="612" w:hanging="612"/>
        <w:spacing w:after="0"/>
        <w:tabs>
          <w:tab w:leader="none" w:pos="612" w:val="left"/>
        </w:tabs>
        <w:numPr>
          <w:ilvl w:val="0"/>
          <w:numId w:val="54"/>
        </w:numPr>
        <w:rPr>
          <w:rFonts w:ascii="Arial" w:cs="Arial" w:eastAsia="Arial" w:hAnsi="Arial"/>
          <w:sz w:val="20"/>
          <w:szCs w:val="20"/>
          <w:color w:val="2B2B2B"/>
        </w:rPr>
      </w:pPr>
      <w:r>
        <w:rPr>
          <w:rFonts w:ascii="Arial" w:cs="Arial" w:eastAsia="Arial" w:hAnsi="Arial"/>
          <w:sz w:val="20"/>
          <w:szCs w:val="20"/>
          <w:color w:val="2B2B2B"/>
        </w:rPr>
        <w:t>A discussion of the decision, including an explanation of the basis for disagreeing with or not following:</w:t>
      </w:r>
    </w:p>
    <w:p>
      <w:pPr>
        <w:spacing w:after="0" w:line="229" w:lineRule="exact"/>
        <w:rPr>
          <w:rFonts w:ascii="Arial" w:cs="Arial" w:eastAsia="Arial" w:hAnsi="Arial"/>
          <w:sz w:val="20"/>
          <w:szCs w:val="20"/>
          <w:color w:val="2B2B2B"/>
        </w:rPr>
      </w:pPr>
    </w:p>
    <w:p>
      <w:pPr>
        <w:ind w:left="1272" w:right="20" w:hanging="557"/>
        <w:spacing w:after="0" w:line="331" w:lineRule="auto"/>
        <w:tabs>
          <w:tab w:leader="none" w:pos="1254" w:val="left"/>
        </w:tabs>
        <w:numPr>
          <w:ilvl w:val="1"/>
          <w:numId w:val="54"/>
        </w:numPr>
        <w:rPr>
          <w:rFonts w:ascii="Arial" w:cs="Arial" w:eastAsia="Arial" w:hAnsi="Arial"/>
          <w:sz w:val="20"/>
          <w:szCs w:val="20"/>
          <w:color w:val="2B2B2B"/>
        </w:rPr>
      </w:pPr>
      <w:r>
        <w:rPr>
          <w:rFonts w:ascii="Arial" w:cs="Arial" w:eastAsia="Arial" w:hAnsi="Arial"/>
          <w:sz w:val="20"/>
          <w:szCs w:val="20"/>
          <w:color w:val="2B2B2B"/>
        </w:rPr>
        <w:t>The views presented by the Claimant of health care professionals treating the Claimant and vocational professionals who evaluated the Claimant;</w:t>
      </w:r>
    </w:p>
    <w:p>
      <w:pPr>
        <w:spacing w:after="0" w:line="121" w:lineRule="exact"/>
        <w:rPr>
          <w:rFonts w:ascii="Arial" w:cs="Arial" w:eastAsia="Arial" w:hAnsi="Arial"/>
          <w:sz w:val="20"/>
          <w:szCs w:val="20"/>
          <w:color w:val="2B2B2B"/>
        </w:rPr>
      </w:pPr>
    </w:p>
    <w:p>
      <w:pPr>
        <w:jc w:val="both"/>
        <w:ind w:left="1252" w:hanging="550"/>
        <w:spacing w:after="0" w:line="306" w:lineRule="auto"/>
        <w:tabs>
          <w:tab w:leader="none" w:pos="1252" w:val="left"/>
        </w:tabs>
        <w:numPr>
          <w:ilvl w:val="1"/>
          <w:numId w:val="54"/>
        </w:numPr>
        <w:rPr>
          <w:rFonts w:ascii="Arial" w:cs="Arial" w:eastAsia="Arial" w:hAnsi="Arial"/>
          <w:sz w:val="20"/>
          <w:szCs w:val="20"/>
          <w:color w:val="2B2B2B"/>
        </w:rPr>
      </w:pPr>
      <w:r>
        <w:rPr>
          <w:rFonts w:ascii="Arial" w:cs="Arial" w:eastAsia="Arial" w:hAnsi="Arial"/>
          <w:sz w:val="20"/>
          <w:szCs w:val="20"/>
          <w:color w:val="2B2B2B"/>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46" w:lineRule="exact"/>
        <w:rPr>
          <w:rFonts w:ascii="Arial" w:cs="Arial" w:eastAsia="Arial" w:hAnsi="Arial"/>
          <w:sz w:val="20"/>
          <w:szCs w:val="20"/>
          <w:color w:val="2B2B2B"/>
        </w:rPr>
      </w:pPr>
    </w:p>
    <w:p>
      <w:pPr>
        <w:ind w:left="1272" w:hanging="557"/>
        <w:spacing w:after="0" w:line="317" w:lineRule="auto"/>
        <w:tabs>
          <w:tab w:leader="none" w:pos="1254" w:val="left"/>
        </w:tabs>
        <w:numPr>
          <w:ilvl w:val="1"/>
          <w:numId w:val="54"/>
        </w:numPr>
        <w:rPr>
          <w:rFonts w:ascii="Arial" w:cs="Arial" w:eastAsia="Arial" w:hAnsi="Arial"/>
          <w:sz w:val="20"/>
          <w:szCs w:val="20"/>
          <w:color w:val="2B2B2B"/>
        </w:rPr>
      </w:pPr>
      <w:r>
        <w:rPr>
          <w:rFonts w:ascii="Arial" w:cs="Arial" w:eastAsia="Arial" w:hAnsi="Arial"/>
          <w:sz w:val="20"/>
          <w:szCs w:val="20"/>
          <w:color w:val="2B2B2B"/>
        </w:rPr>
        <w:t>A disability determination regarding the Claimant presented by the Claimant made by the Social Security Administration.</w:t>
      </w:r>
    </w:p>
    <w:p>
      <w:pPr>
        <w:spacing w:after="0" w:line="304" w:lineRule="exact"/>
        <w:rPr>
          <w:rFonts w:ascii="Arial" w:cs="Arial" w:eastAsia="Arial" w:hAnsi="Arial"/>
          <w:sz w:val="20"/>
          <w:szCs w:val="20"/>
          <w:color w:val="2B2B2B"/>
        </w:rPr>
      </w:pPr>
    </w:p>
    <w:p>
      <w:pPr>
        <w:jc w:val="both"/>
        <w:ind w:left="2212" w:hanging="565"/>
        <w:spacing w:after="0" w:line="339" w:lineRule="auto"/>
        <w:tabs>
          <w:tab w:leader="none" w:pos="2212" w:val="left"/>
        </w:tabs>
        <w:numPr>
          <w:ilvl w:val="2"/>
          <w:numId w:val="54"/>
        </w:numPr>
        <w:rPr>
          <w:rFonts w:ascii="Arial" w:cs="Arial" w:eastAsia="Arial" w:hAnsi="Arial"/>
          <w:sz w:val="19"/>
          <w:szCs w:val="19"/>
          <w:color w:val="2A2A2A"/>
        </w:rPr>
      </w:pPr>
      <w:r>
        <w:rPr>
          <w:rFonts w:ascii="Arial" w:cs="Arial" w:eastAsia="Arial" w:hAnsi="Arial"/>
          <w:sz w:val="19"/>
          <w:szCs w:val="19"/>
          <w:color w:val="2A2A2A"/>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129" w:lineRule="exact"/>
        <w:rPr>
          <w:rFonts w:ascii="Arial" w:cs="Arial" w:eastAsia="Arial" w:hAnsi="Arial"/>
          <w:sz w:val="19"/>
          <w:szCs w:val="19"/>
          <w:color w:val="2A2A2A"/>
        </w:rPr>
      </w:pPr>
    </w:p>
    <w:p>
      <w:pPr>
        <w:jc w:val="both"/>
        <w:ind w:left="2212" w:hanging="565"/>
        <w:spacing w:after="0" w:line="323" w:lineRule="auto"/>
        <w:tabs>
          <w:tab w:leader="none" w:pos="2212" w:val="left"/>
        </w:tabs>
        <w:numPr>
          <w:ilvl w:val="2"/>
          <w:numId w:val="54"/>
        </w:numPr>
        <w:rPr>
          <w:rFonts w:ascii="Arial" w:cs="Arial" w:eastAsia="Arial" w:hAnsi="Arial"/>
          <w:sz w:val="19"/>
          <w:szCs w:val="19"/>
          <w:color w:val="2A2A2A"/>
        </w:rPr>
      </w:pPr>
      <w:r>
        <w:rPr>
          <w:rFonts w:ascii="Arial" w:cs="Arial" w:eastAsia="Arial" w:hAnsi="Arial"/>
          <w:sz w:val="19"/>
          <w:szCs w:val="19"/>
          <w:color w:val="2A2A2A"/>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143" w:lineRule="exact"/>
        <w:rPr>
          <w:rFonts w:ascii="Arial" w:cs="Arial" w:eastAsia="Arial" w:hAnsi="Arial"/>
          <w:sz w:val="19"/>
          <w:szCs w:val="19"/>
          <w:color w:val="2A2A2A"/>
        </w:rPr>
      </w:pPr>
    </w:p>
    <w:p>
      <w:pPr>
        <w:jc w:val="both"/>
        <w:ind w:left="2252" w:hanging="578"/>
        <w:spacing w:after="0" w:line="341" w:lineRule="auto"/>
        <w:tabs>
          <w:tab w:leader="none" w:pos="2234" w:val="left"/>
        </w:tabs>
        <w:numPr>
          <w:ilvl w:val="3"/>
          <w:numId w:val="54"/>
        </w:numPr>
        <w:rPr>
          <w:rFonts w:ascii="Arial" w:cs="Arial" w:eastAsia="Arial" w:hAnsi="Arial"/>
          <w:sz w:val="18"/>
          <w:szCs w:val="18"/>
          <w:color w:val="2A2A2A"/>
        </w:rPr>
      </w:pPr>
      <w:r>
        <w:rPr>
          <w:rFonts w:ascii="Arial" w:cs="Arial" w:eastAsia="Arial" w:hAnsi="Arial"/>
          <w:sz w:val="18"/>
          <w:szCs w:val="18"/>
          <w:color w:val="2A2A2A"/>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Department of Labor Regulation Section 2560.503-1(m)(8).</w:t>
      </w:r>
    </w:p>
    <w:p>
      <w:pPr>
        <w:spacing w:after="0" w:line="133" w:lineRule="exact"/>
        <w:rPr>
          <w:sz w:val="20"/>
          <w:szCs w:val="20"/>
          <w:color w:val="auto"/>
        </w:rPr>
      </w:pPr>
    </w:p>
    <w:p>
      <w:pPr>
        <w:jc w:val="both"/>
        <w:ind w:left="1532" w:hanging="614"/>
        <w:spacing w:after="0" w:line="348" w:lineRule="auto"/>
        <w:tabs>
          <w:tab w:leader="none" w:pos="1532" w:val="left"/>
        </w:tabs>
        <w:numPr>
          <w:ilvl w:val="0"/>
          <w:numId w:val="55"/>
        </w:numPr>
        <w:rPr>
          <w:rFonts w:ascii="Arial" w:cs="Arial" w:eastAsia="Arial" w:hAnsi="Arial"/>
          <w:sz w:val="18"/>
          <w:szCs w:val="18"/>
          <w:color w:val="2A2A2A"/>
        </w:rPr>
      </w:pPr>
      <w:r>
        <w:rPr>
          <w:rFonts w:ascii="Arial" w:cs="Arial" w:eastAsia="Arial" w:hAnsi="Arial"/>
          <w:sz w:val="18"/>
          <w:szCs w:val="18"/>
          <w:u w:val="single" w:color="auto"/>
          <w:color w:val="2A2A2A"/>
        </w:rPr>
        <w:t>Review Procedure</w:t>
      </w:r>
      <w:r>
        <w:rPr>
          <w:rFonts w:ascii="Arial" w:cs="Arial" w:eastAsia="Arial" w:hAnsi="Arial"/>
          <w:sz w:val="18"/>
          <w:szCs w:val="18"/>
          <w:color w:val="2A2A2A"/>
        </w:rPr>
        <w:t>. If the initial claim relates to whether a Participant is Disabled, the claim requires an independent determination by the Committee, and the Committee denies the claim, in whole or in part, the Claimant shall have the opportunity for a full and fair review by the Committee of the denial, as follows:</w:t>
      </w:r>
    </w:p>
    <w:p>
      <w:pPr>
        <w:spacing w:after="0" w:line="125" w:lineRule="exact"/>
        <w:rPr>
          <w:rFonts w:ascii="Arial" w:cs="Arial" w:eastAsia="Arial" w:hAnsi="Arial"/>
          <w:sz w:val="18"/>
          <w:szCs w:val="18"/>
          <w:color w:val="2A2A2A"/>
        </w:rPr>
      </w:pPr>
    </w:p>
    <w:p>
      <w:pPr>
        <w:jc w:val="both"/>
        <w:ind w:left="2172" w:hanging="377"/>
        <w:spacing w:after="0" w:line="316" w:lineRule="auto"/>
        <w:tabs>
          <w:tab w:leader="none" w:pos="2172" w:val="left"/>
        </w:tabs>
        <w:numPr>
          <w:ilvl w:val="2"/>
          <w:numId w:val="55"/>
        </w:numPr>
        <w:rPr>
          <w:rFonts w:ascii="Arial" w:cs="Arial" w:eastAsia="Arial" w:hAnsi="Arial"/>
          <w:sz w:val="19"/>
          <w:szCs w:val="19"/>
          <w:color w:val="2A2A2A"/>
        </w:rPr>
      </w:pPr>
      <w:r>
        <w:rPr>
          <w:rFonts w:ascii="Arial" w:cs="Arial" w:eastAsia="Arial" w:hAnsi="Arial"/>
          <w:sz w:val="19"/>
          <w:szCs w:val="19"/>
          <w:color w:val="2A2A2A"/>
        </w:rPr>
        <w:t>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150" w:lineRule="exact"/>
        <w:rPr>
          <w:rFonts w:ascii="Arial" w:cs="Arial" w:eastAsia="Arial" w:hAnsi="Arial"/>
          <w:sz w:val="19"/>
          <w:szCs w:val="19"/>
          <w:color w:val="2A2A2A"/>
        </w:rPr>
      </w:pPr>
    </w:p>
    <w:p>
      <w:pPr>
        <w:jc w:val="both"/>
        <w:ind w:left="2192" w:hanging="397"/>
        <w:spacing w:after="0" w:line="359" w:lineRule="auto"/>
        <w:tabs>
          <w:tab w:leader="none" w:pos="2192" w:val="left"/>
        </w:tabs>
        <w:numPr>
          <w:ilvl w:val="2"/>
          <w:numId w:val="55"/>
        </w:numPr>
        <w:rPr>
          <w:rFonts w:ascii="Arial" w:cs="Arial" w:eastAsia="Arial" w:hAnsi="Arial"/>
          <w:sz w:val="20"/>
          <w:szCs w:val="20"/>
          <w:color w:val="2A2A2A"/>
        </w:rPr>
      </w:pPr>
      <w:r>
        <w:rPr>
          <w:rFonts w:ascii="Arial" w:cs="Arial" w:eastAsia="Arial" w:hAnsi="Arial"/>
          <w:sz w:val="18"/>
          <w:szCs w:val="18"/>
          <w:color w:val="2A2A2A"/>
        </w:rPr>
        <w:t>The Committee shall respond in writing to such Claimant within forty-five (45) days after receiving the request for review. If the Committee determines that special circumstances require additional time for processing the claim, the Committee can extend the response period by an additional forty-five (45) days by notifying the Claimant in writing, prior to the end of the initial 45-day period that an additional period is required. The notice of extension must set forth the special circumstances and the date by which the Committee expects to render its decision.</w:t>
      </w:r>
    </w:p>
    <w:p>
      <w:pPr>
        <w:spacing w:after="0" w:line="146" w:lineRule="exact"/>
        <w:rPr>
          <w:rFonts w:ascii="Arial" w:cs="Arial" w:eastAsia="Arial" w:hAnsi="Arial"/>
          <w:sz w:val="20"/>
          <w:szCs w:val="20"/>
          <w:color w:val="2A2A2A"/>
        </w:rPr>
      </w:pPr>
    </w:p>
    <w:p>
      <w:pPr>
        <w:jc w:val="both"/>
        <w:ind w:left="2152" w:hanging="397"/>
        <w:spacing w:after="0" w:line="384" w:lineRule="auto"/>
        <w:tabs>
          <w:tab w:leader="none" w:pos="2152" w:val="left"/>
        </w:tabs>
        <w:numPr>
          <w:ilvl w:val="1"/>
          <w:numId w:val="55"/>
        </w:numPr>
        <w:rPr>
          <w:rFonts w:ascii="Arial" w:cs="Arial" w:eastAsia="Arial" w:hAnsi="Arial"/>
          <w:sz w:val="19"/>
          <w:szCs w:val="19"/>
          <w:color w:val="2A2A2A"/>
        </w:rPr>
      </w:pPr>
      <w:r>
        <w:rPr>
          <w:rFonts w:ascii="Arial" w:cs="Arial" w:eastAsia="Arial" w:hAnsi="Arial"/>
          <w:sz w:val="17"/>
          <w:szCs w:val="17"/>
          <w:color w:val="2A2A2A"/>
        </w:rPr>
        <w:t>The Claimant shall be given the opportunity to submit issues and written comments to the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w:t>
      </w:r>
    </w:p>
    <w:p>
      <w:pPr>
        <w:spacing w:after="0" w:line="200" w:lineRule="exact"/>
        <w:rPr>
          <w:sz w:val="20"/>
          <w:szCs w:val="20"/>
          <w:color w:val="auto"/>
        </w:rPr>
      </w:pPr>
    </w:p>
    <w:p>
      <w:pPr>
        <w:spacing w:after="0" w:line="375" w:lineRule="exact"/>
        <w:rPr>
          <w:sz w:val="20"/>
          <w:szCs w:val="20"/>
          <w:color w:val="auto"/>
        </w:rPr>
      </w:pPr>
    </w:p>
    <w:p>
      <w:pPr>
        <w:ind w:left="2232" w:right="340"/>
        <w:spacing w:after="0" w:line="335" w:lineRule="auto"/>
        <w:rPr>
          <w:sz w:val="20"/>
          <w:szCs w:val="20"/>
          <w:color w:val="auto"/>
        </w:rPr>
      </w:pPr>
      <w:r>
        <w:rPr>
          <w:rFonts w:ascii="Arial" w:cs="Arial" w:eastAsia="Arial" w:hAnsi="Arial"/>
          <w:sz w:val="19"/>
          <w:szCs w:val="19"/>
          <w:color w:val="2A2A2A"/>
        </w:rPr>
        <w:t>relating to the claim regardless of whether the information was submitted or considered in the initial benefit determination.</w:t>
      </w:r>
    </w:p>
    <w:p>
      <w:pPr>
        <w:spacing w:after="0" w:line="146" w:lineRule="exact"/>
        <w:rPr>
          <w:sz w:val="20"/>
          <w:szCs w:val="20"/>
          <w:color w:val="auto"/>
        </w:rPr>
      </w:pPr>
    </w:p>
    <w:p>
      <w:pPr>
        <w:jc w:val="both"/>
        <w:ind w:left="2172" w:hanging="390"/>
        <w:spacing w:after="0" w:line="386" w:lineRule="auto"/>
        <w:tabs>
          <w:tab w:leader="none" w:pos="2172" w:val="left"/>
        </w:tabs>
        <w:numPr>
          <w:ilvl w:val="0"/>
          <w:numId w:val="56"/>
        </w:numPr>
        <w:rPr>
          <w:rFonts w:ascii="Arial" w:cs="Arial" w:eastAsia="Arial" w:hAnsi="Arial"/>
          <w:sz w:val="19"/>
          <w:szCs w:val="19"/>
          <w:color w:val="2A2A2A"/>
        </w:rPr>
      </w:pPr>
      <w:r>
        <w:rPr>
          <w:rFonts w:ascii="Arial" w:cs="Arial" w:eastAsia="Arial" w:hAnsi="Arial"/>
          <w:sz w:val="17"/>
          <w:szCs w:val="17"/>
          <w:color w:val="2A2A2A"/>
        </w:rPr>
        <w:t>In considering the review, the Committee shall take into account all comments, documents, records and other information submitted by the Claimant relating to the claim, without regard to whether such information was submitted or considered in the initial benefit determination. Additional considerations</w:t>
      </w:r>
    </w:p>
    <w:p>
      <w:pPr>
        <w:sectPr>
          <w:pgSz w:w="11900" w:h="16958" w:orient="portrait"/>
          <w:cols w:equalWidth="0" w:num="1">
            <w:col w:w="10152"/>
          </w:cols>
          <w:pgMar w:left="1408" w:top="150" w:right="339" w:bottom="0" w:gutter="0" w:footer="0" w:header="0"/>
        </w:sectPr>
      </w:pPr>
    </w:p>
    <w:bookmarkStart w:id="70" w:name="page71"/>
    <w:bookmarkEnd w:id="70"/>
    <w:p>
      <w:pPr>
        <w:jc w:val="both"/>
        <w:ind w:left="2140"/>
        <w:spacing w:after="0" w:line="387" w:lineRule="auto"/>
        <w:rPr>
          <w:sz w:val="20"/>
          <w:szCs w:val="20"/>
          <w:color w:val="auto"/>
        </w:rPr>
      </w:pPr>
      <w:r>
        <w:rPr>
          <w:rFonts w:ascii="Arial" w:cs="Arial" w:eastAsia="Arial" w:hAnsi="Arial"/>
          <w:sz w:val="17"/>
          <w:szCs w:val="17"/>
          <w:color w:val="2A2A2A"/>
        </w:rPr>
        <w:t>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Committee will consult with a health care professional with appropriate training and experience in the field of medicine involving the medical judgment. The health care professional who is consulted on appeal will not be the same individual who was consulted during the initial determination or the subordinate of such individual. If the Committee obtained the advice of medical or vocational experts in making the initial adverse benefits determination (regardless of whether the advice was relied upon), the Committee will identify such experts.</w:t>
      </w:r>
    </w:p>
    <w:p>
      <w:pPr>
        <w:spacing w:after="0" w:line="106" w:lineRule="exact"/>
        <w:rPr>
          <w:sz w:val="20"/>
          <w:szCs w:val="20"/>
          <w:color w:val="auto"/>
        </w:rPr>
      </w:pPr>
    </w:p>
    <w:p>
      <w:pPr>
        <w:jc w:val="both"/>
        <w:ind w:left="1720" w:hanging="659"/>
        <w:spacing w:after="0" w:line="426" w:lineRule="auto"/>
        <w:tabs>
          <w:tab w:leader="none" w:pos="1702" w:val="left"/>
        </w:tabs>
        <w:numPr>
          <w:ilvl w:val="0"/>
          <w:numId w:val="57"/>
        </w:numPr>
        <w:rPr>
          <w:rFonts w:ascii="Arial" w:cs="Arial" w:eastAsia="Arial" w:hAnsi="Arial"/>
          <w:sz w:val="17"/>
          <w:szCs w:val="17"/>
          <w:color w:val="2A2A2A"/>
        </w:rPr>
      </w:pPr>
      <w:r>
        <w:rPr>
          <w:rFonts w:ascii="Arial" w:cs="Arial" w:eastAsia="Arial" w:hAnsi="Arial"/>
          <w:sz w:val="17"/>
          <w:szCs w:val="17"/>
          <w:u w:val="single" w:color="auto"/>
          <w:color w:val="444444"/>
        </w:rPr>
        <w:t>Notice</w:t>
      </w:r>
      <w:r>
        <w:rPr>
          <w:rFonts w:ascii="Arial" w:cs="Arial" w:eastAsia="Arial" w:hAnsi="Arial"/>
          <w:sz w:val="17"/>
          <w:szCs w:val="17"/>
          <w:color w:val="444444"/>
        </w:rPr>
        <w:t xml:space="preserve"> </w:t>
      </w:r>
      <w:r>
        <w:rPr>
          <w:rFonts w:ascii="Arial" w:cs="Arial" w:eastAsia="Arial" w:hAnsi="Arial"/>
          <w:sz w:val="20"/>
          <w:szCs w:val="20"/>
          <w:u w:val="single" w:color="auto"/>
          <w:color w:val="444444"/>
        </w:rPr>
        <w:t>of</w:t>
      </w:r>
      <w:r>
        <w:rPr>
          <w:rFonts w:ascii="Arial" w:cs="Arial" w:eastAsia="Arial" w:hAnsi="Arial"/>
          <w:sz w:val="17"/>
          <w:szCs w:val="17"/>
          <w:color w:val="444444"/>
        </w:rPr>
        <w:t xml:space="preserve"> </w:t>
      </w:r>
      <w:r>
        <w:rPr>
          <w:rFonts w:ascii="Arial" w:cs="Arial" w:eastAsia="Arial" w:hAnsi="Arial"/>
          <w:sz w:val="17"/>
          <w:szCs w:val="17"/>
          <w:u w:val="single" w:color="auto"/>
          <w:color w:val="444444"/>
        </w:rPr>
        <w:t>Decisio</w:t>
      </w:r>
      <w:r>
        <w:rPr>
          <w:rFonts w:ascii="Arial" w:cs="Arial" w:eastAsia="Arial" w:hAnsi="Arial"/>
          <w:sz w:val="17"/>
          <w:szCs w:val="17"/>
          <w:u w:val="single" w:color="auto"/>
          <w:color w:val="2A2A2A"/>
        </w:rPr>
        <w:t>n</w:t>
      </w:r>
      <w:r>
        <w:rPr>
          <w:rFonts w:ascii="Arial" w:cs="Arial" w:eastAsia="Arial" w:hAnsi="Arial"/>
          <w:sz w:val="17"/>
          <w:szCs w:val="17"/>
          <w:color w:val="444444"/>
        </w:rPr>
        <w:t xml:space="preserve"> </w:t>
      </w:r>
      <w:r>
        <w:rPr>
          <w:rFonts w:ascii="Arial" w:cs="Arial" w:eastAsia="Arial" w:hAnsi="Arial"/>
          <w:sz w:val="17"/>
          <w:szCs w:val="17"/>
          <w:u w:val="single" w:color="auto"/>
          <w:color w:val="444444"/>
        </w:rPr>
        <w:t>after</w:t>
      </w:r>
      <w:r>
        <w:rPr>
          <w:rFonts w:ascii="Arial" w:cs="Arial" w:eastAsia="Arial" w:hAnsi="Arial"/>
          <w:sz w:val="17"/>
          <w:szCs w:val="17"/>
          <w:color w:val="444444"/>
        </w:rPr>
        <w:t xml:space="preserve"> </w:t>
      </w:r>
      <w:r>
        <w:rPr>
          <w:rFonts w:ascii="Arial" w:cs="Arial" w:eastAsia="Arial" w:hAnsi="Arial"/>
          <w:sz w:val="17"/>
          <w:szCs w:val="17"/>
          <w:u w:val="single" w:color="auto"/>
          <w:color w:val="2A2A2A"/>
        </w:rPr>
        <w:t>R</w:t>
      </w:r>
      <w:r>
        <w:rPr>
          <w:rFonts w:ascii="Arial" w:cs="Arial" w:eastAsia="Arial" w:hAnsi="Arial"/>
          <w:sz w:val="17"/>
          <w:szCs w:val="17"/>
          <w:u w:val="single" w:color="auto"/>
          <w:color w:val="444444"/>
        </w:rPr>
        <w:t>eview</w:t>
      </w:r>
      <w:r>
        <w:rPr>
          <w:rFonts w:ascii="Arial" w:cs="Arial" w:eastAsia="Arial" w:hAnsi="Arial"/>
          <w:sz w:val="17"/>
          <w:szCs w:val="17"/>
          <w:color w:val="2A2A2A"/>
        </w:rPr>
        <w:t>.</w:t>
      </w:r>
      <w:r>
        <w:rPr>
          <w:rFonts w:ascii="Arial" w:cs="Arial" w:eastAsia="Arial" w:hAnsi="Arial"/>
          <w:sz w:val="17"/>
          <w:szCs w:val="17"/>
          <w:color w:val="444444"/>
        </w:rPr>
        <w:t xml:space="preserve"> </w:t>
      </w:r>
      <w:r>
        <w:rPr>
          <w:rFonts w:ascii="Arial" w:cs="Arial" w:eastAsia="Arial" w:hAnsi="Arial"/>
          <w:sz w:val="16"/>
          <w:szCs w:val="16"/>
          <w:color w:val="2A2A2A"/>
        </w:rPr>
        <w:t>In</w:t>
      </w:r>
      <w:r>
        <w:rPr>
          <w:rFonts w:ascii="Arial" w:cs="Arial" w:eastAsia="Arial" w:hAnsi="Arial"/>
          <w:sz w:val="17"/>
          <w:szCs w:val="17"/>
          <w:color w:val="444444"/>
        </w:rPr>
        <w:t xml:space="preserve"> </w:t>
      </w:r>
      <w:r>
        <w:rPr>
          <w:rFonts w:ascii="Arial" w:cs="Arial" w:eastAsia="Arial" w:hAnsi="Arial"/>
          <w:sz w:val="17"/>
          <w:szCs w:val="17"/>
          <w:color w:val="2A2A2A"/>
        </w:rPr>
        <w:t>the case of an adverse benefit determination with respect to whether a</w:t>
      </w:r>
      <w:r>
        <w:rPr>
          <w:rFonts w:ascii="Arial" w:cs="Arial" w:eastAsia="Arial" w:hAnsi="Arial"/>
          <w:sz w:val="17"/>
          <w:szCs w:val="17"/>
          <w:color w:val="444444"/>
        </w:rPr>
        <w:t xml:space="preserve"> </w:t>
      </w:r>
      <w:r>
        <w:rPr>
          <w:rFonts w:ascii="Arial" w:cs="Arial" w:eastAsia="Arial" w:hAnsi="Arial"/>
          <w:sz w:val="17"/>
          <w:szCs w:val="17"/>
          <w:color w:val="2A2A2A"/>
        </w:rPr>
        <w:t>Participant is Disabled, the Committee will provide a notification in a culturally and linguistically appropriate manner (as described in Department of Labor Regulation Section 2560.503-1(o)) that shall set forth:</w:t>
      </w:r>
    </w:p>
    <w:p>
      <w:pPr>
        <w:spacing w:after="0" w:line="67" w:lineRule="exact"/>
        <w:rPr>
          <w:rFonts w:ascii="Arial" w:cs="Arial" w:eastAsia="Arial" w:hAnsi="Arial"/>
          <w:sz w:val="17"/>
          <w:szCs w:val="17"/>
          <w:color w:val="2A2A2A"/>
        </w:rPr>
      </w:pPr>
    </w:p>
    <w:p>
      <w:pPr>
        <w:ind w:left="2140" w:hanging="606"/>
        <w:spacing w:after="0"/>
        <w:tabs>
          <w:tab w:leader="none" w:pos="2140" w:val="left"/>
        </w:tabs>
        <w:numPr>
          <w:ilvl w:val="2"/>
          <w:numId w:val="57"/>
        </w:numPr>
        <w:rPr>
          <w:rFonts w:ascii="Arial" w:cs="Arial" w:eastAsia="Arial" w:hAnsi="Arial"/>
          <w:sz w:val="19"/>
          <w:szCs w:val="19"/>
          <w:color w:val="2A2A2A"/>
        </w:rPr>
      </w:pPr>
      <w:r>
        <w:rPr>
          <w:rFonts w:ascii="Arial" w:cs="Arial" w:eastAsia="Arial" w:hAnsi="Arial"/>
          <w:sz w:val="19"/>
          <w:szCs w:val="19"/>
          <w:color w:val="2A2A2A"/>
        </w:rPr>
        <w:t>The Committee's decision;</w:t>
      </w:r>
    </w:p>
    <w:p>
      <w:pPr>
        <w:spacing w:after="0" w:line="240" w:lineRule="exact"/>
        <w:rPr>
          <w:rFonts w:ascii="Arial" w:cs="Arial" w:eastAsia="Arial" w:hAnsi="Arial"/>
          <w:sz w:val="19"/>
          <w:szCs w:val="19"/>
          <w:color w:val="2A2A2A"/>
        </w:rPr>
      </w:pPr>
    </w:p>
    <w:p>
      <w:pPr>
        <w:ind w:left="2140" w:hanging="606"/>
        <w:spacing w:after="0"/>
        <w:tabs>
          <w:tab w:leader="none" w:pos="2140" w:val="left"/>
        </w:tabs>
        <w:numPr>
          <w:ilvl w:val="2"/>
          <w:numId w:val="57"/>
        </w:numPr>
        <w:rPr>
          <w:rFonts w:ascii="Arial" w:cs="Arial" w:eastAsia="Arial" w:hAnsi="Arial"/>
          <w:sz w:val="19"/>
          <w:szCs w:val="19"/>
          <w:color w:val="2A2A2A"/>
        </w:rPr>
      </w:pPr>
      <w:r>
        <w:rPr>
          <w:rFonts w:ascii="Arial" w:cs="Arial" w:eastAsia="Arial" w:hAnsi="Arial"/>
          <w:sz w:val="19"/>
          <w:szCs w:val="19"/>
          <w:color w:val="2A2A2A"/>
        </w:rPr>
        <w:t>The specific reasons for the denial;</w:t>
      </w:r>
    </w:p>
    <w:p>
      <w:pPr>
        <w:spacing w:after="0" w:line="281" w:lineRule="exact"/>
        <w:rPr>
          <w:rFonts w:ascii="Arial" w:cs="Arial" w:eastAsia="Arial" w:hAnsi="Arial"/>
          <w:sz w:val="19"/>
          <w:szCs w:val="19"/>
          <w:color w:val="2A2A2A"/>
        </w:rPr>
      </w:pPr>
    </w:p>
    <w:p>
      <w:pPr>
        <w:ind w:left="2140" w:hanging="606"/>
        <w:spacing w:after="0"/>
        <w:tabs>
          <w:tab w:leader="none" w:pos="2140" w:val="left"/>
        </w:tabs>
        <w:numPr>
          <w:ilvl w:val="2"/>
          <w:numId w:val="57"/>
        </w:numPr>
        <w:rPr>
          <w:rFonts w:ascii="Arial" w:cs="Arial" w:eastAsia="Arial" w:hAnsi="Arial"/>
          <w:sz w:val="17"/>
          <w:szCs w:val="17"/>
          <w:color w:val="2A2A2A"/>
        </w:rPr>
      </w:pPr>
      <w:r>
        <w:rPr>
          <w:rFonts w:ascii="Arial" w:cs="Arial" w:eastAsia="Arial" w:hAnsi="Arial"/>
          <w:sz w:val="17"/>
          <w:szCs w:val="17"/>
          <w:color w:val="2A2A2A"/>
        </w:rPr>
        <w:t>A reference to the specific provisions of the Plan or insurance contract on which the decision is based;</w:t>
      </w:r>
    </w:p>
    <w:p>
      <w:pPr>
        <w:spacing w:after="0" w:line="263" w:lineRule="exact"/>
        <w:rPr>
          <w:rFonts w:ascii="Arial" w:cs="Arial" w:eastAsia="Arial" w:hAnsi="Arial"/>
          <w:sz w:val="17"/>
          <w:szCs w:val="17"/>
          <w:color w:val="2A2A2A"/>
        </w:rPr>
      </w:pPr>
    </w:p>
    <w:p>
      <w:pPr>
        <w:jc w:val="both"/>
        <w:ind w:left="2140" w:hanging="633"/>
        <w:spacing w:after="0" w:line="323" w:lineRule="auto"/>
        <w:tabs>
          <w:tab w:leader="none" w:pos="2140" w:val="left"/>
        </w:tabs>
        <w:numPr>
          <w:ilvl w:val="1"/>
          <w:numId w:val="57"/>
        </w:numPr>
        <w:rPr>
          <w:rFonts w:ascii="Arial" w:cs="Arial" w:eastAsia="Arial" w:hAnsi="Arial"/>
          <w:sz w:val="19"/>
          <w:szCs w:val="19"/>
          <w:color w:val="2A2A2A"/>
        </w:rPr>
      </w:pPr>
      <w:r>
        <w:rPr>
          <w:rFonts w:ascii="Arial" w:cs="Arial" w:eastAsia="Arial" w:hAnsi="Arial"/>
          <w:sz w:val="19"/>
          <w:szCs w:val="19"/>
          <w:color w:val="2A2A2A"/>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143" w:lineRule="exact"/>
        <w:rPr>
          <w:rFonts w:ascii="Arial" w:cs="Arial" w:eastAsia="Arial" w:hAnsi="Arial"/>
          <w:sz w:val="19"/>
          <w:szCs w:val="19"/>
          <w:color w:val="2A2A2A"/>
        </w:rPr>
      </w:pPr>
    </w:p>
    <w:p>
      <w:pPr>
        <w:ind w:left="2140" w:hanging="633"/>
        <w:spacing w:after="0" w:line="335" w:lineRule="auto"/>
        <w:tabs>
          <w:tab w:leader="none" w:pos="2140" w:val="left"/>
        </w:tabs>
        <w:numPr>
          <w:ilvl w:val="1"/>
          <w:numId w:val="57"/>
        </w:numPr>
        <w:rPr>
          <w:rFonts w:ascii="Arial" w:cs="Arial" w:eastAsia="Arial" w:hAnsi="Arial"/>
          <w:sz w:val="19"/>
          <w:szCs w:val="19"/>
          <w:color w:val="2A2A2A"/>
        </w:rPr>
      </w:pPr>
      <w:r>
        <w:rPr>
          <w:rFonts w:ascii="Arial" w:cs="Arial" w:eastAsia="Arial" w:hAnsi="Arial"/>
          <w:sz w:val="19"/>
          <w:szCs w:val="19"/>
          <w:color w:val="2A2A2A"/>
        </w:rPr>
        <w:t>A statement describing any voluntary appeal procedures offered by the Plan and the Claimant's right to obtain the information about such procedures;</w:t>
      </w:r>
    </w:p>
    <w:p>
      <w:pPr>
        <w:spacing w:after="0" w:line="132" w:lineRule="exact"/>
        <w:rPr>
          <w:rFonts w:ascii="Arial" w:cs="Arial" w:eastAsia="Arial" w:hAnsi="Arial"/>
          <w:sz w:val="19"/>
          <w:szCs w:val="19"/>
          <w:color w:val="2A2A2A"/>
        </w:rPr>
      </w:pPr>
    </w:p>
    <w:p>
      <w:pPr>
        <w:jc w:val="both"/>
        <w:ind w:left="2140" w:hanging="633"/>
        <w:spacing w:after="0" w:line="323" w:lineRule="auto"/>
        <w:tabs>
          <w:tab w:leader="none" w:pos="2140" w:val="left"/>
        </w:tabs>
        <w:numPr>
          <w:ilvl w:val="1"/>
          <w:numId w:val="57"/>
        </w:numPr>
        <w:rPr>
          <w:rFonts w:ascii="Arial" w:cs="Arial" w:eastAsia="Arial" w:hAnsi="Arial"/>
          <w:sz w:val="19"/>
          <w:szCs w:val="19"/>
          <w:color w:val="2A2A2A"/>
        </w:rPr>
      </w:pPr>
      <w:r>
        <w:rPr>
          <w:rFonts w:ascii="Arial" w:cs="Arial" w:eastAsia="Arial" w:hAnsi="Arial"/>
          <w:sz w:val="19"/>
          <w:szCs w:val="19"/>
          <w:color w:val="2A2A2A"/>
        </w:rPr>
        <w:t>A statement of the Claimant's right to bring a civil action under ERISA Section 502(a) which shall describe any applicable contractual limitations period (such as that in Section 12.6) that applies to the Claimant's right to bring such an action,</w:t>
      </w:r>
    </w:p>
    <w:p>
      <w:pPr>
        <w:spacing w:after="0" w:line="333" w:lineRule="exact"/>
        <w:rPr>
          <w:sz w:val="20"/>
          <w:szCs w:val="20"/>
          <w:color w:val="auto"/>
        </w:rPr>
      </w:pPr>
    </w:p>
    <w:p>
      <w:pPr>
        <w:ind w:left="2180"/>
        <w:spacing w:after="0"/>
        <w:rPr>
          <w:sz w:val="20"/>
          <w:szCs w:val="20"/>
          <w:color w:val="auto"/>
        </w:rPr>
      </w:pPr>
      <w:r>
        <w:rPr>
          <w:rFonts w:ascii="Arial" w:cs="Arial" w:eastAsia="Arial" w:hAnsi="Arial"/>
          <w:sz w:val="19"/>
          <w:szCs w:val="19"/>
          <w:color w:val="2A2A2A"/>
        </w:rPr>
        <w:t>including the calendar date on which the contractual limitations period expires for the claim;</w:t>
      </w:r>
    </w:p>
    <w:p>
      <w:pPr>
        <w:spacing w:after="0" w:line="227" w:lineRule="exact"/>
        <w:rPr>
          <w:sz w:val="20"/>
          <w:szCs w:val="20"/>
          <w:color w:val="auto"/>
        </w:rPr>
      </w:pPr>
    </w:p>
    <w:p>
      <w:pPr>
        <w:ind w:left="2180" w:hanging="619"/>
        <w:spacing w:after="0"/>
        <w:tabs>
          <w:tab w:leader="none" w:pos="2180" w:val="left"/>
        </w:tabs>
        <w:numPr>
          <w:ilvl w:val="0"/>
          <w:numId w:val="58"/>
        </w:numPr>
        <w:rPr>
          <w:rFonts w:ascii="Arial" w:cs="Arial" w:eastAsia="Arial" w:hAnsi="Arial"/>
          <w:sz w:val="17"/>
          <w:szCs w:val="17"/>
          <w:color w:val="2A2A2A"/>
        </w:rPr>
      </w:pPr>
      <w:r>
        <w:rPr>
          <w:rFonts w:ascii="Arial" w:cs="Arial" w:eastAsia="Arial" w:hAnsi="Arial"/>
          <w:sz w:val="17"/>
          <w:szCs w:val="17"/>
          <w:color w:val="2A2A2A"/>
        </w:rPr>
        <w:t>A discussion of the decision, including an explanation of the basis for disagreeing with or not following:</w:t>
      </w:r>
    </w:p>
    <w:p>
      <w:pPr>
        <w:spacing w:after="0" w:line="250" w:lineRule="exact"/>
        <w:rPr>
          <w:rFonts w:ascii="Arial" w:cs="Arial" w:eastAsia="Arial" w:hAnsi="Arial"/>
          <w:sz w:val="17"/>
          <w:szCs w:val="17"/>
          <w:color w:val="2A2A2A"/>
        </w:rPr>
      </w:pPr>
    </w:p>
    <w:p>
      <w:pPr>
        <w:ind w:left="2840" w:hanging="645"/>
        <w:spacing w:after="0" w:line="335" w:lineRule="auto"/>
        <w:tabs>
          <w:tab w:leader="none" w:pos="2822" w:val="left"/>
        </w:tabs>
        <w:numPr>
          <w:ilvl w:val="2"/>
          <w:numId w:val="58"/>
        </w:numPr>
        <w:rPr>
          <w:rFonts w:ascii="Arial" w:cs="Arial" w:eastAsia="Arial" w:hAnsi="Arial"/>
          <w:sz w:val="19"/>
          <w:szCs w:val="19"/>
          <w:color w:val="2A2A2A"/>
        </w:rPr>
      </w:pPr>
      <w:r>
        <w:rPr>
          <w:rFonts w:ascii="Arial" w:cs="Arial" w:eastAsia="Arial" w:hAnsi="Arial"/>
          <w:sz w:val="19"/>
          <w:szCs w:val="19"/>
          <w:color w:val="2A2A2A"/>
        </w:rPr>
        <w:t>The views presented by the Claimant of health care professionals treating the Claimant and vocational professionals who evaluated the Claimant;</w:t>
      </w:r>
    </w:p>
    <w:p>
      <w:pPr>
        <w:spacing w:after="0" w:line="132" w:lineRule="exact"/>
        <w:rPr>
          <w:rFonts w:ascii="Arial" w:cs="Arial" w:eastAsia="Arial" w:hAnsi="Arial"/>
          <w:sz w:val="19"/>
          <w:szCs w:val="19"/>
          <w:color w:val="2A2A2A"/>
        </w:rPr>
      </w:pPr>
    </w:p>
    <w:p>
      <w:pPr>
        <w:jc w:val="both"/>
        <w:ind w:left="2820" w:hanging="625"/>
        <w:spacing w:after="0" w:line="323" w:lineRule="auto"/>
        <w:tabs>
          <w:tab w:leader="none" w:pos="2802" w:val="left"/>
        </w:tabs>
        <w:numPr>
          <w:ilvl w:val="2"/>
          <w:numId w:val="58"/>
        </w:numPr>
        <w:rPr>
          <w:rFonts w:ascii="Arial" w:cs="Arial" w:eastAsia="Arial" w:hAnsi="Arial"/>
          <w:sz w:val="19"/>
          <w:szCs w:val="19"/>
          <w:color w:val="2A2A2A"/>
        </w:rPr>
      </w:pPr>
      <w:r>
        <w:rPr>
          <w:rFonts w:ascii="Arial" w:cs="Arial" w:eastAsia="Arial" w:hAnsi="Arial"/>
          <w:sz w:val="19"/>
          <w:szCs w:val="19"/>
          <w:color w:val="2A2A2A"/>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43" w:lineRule="exact"/>
        <w:rPr>
          <w:rFonts w:ascii="Arial" w:cs="Arial" w:eastAsia="Arial" w:hAnsi="Arial"/>
          <w:sz w:val="19"/>
          <w:szCs w:val="19"/>
          <w:color w:val="2A2A2A"/>
        </w:rPr>
      </w:pPr>
    </w:p>
    <w:p>
      <w:pPr>
        <w:ind w:left="2840" w:hanging="658"/>
        <w:spacing w:after="0" w:line="335" w:lineRule="auto"/>
        <w:tabs>
          <w:tab w:leader="none" w:pos="2840" w:val="left"/>
        </w:tabs>
        <w:numPr>
          <w:ilvl w:val="1"/>
          <w:numId w:val="58"/>
        </w:numPr>
        <w:rPr>
          <w:rFonts w:ascii="Arial" w:cs="Arial" w:eastAsia="Arial" w:hAnsi="Arial"/>
          <w:sz w:val="19"/>
          <w:szCs w:val="19"/>
          <w:color w:val="2A2A2A"/>
        </w:rPr>
      </w:pPr>
      <w:r>
        <w:rPr>
          <w:rFonts w:ascii="Arial" w:cs="Arial" w:eastAsia="Arial" w:hAnsi="Arial"/>
          <w:sz w:val="19"/>
          <w:szCs w:val="19"/>
          <w:color w:val="2A2A2A"/>
        </w:rPr>
        <w:t>A disability determination regarding the Claimant presented by the Claimant made by the Social Security Administration.</w:t>
      </w:r>
    </w:p>
    <w:p>
      <w:pPr>
        <w:spacing w:after="0" w:line="133" w:lineRule="exact"/>
        <w:rPr>
          <w:sz w:val="20"/>
          <w:szCs w:val="20"/>
          <w:color w:val="auto"/>
        </w:rPr>
      </w:pPr>
    </w:p>
    <w:p>
      <w:pPr>
        <w:jc w:val="both"/>
        <w:ind w:left="2180" w:hanging="633"/>
        <w:spacing w:after="0" w:line="339" w:lineRule="auto"/>
        <w:tabs>
          <w:tab w:leader="none" w:pos="2180" w:val="left"/>
        </w:tabs>
        <w:numPr>
          <w:ilvl w:val="1"/>
          <w:numId w:val="59"/>
        </w:numPr>
        <w:rPr>
          <w:rFonts w:ascii="Arial" w:cs="Arial" w:eastAsia="Arial" w:hAnsi="Arial"/>
          <w:sz w:val="19"/>
          <w:szCs w:val="19"/>
          <w:color w:val="2A2A2A"/>
        </w:rPr>
      </w:pPr>
      <w:r>
        <w:rPr>
          <w:rFonts w:ascii="Arial" w:cs="Arial" w:eastAsia="Arial" w:hAnsi="Arial"/>
          <w:sz w:val="19"/>
          <w:szCs w:val="19"/>
          <w:color w:val="2A2A2A"/>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142" w:lineRule="exact"/>
        <w:rPr>
          <w:rFonts w:ascii="Arial" w:cs="Arial" w:eastAsia="Arial" w:hAnsi="Arial"/>
          <w:sz w:val="19"/>
          <w:szCs w:val="19"/>
          <w:color w:val="2A2A2A"/>
        </w:rPr>
      </w:pPr>
    </w:p>
    <w:p>
      <w:pPr>
        <w:jc w:val="both"/>
        <w:ind w:left="2140" w:hanging="390"/>
        <w:spacing w:after="0" w:line="323" w:lineRule="auto"/>
        <w:tabs>
          <w:tab w:leader="none" w:pos="2140" w:val="left"/>
        </w:tabs>
        <w:numPr>
          <w:ilvl w:val="2"/>
          <w:numId w:val="59"/>
        </w:numPr>
        <w:rPr>
          <w:rFonts w:ascii="Arial" w:cs="Arial" w:eastAsia="Arial" w:hAnsi="Arial"/>
          <w:sz w:val="19"/>
          <w:szCs w:val="19"/>
          <w:color w:val="2A2A2A"/>
        </w:rPr>
      </w:pPr>
      <w:r>
        <w:rPr>
          <w:rFonts w:ascii="Arial" w:cs="Arial" w:eastAsia="Arial" w:hAnsi="Arial"/>
          <w:sz w:val="19"/>
          <w:szCs w:val="19"/>
          <w:color w:val="2A2A2A"/>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305" w:lineRule="exact"/>
        <w:rPr>
          <w:rFonts w:ascii="Arial" w:cs="Arial" w:eastAsia="Arial" w:hAnsi="Arial"/>
          <w:sz w:val="19"/>
          <w:szCs w:val="19"/>
          <w:color w:val="2A2A2A"/>
        </w:rPr>
      </w:pPr>
    </w:p>
    <w:p>
      <w:pPr>
        <w:ind w:left="1720" w:right="20" w:hanging="659"/>
        <w:spacing w:after="0" w:line="403" w:lineRule="auto"/>
        <w:tabs>
          <w:tab w:leader="none" w:pos="1702" w:val="left"/>
        </w:tabs>
        <w:numPr>
          <w:ilvl w:val="0"/>
          <w:numId w:val="60"/>
        </w:numPr>
        <w:rPr>
          <w:rFonts w:ascii="Arial" w:cs="Arial" w:eastAsia="Arial" w:hAnsi="Arial"/>
          <w:sz w:val="17"/>
          <w:szCs w:val="17"/>
          <w:color w:val="2A2A2A"/>
        </w:rPr>
      </w:pPr>
      <w:r>
        <w:rPr>
          <w:rFonts w:ascii="Arial" w:cs="Arial" w:eastAsia="Arial" w:hAnsi="Arial"/>
          <w:sz w:val="17"/>
          <w:szCs w:val="17"/>
          <w:u w:val="single" w:color="auto"/>
          <w:color w:val="424242"/>
        </w:rPr>
        <w:t>Exhaustion of</w:t>
      </w:r>
      <w:r>
        <w:rPr>
          <w:rFonts w:ascii="Arial" w:cs="Arial" w:eastAsia="Arial" w:hAnsi="Arial"/>
          <w:sz w:val="17"/>
          <w:szCs w:val="17"/>
          <w:color w:val="424242"/>
        </w:rPr>
        <w:t xml:space="preserve"> </w:t>
      </w:r>
      <w:r>
        <w:rPr>
          <w:rFonts w:ascii="Arial" w:cs="Arial" w:eastAsia="Arial" w:hAnsi="Arial"/>
          <w:sz w:val="17"/>
          <w:szCs w:val="17"/>
          <w:u w:val="single" w:color="auto"/>
          <w:color w:val="2A2A2A"/>
        </w:rPr>
        <w:t>Remedies</w:t>
      </w:r>
      <w:r>
        <w:rPr>
          <w:rFonts w:ascii="Arial" w:cs="Arial" w:eastAsia="Arial" w:hAnsi="Arial"/>
          <w:sz w:val="17"/>
          <w:szCs w:val="17"/>
          <w:color w:val="2A2A2A"/>
        </w:rPr>
        <w:t>. A Claimant must follow the claims review procedures under this Plan and exhaust</w:t>
      </w:r>
      <w:r>
        <w:rPr>
          <w:rFonts w:ascii="Arial" w:cs="Arial" w:eastAsia="Arial" w:hAnsi="Arial"/>
          <w:sz w:val="17"/>
          <w:szCs w:val="17"/>
          <w:color w:val="424242"/>
        </w:rPr>
        <w:t xml:space="preserve"> </w:t>
      </w:r>
      <w:r>
        <w:rPr>
          <w:rFonts w:ascii="Arial" w:cs="Arial" w:eastAsia="Arial" w:hAnsi="Arial"/>
          <w:sz w:val="17"/>
          <w:szCs w:val="17"/>
          <w:color w:val="2A2A2A"/>
        </w:rPr>
        <w:t>his or her administrative remedies before taking any further action with respect to a claim for benefits.</w:t>
      </w:r>
    </w:p>
    <w:p>
      <w:pPr>
        <w:spacing w:after="0" w:line="73" w:lineRule="exact"/>
        <w:rPr>
          <w:sz w:val="20"/>
          <w:szCs w:val="20"/>
          <w:color w:val="auto"/>
        </w:rPr>
      </w:pPr>
    </w:p>
    <w:p>
      <w:pPr>
        <w:jc w:val="both"/>
        <w:ind w:left="840" w:firstLine="14"/>
        <w:spacing w:after="0" w:line="359" w:lineRule="auto"/>
        <w:rPr>
          <w:sz w:val="20"/>
          <w:szCs w:val="20"/>
          <w:color w:val="auto"/>
        </w:rPr>
      </w:pPr>
      <w:r>
        <w:rPr>
          <w:rFonts w:ascii="Arial" w:cs="Arial" w:eastAsia="Arial" w:hAnsi="Arial"/>
          <w:sz w:val="17"/>
          <w:szCs w:val="17"/>
          <w:u w:val="single" w:color="auto"/>
          <w:color w:val="2A2A2A"/>
        </w:rPr>
        <w:t>Failure of Plan to Follow Procedures</w:t>
      </w:r>
      <w:r>
        <w:rPr>
          <w:rFonts w:ascii="Arial" w:cs="Arial" w:eastAsia="Arial" w:hAnsi="Arial"/>
          <w:sz w:val="17"/>
          <w:szCs w:val="17"/>
          <w:color w:val="2A2A2A"/>
        </w:rPr>
        <w:t>. In the case of a claim with respect to whether a Participant is Disabled, if the Plan fails to strictly adhere to all the requirements of this claims procedure with respect to whether a Participant is Disabled, the Claimant is deemed to have exhausted the administrative remedies available under the Plan, and shall be entitled to</w:t>
      </w:r>
    </w:p>
    <w:p>
      <w:pPr>
        <w:sectPr>
          <w:pgSz w:w="11900" w:h="16838" w:orient="portrait"/>
          <w:cols w:equalWidth="0" w:num="1">
            <w:col w:w="10120"/>
          </w:cols>
          <w:pgMar w:left="1440" w:top="171" w:right="339" w:bottom="0" w:gutter="0" w:footer="0" w:header="0"/>
        </w:sectPr>
      </w:pPr>
    </w:p>
    <w:bookmarkStart w:id="71" w:name="page72"/>
    <w:bookmarkEnd w:id="71"/>
    <w:p>
      <w:pPr>
        <w:jc w:val="both"/>
        <w:ind w:left="840"/>
        <w:spacing w:after="0" w:line="328" w:lineRule="auto"/>
        <w:rPr>
          <w:sz w:val="20"/>
          <w:szCs w:val="20"/>
          <w:color w:val="auto"/>
        </w:rPr>
      </w:pPr>
      <w:r>
        <w:rPr>
          <w:rFonts w:ascii="Arial" w:cs="Arial" w:eastAsia="Arial" w:hAnsi="Arial"/>
          <w:sz w:val="17"/>
          <w:szCs w:val="17"/>
          <w:color w:val="2A2A2A"/>
        </w:rPr>
        <w:t>pursue any available remedies under ERISA Section 502(a) on the basis that the Plan has failed to provide a reasonable claims procedure that would yield a decision on the merits of the claim, except where the violation was: (i) de minimis;</w:t>
      </w:r>
    </w:p>
    <w:p>
      <w:pPr>
        <w:spacing w:after="0" w:line="1" w:lineRule="exact"/>
        <w:rPr>
          <w:sz w:val="20"/>
          <w:szCs w:val="20"/>
          <w:color w:val="auto"/>
        </w:rPr>
      </w:pPr>
    </w:p>
    <w:p>
      <w:pPr>
        <w:jc w:val="both"/>
        <w:ind w:left="840" w:firstLine="5"/>
        <w:spacing w:after="0" w:line="338" w:lineRule="auto"/>
        <w:tabs>
          <w:tab w:leader="none" w:pos="1144" w:val="left"/>
        </w:tabs>
        <w:numPr>
          <w:ilvl w:val="0"/>
          <w:numId w:val="61"/>
        </w:numPr>
        <w:rPr>
          <w:rFonts w:ascii="Arial" w:cs="Arial" w:eastAsia="Arial" w:hAnsi="Arial"/>
          <w:sz w:val="19"/>
          <w:szCs w:val="19"/>
          <w:color w:val="2A2A2A"/>
        </w:rPr>
      </w:pPr>
      <w:r>
        <w:rPr>
          <w:rFonts w:ascii="Arial" w:cs="Arial" w:eastAsia="Arial" w:hAnsi="Arial"/>
          <w:sz w:val="17"/>
          <w:szCs w:val="17"/>
          <w:color w:val="2A2A2A"/>
        </w:rPr>
        <w:t xml:space="preserve">non-prejudicial; </w:t>
      </w:r>
      <w:r>
        <w:rPr>
          <w:rFonts w:ascii="Arial" w:cs="Arial" w:eastAsia="Arial" w:hAnsi="Arial"/>
          <w:sz w:val="18"/>
          <w:szCs w:val="18"/>
          <w:color w:val="2A2A2A"/>
        </w:rPr>
        <w:t>(iii)</w:t>
      </w:r>
      <w:r>
        <w:rPr>
          <w:rFonts w:ascii="Arial" w:cs="Arial" w:eastAsia="Arial" w:hAnsi="Arial"/>
          <w:sz w:val="17"/>
          <w:szCs w:val="17"/>
          <w:color w:val="2A2A2A"/>
        </w:rPr>
        <w:t xml:space="preserve"> attributable to good cause or matters beyond the Plan's control; (iv) in the context of an ongoing good-faith exchange of information; and (v) not reflective of a pattern or practice of non- compliance. The Claimant may request a written explanation of the violation from the Plan, and the Plan must provide such explanation within ten (10) days, including a specific description of its basis,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w:t>
      </w:r>
    </w:p>
    <w:p>
      <w:pPr>
        <w:spacing w:after="0" w:line="264" w:lineRule="exact"/>
        <w:rPr>
          <w:sz w:val="20"/>
          <w:szCs w:val="20"/>
          <w:color w:val="auto"/>
        </w:rPr>
      </w:pPr>
    </w:p>
    <w:p>
      <w:pPr>
        <w:ind w:left="900" w:right="200"/>
        <w:spacing w:after="0" w:line="290" w:lineRule="auto"/>
        <w:rPr>
          <w:sz w:val="20"/>
          <w:szCs w:val="20"/>
          <w:color w:val="auto"/>
        </w:rPr>
      </w:pPr>
      <w:r>
        <w:rPr>
          <w:rFonts w:ascii="Arial" w:cs="Arial" w:eastAsia="Arial" w:hAnsi="Arial"/>
          <w:sz w:val="19"/>
          <w:szCs w:val="19"/>
          <w:color w:val="2A2A2A"/>
        </w:rPr>
        <w:t>decision of the court. Within a reasonable time after the receipt of the decision, the Plan shall provide the claimant with notice of the resubmission.</w:t>
      </w:r>
    </w:p>
    <w:p>
      <w:pPr>
        <w:spacing w:after="0" w:line="187" w:lineRule="exact"/>
        <w:rPr>
          <w:sz w:val="20"/>
          <w:szCs w:val="20"/>
          <w:color w:val="auto"/>
        </w:rPr>
      </w:pPr>
    </w:p>
    <w:p>
      <w:pPr>
        <w:ind w:left="880" w:hanging="638"/>
        <w:spacing w:after="0" w:line="320" w:lineRule="auto"/>
        <w:tabs>
          <w:tab w:leader="none" w:pos="860" w:val="left"/>
        </w:tabs>
        <w:rPr>
          <w:sz w:val="20"/>
          <w:szCs w:val="20"/>
          <w:color w:val="auto"/>
        </w:rPr>
      </w:pPr>
      <w:r>
        <w:rPr>
          <w:rFonts w:ascii="Arial" w:cs="Arial" w:eastAsia="Arial" w:hAnsi="Arial"/>
          <w:sz w:val="19"/>
          <w:szCs w:val="19"/>
          <w:color w:val="2A2A2A"/>
        </w:rPr>
        <w:t>12.4</w:t>
      </w:r>
      <w:r>
        <w:rPr>
          <w:sz w:val="20"/>
          <w:szCs w:val="20"/>
          <w:color w:val="auto"/>
        </w:rPr>
        <w:tab/>
      </w:r>
      <w:r>
        <w:rPr>
          <w:rFonts w:ascii="Arial" w:cs="Arial" w:eastAsia="Arial" w:hAnsi="Arial"/>
          <w:sz w:val="18"/>
          <w:szCs w:val="18"/>
          <w:u w:val="single" w:color="auto"/>
          <w:color w:val="424242"/>
        </w:rPr>
        <w:t>Relevance</w:t>
      </w:r>
      <w:r>
        <w:rPr>
          <w:rFonts w:ascii="Arial" w:cs="Arial" w:eastAsia="Arial" w:hAnsi="Arial"/>
          <w:sz w:val="18"/>
          <w:szCs w:val="18"/>
          <w:color w:val="424242"/>
        </w:rPr>
        <w:t>.</w:t>
      </w:r>
      <w:r>
        <w:rPr>
          <w:rFonts w:ascii="Arial" w:cs="Arial" w:eastAsia="Arial" w:hAnsi="Arial"/>
          <w:sz w:val="18"/>
          <w:szCs w:val="18"/>
          <w:u w:val="single" w:color="auto"/>
          <w:color w:val="424242"/>
        </w:rPr>
        <w:t xml:space="preserve"> </w:t>
      </w:r>
      <w:r>
        <w:rPr>
          <w:rFonts w:ascii="Arial" w:cs="Arial" w:eastAsia="Arial" w:hAnsi="Arial"/>
          <w:sz w:val="18"/>
          <w:szCs w:val="18"/>
          <w:color w:val="2A2A2A"/>
        </w:rPr>
        <w:t>For purposes of Section 12.1, Section 12.2, and 12.3, documents, records, or other information shall be</w:t>
      </w:r>
      <w:r>
        <w:rPr>
          <w:rFonts w:ascii="Arial" w:cs="Arial" w:eastAsia="Arial" w:hAnsi="Arial"/>
          <w:sz w:val="18"/>
          <w:szCs w:val="18"/>
          <w:u w:val="single" w:color="auto"/>
          <w:color w:val="424242"/>
        </w:rPr>
        <w:t xml:space="preserve"> </w:t>
      </w:r>
      <w:r>
        <w:rPr>
          <w:rFonts w:ascii="Arial" w:cs="Arial" w:eastAsia="Arial" w:hAnsi="Arial"/>
          <w:sz w:val="18"/>
          <w:szCs w:val="18"/>
          <w:color w:val="2A2A2A"/>
        </w:rPr>
        <w:t>considered "relevant" to a Claimant's claim for benefits if such documents, records or other information:</w:t>
      </w:r>
    </w:p>
    <w:p>
      <w:pPr>
        <w:spacing w:after="0" w:line="137" w:lineRule="exact"/>
        <w:rPr>
          <w:sz w:val="20"/>
          <w:szCs w:val="20"/>
          <w:color w:val="auto"/>
        </w:rPr>
      </w:pPr>
    </w:p>
    <w:p>
      <w:pPr>
        <w:ind w:left="1500" w:hanging="601"/>
        <w:spacing w:after="0"/>
        <w:tabs>
          <w:tab w:leader="none" w:pos="1500" w:val="left"/>
        </w:tabs>
        <w:numPr>
          <w:ilvl w:val="0"/>
          <w:numId w:val="62"/>
        </w:numPr>
        <w:rPr>
          <w:rFonts w:ascii="Arial" w:cs="Arial" w:eastAsia="Arial" w:hAnsi="Arial"/>
          <w:sz w:val="19"/>
          <w:szCs w:val="19"/>
          <w:color w:val="2A2A2A"/>
        </w:rPr>
      </w:pPr>
      <w:r>
        <w:rPr>
          <w:rFonts w:ascii="Arial" w:cs="Arial" w:eastAsia="Arial" w:hAnsi="Arial"/>
          <w:sz w:val="19"/>
          <w:szCs w:val="19"/>
          <w:color w:val="2A2A2A"/>
        </w:rPr>
        <w:t>Were relied upon in making the benefit determination;</w:t>
      </w:r>
    </w:p>
    <w:p>
      <w:pPr>
        <w:spacing w:after="0" w:line="227" w:lineRule="exact"/>
        <w:rPr>
          <w:rFonts w:ascii="Arial" w:cs="Arial" w:eastAsia="Arial" w:hAnsi="Arial"/>
          <w:sz w:val="19"/>
          <w:szCs w:val="19"/>
          <w:color w:val="2A2A2A"/>
        </w:rPr>
      </w:pPr>
    </w:p>
    <w:p>
      <w:pPr>
        <w:ind w:left="1540" w:hanging="641"/>
        <w:spacing w:after="0" w:line="353" w:lineRule="auto"/>
        <w:tabs>
          <w:tab w:leader="none" w:pos="1540" w:val="left"/>
        </w:tabs>
        <w:numPr>
          <w:ilvl w:val="0"/>
          <w:numId w:val="62"/>
        </w:numPr>
        <w:rPr>
          <w:rFonts w:ascii="Arial" w:cs="Arial" w:eastAsia="Arial" w:hAnsi="Arial"/>
          <w:sz w:val="17"/>
          <w:szCs w:val="17"/>
          <w:color w:val="2A2A2A"/>
        </w:rPr>
      </w:pPr>
      <w:r>
        <w:rPr>
          <w:rFonts w:ascii="Arial" w:cs="Arial" w:eastAsia="Arial" w:hAnsi="Arial"/>
          <w:sz w:val="17"/>
          <w:szCs w:val="17"/>
          <w:color w:val="2A2A2A"/>
        </w:rPr>
        <w:t>Were submitted, considered, or generated in the course of making the benefit determination, without regard to whether such documents, records or other information were relied upon in making the benefit determination; or</w:t>
      </w:r>
    </w:p>
    <w:p>
      <w:pPr>
        <w:spacing w:after="0" w:line="126" w:lineRule="exact"/>
        <w:rPr>
          <w:rFonts w:ascii="Arial" w:cs="Arial" w:eastAsia="Arial" w:hAnsi="Arial"/>
          <w:sz w:val="17"/>
          <w:szCs w:val="17"/>
          <w:color w:val="2A2A2A"/>
        </w:rPr>
      </w:pPr>
    </w:p>
    <w:p>
      <w:pPr>
        <w:ind w:left="1540" w:hanging="641"/>
        <w:spacing w:after="0" w:line="290" w:lineRule="auto"/>
        <w:tabs>
          <w:tab w:leader="none" w:pos="1540" w:val="left"/>
        </w:tabs>
        <w:numPr>
          <w:ilvl w:val="0"/>
          <w:numId w:val="62"/>
        </w:numPr>
        <w:rPr>
          <w:rFonts w:ascii="Arial" w:cs="Arial" w:eastAsia="Arial" w:hAnsi="Arial"/>
          <w:sz w:val="19"/>
          <w:szCs w:val="19"/>
          <w:color w:val="2A2A2A"/>
        </w:rPr>
      </w:pPr>
      <w:r>
        <w:rPr>
          <w:rFonts w:ascii="Arial" w:cs="Arial" w:eastAsia="Arial" w:hAnsi="Arial"/>
          <w:sz w:val="19"/>
          <w:szCs w:val="19"/>
          <w:color w:val="2A2A2A"/>
        </w:rPr>
        <w:t>Demonstrate compliance with the administrative processes and safeguards required pursuant to Section 12.1, Section 12.2. and Section 12.3 regarding the making of the benefit determination.</w:t>
      </w:r>
    </w:p>
    <w:p>
      <w:pPr>
        <w:spacing w:after="0" w:line="160" w:lineRule="exact"/>
        <w:rPr>
          <w:sz w:val="20"/>
          <w:szCs w:val="20"/>
          <w:color w:val="auto"/>
        </w:rPr>
      </w:pPr>
    </w:p>
    <w:p>
      <w:pPr>
        <w:jc w:val="both"/>
        <w:ind w:left="860" w:hanging="620"/>
        <w:spacing w:after="0" w:line="345" w:lineRule="auto"/>
        <w:tabs>
          <w:tab w:leader="none" w:pos="840" w:val="left"/>
        </w:tabs>
        <w:rPr>
          <w:sz w:val="20"/>
          <w:szCs w:val="20"/>
          <w:color w:val="auto"/>
        </w:rPr>
      </w:pPr>
      <w:r>
        <w:rPr>
          <w:rFonts w:ascii="Arial" w:cs="Arial" w:eastAsia="Arial" w:hAnsi="Arial"/>
          <w:sz w:val="19"/>
          <w:szCs w:val="19"/>
          <w:color w:val="2A2A2A"/>
        </w:rPr>
        <w:t>12.5</w:t>
      </w:r>
      <w:r>
        <w:rPr>
          <w:sz w:val="20"/>
          <w:szCs w:val="20"/>
          <w:color w:val="auto"/>
        </w:rPr>
        <w:tab/>
      </w:r>
      <w:r>
        <w:rPr>
          <w:rFonts w:ascii="Arial" w:cs="Arial" w:eastAsia="Arial" w:hAnsi="Arial"/>
          <w:sz w:val="17"/>
          <w:szCs w:val="17"/>
          <w:u w:val="single" w:color="auto"/>
          <w:color w:val="424242"/>
        </w:rPr>
        <w:t xml:space="preserve">Claims Appeals </w:t>
      </w:r>
      <w:r>
        <w:rPr>
          <w:rFonts w:ascii="Arial" w:cs="Arial" w:eastAsia="Arial" w:hAnsi="Arial"/>
          <w:sz w:val="17"/>
          <w:szCs w:val="17"/>
          <w:u w:val="single" w:color="auto"/>
          <w:color w:val="5B5B5B"/>
        </w:rPr>
        <w:t>U</w:t>
      </w:r>
      <w:r>
        <w:rPr>
          <w:rFonts w:ascii="Arial" w:cs="Arial" w:eastAsia="Arial" w:hAnsi="Arial"/>
          <w:sz w:val="17"/>
          <w:szCs w:val="17"/>
          <w:u w:val="single" w:color="auto"/>
          <w:color w:val="424242"/>
        </w:rPr>
        <w:t>pon Change in Control</w:t>
      </w:r>
      <w:r>
        <w:rPr>
          <w:rFonts w:ascii="Arial" w:cs="Arial" w:eastAsia="Arial" w:hAnsi="Arial"/>
          <w:sz w:val="17"/>
          <w:szCs w:val="17"/>
          <w:color w:val="424242"/>
        </w:rPr>
        <w:t>.</w:t>
      </w:r>
      <w:r>
        <w:rPr>
          <w:rFonts w:ascii="Arial" w:cs="Arial" w:eastAsia="Arial" w:hAnsi="Arial"/>
          <w:sz w:val="17"/>
          <w:szCs w:val="17"/>
          <w:u w:val="single" w:color="auto"/>
          <w:color w:val="424242"/>
        </w:rPr>
        <w:t xml:space="preserve"> </w:t>
      </w:r>
      <w:r>
        <w:rPr>
          <w:rFonts w:ascii="Arial" w:cs="Arial" w:eastAsia="Arial" w:hAnsi="Arial"/>
          <w:sz w:val="17"/>
          <w:szCs w:val="17"/>
          <w:color w:val="2A2A2A"/>
        </w:rPr>
        <w:t>Upon a Change in Control, the Committee, as constituted immediately prior to</w:t>
      </w:r>
      <w:r>
        <w:rPr>
          <w:rFonts w:ascii="Arial" w:cs="Arial" w:eastAsia="Arial" w:hAnsi="Arial"/>
          <w:sz w:val="17"/>
          <w:szCs w:val="17"/>
          <w:u w:val="single" w:color="auto"/>
          <w:color w:val="424242"/>
        </w:rPr>
        <w:t xml:space="preserve"> </w:t>
      </w:r>
      <w:r>
        <w:rPr>
          <w:rFonts w:ascii="Arial" w:cs="Arial" w:eastAsia="Arial" w:hAnsi="Arial"/>
          <w:sz w:val="17"/>
          <w:szCs w:val="17"/>
          <w:color w:val="2A2A2A"/>
        </w:rPr>
        <w:t xml:space="preserve">such Change in Control, shall continue to act as the Committee. After a Change in Control, no member of the Committee may be removed (and/or replaced) by the Company without the consent of either (a) 2/3 of the members of the Board of Directors of the Company and a majority of Participants and Beneficiaries with Account Balances or </w:t>
      </w:r>
      <w:r>
        <w:rPr>
          <w:rFonts w:ascii="Arial" w:cs="Arial" w:eastAsia="Arial" w:hAnsi="Arial"/>
          <w:sz w:val="18"/>
          <w:szCs w:val="18"/>
          <w:color w:val="2A2A2A"/>
        </w:rPr>
        <w:t>(b)</w:t>
      </w:r>
      <w:r>
        <w:rPr>
          <w:rFonts w:ascii="Arial" w:cs="Arial" w:eastAsia="Arial" w:hAnsi="Arial"/>
          <w:sz w:val="17"/>
          <w:szCs w:val="17"/>
          <w:color w:val="2A2A2A"/>
        </w:rPr>
        <w:t xml:space="preserve"> the Ex-CEO or, in the event the Ex-CEO is no longer a Plan Participant, his or her appointee who is a Plan Participant.</w:t>
      </w:r>
    </w:p>
    <w:p>
      <w:pPr>
        <w:spacing w:after="0" w:line="158" w:lineRule="exact"/>
        <w:rPr>
          <w:sz w:val="20"/>
          <w:szCs w:val="20"/>
          <w:color w:val="auto"/>
        </w:rPr>
      </w:pPr>
    </w:p>
    <w:p>
      <w:pPr>
        <w:jc w:val="both"/>
        <w:ind w:left="860" w:right="20" w:hanging="620"/>
        <w:spacing w:after="0" w:line="305" w:lineRule="auto"/>
        <w:tabs>
          <w:tab w:leader="none" w:pos="840" w:val="left"/>
        </w:tabs>
        <w:rPr>
          <w:sz w:val="20"/>
          <w:szCs w:val="20"/>
          <w:color w:val="auto"/>
        </w:rPr>
      </w:pPr>
      <w:r>
        <w:rPr>
          <w:rFonts w:ascii="Arial" w:cs="Arial" w:eastAsia="Arial" w:hAnsi="Arial"/>
          <w:sz w:val="19"/>
          <w:szCs w:val="19"/>
          <w:color w:val="2A2A2A"/>
        </w:rPr>
        <w:t>12.6</w:t>
      </w:r>
      <w:r>
        <w:rPr>
          <w:sz w:val="20"/>
          <w:szCs w:val="20"/>
          <w:color w:val="auto"/>
        </w:rPr>
        <w:tab/>
      </w:r>
      <w:r>
        <w:rPr>
          <w:rFonts w:ascii="Arial" w:cs="Arial" w:eastAsia="Arial" w:hAnsi="Arial"/>
          <w:sz w:val="19"/>
          <w:szCs w:val="19"/>
          <w:u w:val="single" w:color="auto"/>
          <w:color w:val="2A2A2A"/>
        </w:rPr>
        <w:t>Constructive Denial</w:t>
      </w:r>
      <w:r>
        <w:rPr>
          <w:rFonts w:ascii="Arial" w:cs="Arial" w:eastAsia="Arial" w:hAnsi="Arial"/>
          <w:sz w:val="19"/>
          <w:szCs w:val="19"/>
          <w:color w:val="2A2A2A"/>
        </w:rPr>
        <w:t>. If the Claimant does not receive a written decision within the time period(s) described above, the</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claim shall be deemed denied on the last day of such period(s).</w:t>
      </w:r>
    </w:p>
    <w:p>
      <w:pPr>
        <w:spacing w:after="0" w:line="152" w:lineRule="exact"/>
        <w:rPr>
          <w:sz w:val="20"/>
          <w:szCs w:val="20"/>
          <w:color w:val="auto"/>
        </w:rPr>
      </w:pPr>
    </w:p>
    <w:p>
      <w:pPr>
        <w:jc w:val="both"/>
        <w:ind w:left="840" w:hanging="633"/>
        <w:spacing w:after="0" w:line="294" w:lineRule="auto"/>
        <w:tabs>
          <w:tab w:leader="none" w:pos="820" w:val="left"/>
        </w:tabs>
        <w:rPr>
          <w:sz w:val="20"/>
          <w:szCs w:val="20"/>
          <w:color w:val="auto"/>
        </w:rPr>
      </w:pPr>
      <w:r>
        <w:rPr>
          <w:rFonts w:ascii="Arial" w:cs="Arial" w:eastAsia="Arial" w:hAnsi="Arial"/>
          <w:sz w:val="19"/>
          <w:szCs w:val="19"/>
          <w:color w:val="2A2A2A"/>
        </w:rPr>
        <w:t>12.7</w:t>
      </w:r>
      <w:r>
        <w:rPr>
          <w:sz w:val="20"/>
          <w:szCs w:val="20"/>
          <w:color w:val="auto"/>
        </w:rPr>
        <w:tab/>
      </w:r>
      <w:r>
        <w:rPr>
          <w:rFonts w:ascii="Arial" w:cs="Arial" w:eastAsia="Arial" w:hAnsi="Arial"/>
          <w:sz w:val="20"/>
          <w:szCs w:val="20"/>
          <w:u w:val="single" w:color="auto"/>
          <w:color w:val="424242"/>
        </w:rPr>
        <w:t xml:space="preserve">Six </w:t>
      </w:r>
      <w:r>
        <w:rPr>
          <w:rFonts w:ascii="Arial" w:cs="Arial" w:eastAsia="Arial" w:hAnsi="Arial"/>
          <w:sz w:val="18"/>
          <w:szCs w:val="18"/>
          <w:u w:val="single" w:color="auto"/>
          <w:color w:val="424242"/>
        </w:rPr>
        <w:t>Month Deadline for</w:t>
      </w:r>
      <w:r>
        <w:rPr>
          <w:rFonts w:ascii="Arial" w:cs="Arial" w:eastAsia="Arial" w:hAnsi="Arial"/>
          <w:sz w:val="20"/>
          <w:szCs w:val="20"/>
          <w:u w:val="single" w:color="auto"/>
          <w:color w:val="424242"/>
        </w:rPr>
        <w:t xml:space="preserve"> </w:t>
      </w:r>
      <w:r>
        <w:rPr>
          <w:rFonts w:ascii="Arial" w:cs="Arial" w:eastAsia="Arial" w:hAnsi="Arial"/>
          <w:sz w:val="18"/>
          <w:szCs w:val="18"/>
          <w:u w:val="single" w:color="auto"/>
          <w:color w:val="5B5B5B"/>
        </w:rPr>
        <w:t>F</w:t>
      </w:r>
      <w:r>
        <w:rPr>
          <w:rFonts w:ascii="Arial" w:cs="Arial" w:eastAsia="Arial" w:hAnsi="Arial"/>
          <w:sz w:val="18"/>
          <w:szCs w:val="18"/>
          <w:u w:val="single" w:color="auto"/>
          <w:color w:val="424242"/>
        </w:rPr>
        <w:t>iling Suit</w:t>
      </w:r>
      <w:r>
        <w:rPr>
          <w:rFonts w:ascii="Arial" w:cs="Arial" w:eastAsia="Arial" w:hAnsi="Arial"/>
          <w:sz w:val="18"/>
          <w:szCs w:val="18"/>
          <w:color w:val="424242"/>
        </w:rPr>
        <w:t>.</w:t>
      </w:r>
      <w:r>
        <w:rPr>
          <w:rFonts w:ascii="Arial" w:cs="Arial" w:eastAsia="Arial" w:hAnsi="Arial"/>
          <w:sz w:val="20"/>
          <w:szCs w:val="20"/>
          <w:u w:val="single" w:color="auto"/>
          <w:color w:val="424242"/>
        </w:rPr>
        <w:t xml:space="preserve"> </w:t>
      </w:r>
      <w:r>
        <w:rPr>
          <w:rFonts w:ascii="Arial" w:cs="Arial" w:eastAsia="Arial" w:hAnsi="Arial"/>
          <w:sz w:val="18"/>
          <w:szCs w:val="18"/>
          <w:color w:val="2A2A2A"/>
        </w:rPr>
        <w:t>No Claimant may institute any action or proceeding in any state or federal court of</w:t>
      </w:r>
      <w:r>
        <w:rPr>
          <w:rFonts w:ascii="Arial" w:cs="Arial" w:eastAsia="Arial" w:hAnsi="Arial"/>
          <w:sz w:val="20"/>
          <w:szCs w:val="20"/>
          <w:u w:val="single" w:color="auto"/>
          <w:color w:val="424242"/>
        </w:rPr>
        <w:t xml:space="preserve"> </w:t>
      </w:r>
      <w:r>
        <w:rPr>
          <w:rFonts w:ascii="Arial" w:cs="Arial" w:eastAsia="Arial" w:hAnsi="Arial"/>
          <w:sz w:val="18"/>
          <w:szCs w:val="18"/>
          <w:color w:val="2A2A2A"/>
        </w:rPr>
        <w:t>law or equity, or before any administrative tribunal or arbitrator, for a claim for benefits under the Plan until he first has exhausted the procedures set forth in Sections 12.1, 12.2 and12.3. A claimant dissatisfied with the Committee's decision upon appeal under Sections 12.2 or 12.3 must file any lawsuit challenging that decision no later than six months after the Committee mails the notice of denial or a Constructive Denial occurs. Any suit brought more than six months after the denial on appeal or Constructive Denial shall be deemed untimely. In ruling on any timely-filed suit, the Court shall uphold the Committee's determinations unless they constitute an abuse of discretion or fraud.</w:t>
      </w:r>
    </w:p>
    <w:p>
      <w:pPr>
        <w:spacing w:after="0" w:line="188" w:lineRule="exact"/>
        <w:rPr>
          <w:sz w:val="20"/>
          <w:szCs w:val="20"/>
          <w:color w:val="auto"/>
        </w:rPr>
      </w:pPr>
    </w:p>
    <w:p>
      <w:pPr>
        <w:jc w:val="both"/>
        <w:ind w:left="840" w:hanging="633"/>
        <w:spacing w:after="0" w:line="305" w:lineRule="auto"/>
        <w:tabs>
          <w:tab w:leader="none" w:pos="820" w:val="left"/>
        </w:tabs>
        <w:rPr>
          <w:sz w:val="20"/>
          <w:szCs w:val="20"/>
          <w:color w:val="auto"/>
        </w:rPr>
      </w:pPr>
      <w:r>
        <w:rPr>
          <w:rFonts w:ascii="Arial" w:cs="Arial" w:eastAsia="Arial" w:hAnsi="Arial"/>
          <w:sz w:val="19"/>
          <w:szCs w:val="19"/>
          <w:color w:val="2A2A2A"/>
        </w:rPr>
        <w:t>12.8</w:t>
      </w:r>
      <w:r>
        <w:rPr>
          <w:sz w:val="20"/>
          <w:szCs w:val="20"/>
          <w:color w:val="auto"/>
        </w:rPr>
        <w:tab/>
      </w:r>
      <w:r>
        <w:rPr>
          <w:rFonts w:ascii="Arial" w:cs="Arial" w:eastAsia="Arial" w:hAnsi="Arial"/>
          <w:sz w:val="19"/>
          <w:szCs w:val="19"/>
          <w:u w:val="single" w:color="auto"/>
          <w:color w:val="2A2A2A"/>
        </w:rPr>
        <w:t>Decisions of Committee</w:t>
      </w:r>
      <w:r>
        <w:rPr>
          <w:rFonts w:ascii="Arial" w:cs="Arial" w:eastAsia="Arial" w:hAnsi="Arial"/>
          <w:sz w:val="19"/>
          <w:szCs w:val="19"/>
          <w:color w:val="2A2A2A"/>
        </w:rPr>
        <w:t>. All actions, interpretations, and decisions of the Committee shall be conclusive and binding on</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all persons, and shall be given the maximum deference permitted by law.</w:t>
      </w:r>
    </w:p>
    <w:p>
      <w:pPr>
        <w:spacing w:after="0" w:line="174" w:lineRule="exact"/>
        <w:rPr>
          <w:sz w:val="20"/>
          <w:szCs w:val="20"/>
          <w:color w:val="auto"/>
        </w:rPr>
      </w:pPr>
    </w:p>
    <w:p>
      <w:pPr>
        <w:jc w:val="both"/>
        <w:ind w:left="840" w:hanging="633"/>
        <w:spacing w:after="0" w:line="305" w:lineRule="auto"/>
        <w:tabs>
          <w:tab w:leader="none" w:pos="820" w:val="left"/>
        </w:tabs>
        <w:rPr>
          <w:sz w:val="20"/>
          <w:szCs w:val="20"/>
          <w:color w:val="auto"/>
        </w:rPr>
      </w:pPr>
      <w:r>
        <w:rPr>
          <w:rFonts w:ascii="Arial" w:cs="Arial" w:eastAsia="Arial" w:hAnsi="Arial"/>
          <w:sz w:val="19"/>
          <w:szCs w:val="19"/>
          <w:color w:val="2A2A2A"/>
        </w:rPr>
        <w:t>12.9</w:t>
      </w:r>
      <w:r>
        <w:rPr>
          <w:sz w:val="20"/>
          <w:szCs w:val="20"/>
          <w:color w:val="auto"/>
        </w:rPr>
        <w:tab/>
      </w:r>
      <w:r>
        <w:rPr>
          <w:rFonts w:ascii="Arial" w:cs="Arial" w:eastAsia="Arial" w:hAnsi="Arial"/>
          <w:sz w:val="19"/>
          <w:szCs w:val="19"/>
          <w:u w:val="single" w:color="auto"/>
          <w:color w:val="424242"/>
        </w:rPr>
        <w:t>Administrative expenses</w:t>
      </w:r>
      <w:r>
        <w:rPr>
          <w:rFonts w:ascii="Arial" w:cs="Arial" w:eastAsia="Arial" w:hAnsi="Arial"/>
          <w:sz w:val="19"/>
          <w:szCs w:val="19"/>
          <w:color w:val="424242"/>
        </w:rPr>
        <w:t>.</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All expenses incurred in the administration of the Plan by the Committee, or otherwise,</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including legal fees and expenses, shall be paid and borne by the Participating Employers.</w:t>
      </w:r>
    </w:p>
    <w:p>
      <w:pPr>
        <w:spacing w:after="0" w:line="160" w:lineRule="exact"/>
        <w:rPr>
          <w:sz w:val="20"/>
          <w:szCs w:val="20"/>
          <w:color w:val="auto"/>
        </w:rPr>
      </w:pPr>
    </w:p>
    <w:p>
      <w:pPr>
        <w:jc w:val="both"/>
        <w:ind w:left="840" w:right="20" w:hanging="647"/>
        <w:spacing w:after="0" w:line="290" w:lineRule="auto"/>
        <w:tabs>
          <w:tab w:leader="none" w:pos="820" w:val="left"/>
        </w:tabs>
        <w:rPr>
          <w:sz w:val="20"/>
          <w:szCs w:val="20"/>
          <w:color w:val="auto"/>
        </w:rPr>
      </w:pPr>
      <w:r>
        <w:rPr>
          <w:rFonts w:ascii="Arial" w:cs="Arial" w:eastAsia="Arial" w:hAnsi="Arial"/>
          <w:sz w:val="19"/>
          <w:szCs w:val="19"/>
          <w:color w:val="2A2A2A"/>
        </w:rPr>
        <w:t>12.10</w:t>
      </w:r>
      <w:r>
        <w:rPr>
          <w:sz w:val="20"/>
          <w:szCs w:val="20"/>
          <w:color w:val="auto"/>
        </w:rPr>
        <w:tab/>
      </w:r>
      <w:r>
        <w:rPr>
          <w:rFonts w:ascii="Arial" w:cs="Arial" w:eastAsia="Arial" w:hAnsi="Arial"/>
          <w:sz w:val="19"/>
          <w:szCs w:val="19"/>
          <w:u w:val="single" w:color="auto"/>
          <w:color w:val="5B5B5B"/>
        </w:rPr>
        <w:t>E</w:t>
      </w:r>
      <w:r>
        <w:rPr>
          <w:rFonts w:ascii="Arial" w:cs="Arial" w:eastAsia="Arial" w:hAnsi="Arial"/>
          <w:sz w:val="19"/>
          <w:szCs w:val="19"/>
          <w:u w:val="single" w:color="auto"/>
          <w:color w:val="2A2A2A"/>
        </w:rPr>
        <w:t>ligibility</w:t>
      </w:r>
      <w:r>
        <w:rPr>
          <w:rFonts w:ascii="Arial" w:cs="Arial" w:eastAsia="Arial" w:hAnsi="Arial"/>
          <w:sz w:val="19"/>
          <w:szCs w:val="19"/>
          <w:u w:val="single" w:color="auto"/>
          <w:color w:val="5B5B5B"/>
        </w:rPr>
        <w:t xml:space="preserve"> </w:t>
      </w:r>
      <w:r>
        <w:rPr>
          <w:rFonts w:ascii="Arial" w:cs="Arial" w:eastAsia="Arial" w:hAnsi="Arial"/>
          <w:sz w:val="19"/>
          <w:szCs w:val="19"/>
          <w:u w:val="single" w:color="auto"/>
          <w:color w:val="424242"/>
        </w:rPr>
        <w:t>to Participate</w:t>
      </w:r>
      <w:r>
        <w:rPr>
          <w:rFonts w:ascii="Arial" w:cs="Arial" w:eastAsia="Arial" w:hAnsi="Arial"/>
          <w:sz w:val="19"/>
          <w:szCs w:val="19"/>
          <w:color w:val="424242"/>
        </w:rPr>
        <w:t>.</w:t>
      </w:r>
      <w:r>
        <w:rPr>
          <w:rFonts w:ascii="Arial" w:cs="Arial" w:eastAsia="Arial" w:hAnsi="Arial"/>
          <w:sz w:val="19"/>
          <w:szCs w:val="19"/>
          <w:u w:val="single" w:color="auto"/>
          <w:color w:val="5B5B5B"/>
        </w:rPr>
        <w:t xml:space="preserve"> </w:t>
      </w:r>
      <w:r>
        <w:rPr>
          <w:rFonts w:ascii="Arial" w:cs="Arial" w:eastAsia="Arial" w:hAnsi="Arial"/>
          <w:sz w:val="19"/>
          <w:szCs w:val="19"/>
          <w:color w:val="2A2A2A"/>
        </w:rPr>
        <w:t>No member of the Committee who also is an Eligible Employee shall be excluded from</w:t>
      </w:r>
      <w:r>
        <w:rPr>
          <w:rFonts w:ascii="Arial" w:cs="Arial" w:eastAsia="Arial" w:hAnsi="Arial"/>
          <w:sz w:val="19"/>
          <w:szCs w:val="19"/>
          <w:u w:val="single" w:color="auto"/>
          <w:color w:val="5B5B5B"/>
        </w:rPr>
        <w:t xml:space="preserve"> </w:t>
      </w:r>
      <w:r>
        <w:rPr>
          <w:rFonts w:ascii="Arial" w:cs="Arial" w:eastAsia="Arial" w:hAnsi="Arial"/>
          <w:sz w:val="19"/>
          <w:szCs w:val="19"/>
          <w:color w:val="2A2A2A"/>
        </w:rPr>
        <w:t>participating in the Plan, but as a member of the Committee, he or she</w:t>
      </w:r>
    </w:p>
    <w:p>
      <w:pPr>
        <w:spacing w:after="0" w:line="200" w:lineRule="exact"/>
        <w:rPr>
          <w:sz w:val="20"/>
          <w:szCs w:val="20"/>
          <w:color w:val="auto"/>
        </w:rPr>
      </w:pPr>
    </w:p>
    <w:p>
      <w:pPr>
        <w:spacing w:after="0" w:line="230" w:lineRule="exact"/>
        <w:rPr>
          <w:sz w:val="20"/>
          <w:szCs w:val="20"/>
          <w:color w:val="auto"/>
        </w:rPr>
      </w:pPr>
    </w:p>
    <w:p>
      <w:pPr>
        <w:ind w:left="920"/>
        <w:spacing w:after="0"/>
        <w:rPr>
          <w:sz w:val="20"/>
          <w:szCs w:val="20"/>
          <w:color w:val="auto"/>
        </w:rPr>
      </w:pPr>
      <w:r>
        <w:rPr>
          <w:rFonts w:ascii="Arial" w:cs="Arial" w:eastAsia="Arial" w:hAnsi="Arial"/>
          <w:sz w:val="19"/>
          <w:szCs w:val="19"/>
          <w:color w:val="2A2A2A"/>
        </w:rPr>
        <w:t>shall not be entitled to act or pass upon any matters pertaining specifically to his or her own Account.</w:t>
      </w:r>
    </w:p>
    <w:p>
      <w:pPr>
        <w:spacing w:after="0" w:line="241" w:lineRule="exact"/>
        <w:rPr>
          <w:sz w:val="20"/>
          <w:szCs w:val="20"/>
          <w:color w:val="auto"/>
        </w:rPr>
      </w:pPr>
    </w:p>
    <w:p>
      <w:pPr>
        <w:jc w:val="both"/>
        <w:ind w:left="900" w:hanging="606"/>
        <w:spacing w:after="0" w:line="291" w:lineRule="auto"/>
        <w:tabs>
          <w:tab w:leader="none" w:pos="880" w:val="left"/>
        </w:tabs>
        <w:rPr>
          <w:sz w:val="20"/>
          <w:szCs w:val="20"/>
          <w:color w:val="auto"/>
        </w:rPr>
      </w:pPr>
      <w:r>
        <w:rPr>
          <w:rFonts w:ascii="Arial" w:cs="Arial" w:eastAsia="Arial" w:hAnsi="Arial"/>
          <w:sz w:val="19"/>
          <w:szCs w:val="19"/>
          <w:color w:val="2A2A2A"/>
        </w:rPr>
        <w:t>12.11</w:t>
      </w:r>
      <w:r>
        <w:rPr>
          <w:sz w:val="20"/>
          <w:szCs w:val="20"/>
          <w:color w:val="auto"/>
        </w:rPr>
        <w:tab/>
      </w:r>
      <w:r>
        <w:rPr>
          <w:rFonts w:ascii="Arial" w:cs="Arial" w:eastAsia="Arial" w:hAnsi="Arial"/>
          <w:sz w:val="18"/>
          <w:szCs w:val="18"/>
          <w:u w:val="single" w:color="auto"/>
          <w:color w:val="424242"/>
        </w:rPr>
        <w:t>Indemnification</w:t>
      </w:r>
      <w:r>
        <w:rPr>
          <w:rFonts w:ascii="Arial" w:cs="Arial" w:eastAsia="Arial" w:hAnsi="Arial"/>
          <w:sz w:val="18"/>
          <w:szCs w:val="18"/>
          <w:color w:val="424242"/>
        </w:rPr>
        <w:t>.</w:t>
      </w:r>
      <w:r>
        <w:rPr>
          <w:rFonts w:ascii="Arial" w:cs="Arial" w:eastAsia="Arial" w:hAnsi="Arial"/>
          <w:sz w:val="18"/>
          <w:szCs w:val="18"/>
          <w:u w:val="single" w:color="auto"/>
          <w:color w:val="424242"/>
        </w:rPr>
        <w:t xml:space="preserve"> </w:t>
      </w:r>
      <w:r>
        <w:rPr>
          <w:rFonts w:ascii="Arial" w:cs="Arial" w:eastAsia="Arial" w:hAnsi="Arial"/>
          <w:sz w:val="18"/>
          <w:szCs w:val="18"/>
          <w:color w:val="2A2A2A"/>
        </w:rPr>
        <w:t>Each of the Participating Employers shall, and hereby does, indemnify and hold harmless the members</w:t>
      </w:r>
      <w:r>
        <w:rPr>
          <w:rFonts w:ascii="Arial" w:cs="Arial" w:eastAsia="Arial" w:hAnsi="Arial"/>
          <w:sz w:val="18"/>
          <w:szCs w:val="18"/>
          <w:u w:val="single" w:color="auto"/>
          <w:color w:val="424242"/>
        </w:rPr>
        <w:t xml:space="preserve"> </w:t>
      </w:r>
      <w:r>
        <w:rPr>
          <w:rFonts w:ascii="Arial" w:cs="Arial" w:eastAsia="Arial" w:hAnsi="Arial"/>
          <w:sz w:val="18"/>
          <w:szCs w:val="18"/>
          <w:color w:val="2A2A2A"/>
        </w:rPr>
        <w:t>of the Committee, from and against any and all losses, claims, damages or liabilities (including attorneys' fees and amounts paid, with the approval of the Board of Directors, in settlement of any claim) arising out of or resulting from the implementation of a duty, act or decision with respect to the Plan, so long as such duty, act or decision does not involve gross negligence or willful misconduct on the part of any such individual.</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Arial" w:cs="Arial" w:eastAsia="Arial" w:hAnsi="Arial"/>
          <w:sz w:val="21"/>
          <w:szCs w:val="21"/>
          <w:b w:val="1"/>
          <w:bCs w:val="1"/>
          <w:color w:val="2A2A2A"/>
        </w:rPr>
        <w:t>ARTICLE XIII</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20"/>
          <w:szCs w:val="20"/>
          <w:i w:val="1"/>
          <w:iCs w:val="1"/>
          <w:color w:val="2A2A2A"/>
        </w:rPr>
        <w:t>General Provisions</w:t>
      </w:r>
    </w:p>
    <w:p>
      <w:pPr>
        <w:spacing w:after="0" w:line="226" w:lineRule="exact"/>
        <w:rPr>
          <w:sz w:val="20"/>
          <w:szCs w:val="20"/>
          <w:color w:val="auto"/>
        </w:rPr>
      </w:pPr>
    </w:p>
    <w:p>
      <w:pPr>
        <w:jc w:val="both"/>
        <w:ind w:left="880" w:hanging="634"/>
        <w:spacing w:after="0" w:line="316" w:lineRule="auto"/>
        <w:tabs>
          <w:tab w:leader="none" w:pos="860" w:val="left"/>
        </w:tabs>
        <w:rPr>
          <w:sz w:val="20"/>
          <w:szCs w:val="20"/>
          <w:color w:val="auto"/>
        </w:rPr>
      </w:pPr>
      <w:r>
        <w:rPr>
          <w:rFonts w:ascii="Arial" w:cs="Arial" w:eastAsia="Arial" w:hAnsi="Arial"/>
          <w:sz w:val="19"/>
          <w:szCs w:val="19"/>
          <w:color w:val="2A2A2A"/>
        </w:rPr>
        <w:t>13.1</w:t>
      </w:r>
      <w:r>
        <w:rPr>
          <w:sz w:val="20"/>
          <w:szCs w:val="20"/>
          <w:color w:val="auto"/>
        </w:rPr>
        <w:tab/>
      </w:r>
      <w:r>
        <w:rPr>
          <w:rFonts w:ascii="Arial" w:cs="Arial" w:eastAsia="Arial" w:hAnsi="Arial"/>
          <w:sz w:val="17"/>
          <w:szCs w:val="17"/>
          <w:u w:val="single" w:color="auto"/>
          <w:color w:val="424242"/>
        </w:rPr>
        <w:t>Assignment</w:t>
      </w:r>
      <w:r>
        <w:rPr>
          <w:rFonts w:ascii="Arial" w:cs="Arial" w:eastAsia="Arial" w:hAnsi="Arial"/>
          <w:sz w:val="17"/>
          <w:szCs w:val="17"/>
          <w:color w:val="424242"/>
        </w:rPr>
        <w:t>.</w:t>
      </w:r>
      <w:r>
        <w:rPr>
          <w:rFonts w:ascii="Arial" w:cs="Arial" w:eastAsia="Arial" w:hAnsi="Arial"/>
          <w:sz w:val="17"/>
          <w:szCs w:val="17"/>
          <w:u w:val="single" w:color="auto"/>
          <w:color w:val="424242"/>
        </w:rPr>
        <w:t xml:space="preserve"> </w:t>
      </w:r>
      <w:r>
        <w:rPr>
          <w:rFonts w:ascii="Arial" w:cs="Arial" w:eastAsia="Arial" w:hAnsi="Arial"/>
          <w:sz w:val="17"/>
          <w:szCs w:val="17"/>
          <w:color w:val="2A2A2A"/>
        </w:rPr>
        <w:t>No interest of any Participant, spouse or Beneficiary under this Plan and no benefit payable hereunder shall</w:t>
      </w:r>
      <w:r>
        <w:rPr>
          <w:rFonts w:ascii="Arial" w:cs="Arial" w:eastAsia="Arial" w:hAnsi="Arial"/>
          <w:sz w:val="17"/>
          <w:szCs w:val="17"/>
          <w:u w:val="single" w:color="auto"/>
          <w:color w:val="424242"/>
        </w:rPr>
        <w:t xml:space="preserve"> </w:t>
      </w:r>
      <w:r>
        <w:rPr>
          <w:rFonts w:ascii="Arial" w:cs="Arial" w:eastAsia="Arial" w:hAnsi="Arial"/>
          <w:sz w:val="17"/>
          <w:szCs w:val="17"/>
          <w:color w:val="2A2A2A"/>
        </w:rPr>
        <w:t>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w:t>
      </w:r>
    </w:p>
    <w:p>
      <w:pPr>
        <w:sectPr>
          <w:pgSz w:w="11900" w:h="16838" w:orient="portrait"/>
          <w:cols w:equalWidth="0" w:num="1">
            <w:col w:w="10120"/>
          </w:cols>
          <w:pgMar w:left="1440" w:top="144" w:right="339" w:bottom="0" w:gutter="0" w:footer="0" w:header="0"/>
        </w:sectPr>
      </w:pPr>
    </w:p>
    <w:bookmarkStart w:id="72" w:name="page73"/>
    <w:bookmarkEnd w:id="72"/>
    <w:p>
      <w:pPr>
        <w:jc w:val="both"/>
        <w:ind w:left="880"/>
        <w:spacing w:after="0" w:line="290" w:lineRule="auto"/>
        <w:rPr>
          <w:sz w:val="20"/>
          <w:szCs w:val="20"/>
          <w:color w:val="auto"/>
        </w:rPr>
      </w:pPr>
      <w:r>
        <w:rPr>
          <w:rFonts w:ascii="Arial" w:cs="Arial" w:eastAsia="Arial" w:hAnsi="Arial"/>
          <w:sz w:val="19"/>
          <w:szCs w:val="19"/>
          <w:color w:val="2A2A2A"/>
        </w:rPr>
        <w:t>the contrary herein, however, the Committee has the discretion to make payments to an alternate payee in accordance with the terms of a domestic relations order (as defined in Code Section 414(p)(1)(B)).</w:t>
      </w:r>
    </w:p>
    <w:p>
      <w:pPr>
        <w:spacing w:after="0" w:line="174" w:lineRule="exact"/>
        <w:rPr>
          <w:sz w:val="20"/>
          <w:szCs w:val="20"/>
          <w:color w:val="auto"/>
        </w:rPr>
      </w:pPr>
    </w:p>
    <w:p>
      <w:pPr>
        <w:jc w:val="both"/>
        <w:ind w:left="880"/>
        <w:spacing w:after="0" w:line="278" w:lineRule="auto"/>
        <w:rPr>
          <w:sz w:val="20"/>
          <w:szCs w:val="20"/>
          <w:color w:val="auto"/>
        </w:rPr>
      </w:pPr>
      <w:r>
        <w:rPr>
          <w:rFonts w:ascii="Arial" w:cs="Arial" w:eastAsia="Arial" w:hAnsi="Arial"/>
          <w:sz w:val="19"/>
          <w:szCs w:val="19"/>
          <w:color w:val="2A2A2A"/>
        </w:rPr>
        <w:t>A Participating Employer may assign any or all of its liabilities under this Plan in connection with any restructuring, recapitalization, sale of assets or other similar transactions affecting such Participating Employer without the consent of the Participant.</w:t>
      </w:r>
    </w:p>
    <w:p>
      <w:pPr>
        <w:spacing w:after="0" w:line="186" w:lineRule="exact"/>
        <w:rPr>
          <w:sz w:val="20"/>
          <w:szCs w:val="20"/>
          <w:color w:val="auto"/>
        </w:rPr>
      </w:pPr>
    </w:p>
    <w:p>
      <w:pPr>
        <w:jc w:val="both"/>
        <w:ind w:left="860" w:hanging="620"/>
        <w:spacing w:after="0" w:line="266" w:lineRule="auto"/>
        <w:tabs>
          <w:tab w:leader="none" w:pos="840" w:val="left"/>
        </w:tabs>
        <w:rPr>
          <w:sz w:val="20"/>
          <w:szCs w:val="20"/>
          <w:color w:val="auto"/>
        </w:rPr>
      </w:pPr>
      <w:r>
        <w:rPr>
          <w:rFonts w:ascii="Arial" w:cs="Arial" w:eastAsia="Arial" w:hAnsi="Arial"/>
          <w:sz w:val="19"/>
          <w:szCs w:val="19"/>
          <w:color w:val="2A2A2A"/>
        </w:rPr>
        <w:t>13.2</w:t>
      </w:r>
      <w:r>
        <w:rPr>
          <w:sz w:val="20"/>
          <w:szCs w:val="20"/>
          <w:color w:val="auto"/>
        </w:rPr>
        <w:tab/>
      </w:r>
      <w:r>
        <w:rPr>
          <w:rFonts w:ascii="Arial" w:cs="Arial" w:eastAsia="Arial" w:hAnsi="Arial"/>
          <w:sz w:val="19"/>
          <w:szCs w:val="19"/>
          <w:u w:val="single" w:color="auto"/>
          <w:color w:val="424242"/>
        </w:rPr>
        <w:t xml:space="preserve">No Legal or Equitable </w:t>
      </w:r>
      <w:r>
        <w:rPr>
          <w:rFonts w:ascii="Arial" w:cs="Arial" w:eastAsia="Arial" w:hAnsi="Arial"/>
          <w:sz w:val="19"/>
          <w:szCs w:val="19"/>
          <w:u w:val="single" w:color="auto"/>
          <w:color w:val="2A2A2A"/>
        </w:rPr>
        <w:t>Rights</w:t>
      </w:r>
      <w:r>
        <w:rPr>
          <w:rFonts w:ascii="Arial" w:cs="Arial" w:eastAsia="Arial" w:hAnsi="Arial"/>
          <w:sz w:val="19"/>
          <w:szCs w:val="19"/>
          <w:u w:val="single" w:color="auto"/>
          <w:color w:val="424242"/>
        </w:rPr>
        <w:t xml:space="preserve"> or Interest</w:t>
      </w:r>
      <w:r>
        <w:rPr>
          <w:rFonts w:ascii="Arial" w:cs="Arial" w:eastAsia="Arial" w:hAnsi="Arial"/>
          <w:sz w:val="19"/>
          <w:szCs w:val="19"/>
          <w:color w:val="424242"/>
        </w:rPr>
        <w:t>.</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No Participant or other person shall have any legal or equitable rights or interest</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in this Plan that are not expressly granted in this Plan. Participation in this Plan does not give any person any right to be retained in the service of a Participating Employer. The right and power of a Participating Employer to dismiss or discharge an Employee is expressly reserved.</w:t>
      </w:r>
    </w:p>
    <w:p>
      <w:pPr>
        <w:spacing w:after="0" w:line="3" w:lineRule="exact"/>
        <w:rPr>
          <w:sz w:val="20"/>
          <w:szCs w:val="20"/>
          <w:color w:val="auto"/>
        </w:rPr>
      </w:pPr>
    </w:p>
    <w:p>
      <w:pPr>
        <w:jc w:val="both"/>
        <w:ind w:left="860" w:hanging="620"/>
        <w:spacing w:after="0" w:line="270" w:lineRule="auto"/>
        <w:tabs>
          <w:tab w:leader="none" w:pos="840" w:val="left"/>
        </w:tabs>
        <w:rPr>
          <w:sz w:val="20"/>
          <w:szCs w:val="20"/>
          <w:color w:val="auto"/>
        </w:rPr>
      </w:pPr>
      <w:r>
        <w:rPr>
          <w:rFonts w:ascii="Arial" w:cs="Arial" w:eastAsia="Arial" w:hAnsi="Arial"/>
          <w:sz w:val="19"/>
          <w:szCs w:val="19"/>
          <w:color w:val="2A2A2A"/>
        </w:rPr>
        <w:t>13.3</w:t>
      </w:r>
      <w:r>
        <w:rPr>
          <w:sz w:val="20"/>
          <w:szCs w:val="20"/>
          <w:color w:val="auto"/>
        </w:rPr>
        <w:tab/>
      </w:r>
      <w:r>
        <w:rPr>
          <w:rFonts w:ascii="Arial" w:cs="Arial" w:eastAsia="Arial" w:hAnsi="Arial"/>
          <w:sz w:val="19"/>
          <w:szCs w:val="19"/>
          <w:u w:val="single" w:color="auto"/>
          <w:color w:val="424242"/>
        </w:rPr>
        <w:t>No Guarantee of Tax Consequences</w:t>
      </w:r>
      <w:r>
        <w:rPr>
          <w:rFonts w:ascii="Arial" w:cs="Arial" w:eastAsia="Arial" w:hAnsi="Arial"/>
          <w:sz w:val="19"/>
          <w:szCs w:val="19"/>
          <w:color w:val="2A2A2A"/>
        </w:rPr>
        <w:t>. While the Plan is intended to provide tax deferral for Participants, the Plan is not a</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guarantee that the intended tax deferral will be achieved. Participants are solely responsible and liable for the satisfaction of all taxes and penalties that may arise in connection with this Plan (including any taxes arising under Code Section 409A). No Participating Employer or any of their directors, officers or employees shall have any obligation to indemnify or otherwise hold any Participant harmless from any such taxes. No Participating Employer makes any representations or warranties as to the tax consequences to a Participant or a Participant's Beneficiary(ies) resulting from a deferral of income pursuant to the Plan.</w:t>
      </w:r>
    </w:p>
    <w:p>
      <w:pPr>
        <w:spacing w:after="0" w:line="196" w:lineRule="exact"/>
        <w:rPr>
          <w:sz w:val="20"/>
          <w:szCs w:val="20"/>
          <w:color w:val="auto"/>
        </w:rPr>
      </w:pPr>
    </w:p>
    <w:p>
      <w:pPr>
        <w:jc w:val="both"/>
        <w:ind w:left="840" w:hanging="624"/>
        <w:spacing w:after="0" w:line="325" w:lineRule="auto"/>
        <w:tabs>
          <w:tab w:leader="none" w:pos="820" w:val="left"/>
        </w:tabs>
        <w:rPr>
          <w:sz w:val="20"/>
          <w:szCs w:val="20"/>
          <w:color w:val="auto"/>
        </w:rPr>
      </w:pPr>
      <w:r>
        <w:rPr>
          <w:rFonts w:ascii="Arial" w:cs="Arial" w:eastAsia="Arial" w:hAnsi="Arial"/>
          <w:sz w:val="19"/>
          <w:szCs w:val="19"/>
          <w:color w:val="2A2A2A"/>
        </w:rPr>
        <w:t>13.4</w:t>
      </w:r>
      <w:r>
        <w:rPr>
          <w:sz w:val="20"/>
          <w:szCs w:val="20"/>
          <w:color w:val="auto"/>
        </w:rPr>
        <w:tab/>
      </w:r>
      <w:r>
        <w:rPr>
          <w:rFonts w:ascii="Arial" w:cs="Arial" w:eastAsia="Arial" w:hAnsi="Arial"/>
          <w:sz w:val="17"/>
          <w:szCs w:val="17"/>
          <w:u w:val="single" w:color="auto"/>
          <w:color w:val="424242"/>
        </w:rPr>
        <w:t>Rights and Duties</w:t>
      </w:r>
      <w:r>
        <w:rPr>
          <w:rFonts w:ascii="Arial" w:cs="Arial" w:eastAsia="Arial" w:hAnsi="Arial"/>
          <w:sz w:val="17"/>
          <w:szCs w:val="17"/>
          <w:color w:val="424242"/>
        </w:rPr>
        <w:t>.</w:t>
      </w:r>
      <w:r>
        <w:rPr>
          <w:rFonts w:ascii="Arial" w:cs="Arial" w:eastAsia="Arial" w:hAnsi="Arial"/>
          <w:sz w:val="17"/>
          <w:szCs w:val="17"/>
          <w:u w:val="single" w:color="auto"/>
          <w:color w:val="424242"/>
        </w:rPr>
        <w:t xml:space="preserve"> </w:t>
      </w:r>
      <w:r>
        <w:rPr>
          <w:rFonts w:ascii="Arial" w:cs="Arial" w:eastAsia="Arial" w:hAnsi="Arial"/>
          <w:sz w:val="17"/>
          <w:szCs w:val="17"/>
          <w:color w:val="2A2A2A"/>
        </w:rPr>
        <w:t>Under no circumstances will any Participating Employer, the Compensation Committee or the</w:t>
      </w:r>
      <w:r>
        <w:rPr>
          <w:rFonts w:ascii="Arial" w:cs="Arial" w:eastAsia="Arial" w:hAnsi="Arial"/>
          <w:sz w:val="17"/>
          <w:szCs w:val="17"/>
          <w:u w:val="single" w:color="auto"/>
          <w:color w:val="424242"/>
        </w:rPr>
        <w:t xml:space="preserve"> </w:t>
      </w:r>
      <w:r>
        <w:rPr>
          <w:rFonts w:ascii="Arial" w:cs="Arial" w:eastAsia="Arial" w:hAnsi="Arial"/>
          <w:sz w:val="17"/>
          <w:szCs w:val="17"/>
          <w:color w:val="2A2A2A"/>
        </w:rPr>
        <w:t>members of the Compensation Committee, the Committee or the members of the Committee be subject to any liability or duty under the Plan except as expressly provided in the Plan, or for any action taken, omitted or suffered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left="260"/>
        <w:spacing w:after="0" w:line="328" w:lineRule="auto"/>
        <w:rPr>
          <w:sz w:val="20"/>
          <w:szCs w:val="20"/>
          <w:color w:val="auto"/>
        </w:rPr>
      </w:pPr>
      <w:r>
        <w:rPr>
          <w:rFonts w:ascii="Arial" w:cs="Arial" w:eastAsia="Arial" w:hAnsi="Arial"/>
          <w:sz w:val="17"/>
          <w:szCs w:val="17"/>
          <w:color w:val="2A2A2A"/>
        </w:rPr>
        <w:t xml:space="preserve">13.5   </w:t>
      </w:r>
      <w:r>
        <w:rPr>
          <w:rFonts w:ascii="Arial" w:cs="Arial" w:eastAsia="Arial" w:hAnsi="Arial"/>
          <w:sz w:val="17"/>
          <w:szCs w:val="17"/>
          <w:u w:val="single" w:color="auto"/>
          <w:color w:val="2A2A2A"/>
        </w:rPr>
        <w:t>No Effect on Service</w:t>
      </w:r>
      <w:r>
        <w:rPr>
          <w:rFonts w:ascii="Arial" w:cs="Arial" w:eastAsia="Arial" w:hAnsi="Arial"/>
          <w:sz w:val="17"/>
          <w:szCs w:val="17"/>
          <w:color w:val="2A2A2A"/>
        </w:rPr>
        <w:t>. Neither the establishment or maintenance of the Plan, the making of any Compensation Deferrals nor any action of a Participating Employer or the Committee, shall be held or construed to confer upon any individual:</w:t>
      </w:r>
    </w:p>
    <w:p>
      <w:pPr>
        <w:spacing w:after="0" w:line="1" w:lineRule="exact"/>
        <w:rPr>
          <w:sz w:val="20"/>
          <w:szCs w:val="20"/>
          <w:color w:val="auto"/>
        </w:rPr>
      </w:pPr>
    </w:p>
    <w:p>
      <w:pPr>
        <w:jc w:val="both"/>
        <w:ind w:left="900" w:hanging="1"/>
        <w:spacing w:after="0" w:line="326" w:lineRule="auto"/>
        <w:tabs>
          <w:tab w:leader="none" w:pos="1177" w:val="left"/>
        </w:tabs>
        <w:numPr>
          <w:ilvl w:val="0"/>
          <w:numId w:val="63"/>
        </w:numPr>
        <w:rPr>
          <w:rFonts w:ascii="Arial" w:cs="Arial" w:eastAsia="Arial" w:hAnsi="Arial"/>
          <w:sz w:val="18"/>
          <w:szCs w:val="18"/>
          <w:color w:val="2A2A2A"/>
        </w:rPr>
      </w:pPr>
      <w:r>
        <w:rPr>
          <w:rFonts w:ascii="Arial" w:cs="Arial" w:eastAsia="Arial" w:hAnsi="Arial"/>
          <w:sz w:val="18"/>
          <w:szCs w:val="18"/>
          <w:color w:val="2A2A2A"/>
        </w:rPr>
        <w:t xml:space="preserve">any right to be continued as an employee or </w:t>
      </w:r>
      <w:r>
        <w:rPr>
          <w:rFonts w:ascii="Arial" w:cs="Arial" w:eastAsia="Arial" w:hAnsi="Arial"/>
          <w:sz w:val="19"/>
          <w:szCs w:val="19"/>
          <w:color w:val="2A2A2A"/>
        </w:rPr>
        <w:t>(b)</w:t>
      </w:r>
      <w:r>
        <w:rPr>
          <w:rFonts w:ascii="Arial" w:cs="Arial" w:eastAsia="Arial" w:hAnsi="Arial"/>
          <w:sz w:val="18"/>
          <w:szCs w:val="18"/>
          <w:color w:val="2A2A2A"/>
        </w:rPr>
        <w:t xml:space="preserve"> upon dismissal, any right or interest in any specific assets of any Participating Employer or the Committee other than as provided in the Plan. Each Participating Employer expressly reserves the right to discharge any employee at any time, with or without cause. Nothing contained herein shall be construed to constitute a contract of employment between an Employee and any Participating Employer.</w:t>
      </w:r>
    </w:p>
    <w:p>
      <w:pPr>
        <w:spacing w:after="0" w:line="187" w:lineRule="exact"/>
        <w:rPr>
          <w:sz w:val="20"/>
          <w:szCs w:val="20"/>
          <w:color w:val="auto"/>
        </w:rPr>
      </w:pPr>
    </w:p>
    <w:p>
      <w:pPr>
        <w:jc w:val="both"/>
        <w:ind w:left="880" w:hanging="620"/>
        <w:spacing w:after="0" w:line="306" w:lineRule="auto"/>
        <w:tabs>
          <w:tab w:leader="none" w:pos="860" w:val="left"/>
        </w:tabs>
        <w:rPr>
          <w:sz w:val="20"/>
          <w:szCs w:val="20"/>
          <w:color w:val="auto"/>
        </w:rPr>
      </w:pPr>
      <w:r>
        <w:rPr>
          <w:rFonts w:ascii="Arial" w:cs="Arial" w:eastAsia="Arial" w:hAnsi="Arial"/>
          <w:sz w:val="19"/>
          <w:szCs w:val="19"/>
          <w:color w:val="2A2A2A"/>
        </w:rPr>
        <w:t>13.6</w:t>
      </w:r>
      <w:r>
        <w:rPr>
          <w:sz w:val="20"/>
          <w:szCs w:val="20"/>
          <w:color w:val="auto"/>
        </w:rPr>
        <w:tab/>
      </w:r>
      <w:r>
        <w:rPr>
          <w:rFonts w:ascii="Arial" w:cs="Arial" w:eastAsia="Arial" w:hAnsi="Arial"/>
          <w:sz w:val="19"/>
          <w:szCs w:val="19"/>
          <w:u w:val="single" w:color="auto"/>
          <w:color w:val="2A2A2A"/>
        </w:rPr>
        <w:t>Notice</w:t>
      </w:r>
      <w:r>
        <w:rPr>
          <w:rFonts w:ascii="Arial" w:cs="Arial" w:eastAsia="Arial" w:hAnsi="Arial"/>
          <w:sz w:val="19"/>
          <w:szCs w:val="19"/>
          <w:color w:val="2A2A2A"/>
        </w:rPr>
        <w:t>. Any notice or filing required or permitted to be delivered to the Committee under this Plan shall be delivered in</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 xml:space="preserve">writing, in person, or through such electronic means as is established by the Committee. Notice shall be deemed given as of the date of delivery or, if delivery is made by mail, as of the date shown on the postmark on the receipt for registration </w:t>
      </w:r>
      <w:r>
        <w:rPr>
          <w:rFonts w:ascii="Arial" w:cs="Arial" w:eastAsia="Arial" w:hAnsi="Arial"/>
          <w:sz w:val="20"/>
          <w:szCs w:val="20"/>
          <w:color w:val="2A2A2A"/>
        </w:rPr>
        <w:t xml:space="preserve">or </w:t>
      </w:r>
      <w:r>
        <w:rPr>
          <w:rFonts w:ascii="Arial" w:cs="Arial" w:eastAsia="Arial" w:hAnsi="Arial"/>
          <w:sz w:val="18"/>
          <w:szCs w:val="18"/>
          <w:color w:val="2A2A2A"/>
        </w:rPr>
        <w:t>certification. Written transmission shall be sent by certified mail to:</w:t>
      </w:r>
    </w:p>
    <w:p>
      <w:pPr>
        <w:spacing w:after="0" w:line="181" w:lineRule="exact"/>
        <w:rPr>
          <w:sz w:val="20"/>
          <w:szCs w:val="20"/>
          <w:color w:val="auto"/>
        </w:rPr>
      </w:pPr>
    </w:p>
    <w:p>
      <w:pPr>
        <w:ind w:left="1540"/>
        <w:spacing w:after="0"/>
        <w:rPr>
          <w:sz w:val="20"/>
          <w:szCs w:val="20"/>
          <w:color w:val="auto"/>
        </w:rPr>
      </w:pPr>
      <w:r>
        <w:rPr>
          <w:rFonts w:ascii="Arial" w:cs="Arial" w:eastAsia="Arial" w:hAnsi="Arial"/>
          <w:sz w:val="19"/>
          <w:szCs w:val="19"/>
          <w:color w:val="2A2A2A"/>
        </w:rPr>
        <w:t>CENTURI GROUP, INC.</w:t>
      </w:r>
    </w:p>
    <w:p>
      <w:pPr>
        <w:spacing w:after="0" w:line="25" w:lineRule="exact"/>
        <w:rPr>
          <w:sz w:val="20"/>
          <w:szCs w:val="20"/>
          <w:color w:val="auto"/>
        </w:rPr>
      </w:pPr>
    </w:p>
    <w:p>
      <w:pPr>
        <w:ind w:left="1520"/>
        <w:spacing w:after="0"/>
        <w:rPr>
          <w:sz w:val="20"/>
          <w:szCs w:val="20"/>
          <w:color w:val="auto"/>
        </w:rPr>
      </w:pPr>
      <w:r>
        <w:rPr>
          <w:rFonts w:ascii="Arial" w:cs="Arial" w:eastAsia="Arial" w:hAnsi="Arial"/>
          <w:sz w:val="19"/>
          <w:szCs w:val="19"/>
          <w:color w:val="2A2A2A"/>
        </w:rPr>
        <w:t>ATTENTION: SENIOR VICE PRESIDENT - HR 19820 N 7T</w:t>
      </w:r>
      <w:r>
        <w:rPr>
          <w:rFonts w:ascii="Arial" w:cs="Arial" w:eastAsia="Arial" w:hAnsi="Arial"/>
          <w:sz w:val="10"/>
          <w:szCs w:val="10"/>
          <w:color w:val="2A2A2A"/>
        </w:rPr>
        <w:t>11</w:t>
      </w:r>
      <w:r>
        <w:rPr>
          <w:rFonts w:ascii="Arial" w:cs="Arial" w:eastAsia="Arial" w:hAnsi="Arial"/>
          <w:sz w:val="19"/>
          <w:szCs w:val="19"/>
          <w:color w:val="2A2A2A"/>
        </w:rPr>
        <w:t xml:space="preserve"> AVENUE, SUITE 120</w:t>
      </w:r>
    </w:p>
    <w:p>
      <w:pPr>
        <w:spacing w:after="0" w:line="52" w:lineRule="exact"/>
        <w:rPr>
          <w:sz w:val="20"/>
          <w:szCs w:val="20"/>
          <w:color w:val="auto"/>
        </w:rPr>
      </w:pPr>
    </w:p>
    <w:p>
      <w:pPr>
        <w:ind w:left="1540"/>
        <w:spacing w:after="0"/>
        <w:rPr>
          <w:sz w:val="20"/>
          <w:szCs w:val="20"/>
          <w:color w:val="auto"/>
        </w:rPr>
      </w:pPr>
      <w:r>
        <w:rPr>
          <w:rFonts w:ascii="Arial" w:cs="Arial" w:eastAsia="Arial" w:hAnsi="Arial"/>
          <w:sz w:val="19"/>
          <w:szCs w:val="19"/>
          <w:color w:val="2A2A2A"/>
        </w:rPr>
        <w:t>PHOENIX, AZ 850274739</w:t>
      </w:r>
    </w:p>
    <w:p>
      <w:pPr>
        <w:spacing w:after="0" w:line="281" w:lineRule="exact"/>
        <w:rPr>
          <w:sz w:val="20"/>
          <w:szCs w:val="20"/>
          <w:color w:val="auto"/>
        </w:rPr>
      </w:pPr>
    </w:p>
    <w:p>
      <w:pPr>
        <w:ind w:left="860" w:right="20"/>
        <w:spacing w:after="0" w:line="290" w:lineRule="auto"/>
        <w:rPr>
          <w:sz w:val="20"/>
          <w:szCs w:val="20"/>
          <w:color w:val="auto"/>
        </w:rPr>
      </w:pPr>
      <w:r>
        <w:rPr>
          <w:rFonts w:ascii="Arial" w:cs="Arial" w:eastAsia="Arial" w:hAnsi="Arial"/>
          <w:sz w:val="19"/>
          <w:szCs w:val="19"/>
          <w:color w:val="2A2A2A"/>
        </w:rPr>
        <w:t>Any notice or filing required or permitted to be given to a Participant under this Plan shall be sufficient if in writing or hand-delivered, or sent by mail to the last known address of the Participant.</w:t>
      </w:r>
    </w:p>
    <w:p>
      <w:pPr>
        <w:spacing w:after="0" w:line="187" w:lineRule="exact"/>
        <w:rPr>
          <w:sz w:val="20"/>
          <w:szCs w:val="20"/>
          <w:color w:val="auto"/>
        </w:rPr>
      </w:pPr>
    </w:p>
    <w:p>
      <w:pPr>
        <w:ind w:left="860" w:hanging="620"/>
        <w:spacing w:after="0" w:line="305" w:lineRule="auto"/>
        <w:tabs>
          <w:tab w:leader="none" w:pos="840" w:val="left"/>
        </w:tabs>
        <w:rPr>
          <w:sz w:val="20"/>
          <w:szCs w:val="20"/>
          <w:color w:val="auto"/>
        </w:rPr>
      </w:pPr>
      <w:r>
        <w:rPr>
          <w:rFonts w:ascii="Arial" w:cs="Arial" w:eastAsia="Arial" w:hAnsi="Arial"/>
          <w:sz w:val="19"/>
          <w:szCs w:val="19"/>
          <w:color w:val="2A2A2A"/>
        </w:rPr>
        <w:t>13.7</w:t>
      </w:r>
      <w:r>
        <w:rPr>
          <w:sz w:val="20"/>
          <w:szCs w:val="20"/>
          <w:color w:val="auto"/>
        </w:rPr>
        <w:tab/>
      </w:r>
      <w:r>
        <w:rPr>
          <w:rFonts w:ascii="Arial" w:cs="Arial" w:eastAsia="Arial" w:hAnsi="Arial"/>
          <w:sz w:val="19"/>
          <w:szCs w:val="19"/>
          <w:u w:val="single" w:color="auto"/>
          <w:color w:val="424242"/>
        </w:rPr>
        <w:t>Headings</w:t>
      </w:r>
      <w:r>
        <w:rPr>
          <w:rFonts w:ascii="Arial" w:cs="Arial" w:eastAsia="Arial" w:hAnsi="Arial"/>
          <w:sz w:val="19"/>
          <w:szCs w:val="19"/>
          <w:color w:val="2A2A2A"/>
        </w:rPr>
        <w:t>. The headings of Sections are included solely for convenience of reference, and if there is any conflict between</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such headings and the text of this Plan, the text shall control.</w:t>
      </w:r>
    </w:p>
    <w:p>
      <w:pPr>
        <w:spacing w:after="0" w:line="160" w:lineRule="exact"/>
        <w:rPr>
          <w:sz w:val="20"/>
          <w:szCs w:val="20"/>
          <w:color w:val="auto"/>
        </w:rPr>
      </w:pPr>
    </w:p>
    <w:p>
      <w:pPr>
        <w:jc w:val="both"/>
        <w:ind w:left="840" w:hanging="633"/>
        <w:spacing w:after="0" w:line="274" w:lineRule="auto"/>
        <w:tabs>
          <w:tab w:leader="none" w:pos="820" w:val="left"/>
        </w:tabs>
        <w:rPr>
          <w:sz w:val="20"/>
          <w:szCs w:val="20"/>
          <w:color w:val="auto"/>
        </w:rPr>
      </w:pPr>
      <w:r>
        <w:rPr>
          <w:rFonts w:ascii="Arial" w:cs="Arial" w:eastAsia="Arial" w:hAnsi="Arial"/>
          <w:sz w:val="19"/>
          <w:szCs w:val="19"/>
          <w:color w:val="2A2A2A"/>
        </w:rPr>
        <w:t>13.8</w:t>
      </w:r>
      <w:r>
        <w:rPr>
          <w:sz w:val="20"/>
          <w:szCs w:val="20"/>
          <w:color w:val="auto"/>
        </w:rPr>
        <w:tab/>
      </w:r>
      <w:r>
        <w:rPr>
          <w:rFonts w:ascii="Arial" w:cs="Arial" w:eastAsia="Arial" w:hAnsi="Arial"/>
          <w:sz w:val="19"/>
          <w:szCs w:val="19"/>
          <w:u w:val="single" w:color="auto"/>
          <w:color w:val="2A2A2A"/>
        </w:rPr>
        <w:t>Invalid or Unenforceable Provisions</w:t>
      </w:r>
      <w:r>
        <w:rPr>
          <w:rFonts w:ascii="Arial" w:cs="Arial" w:eastAsia="Arial" w:hAnsi="Arial"/>
          <w:sz w:val="19"/>
          <w:szCs w:val="19"/>
          <w:color w:val="2A2A2A"/>
        </w:rPr>
        <w:t>. If any provision of this Plan shall be held invalid or unenforceable, such invalidity or</w:t>
      </w:r>
      <w:r>
        <w:rPr>
          <w:rFonts w:ascii="Arial" w:cs="Arial" w:eastAsia="Arial" w:hAnsi="Arial"/>
          <w:sz w:val="19"/>
          <w:szCs w:val="19"/>
          <w:u w:val="single" w:color="auto"/>
          <w:color w:val="2A2A2A"/>
        </w:rPr>
        <w:t xml:space="preserve"> </w:t>
      </w:r>
      <w:r>
        <w:rPr>
          <w:rFonts w:ascii="Arial" w:cs="Arial" w:eastAsia="Arial" w:hAnsi="Arial"/>
          <w:sz w:val="19"/>
          <w:szCs w:val="19"/>
          <w:color w:val="2A2A2A"/>
        </w:rPr>
        <w:t>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spacing w:after="0" w:line="190" w:lineRule="exact"/>
        <w:rPr>
          <w:sz w:val="20"/>
          <w:szCs w:val="20"/>
          <w:color w:val="auto"/>
        </w:rPr>
      </w:pPr>
    </w:p>
    <w:p>
      <w:pPr>
        <w:jc w:val="both"/>
        <w:ind w:left="840" w:hanging="633"/>
        <w:spacing w:after="0" w:line="271" w:lineRule="auto"/>
        <w:tabs>
          <w:tab w:leader="none" w:pos="820" w:val="left"/>
        </w:tabs>
        <w:rPr>
          <w:sz w:val="20"/>
          <w:szCs w:val="20"/>
          <w:color w:val="auto"/>
        </w:rPr>
      </w:pPr>
      <w:r>
        <w:rPr>
          <w:rFonts w:ascii="Arial" w:cs="Arial" w:eastAsia="Arial" w:hAnsi="Arial"/>
          <w:sz w:val="19"/>
          <w:szCs w:val="19"/>
          <w:color w:val="2A2A2A"/>
        </w:rPr>
        <w:t>13.9</w:t>
      </w:r>
      <w:r>
        <w:rPr>
          <w:sz w:val="20"/>
          <w:szCs w:val="20"/>
          <w:color w:val="auto"/>
        </w:rPr>
        <w:tab/>
      </w:r>
      <w:r>
        <w:rPr>
          <w:rFonts w:ascii="Arial" w:cs="Arial" w:eastAsia="Arial" w:hAnsi="Arial"/>
          <w:sz w:val="19"/>
          <w:szCs w:val="19"/>
          <w:u w:val="single" w:color="auto"/>
          <w:color w:val="424242"/>
        </w:rPr>
        <w:t>Lost Participants or Beneficiaries</w:t>
      </w:r>
      <w:r>
        <w:rPr>
          <w:rFonts w:ascii="Arial" w:cs="Arial" w:eastAsia="Arial" w:hAnsi="Arial"/>
          <w:sz w:val="19"/>
          <w:szCs w:val="19"/>
          <w:color w:val="2A2A2A"/>
        </w:rPr>
        <w:t>. Any Participant or Beneficiary who is entitled to a benefit from the Plan has the duty to</w:t>
      </w:r>
      <w:r>
        <w:rPr>
          <w:rFonts w:ascii="Arial" w:cs="Arial" w:eastAsia="Arial" w:hAnsi="Arial"/>
          <w:sz w:val="19"/>
          <w:szCs w:val="19"/>
          <w:u w:val="single" w:color="auto"/>
          <w:color w:val="424242"/>
        </w:rPr>
        <w:t xml:space="preserve"> </w:t>
      </w:r>
      <w:r>
        <w:rPr>
          <w:rFonts w:ascii="Arial" w:cs="Arial" w:eastAsia="Arial" w:hAnsi="Arial"/>
          <w:sz w:val="19"/>
          <w:szCs w:val="19"/>
          <w:color w:val="2A2A2A"/>
        </w:rPr>
        <w:t>keep the Committee advised of his or her current mailing address. If benefit payments are returned to the Plan or are not presented for payment after a reasonable amount of time, the Committee shall presume that the payee is missing. The Committee, after making such efforts as in its discretion it deems reasonable and appropriate to locate the payee, shall stop payment on any uncashed checks and may discontinue making future payments until contact with the payee is restored to the extent permitted by Code Section 409A.</w:t>
      </w:r>
    </w:p>
    <w:p>
      <w:pPr>
        <w:spacing w:after="0" w:line="207" w:lineRule="exact"/>
        <w:rPr>
          <w:sz w:val="20"/>
          <w:szCs w:val="20"/>
          <w:color w:val="auto"/>
        </w:rPr>
      </w:pPr>
    </w:p>
    <w:p>
      <w:pPr>
        <w:jc w:val="both"/>
        <w:ind w:left="840" w:hanging="634"/>
        <w:spacing w:after="0" w:line="274" w:lineRule="auto"/>
        <w:tabs>
          <w:tab w:leader="none" w:pos="820" w:val="left"/>
        </w:tabs>
        <w:rPr>
          <w:sz w:val="20"/>
          <w:szCs w:val="20"/>
          <w:color w:val="auto"/>
        </w:rPr>
      </w:pPr>
      <w:r>
        <w:rPr>
          <w:rFonts w:ascii="Arial" w:cs="Arial" w:eastAsia="Arial" w:hAnsi="Arial"/>
          <w:sz w:val="19"/>
          <w:szCs w:val="19"/>
          <w:color w:val="2A2A2A"/>
        </w:rPr>
        <w:t>13.10</w:t>
      </w:r>
      <w:r>
        <w:rPr>
          <w:sz w:val="20"/>
          <w:szCs w:val="20"/>
          <w:color w:val="auto"/>
        </w:rPr>
        <w:tab/>
      </w:r>
      <w:r>
        <w:rPr>
          <w:rFonts w:ascii="Arial" w:cs="Arial" w:eastAsia="Arial" w:hAnsi="Arial"/>
          <w:sz w:val="19"/>
          <w:szCs w:val="19"/>
          <w:u w:val="single" w:color="auto"/>
          <w:color w:val="5D5D5D"/>
        </w:rPr>
        <w:t>F</w:t>
      </w:r>
      <w:r>
        <w:rPr>
          <w:rFonts w:ascii="Arial" w:cs="Arial" w:eastAsia="Arial" w:hAnsi="Arial"/>
          <w:sz w:val="19"/>
          <w:szCs w:val="19"/>
          <w:u w:val="single" w:color="auto"/>
          <w:color w:val="424242"/>
        </w:rPr>
        <w:t>acility of Payment to a Minor</w:t>
      </w:r>
      <w:r>
        <w:rPr>
          <w:rFonts w:ascii="Arial" w:cs="Arial" w:eastAsia="Arial" w:hAnsi="Arial"/>
          <w:sz w:val="19"/>
          <w:szCs w:val="19"/>
          <w:color w:val="2A2A2A"/>
        </w:rPr>
        <w:t>. If a distribution is to be made to a minor, or to a person who is otherwise incompetent,</w:t>
      </w:r>
      <w:r>
        <w:rPr>
          <w:rFonts w:ascii="Arial" w:cs="Arial" w:eastAsia="Arial" w:hAnsi="Arial"/>
          <w:sz w:val="19"/>
          <w:szCs w:val="19"/>
          <w:u w:val="single" w:color="auto"/>
          <w:color w:val="5D5D5D"/>
        </w:rPr>
        <w:t xml:space="preserve"> </w:t>
      </w:r>
      <w:r>
        <w:rPr>
          <w:rFonts w:ascii="Arial" w:cs="Arial" w:eastAsia="Arial" w:hAnsi="Arial"/>
          <w:sz w:val="19"/>
          <w:szCs w:val="19"/>
          <w:color w:val="2A2A2A"/>
        </w:rPr>
        <w:t>then the Committee may, in its discretion, make such distribution:</w:t>
      </w:r>
    </w:p>
    <w:p>
      <w:pPr>
        <w:spacing w:after="0" w:line="1" w:lineRule="exact"/>
        <w:rPr>
          <w:sz w:val="20"/>
          <w:szCs w:val="20"/>
          <w:color w:val="auto"/>
        </w:rPr>
      </w:pPr>
    </w:p>
    <w:p>
      <w:pPr>
        <w:ind w:left="1120" w:hanging="275"/>
        <w:spacing w:after="0"/>
        <w:tabs>
          <w:tab w:leader="none" w:pos="1120" w:val="left"/>
        </w:tabs>
        <w:numPr>
          <w:ilvl w:val="0"/>
          <w:numId w:val="64"/>
        </w:numPr>
        <w:rPr>
          <w:rFonts w:ascii="Arial" w:cs="Arial" w:eastAsia="Arial" w:hAnsi="Arial"/>
          <w:sz w:val="17"/>
          <w:szCs w:val="17"/>
          <w:color w:val="2A2A2A"/>
        </w:rPr>
      </w:pPr>
      <w:r>
        <w:rPr>
          <w:rFonts w:ascii="Arial" w:cs="Arial" w:eastAsia="Arial" w:hAnsi="Arial"/>
          <w:sz w:val="17"/>
          <w:szCs w:val="17"/>
          <w:color w:val="2A2A2A"/>
        </w:rPr>
        <w:t>to the legal guardian, or if none, to a parent of a minor payee with whom the payee maintains his or her residence, or</w:t>
      </w:r>
    </w:p>
    <w:p>
      <w:pPr>
        <w:spacing w:after="0" w:line="44" w:lineRule="exact"/>
        <w:rPr>
          <w:rFonts w:ascii="Arial" w:cs="Arial" w:eastAsia="Arial" w:hAnsi="Arial"/>
          <w:sz w:val="17"/>
          <w:szCs w:val="17"/>
          <w:color w:val="2A2A2A"/>
        </w:rPr>
      </w:pPr>
    </w:p>
    <w:p>
      <w:pPr>
        <w:ind w:left="840" w:firstLine="5"/>
        <w:spacing w:after="0" w:line="264" w:lineRule="auto"/>
        <w:tabs>
          <w:tab w:leader="none" w:pos="1150" w:val="left"/>
        </w:tabs>
        <w:numPr>
          <w:ilvl w:val="0"/>
          <w:numId w:val="64"/>
        </w:numPr>
        <w:rPr>
          <w:rFonts w:ascii="Arial" w:cs="Arial" w:eastAsia="Arial" w:hAnsi="Arial"/>
          <w:sz w:val="19"/>
          <w:szCs w:val="19"/>
          <w:color w:val="2A2A2A"/>
        </w:rPr>
      </w:pPr>
      <w:r>
        <w:rPr>
          <w:rFonts w:ascii="Arial" w:cs="Arial" w:eastAsia="Arial" w:hAnsi="Arial"/>
          <w:sz w:val="19"/>
          <w:szCs w:val="19"/>
          <w:color w:val="2A2A2A"/>
        </w:rPr>
        <w:t>to the conservator or committee or, if none, to the person having custody of an incompetent payee. Any such distribution shall fully discharge the</w:t>
      </w:r>
    </w:p>
    <w:p>
      <w:pPr>
        <w:sectPr>
          <w:pgSz w:w="11900" w:h="16838" w:orient="portrait"/>
          <w:cols w:equalWidth="0" w:num="1">
            <w:col w:w="10120"/>
          </w:cols>
          <w:pgMar w:left="1440" w:top="131" w:right="339" w:bottom="180" w:gutter="0" w:footer="0" w:header="0"/>
        </w:sectPr>
      </w:pPr>
    </w:p>
    <w:bookmarkStart w:id="73" w:name="page74"/>
    <w:bookmarkEnd w:id="73"/>
    <w:p>
      <w:pPr>
        <w:ind w:left="860"/>
        <w:spacing w:after="0"/>
        <w:rPr>
          <w:sz w:val="20"/>
          <w:szCs w:val="20"/>
          <w:color w:val="auto"/>
        </w:rPr>
      </w:pPr>
      <w:r>
        <w:rPr>
          <w:rFonts w:ascii="Arial" w:cs="Arial" w:eastAsia="Arial" w:hAnsi="Arial"/>
          <w:sz w:val="20"/>
          <w:szCs w:val="20"/>
          <w:color w:val="282828"/>
        </w:rPr>
        <w:t>Committee, the Participating Employers, and the Plan from further liability on account thereof.</w:t>
      </w:r>
    </w:p>
    <w:p>
      <w:pPr>
        <w:spacing w:after="0" w:line="223"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9"/>
          <w:szCs w:val="19"/>
          <w:color w:val="2A2A2A"/>
        </w:rPr>
        <w:t>13.11</w:t>
      </w:r>
      <w:r>
        <w:rPr>
          <w:sz w:val="20"/>
          <w:szCs w:val="20"/>
          <w:color w:val="auto"/>
        </w:rPr>
        <w:tab/>
      </w:r>
      <w:r>
        <w:rPr>
          <w:rFonts w:ascii="Arial" w:cs="Arial" w:eastAsia="Arial" w:hAnsi="Arial"/>
          <w:sz w:val="18"/>
          <w:szCs w:val="18"/>
          <w:u w:val="single" w:color="auto"/>
          <w:color w:val="282828"/>
        </w:rPr>
        <w:t>Governing Law</w:t>
      </w:r>
      <w:r>
        <w:rPr>
          <w:rFonts w:ascii="Arial" w:cs="Arial" w:eastAsia="Arial" w:hAnsi="Arial"/>
          <w:sz w:val="18"/>
          <w:szCs w:val="18"/>
          <w:color w:val="282828"/>
        </w:rPr>
        <w:t>. To the extent applicable, ERISA shall govern the construction and administration of the Plan.</w:t>
      </w:r>
    </w:p>
    <w:p>
      <w:pPr>
        <w:spacing w:after="0" w:line="241"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9"/>
          <w:szCs w:val="19"/>
          <w:color w:val="2A2A2A"/>
        </w:rPr>
        <w:t>13.12</w:t>
      </w:r>
      <w:r>
        <w:rPr>
          <w:sz w:val="20"/>
          <w:szCs w:val="20"/>
          <w:color w:val="auto"/>
        </w:rPr>
        <w:tab/>
      </w:r>
      <w:r>
        <w:rPr>
          <w:rFonts w:ascii="Arial" w:cs="Arial" w:eastAsia="Arial" w:hAnsi="Arial"/>
          <w:sz w:val="18"/>
          <w:szCs w:val="18"/>
          <w:u w:val="single" w:color="auto"/>
          <w:color w:val="282828"/>
        </w:rPr>
        <w:t>Compliance with Code Section 409A</w:t>
      </w:r>
      <w:r>
        <w:rPr>
          <w:rFonts w:ascii="Arial" w:cs="Arial" w:eastAsia="Arial" w:hAnsi="Arial"/>
          <w:sz w:val="18"/>
          <w:szCs w:val="18"/>
          <w:color w:val="282828"/>
        </w:rPr>
        <w:t>. This Plan is intended to be administered in compliance with Code Section</w:t>
      </w:r>
    </w:p>
    <w:p>
      <w:pPr>
        <w:spacing w:after="0" w:line="37" w:lineRule="exact"/>
        <w:rPr>
          <w:sz w:val="20"/>
          <w:szCs w:val="20"/>
          <w:color w:val="auto"/>
        </w:rPr>
      </w:pPr>
    </w:p>
    <w:p>
      <w:pPr>
        <w:ind w:left="840"/>
        <w:spacing w:after="0"/>
        <w:rPr>
          <w:sz w:val="20"/>
          <w:szCs w:val="20"/>
          <w:color w:val="auto"/>
        </w:rPr>
      </w:pPr>
      <w:r>
        <w:rPr>
          <w:rFonts w:ascii="Arial" w:cs="Arial" w:eastAsia="Arial" w:hAnsi="Arial"/>
          <w:sz w:val="18"/>
          <w:szCs w:val="18"/>
          <w:color w:val="282828"/>
        </w:rPr>
        <w:t>409A and each provision of the Plan shall be interpreted, to the extent possible, to comply with Code Section 409A.</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3"/>
          <w:szCs w:val="13"/>
          <w:color w:val="283A8E"/>
        </w:rPr>
        <w:t>th</w:t>
      </w:r>
    </w:p>
    <w:p>
      <w:pPr>
        <w:ind w:left="180"/>
        <w:spacing w:after="0"/>
        <w:rPr>
          <w:sz w:val="20"/>
          <w:szCs w:val="20"/>
          <w:color w:val="auto"/>
        </w:rPr>
      </w:pPr>
      <w:r>
        <w:rPr>
          <w:rFonts w:ascii="Arial" w:cs="Arial" w:eastAsia="Arial" w:hAnsi="Arial"/>
          <w:sz w:val="21"/>
          <w:szCs w:val="21"/>
          <w:color w:val="282828"/>
        </w:rPr>
        <w:t xml:space="preserve">IN WITNESS WHEREOF, the undersigned executed this Plan as of the </w:t>
      </w:r>
      <w:r>
        <w:rPr>
          <w:rFonts w:ascii="Arial" w:cs="Arial" w:eastAsia="Arial" w:hAnsi="Arial"/>
          <w:sz w:val="19"/>
          <w:szCs w:val="19"/>
          <w:color w:val="283A8E"/>
        </w:rPr>
        <w:t>26</w:t>
      </w:r>
      <w:r>
        <w:rPr>
          <w:rFonts w:ascii="Arial" w:cs="Arial" w:eastAsia="Arial" w:hAnsi="Arial"/>
          <w:sz w:val="21"/>
          <w:szCs w:val="21"/>
          <w:color w:val="282828"/>
        </w:rPr>
        <w:t xml:space="preserve">  day of February, 2020.</w:t>
      </w:r>
    </w:p>
    <w:p>
      <w:pPr>
        <w:spacing w:after="0" w:line="200" w:lineRule="exact"/>
        <w:rPr>
          <w:sz w:val="20"/>
          <w:szCs w:val="20"/>
          <w:color w:val="auto"/>
        </w:rPr>
      </w:pPr>
    </w:p>
    <w:p>
      <w:pPr>
        <w:spacing w:after="0" w:line="358"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282828"/>
        </w:rPr>
        <w:t>Centuri Group, Inc.</w:t>
      </w:r>
    </w:p>
    <w:p>
      <w:pPr>
        <w:spacing w:after="0" w:line="264" w:lineRule="exact"/>
        <w:rPr>
          <w:sz w:val="20"/>
          <w:szCs w:val="20"/>
          <w:color w:val="auto"/>
        </w:rPr>
      </w:pPr>
    </w:p>
    <w:p>
      <w:pPr>
        <w:ind w:left="180"/>
        <w:spacing w:after="0"/>
        <w:tabs>
          <w:tab w:leader="none" w:pos="3580" w:val="left"/>
          <w:tab w:leader="none" w:pos="4920" w:val="left"/>
          <w:tab w:leader="none" w:pos="8120" w:val="left"/>
        </w:tabs>
        <w:rPr>
          <w:sz w:val="20"/>
          <w:szCs w:val="20"/>
          <w:color w:val="auto"/>
        </w:rPr>
      </w:pPr>
      <w:r>
        <w:rPr>
          <w:sz w:val="1"/>
          <w:szCs w:val="1"/>
          <w:color w:val="auto"/>
        </w:rPr>
        <w:drawing>
          <wp:inline distT="0" distB="0" distL="0" distR="0">
            <wp:extent cx="1859915" cy="41148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9915" cy="411480"/>
                    </a:xfrm>
                    <a:prstGeom prst="rect">
                      <a:avLst/>
                    </a:prstGeom>
                    <a:noFill/>
                    <a:ln>
                      <a:noFill/>
                    </a:ln>
                  </pic:spPr>
                </pic:pic>
              </a:graphicData>
            </a:graphic>
          </wp:inline>
        </w:drawing>
      </w:r>
      <w:r>
        <w:rPr>
          <w:rFonts w:ascii="Arial" w:cs="Arial" w:eastAsia="Arial" w:hAnsi="Arial"/>
          <w:sz w:val="20"/>
          <w:szCs w:val="20"/>
          <w:color w:val="282828"/>
        </w:rPr>
        <w:t>By:</w:t>
        <w:tab/>
        <w:t>Paul M. Dail</w:t>
      </w:r>
      <w:r>
        <w:rPr>
          <w:rFonts w:ascii="Arial" w:cs="Arial" w:eastAsia="Arial" w:hAnsi="Arial"/>
          <w:sz w:val="20"/>
          <w:szCs w:val="20"/>
          <w:color w:val="4D4D4D"/>
        </w:rPr>
        <w:t>y</w:t>
      </w:r>
      <w:r>
        <w:rPr>
          <w:rFonts w:ascii="Arial" w:cs="Arial" w:eastAsia="Arial" w:hAnsi="Arial"/>
          <w:sz w:val="20"/>
          <w:szCs w:val="20"/>
          <w:color w:val="282828"/>
        </w:rPr>
        <w:tab/>
        <w:t>(Print Name) Its: _President and CEO</w:t>
      </w:r>
      <w:r>
        <w:rPr>
          <w:sz w:val="20"/>
          <w:szCs w:val="20"/>
          <w:color w:val="auto"/>
        </w:rPr>
        <w:tab/>
      </w:r>
      <w:r>
        <w:rPr>
          <w:rFonts w:ascii="Arial" w:cs="Arial" w:eastAsia="Arial" w:hAnsi="Arial"/>
          <w:sz w:val="19"/>
          <w:szCs w:val="19"/>
          <w:color w:val="282828"/>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-17780</wp:posOffset>
            </wp:positionV>
            <wp:extent cx="125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-17780</wp:posOffset>
            </wp:positionV>
            <wp:extent cx="1314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144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-17780</wp:posOffset>
            </wp:positionV>
            <wp:extent cx="1257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282828"/>
        </w:rPr>
        <w:t>(Signature)</w:t>
      </w:r>
    </w:p>
    <w:p>
      <w:pPr>
        <w:sectPr>
          <w:pgSz w:w="11900" w:h="16838" w:orient="portrait"/>
          <w:cols w:equalWidth="0" w:num="1">
            <w:col w:w="10120"/>
          </w:cols>
          <w:pgMar w:left="1440" w:top="33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553"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553"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2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55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7" w:lineRule="exact"/>
        <w:rPr>
          <w:rFonts w:ascii="Arial" w:cs="Arial" w:eastAsia="Arial" w:hAnsi="Arial"/>
          <w:sz w:val="17"/>
          <w:szCs w:val="17"/>
          <w:color w:val="auto"/>
        </w:rPr>
      </w:pPr>
    </w:p>
    <w:p>
      <w:pPr>
        <w:ind w:left="920" w:hanging="332"/>
        <w:spacing w:after="0" w:line="258" w:lineRule="auto"/>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20" w:hanging="332"/>
        <w:spacing w:after="0" w:line="260" w:lineRule="auto"/>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2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553"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March 31, 2020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hanging="316"/>
        <w:spacing w:after="0" w:line="260"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March 31, 2020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40" w:hanging="316"/>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hanging="316"/>
        <w:spacing w:after="0" w:line="260"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240"/>
          </w:cols>
          <w:pgMar w:left="320" w:top="55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March 31, 2020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40" w:hanging="316"/>
        <w:spacing w:after="0" w:line="26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March 31, 2020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40" w:hanging="316"/>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40" w:hanging="316"/>
        <w:spacing w:after="0" w:line="260"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5"/>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
    <w:nsid w:val="3855585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10">
    <w:nsid w:val="70A64E2A"/>
    <w:multiLevelType w:val="hybridMultilevel"/>
    <w:lvl w:ilvl="0">
      <w:lvlJc w:val="left"/>
      <w:lvlText w:val="%1"/>
      <w:numFmt w:val="lowerLetter"/>
      <w:start w:val="1"/>
    </w:lvl>
    <w:lvl w:ilvl="1">
      <w:lvlJc w:val="left"/>
      <w:lvlText w:val="(%2)"/>
      <w:numFmt w:val="lowerLetter"/>
      <w:start w:val="35"/>
    </w:lvl>
  </w:abstractNum>
  <w:abstractNum w:abstractNumId="11">
    <w:nsid w:val="6A2342EC"/>
    <w:multiLevelType w:val="hybridMultilevel"/>
    <w:lvl w:ilvl="0">
      <w:lvlJc w:val="left"/>
      <w:lvlText w:val="(%1)"/>
      <w:numFmt w:val="lowerLetter"/>
      <w:start w:val="3"/>
    </w:lvl>
    <w:lvl w:ilvl="1">
      <w:lvlJc w:val="left"/>
      <w:lvlText w:val="%2"/>
      <w:numFmt w:val="lowerLetter"/>
      <w:start w:val="1"/>
    </w:lvl>
  </w:abstractNum>
  <w:abstractNum w:abstractNumId="12">
    <w:nsid w:val="2A487CB0"/>
    <w:multiLevelType w:val="hybridMultilevel"/>
    <w:lvl w:ilvl="0">
      <w:lvlJc w:val="left"/>
      <w:lvlText w:val="(%1)"/>
      <w:numFmt w:val="lowerLetter"/>
      <w:start w:val="4"/>
    </w:lvl>
  </w:abstractNum>
  <w:abstractNum w:abstractNumId="13">
    <w:nsid w:val="1D4ED43B"/>
    <w:multiLevelType w:val="hybridMultilevel"/>
    <w:lvl w:ilvl="0">
      <w:lvlJc w:val="left"/>
      <w:lvlText w:val="(%1)"/>
      <w:numFmt w:val="lowerLetter"/>
      <w:start w:val="1"/>
    </w:lvl>
  </w:abstractNum>
  <w:abstractNum w:abstractNumId="14">
    <w:nsid w:val="725A06FB"/>
    <w:multiLevelType w:val="hybridMultilevel"/>
    <w:lvl w:ilvl="0">
      <w:lvlJc w:val="left"/>
      <w:lvlText w:val="(%1)"/>
      <w:numFmt w:val="lowerLetter"/>
      <w:start w:val="3"/>
    </w:lvl>
  </w:abstractNum>
  <w:abstractNum w:abstractNumId="15">
    <w:nsid w:val="2CD89A32"/>
    <w:multiLevelType w:val="hybridMultilevel"/>
    <w:lvl w:ilvl="0">
      <w:lvlJc w:val="left"/>
      <w:lvlText w:val="%1"/>
      <w:numFmt w:val="lowerLetter"/>
      <w:start w:val="1"/>
    </w:lvl>
    <w:lvl w:ilvl="1">
      <w:lvlJc w:val="left"/>
      <w:lvlText w:val="(%2)"/>
      <w:numFmt w:val="lowerLetter"/>
      <w:start w:val="1"/>
    </w:lvl>
  </w:abstractNum>
  <w:abstractNum w:abstractNumId="16">
    <w:nsid w:val="57E4CCAF"/>
    <w:multiLevelType w:val="hybridMultilevel"/>
    <w:lvl w:ilvl="0">
      <w:lvlJc w:val="left"/>
      <w:lvlText w:val="(%1)"/>
      <w:numFmt w:val="lowerLetter"/>
      <w:start w:val="2"/>
    </w:lvl>
    <w:lvl w:ilvl="1">
      <w:lvlJc w:val="left"/>
      <w:lvlText w:val="%2"/>
      <w:numFmt w:val="lowerLetter"/>
      <w:start w:val="1"/>
    </w:lvl>
  </w:abstractNum>
  <w:abstractNum w:abstractNumId="17">
    <w:nsid w:val="7A6D8D3C"/>
    <w:multiLevelType w:val="hybridMultilevel"/>
    <w:lvl w:ilvl="0">
      <w:lvlJc w:val="left"/>
      <w:lvlText w:val="(%1)"/>
      <w:numFmt w:val="lowerLetter"/>
      <w:start w:val="3"/>
    </w:lvl>
    <w:lvl w:ilvl="1">
      <w:lvlJc w:val="left"/>
      <w:lvlText w:val="(%2)"/>
      <w:numFmt w:val="lowerRoman"/>
      <w:start w:val="1"/>
    </w:lvl>
  </w:abstractNum>
  <w:abstractNum w:abstractNumId="18">
    <w:nsid w:val="4B588F54"/>
    <w:multiLevelType w:val="hybridMultilevel"/>
    <w:lvl w:ilvl="0">
      <w:lvlJc w:val="left"/>
      <w:lvlText w:val="(%1)"/>
      <w:numFmt w:val="lowerLetter"/>
      <w:start w:val="4"/>
    </w:lvl>
  </w:abstractNum>
  <w:abstractNum w:abstractNumId="19">
    <w:nsid w:val="542289EC"/>
    <w:multiLevelType w:val="hybridMultilevel"/>
    <w:lvl w:ilvl="0">
      <w:lvlJc w:val="left"/>
      <w:lvlText w:val="(%1)"/>
      <w:numFmt w:val="lowerLetter"/>
      <w:start w:val="5"/>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2"/>
    </w:lvl>
    <w:lvl w:ilvl="1">
      <w:lvlJc w:val="left"/>
      <w:lvlText w:val="(%2)"/>
      <w:numFmt w:val="lowerLetter"/>
      <w:start w:val="4"/>
    </w:lvl>
  </w:abstractNum>
  <w:abstractNum w:abstractNumId="22">
    <w:nsid w:val="7644A45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23">
    <w:nsid w:val="32FFF902"/>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7"/>
    </w:lvl>
    <w:lvl w:ilvl="3">
      <w:lvlJc w:val="left"/>
      <w:lvlText w:val="(%4)"/>
      <w:numFmt w:val="lowerLetter"/>
      <w:start w:val="9"/>
    </w:lvl>
  </w:abstractNum>
  <w:abstractNum w:abstractNumId="24">
    <w:nsid w:val="684A481A"/>
    <w:multiLevelType w:val="hybridMultilevel"/>
    <w:lvl w:ilvl="0">
      <w:lvlJc w:val="left"/>
      <w:lvlText w:val="(%1)"/>
      <w:numFmt w:val="lowerLetter"/>
      <w:start w:val="1"/>
    </w:lvl>
  </w:abstractNum>
  <w:abstractNum w:abstractNumId="25">
    <w:nsid w:val="579478FE"/>
    <w:multiLevelType w:val="hybridMultilevel"/>
    <w:lvl w:ilvl="0">
      <w:lvlJc w:val="left"/>
      <w:lvlText w:val="(%1)"/>
      <w:numFmt w:val="lowerRoman"/>
      <w:start w:val="1"/>
    </w:lvl>
  </w:abstractNum>
  <w:abstractNum w:abstractNumId="26">
    <w:nsid w:val="749ABB4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7">
    <w:nsid w:val="3DC240F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8">
    <w:nsid w:val="1BA026FA"/>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29">
    <w:nsid w:val="79A1DEAA"/>
    <w:multiLevelType w:val="hybridMultilevel"/>
    <w:lvl w:ilvl="0">
      <w:lvlJc w:val="left"/>
      <w:lvlText w:val="%1"/>
      <w:numFmt w:val="lowerLetter"/>
      <w:start w:val="1"/>
    </w:lvl>
    <w:lvl w:ilvl="1">
      <w:lvlJc w:val="left"/>
      <w:lvlText w:val="(%2)"/>
      <w:numFmt w:val="lowerLetter"/>
      <w:start w:val="5"/>
    </w:lvl>
  </w:abstractNum>
  <w:abstractNum w:abstractNumId="30">
    <w:nsid w:val="75C6C33A"/>
    <w:multiLevelType w:val="hybridMultilevel"/>
    <w:lvl w:ilvl="0">
      <w:lvlJc w:val="left"/>
      <w:lvlText w:val="(%1)"/>
      <w:numFmt w:val="lowerLetter"/>
      <w:start w:val="6"/>
    </w:lvl>
    <w:lvl w:ilvl="1">
      <w:lvlJc w:val="left"/>
      <w:lvlText w:val="(%2)"/>
      <w:numFmt w:val="lowerLetter"/>
      <w:start w:val="7"/>
    </w:lvl>
  </w:abstractNum>
  <w:abstractNum w:abstractNumId="31">
    <w:nsid w:val="12E685FB"/>
    <w:multiLevelType w:val="hybridMultilevel"/>
    <w:lvl w:ilvl="0">
      <w:lvlJc w:val="left"/>
      <w:lvlText w:val="%1"/>
      <w:numFmt w:val="lowerLetter"/>
      <w:start w:val="1"/>
    </w:lvl>
    <w:lvl w:ilvl="1">
      <w:lvlJc w:val="left"/>
      <w:lvlText w:val="(%2)"/>
      <w:numFmt w:val="lowerLetter"/>
      <w:start w:val="1"/>
    </w:lvl>
  </w:abstractNum>
  <w:abstractNum w:abstractNumId="32">
    <w:nsid w:val="70C6A529"/>
    <w:multiLevelType w:val="hybridMultilevel"/>
    <w:lvl w:ilvl="0">
      <w:lvlJc w:val="left"/>
      <w:lvlText w:val="(%1)"/>
      <w:numFmt w:val="lowerLetter"/>
      <w:start w:val="4"/>
    </w:lvl>
    <w:lvl w:ilvl="1">
      <w:lvlJc w:val="left"/>
      <w:lvlText w:val="%2"/>
      <w:numFmt w:val="lowerLetter"/>
      <w:start w:val="1"/>
    </w:lvl>
  </w:abstractNum>
  <w:abstractNum w:abstractNumId="33">
    <w:nsid w:val="520EEDD1"/>
    <w:multiLevelType w:val="hybridMultilevel"/>
    <w:lvl w:ilvl="0">
      <w:lvlJc w:val="left"/>
      <w:lvlText w:val="(%1)"/>
      <w:numFmt w:val="lowerLetter"/>
      <w:start w:val="5"/>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Letter"/>
      <w:start w:val="2"/>
    </w:lvl>
  </w:abstractNum>
  <w:abstractNum w:abstractNumId="36">
    <w:nsid w:val="23F9C13C"/>
    <w:multiLevelType w:val="hybridMultilevel"/>
    <w:lvl w:ilvl="0">
      <w:lvlJc w:val="left"/>
      <w:lvlText w:val="%1"/>
      <w:numFmt w:val="lowerLetter"/>
      <w:start w:val="1"/>
    </w:lvl>
    <w:lvl w:ilvl="1">
      <w:lvlJc w:val="left"/>
      <w:lvlText w:val="(%2)"/>
      <w:numFmt w:val="lowerLetter"/>
      <w:start w:val="1"/>
    </w:lvl>
  </w:abstractNum>
  <w:abstractNum w:abstractNumId="37">
    <w:nsid w:val="649BB77C"/>
    <w:multiLevelType w:val="hybridMultilevel"/>
    <w:lvl w:ilvl="0">
      <w:lvlJc w:val="left"/>
      <w:lvlText w:val="(%1)"/>
      <w:numFmt w:val="lowerLetter"/>
      <w:start w:val="3"/>
    </w:lvl>
    <w:lvl w:ilvl="1">
      <w:lvlJc w:val="left"/>
      <w:lvlText w:val="(%2)"/>
      <w:numFmt w:val="lowerLetter"/>
      <w:start w:val="7"/>
    </w:lvl>
  </w:abstractNum>
  <w:abstractNum w:abstractNumId="38">
    <w:nsid w:val="275AC794"/>
    <w:multiLevelType w:val="hybridMultilevel"/>
    <w:lvl w:ilvl="0">
      <w:lvlJc w:val="left"/>
      <w:lvlText w:val="(%1)"/>
      <w:numFmt w:val="lowerRoman"/>
      <w:start w:val="1"/>
    </w:lvl>
  </w:abstractNum>
  <w:abstractNum w:abstractNumId="39">
    <w:nsid w:val="39386575"/>
    <w:multiLevelType w:val="hybridMultilevel"/>
    <w:lvl w:ilvl="0">
      <w:lvlJc w:val="left"/>
      <w:lvlText w:val="(%1)"/>
      <w:numFmt w:val="lowerLetter"/>
      <w:start w:val="10"/>
    </w:lvl>
    <w:lvl w:ilvl="1">
      <w:lvlJc w:val="left"/>
      <w:lvlText w:val="(%2)"/>
      <w:numFmt w:val="lowerLetter"/>
      <w:start w:val="11"/>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abstractNum>
  <w:abstractNum w:abstractNumId="43">
    <w:nsid w:val="47398C8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1"/>
    </w:lvl>
  </w:abstractNum>
  <w:abstractNum w:abstractNumId="44">
    <w:nsid w:val="354FE9F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45">
    <w:nsid w:val="15B5AF5C"/>
    <w:multiLevelType w:val="hybridMultilevel"/>
    <w:lvl w:ilvl="0">
      <w:lvlJc w:val="left"/>
      <w:lvlText w:val="(%1)"/>
      <w:numFmt w:val="lowerRoman"/>
      <w:start w:val="2"/>
    </w:lvl>
  </w:abstractNum>
  <w:abstractNum w:abstractNumId="46">
    <w:nsid w:val="741226B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Letter"/>
      <w:start w:val="1"/>
    </w:lvl>
  </w:abstractNum>
  <w:abstractNum w:abstractNumId="47">
    <w:nsid w:val="D34B6A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Roman"/>
      <w:start w:val="2"/>
    </w:lvl>
    <w:lvl w:ilvl="4">
      <w:lvlJc w:val="left"/>
      <w:lvlText w:val="(%5)"/>
      <w:numFmt w:val="lowerLetter"/>
      <w:start w:val="61"/>
    </w:lvl>
  </w:abstractNum>
  <w:abstractNum w:abstractNumId="48">
    <w:nsid w:val="10233C99"/>
    <w:multiLevelType w:val="hybridMultilevel"/>
    <w:lvl w:ilvl="0">
      <w:lvlJc w:val="left"/>
      <w:lvlText w:val="(%1)"/>
      <w:numFmt w:val="lowerRoman"/>
      <w:start w:val="4"/>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Letter"/>
      <w:start w:val="3"/>
    </w:lvl>
    <w:lvl w:ilvl="1">
      <w:lvlJc w:val="left"/>
      <w:lvlText w:val="(%2)"/>
      <w:numFmt w:val="lowerRoman"/>
      <w:start w:val="4"/>
    </w:lvl>
    <w:lvl w:ilvl="2">
      <w:lvlJc w:val="left"/>
      <w:lvlText w:val="(%3)"/>
      <w:numFmt w:val="lowerRoman"/>
      <w:start w:val="2"/>
    </w:lvl>
    <w:lvl w:ilvl="3">
      <w:lvlJc w:val="left"/>
      <w:lvlText w:val="(%4)"/>
      <w:numFmt w:val="lowerRoman"/>
      <w:start w:val="1"/>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1)"/>
      <w:numFmt w:val="lowerLetter"/>
      <w:start w:val="2"/>
    </w:lvl>
    <w:lvl w:ilvl="1">
      <w:lvlJc w:val="left"/>
      <w:lvlText w:val="(%2)"/>
      <w:numFmt w:val="lowerRoman"/>
      <w:start w:val="1"/>
    </w:lvl>
  </w:abstractNum>
  <w:abstractNum w:abstractNumId="53">
    <w:nsid w:val="579BE4F1"/>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6"/>
    </w:lvl>
    <w:lvl w:ilvl="3">
      <w:lvlJc w:val="left"/>
      <w:lvlText w:val="(%4)"/>
      <w:numFmt w:val="lowerRoman"/>
      <w:start w:val="8"/>
    </w:lvl>
  </w:abstractNum>
  <w:abstractNum w:abstractNumId="54">
    <w:nsid w:val="310C50B3"/>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55">
    <w:nsid w:val="5FF87E05"/>
    <w:multiLevelType w:val="hybridMultilevel"/>
    <w:lvl w:ilvl="0">
      <w:lvlJc w:val="left"/>
      <w:lvlText w:val="(%1)"/>
      <w:numFmt w:val="lowerRoman"/>
      <w:start w:val="4"/>
    </w:lvl>
  </w:abstractNum>
  <w:abstractNum w:abstractNumId="56">
    <w:nsid w:val="2F305DEF"/>
    <w:multiLevelType w:val="hybridMultilevel"/>
    <w:lvl w:ilvl="0">
      <w:lvlJc w:val="left"/>
      <w:lvlText w:val="(%1)"/>
      <w:numFmt w:val="lowerLetter"/>
      <w:start w:val="4"/>
    </w:lvl>
    <w:lvl w:ilvl="1">
      <w:lvlJc w:val="left"/>
      <w:lvlText w:val="(%2)"/>
      <w:numFmt w:val="lowerRoman"/>
      <w:start w:val="3"/>
    </w:lvl>
    <w:lvl w:ilvl="2">
      <w:lvlJc w:val="left"/>
      <w:lvlText w:val="(%3)"/>
      <w:numFmt w:val="lowerRoman"/>
      <w:start w:val="1"/>
    </w:lvl>
  </w:abstractNum>
  <w:abstractNum w:abstractNumId="57">
    <w:nsid w:val="25A70BF7"/>
    <w:multiLevelType w:val="hybridMultilevel"/>
    <w:lvl w:ilvl="0">
      <w:lvlJc w:val="left"/>
      <w:lvlText w:val="(%1)"/>
      <w:numFmt w:val="lowerRoman"/>
      <w:start w:val="7"/>
    </w:lvl>
    <w:lvl w:ilvl="1">
      <w:lvlJc w:val="left"/>
      <w:lvlText w:val="%2."/>
      <w:numFmt w:val="lowerLetter"/>
      <w:start w:val="2"/>
    </w:lvl>
    <w:lvl w:ilvl="2">
      <w:lvlJc w:val="left"/>
      <w:lvlText w:val="%3."/>
      <w:numFmt w:val="lowerLetter"/>
      <w:start w:val="1"/>
    </w:lvl>
  </w:abstractNum>
  <w:abstractNum w:abstractNumId="58">
    <w:nsid w:val="1DBABF00"/>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9"/>
    </w:lvl>
  </w:abstractNum>
  <w:abstractNum w:abstractNumId="59">
    <w:nsid w:val="4AD084E9"/>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60">
    <w:nsid w:val="1F48EAA1"/>
    <w:multiLevelType w:val="hybridMultilevel"/>
    <w:lvl w:ilvl="0">
      <w:lvlJc w:val="left"/>
      <w:lvlText w:val="(%1)"/>
      <w:numFmt w:val="lowerRoman"/>
      <w:start w:val="2"/>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decimal"/>
      <w:start w:val="1"/>
    </w:lvl>
    <w:lvl w:ilvl="1">
      <w:lvlJc w:val="left"/>
      <w:lvlText w:val="(%2)"/>
      <w:numFmt w:val="lowerLetter"/>
      <w:start w:val="1"/>
    </w:lvl>
  </w:abstractNum>
  <w:abstractNum w:abstractNumId="65">
    <w:nsid w:val="15014ACB"/>
    <w:multiLevelType w:val="hybridMultilevel"/>
    <w:lvl w:ilvl="0">
      <w:lvlJc w:val="left"/>
      <w:lvlText w:val="%1."/>
      <w:numFmt w:val="decimal"/>
      <w:start w:val="1"/>
    </w:lvl>
    <w:lvl w:ilvl="1">
      <w:lvlJc w:val="left"/>
      <w:lvlText w:val="(%2)"/>
      <w:numFmt w:val="lowerLetter"/>
      <w:start w:val="1"/>
    </w:lvl>
  </w:abstractNum>
  <w:abstractNum w:abstractNumId="66">
    <w:nsid w:val="5F5E7FD0"/>
    <w:multiLevelType w:val="hybridMultilevel"/>
    <w:lvl w:ilvl="0">
      <w:lvlJc w:val="left"/>
      <w:lvlText w:val="%1."/>
      <w:numFmt w:val="decimal"/>
      <w:start w:val="1"/>
    </w:lvl>
    <w:lvl w:ilvl="1">
      <w:lvlJc w:val="left"/>
      <w:lvlText w:val="(%2)"/>
      <w:numFmt w:val="lowerLetter"/>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5"/>
    </w:lvl>
    <w:lvl w:ilvl="1">
      <w:lvlJc w:val="left"/>
      <w:lvlText w:val="(%2)"/>
      <w:numFmt w:val="lowerLetter"/>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2020-05-07T16:06:26Z</dcterms:created>
  <dcterms:modified xsi:type="dcterms:W3CDTF">2020-05-07T16:06:26Z</dcterms:modified>
</cp:coreProperties>
</file>