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115" w:lineRule="exact"/>
        <w:rPr>
          <w:sz w:val="24"/>
          <w:szCs w:val="24"/>
          <w:color w:val="auto"/>
        </w:rPr>
      </w:pPr>
    </w:p>
    <w:p>
      <w:pPr>
        <w:ind w:left="620" w:hanging="403"/>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1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2022</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40" w:lineRule="exact"/>
        <w:rPr>
          <w:sz w:val="24"/>
          <w:szCs w:val="24"/>
          <w:color w:val="auto"/>
        </w:rPr>
      </w:pPr>
    </w:p>
    <w:p>
      <w:pPr>
        <w:ind w:left="620" w:hanging="403"/>
        <w:spacing w:after="0"/>
        <w:tabs>
          <w:tab w:leader="none" w:pos="6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340" w:type="dxa"/>
            <w:vAlign w:val="bottom"/>
          </w:tcPr>
          <w:p>
            <w:pPr>
              <w:ind w:left="340"/>
              <w:spacing w:after="0"/>
              <w:rPr>
                <w:sz w:val="20"/>
                <w:szCs w:val="20"/>
                <w:color w:val="auto"/>
              </w:rPr>
            </w:pPr>
            <w:r>
              <w:rPr>
                <w:rFonts w:ascii="Times New Roman" w:cs="Times New Roman" w:eastAsia="Times New Roman" w:hAnsi="Times New Roman"/>
                <w:sz w:val="14"/>
                <w:szCs w:val="14"/>
                <w:i w:val="1"/>
                <w:iCs w:val="1"/>
                <w:color w:val="auto"/>
              </w:rPr>
              <w:t>Commission</w:t>
            </w:r>
          </w:p>
        </w:tc>
        <w:tc>
          <w:tcPr>
            <w:tcW w:w="3720" w:type="dxa"/>
            <w:vAlign w:val="bottom"/>
            <w:gridSpan w:val="2"/>
          </w:tcPr>
          <w:p>
            <w:pPr>
              <w:ind w:left="280"/>
              <w:spacing w:after="0"/>
              <w:rPr>
                <w:sz w:val="20"/>
                <w:szCs w:val="20"/>
                <w:color w:val="auto"/>
              </w:rPr>
            </w:pPr>
            <w:r>
              <w:rPr>
                <w:rFonts w:ascii="Times New Roman" w:cs="Times New Roman" w:eastAsia="Times New Roman" w:hAnsi="Times New Roman"/>
                <w:sz w:val="14"/>
                <w:szCs w:val="14"/>
                <w:i w:val="1"/>
                <w:iCs w:val="1"/>
                <w:color w:val="auto"/>
              </w:rPr>
              <w:t>Exact name of registrant as specified in its charter and</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center"/>
              <w:ind w:right="244"/>
              <w:spacing w:after="0"/>
              <w:rPr>
                <w:sz w:val="20"/>
                <w:szCs w:val="20"/>
                <w:color w:val="auto"/>
              </w:rPr>
            </w:pPr>
            <w:r>
              <w:rPr>
                <w:rFonts w:ascii="Times New Roman" w:cs="Times New Roman" w:eastAsia="Times New Roman" w:hAnsi="Times New Roman"/>
                <w:sz w:val="14"/>
                <w:szCs w:val="14"/>
                <w:i w:val="1"/>
                <w:iCs w:val="1"/>
                <w:color w:val="auto"/>
              </w:rPr>
              <w:t>State of</w:t>
            </w:r>
          </w:p>
        </w:tc>
        <w:tc>
          <w:tcPr>
            <w:tcW w:w="2960" w:type="dxa"/>
            <w:vAlign w:val="bottom"/>
            <w:gridSpan w:val="2"/>
          </w:tcPr>
          <w:p>
            <w:pPr>
              <w:jc w:val="center"/>
              <w:ind w:left="443"/>
              <w:spacing w:after="0"/>
              <w:rPr>
                <w:sz w:val="20"/>
                <w:szCs w:val="20"/>
                <w:color w:val="auto"/>
              </w:rPr>
            </w:pPr>
            <w:r>
              <w:rPr>
                <w:rFonts w:ascii="Times New Roman" w:cs="Times New Roman" w:eastAsia="Times New Roman" w:hAnsi="Times New Roman"/>
                <w:sz w:val="14"/>
                <w:szCs w:val="14"/>
                <w:i w:val="1"/>
                <w:iCs w:val="1"/>
                <w:color w:val="auto"/>
              </w:rPr>
              <w:t>I.R.S.</w:t>
            </w:r>
          </w:p>
        </w:tc>
      </w:tr>
      <w:tr>
        <w:trPr>
          <w:trHeight w:val="195"/>
        </w:trPr>
        <w:tc>
          <w:tcPr>
            <w:tcW w:w="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i w:val="1"/>
                <w:iCs w:val="1"/>
                <w:color w:val="auto"/>
              </w:rPr>
              <w:t>File Number</w:t>
            </w:r>
          </w:p>
        </w:tc>
        <w:tc>
          <w:tcPr>
            <w:tcW w:w="372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4"/>
                <w:szCs w:val="14"/>
                <w:i w:val="1"/>
                <w:iCs w:val="1"/>
                <w:color w:val="auto"/>
              </w:rPr>
              <w:t>principal office address and telephone number</w:t>
            </w: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center"/>
              <w:ind w:right="24"/>
              <w:spacing w:after="0"/>
              <w:rPr>
                <w:sz w:val="20"/>
                <w:szCs w:val="20"/>
                <w:color w:val="auto"/>
              </w:rPr>
            </w:pPr>
            <w:r>
              <w:rPr>
                <w:rFonts w:ascii="Times New Roman" w:cs="Times New Roman" w:eastAsia="Times New Roman" w:hAnsi="Times New Roman"/>
                <w:sz w:val="14"/>
                <w:szCs w:val="14"/>
                <w:i w:val="1"/>
                <w:iCs w:val="1"/>
                <w:color w:val="auto"/>
              </w:rPr>
              <w:t>Incorporation</w:t>
            </w:r>
          </w:p>
        </w:tc>
        <w:tc>
          <w:tcPr>
            <w:tcW w:w="2960" w:type="dxa"/>
            <w:vAlign w:val="bottom"/>
            <w:tcBorders>
              <w:bottom w:val="single" w:sz="8" w:color="auto"/>
            </w:tcBorders>
            <w:gridSpan w:val="2"/>
          </w:tcPr>
          <w:p>
            <w:pPr>
              <w:jc w:val="center"/>
              <w:ind w:left="463"/>
              <w:spacing w:after="0"/>
              <w:rPr>
                <w:sz w:val="20"/>
                <w:szCs w:val="20"/>
                <w:color w:val="auto"/>
              </w:rPr>
            </w:pPr>
            <w:r>
              <w:rPr>
                <w:rFonts w:ascii="Times New Roman" w:cs="Times New Roman" w:eastAsia="Times New Roman" w:hAnsi="Times New Roman"/>
                <w:sz w:val="14"/>
                <w:szCs w:val="14"/>
                <w:i w:val="1"/>
                <w:iCs w:val="1"/>
                <w:color w:val="auto"/>
              </w:rPr>
              <w:t>Employer Identification No.</w:t>
            </w:r>
          </w:p>
        </w:tc>
      </w:tr>
      <w:tr>
        <w:trPr>
          <w:trHeight w:val="209"/>
        </w:trPr>
        <w:tc>
          <w:tcPr>
            <w:tcW w:w="1360" w:type="dxa"/>
            <w:vAlign w:val="bottom"/>
            <w:gridSpan w:val="2"/>
          </w:tcPr>
          <w:p>
            <w:pPr>
              <w:jc w:val="right"/>
              <w:ind w:right="225"/>
              <w:spacing w:after="0"/>
              <w:rPr>
                <w:sz w:val="20"/>
                <w:szCs w:val="20"/>
                <w:color w:val="auto"/>
              </w:rPr>
            </w:pPr>
            <w:r>
              <w:rPr>
                <w:rFonts w:ascii="Times New Roman" w:cs="Times New Roman" w:eastAsia="Times New Roman" w:hAnsi="Times New Roman"/>
                <w:sz w:val="16"/>
                <w:szCs w:val="16"/>
                <w:color w:val="auto"/>
              </w:rPr>
              <w:t>001-37976</w:t>
            </w:r>
          </w:p>
        </w:tc>
        <w:tc>
          <w:tcPr>
            <w:tcW w:w="22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Southwest Gas Holdings, Inc.</w:t>
            </w:r>
          </w:p>
        </w:tc>
        <w:tc>
          <w:tcPr>
            <w:tcW w:w="1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ind w:right="104"/>
              <w:spacing w:after="0"/>
              <w:rPr>
                <w:sz w:val="20"/>
                <w:szCs w:val="20"/>
                <w:color w:val="auto"/>
              </w:rPr>
            </w:pPr>
            <w:r>
              <w:rPr>
                <w:rFonts w:ascii="Times New Roman" w:cs="Times New Roman" w:eastAsia="Times New Roman" w:hAnsi="Times New Roman"/>
                <w:sz w:val="16"/>
                <w:szCs w:val="16"/>
                <w:color w:val="auto"/>
              </w:rPr>
              <w:t>Delaware</w:t>
            </w:r>
          </w:p>
        </w:tc>
        <w:tc>
          <w:tcPr>
            <w:tcW w:w="2940" w:type="dxa"/>
            <w:vAlign w:val="bottom"/>
          </w:tcPr>
          <w:p>
            <w:pPr>
              <w:jc w:val="center"/>
              <w:ind w:left="483"/>
              <w:spacing w:after="0"/>
              <w:rPr>
                <w:sz w:val="20"/>
                <w:szCs w:val="20"/>
                <w:color w:val="auto"/>
              </w:rPr>
            </w:pPr>
            <w:r>
              <w:rPr>
                <w:rFonts w:ascii="Times New Roman" w:cs="Times New Roman" w:eastAsia="Times New Roman" w:hAnsi="Times New Roman"/>
                <w:sz w:val="16"/>
                <w:szCs w:val="16"/>
                <w:color w:val="auto"/>
              </w:rPr>
              <w:t>81-3881866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8360 S. Durango Drive</w:t>
            </w:r>
          </w:p>
        </w:tc>
        <w:tc>
          <w:tcPr>
            <w:tcW w:w="1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Post Office Box 98510</w:t>
            </w:r>
          </w:p>
        </w:tc>
        <w:tc>
          <w:tcPr>
            <w:tcW w:w="1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Las Vegas,</w:t>
            </w:r>
          </w:p>
        </w:tc>
        <w:tc>
          <w:tcPr>
            <w:tcW w:w="148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rPr>
              <w:t>Nevada</w:t>
            </w:r>
          </w:p>
        </w:tc>
        <w:tc>
          <w:tcPr>
            <w:tcW w:w="2140" w:type="dxa"/>
            <w:vAlign w:val="bottom"/>
            <w:gridSpan w:val="3"/>
          </w:tcPr>
          <w:p>
            <w:pPr>
              <w:jc w:val="right"/>
              <w:ind w:right="1019"/>
              <w:spacing w:after="0"/>
              <w:rPr>
                <w:sz w:val="20"/>
                <w:szCs w:val="20"/>
                <w:color w:val="auto"/>
              </w:rPr>
            </w:pPr>
            <w:r>
              <w:rPr>
                <w:rFonts w:ascii="Times New Roman" w:cs="Times New Roman" w:eastAsia="Times New Roman" w:hAnsi="Times New Roman"/>
                <w:sz w:val="16"/>
                <w:szCs w:val="16"/>
                <w:color w:val="auto"/>
              </w:rPr>
              <w:t>89193-8510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48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(702) 876-7237</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14"/>
        </w:trPr>
        <w:tc>
          <w:tcPr>
            <w:tcW w:w="2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224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9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r>
      <w:tr>
        <w:trPr>
          <w:trHeight w:val="204"/>
        </w:trPr>
        <w:tc>
          <w:tcPr>
            <w:tcW w:w="1360" w:type="dxa"/>
            <w:vAlign w:val="bottom"/>
            <w:gridSpan w:val="2"/>
          </w:tcPr>
          <w:p>
            <w:pPr>
              <w:jc w:val="right"/>
              <w:ind w:right="345"/>
              <w:spacing w:after="0"/>
              <w:rPr>
                <w:sz w:val="20"/>
                <w:szCs w:val="20"/>
                <w:color w:val="auto"/>
              </w:rPr>
            </w:pPr>
            <w:r>
              <w:rPr>
                <w:rFonts w:ascii="Times New Roman" w:cs="Times New Roman" w:eastAsia="Times New Roman" w:hAnsi="Times New Roman"/>
                <w:sz w:val="16"/>
                <w:szCs w:val="16"/>
                <w:color w:val="auto"/>
              </w:rPr>
              <w:t>1-7850</w:t>
            </w:r>
          </w:p>
        </w:tc>
        <w:tc>
          <w:tcPr>
            <w:tcW w:w="22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Southwest Gas Corporation</w:t>
            </w:r>
          </w:p>
        </w:tc>
        <w:tc>
          <w:tcPr>
            <w:tcW w:w="14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center"/>
              <w:ind w:right="104"/>
              <w:spacing w:after="0"/>
              <w:rPr>
                <w:sz w:val="20"/>
                <w:szCs w:val="20"/>
                <w:color w:val="auto"/>
              </w:rPr>
            </w:pPr>
            <w:r>
              <w:rPr>
                <w:rFonts w:ascii="Times New Roman" w:cs="Times New Roman" w:eastAsia="Times New Roman" w:hAnsi="Times New Roman"/>
                <w:sz w:val="16"/>
                <w:szCs w:val="16"/>
                <w:color w:val="auto"/>
              </w:rPr>
              <w:t>California</w:t>
            </w:r>
          </w:p>
        </w:tc>
        <w:tc>
          <w:tcPr>
            <w:tcW w:w="2940" w:type="dxa"/>
            <w:vAlign w:val="bottom"/>
          </w:tcPr>
          <w:p>
            <w:pPr>
              <w:jc w:val="center"/>
              <w:ind w:left="483"/>
              <w:spacing w:after="0"/>
              <w:rPr>
                <w:sz w:val="20"/>
                <w:szCs w:val="20"/>
                <w:color w:val="auto"/>
              </w:rPr>
            </w:pPr>
            <w:r>
              <w:rPr>
                <w:rFonts w:ascii="Times New Roman" w:cs="Times New Roman" w:eastAsia="Times New Roman" w:hAnsi="Times New Roman"/>
                <w:sz w:val="16"/>
                <w:szCs w:val="16"/>
                <w:color w:val="auto"/>
              </w:rPr>
              <w:t>88-0085720</w:t>
            </w:r>
          </w:p>
        </w:tc>
        <w:tc>
          <w:tcPr>
            <w:tcW w:w="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8360 S. Durango Drive</w:t>
            </w:r>
          </w:p>
        </w:tc>
        <w:tc>
          <w:tcPr>
            <w:tcW w:w="1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Post Office Box 98510</w:t>
            </w:r>
          </w:p>
        </w:tc>
        <w:tc>
          <w:tcPr>
            <w:tcW w:w="1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Las Vegas,</w:t>
            </w:r>
          </w:p>
        </w:tc>
        <w:tc>
          <w:tcPr>
            <w:tcW w:w="148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rPr>
              <w:t>Nevada</w:t>
            </w:r>
          </w:p>
        </w:tc>
        <w:tc>
          <w:tcPr>
            <w:tcW w:w="2140" w:type="dxa"/>
            <w:vAlign w:val="bottom"/>
            <w:gridSpan w:val="3"/>
          </w:tcPr>
          <w:p>
            <w:pPr>
              <w:jc w:val="right"/>
              <w:ind w:right="1019"/>
              <w:spacing w:after="0"/>
              <w:rPr>
                <w:sz w:val="20"/>
                <w:szCs w:val="20"/>
                <w:color w:val="auto"/>
              </w:rPr>
            </w:pPr>
            <w:r>
              <w:rPr>
                <w:rFonts w:ascii="Times New Roman" w:cs="Times New Roman" w:eastAsia="Times New Roman" w:hAnsi="Times New Roman"/>
                <w:sz w:val="16"/>
                <w:szCs w:val="16"/>
                <w:color w:val="auto"/>
              </w:rPr>
              <w:t>89193-8510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48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(702) 876-7237</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446"/>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680" w:type="dxa"/>
            <w:vAlign w:val="bottom"/>
            <w:gridSpan w:val="7"/>
          </w:tcPr>
          <w:p>
            <w:pPr>
              <w:ind w:left="4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c>
          <w:tcPr>
            <w:tcW w:w="2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9"/>
        </w:trPr>
        <w:tc>
          <w:tcPr>
            <w:tcW w:w="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40" w:type="dxa"/>
            <w:vAlign w:val="bottom"/>
          </w:tcPr>
          <w:p>
            <w:pPr>
              <w:ind w:left="90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Trading Symbol</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7"/>
        </w:trPr>
        <w:tc>
          <w:tcPr>
            <w:tcW w:w="20" w:type="dxa"/>
            <w:vAlign w:val="bottom"/>
          </w:tcPr>
          <w:p>
            <w:pPr>
              <w:spacing w:after="0"/>
              <w:rPr>
                <w:sz w:val="17"/>
                <w:szCs w:val="17"/>
                <w:color w:val="auto"/>
              </w:rPr>
            </w:pPr>
          </w:p>
        </w:tc>
        <w:tc>
          <w:tcPr>
            <w:tcW w:w="5060" w:type="dxa"/>
            <w:vAlign w:val="bottom"/>
            <w:tcBorders>
              <w:top w:val="single" w:sz="8" w:color="auto"/>
            </w:tcBorders>
            <w:gridSpan w:val="3"/>
          </w:tcPr>
          <w:p>
            <w:pPr>
              <w:jc w:val="right"/>
              <w:ind w:right="199"/>
              <w:spacing w:after="0"/>
              <w:rPr>
                <w:sz w:val="20"/>
                <w:szCs w:val="20"/>
                <w:color w:val="auto"/>
              </w:rPr>
            </w:pPr>
            <w:r>
              <w:rPr>
                <w:rFonts w:ascii="Times New Roman" w:cs="Times New Roman" w:eastAsia="Times New Roman" w:hAnsi="Times New Roman"/>
                <w:sz w:val="16"/>
                <w:szCs w:val="16"/>
                <w:color w:val="auto"/>
              </w:rPr>
              <w:t>Southwest Gas Holdings, Inc. Common Stock, $1 Par Value</w:t>
            </w:r>
          </w:p>
        </w:tc>
        <w:tc>
          <w:tcPr>
            <w:tcW w:w="6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Borders>
              <w:top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rPr>
              <w:t>SWX</w:t>
            </w:r>
          </w:p>
        </w:tc>
        <w:tc>
          <w:tcPr>
            <w:tcW w:w="1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940" w:type="dxa"/>
            <w:vAlign w:val="bottom"/>
            <w:tcBorders>
              <w:top w:val="single" w:sz="8" w:color="auto"/>
            </w:tcBorders>
          </w:tcPr>
          <w:p>
            <w:pPr>
              <w:jc w:val="center"/>
              <w:ind w:right="763"/>
              <w:spacing w:after="0"/>
              <w:rPr>
                <w:sz w:val="20"/>
                <w:szCs w:val="20"/>
                <w:color w:val="auto"/>
              </w:rPr>
            </w:pPr>
            <w:r>
              <w:rPr>
                <w:rFonts w:ascii="Times New Roman" w:cs="Times New Roman" w:eastAsia="Times New Roman" w:hAnsi="Times New Roman"/>
                <w:sz w:val="16"/>
                <w:szCs w:val="16"/>
                <w:color w:val="auto"/>
                <w:w w:val="99"/>
              </w:rPr>
              <w:t>New York Stock Exchange</w:t>
            </w:r>
          </w:p>
        </w:tc>
        <w:tc>
          <w:tcPr>
            <w:tcW w:w="20" w:type="dxa"/>
            <w:vAlign w:val="bottom"/>
          </w:tcPr>
          <w:p>
            <w:pPr>
              <w:spacing w:after="0"/>
              <w:rPr>
                <w:sz w:val="17"/>
                <w:szCs w:val="17"/>
                <w:color w:val="auto"/>
              </w:rPr>
            </w:pPr>
          </w:p>
        </w:tc>
      </w:tr>
    </w:tbl>
    <w:p>
      <w:pPr>
        <w:spacing w:after="0" w:line="100" w:lineRule="exact"/>
        <w:rPr>
          <w:sz w:val="24"/>
          <w:szCs w:val="24"/>
          <w:color w:val="auto"/>
        </w:rPr>
      </w:pPr>
    </w:p>
    <w:p>
      <w:pPr>
        <w:ind w:right="280"/>
        <w:spacing w:after="0" w:line="260" w:lineRule="auto"/>
        <w:rPr>
          <w:sz w:val="20"/>
          <w:szCs w:val="20"/>
          <w:color w:val="auto"/>
        </w:rPr>
      </w:pPr>
      <w:r>
        <w:rPr>
          <w:rFonts w:ascii="Times New Roman" w:cs="Times New Roman" w:eastAsia="Times New Roman" w:hAnsi="Times New Roman"/>
          <w:sz w:val="16"/>
          <w:szCs w:val="16"/>
          <w:color w:val="auto"/>
        </w:rPr>
        <w:t>Indicate by check mark whether each registrant: (1) has filed all reports required to be filed by Section 13 or 15(d) of the Securities Exchange Act of 1934 during the preceding 12 months (or for such shorter period that each registrant was required to file such reports), and (2) has been subject to such filing requirements for the past 90</w:t>
      </w:r>
    </w:p>
    <w:p>
      <w:pPr>
        <w:spacing w:after="0" w:line="1" w:lineRule="exact"/>
        <w:rPr>
          <w:sz w:val="24"/>
          <w:szCs w:val="24"/>
          <w:color w:val="auto"/>
        </w:rPr>
      </w:pPr>
    </w:p>
    <w:p>
      <w:pPr>
        <w:spacing w:after="0" w:line="196" w:lineRule="exact"/>
        <w:tabs>
          <w:tab w:leader="none" w:pos="480" w:val="left"/>
          <w:tab w:leader="none" w:pos="1120" w:val="left"/>
        </w:tabs>
        <w:rPr>
          <w:sz w:val="20"/>
          <w:szCs w:val="20"/>
          <w:color w:val="auto"/>
        </w:rPr>
      </w:pPr>
      <w:r>
        <w:rPr>
          <w:rFonts w:ascii="Times New Roman" w:cs="Times New Roman" w:eastAsia="Times New Roman" w:hAnsi="Times New Roman"/>
          <w:sz w:val="16"/>
          <w:szCs w:val="16"/>
          <w:color w:val="auto"/>
        </w:rPr>
        <w:t>days.</w:t>
        <w:tab/>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7"/>
          <w:szCs w:val="17"/>
          <w:color w:val="auto"/>
        </w:rPr>
        <w:t>☐</w:t>
      </w:r>
    </w:p>
    <w:p>
      <w:pPr>
        <w:spacing w:after="0" w:line="121" w:lineRule="exact"/>
        <w:rPr>
          <w:sz w:val="24"/>
          <w:szCs w:val="24"/>
          <w:color w:val="auto"/>
        </w:rPr>
      </w:pPr>
    </w:p>
    <w:p>
      <w:pPr>
        <w:ind w:right="300"/>
        <w:spacing w:after="0" w:line="219" w:lineRule="exact"/>
        <w:rPr>
          <w:sz w:val="20"/>
          <w:szCs w:val="20"/>
          <w:color w:val="auto"/>
        </w:rPr>
      </w:pPr>
      <w:r>
        <w:rPr>
          <w:rFonts w:ascii="Times New Roman" w:cs="Times New Roman" w:eastAsia="Times New Roman" w:hAnsi="Times New Roman"/>
          <w:sz w:val="16"/>
          <w:szCs w:val="16"/>
          <w:color w:val="auto"/>
        </w:rPr>
        <w:t xml:space="preserve">Indicate by check mark whether each registrant has submitted electronically every Interactive Data File required to be submitted pursuant to Rule 405 of Regulation S-T (§232.405 of this chapter) during the preceding 12 months (or for such shorter period that each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p>
    <w:p>
      <w:pPr>
        <w:spacing w:after="0" w:line="75" w:lineRule="exact"/>
        <w:rPr>
          <w:sz w:val="24"/>
          <w:szCs w:val="24"/>
          <w:color w:val="auto"/>
        </w:rPr>
      </w:pPr>
    </w:p>
    <w:p>
      <w:pPr>
        <w:jc w:val="both"/>
        <w:ind w:right="80"/>
        <w:spacing w:after="0" w:line="272" w:lineRule="auto"/>
        <w:rPr>
          <w:sz w:val="20"/>
          <w:szCs w:val="20"/>
          <w:color w:val="auto"/>
        </w:rPr>
      </w:pPr>
      <w:r>
        <w:rPr>
          <w:rFonts w:ascii="Times New Roman" w:cs="Times New Roman" w:eastAsia="Times New Roman" w:hAnsi="Times New Roman"/>
          <w:sz w:val="16"/>
          <w:szCs w:val="16"/>
          <w:color w:val="auto"/>
        </w:rPr>
        <w:t>Indicate by check mark whether each registrant is a large accelerated filer, an accelerated filer, a non-accelerated filer, a smaller reporting company, or an emerging growth company. See the definitions of “large accelerated filer,” “accelerated filer,” “non-accelerated filer,” “smaller reporting company,” and “emerging growth company” in Rule 12b-2 of the Exchange Act.</w:t>
      </w:r>
    </w:p>
    <w:p>
      <w:pPr>
        <w:spacing w:after="0" w:line="63"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2460" w:type="dxa"/>
            <w:vAlign w:val="bottom"/>
          </w:tcPr>
          <w:p>
            <w:pPr>
              <w:spacing w:after="0"/>
              <w:rPr>
                <w:sz w:val="20"/>
                <w:szCs w:val="20"/>
                <w:color w:val="auto"/>
              </w:rPr>
            </w:pPr>
            <w:r>
              <w:rPr>
                <w:rFonts w:ascii="Times New Roman" w:cs="Times New Roman" w:eastAsia="Times New Roman" w:hAnsi="Times New Roman"/>
                <w:sz w:val="16"/>
                <w:szCs w:val="16"/>
                <w:color w:val="auto"/>
              </w:rPr>
              <w:t>Southwest Gas Holdings, Inc.:</w:t>
            </w:r>
          </w:p>
        </w:tc>
        <w:tc>
          <w:tcPr>
            <w:tcW w:w="31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364"/>
        </w:trPr>
        <w:tc>
          <w:tcPr>
            <w:tcW w:w="2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Large accelerated filer</w:t>
            </w:r>
          </w:p>
        </w:tc>
        <w:tc>
          <w:tcPr>
            <w:tcW w:w="31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4800" w:type="dxa"/>
            <w:vAlign w:val="bottom"/>
          </w:tcPr>
          <w:p>
            <w:pPr>
              <w:ind w:left="2500"/>
              <w:spacing w:after="0"/>
              <w:rPr>
                <w:sz w:val="20"/>
                <w:szCs w:val="20"/>
                <w:color w:val="auto"/>
              </w:rPr>
            </w:pPr>
            <w:r>
              <w:rPr>
                <w:rFonts w:ascii="Times New Roman" w:cs="Times New Roman" w:eastAsia="Times New Roman" w:hAnsi="Times New Roman"/>
                <w:sz w:val="16"/>
                <w:szCs w:val="16"/>
                <w:color w:val="auto"/>
              </w:rPr>
              <w:t>Accelerated filer</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Non-accelerated filer</w:t>
            </w:r>
          </w:p>
        </w:tc>
        <w:tc>
          <w:tcPr>
            <w:tcW w:w="31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4800" w:type="dxa"/>
            <w:vAlign w:val="bottom"/>
          </w:tcPr>
          <w:p>
            <w:pPr>
              <w:ind w:left="25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2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Emerging growth company</w:t>
            </w:r>
          </w:p>
        </w:tc>
        <w:tc>
          <w:tcPr>
            <w:tcW w:w="31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480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pacing w:after="0" w:line="61" w:lineRule="exact"/>
        <w:rPr>
          <w:sz w:val="24"/>
          <w:szCs w:val="24"/>
          <w:color w:val="auto"/>
        </w:rPr>
      </w:pPr>
    </w:p>
    <w:p>
      <w:pPr>
        <w:ind w:right="580"/>
        <w:spacing w:after="0" w:line="21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75"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Southwest Gas Corporation:</w:t>
            </w:r>
          </w:p>
        </w:tc>
        <w:tc>
          <w:tcPr>
            <w:tcW w:w="316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363"/>
        </w:trPr>
        <w:tc>
          <w:tcPr>
            <w:tcW w:w="2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Large accelerated filer</w:t>
            </w:r>
          </w:p>
        </w:tc>
        <w:tc>
          <w:tcPr>
            <w:tcW w:w="316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4780" w:type="dxa"/>
            <w:vAlign w:val="bottom"/>
          </w:tcPr>
          <w:p>
            <w:pPr>
              <w:ind w:left="2440"/>
              <w:spacing w:after="0"/>
              <w:rPr>
                <w:sz w:val="20"/>
                <w:szCs w:val="20"/>
                <w:color w:val="auto"/>
              </w:rPr>
            </w:pPr>
            <w:r>
              <w:rPr>
                <w:rFonts w:ascii="Times New Roman" w:cs="Times New Roman" w:eastAsia="Times New Roman" w:hAnsi="Times New Roman"/>
                <w:sz w:val="16"/>
                <w:szCs w:val="16"/>
                <w:color w:val="auto"/>
              </w:rPr>
              <w:t>Accelerated filer</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2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Non-accelerated filer</w:t>
            </w:r>
          </w:p>
        </w:tc>
        <w:tc>
          <w:tcPr>
            <w:tcW w:w="316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4780" w:type="dxa"/>
            <w:vAlign w:val="bottom"/>
          </w:tcPr>
          <w:p>
            <w:pPr>
              <w:ind w:left="24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Emerging growth company</w:t>
            </w:r>
          </w:p>
        </w:tc>
        <w:tc>
          <w:tcPr>
            <w:tcW w:w="316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478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pacing w:after="0" w:line="74" w:lineRule="exact"/>
        <w:rPr>
          <w:sz w:val="24"/>
          <w:szCs w:val="24"/>
          <w:color w:val="auto"/>
        </w:rPr>
      </w:pPr>
    </w:p>
    <w:p>
      <w:pPr>
        <w:ind w:right="580"/>
        <w:spacing w:after="0" w:line="227"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41" w:lineRule="exact"/>
        <w:rPr>
          <w:sz w:val="24"/>
          <w:szCs w:val="24"/>
          <w:color w:val="auto"/>
        </w:rPr>
      </w:pPr>
    </w:p>
    <w:p>
      <w:pPr>
        <w:spacing w:after="0" w:line="196" w:lineRule="exact"/>
        <w:tabs>
          <w:tab w:leader="none" w:pos="7600" w:val="left"/>
          <w:tab w:leader="none" w:pos="8240" w:val="left"/>
        </w:tabs>
        <w:rPr>
          <w:sz w:val="20"/>
          <w:szCs w:val="20"/>
          <w:color w:val="auto"/>
        </w:rPr>
      </w:pPr>
      <w:r>
        <w:rPr>
          <w:rFonts w:ascii="Times New Roman" w:cs="Times New Roman" w:eastAsia="Times New Roman" w:hAnsi="Times New Roman"/>
          <w:sz w:val="16"/>
          <w:szCs w:val="16"/>
          <w:color w:val="auto"/>
        </w:rPr>
        <w:t>Indicate by check mark whether each registrant is a shell company (as defined in Rule 12b-2 of the Exchange Act).</w:t>
        <w:tab/>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7"/>
          <w:szCs w:val="17"/>
          <w:color w:val="auto"/>
        </w:rPr>
        <w:t>☒</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the number of shares outstanding of each of the issuer’s classes of common stock as of the latest practicable date.</w:t>
      </w:r>
    </w:p>
    <w:p>
      <w:pPr>
        <w:spacing w:after="0" w:line="113" w:lineRule="exact"/>
        <w:rPr>
          <w:sz w:val="24"/>
          <w:szCs w:val="24"/>
          <w:color w:val="auto"/>
        </w:rPr>
      </w:pPr>
    </w:p>
    <w:p>
      <w:pPr>
        <w:ind w:left="2260"/>
        <w:spacing w:after="0"/>
        <w:rPr>
          <w:sz w:val="20"/>
          <w:szCs w:val="20"/>
          <w:color w:val="auto"/>
        </w:rPr>
      </w:pPr>
      <w:r>
        <w:rPr>
          <w:rFonts w:ascii="Times New Roman" w:cs="Times New Roman" w:eastAsia="Times New Roman" w:hAnsi="Times New Roman"/>
          <w:sz w:val="16"/>
          <w:szCs w:val="16"/>
          <w:color w:val="auto"/>
        </w:rPr>
        <w:t>Southwest Gas Holdings, Inc. Common Stock, $1 Par Value, 67,067,822 shares as of October 31, 2022.</w:t>
      </w:r>
    </w:p>
    <w:p>
      <w:pPr>
        <w:spacing w:after="0" w:line="11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All of the outstanding shares of common stock ($1 par value) of Southwest Gas Corporation were held by Southwest Gas Holdings, Inc. as of October 31, 2022.</w:t>
      </w:r>
    </w:p>
    <w:p>
      <w:pPr>
        <w:sectPr>
          <w:pgSz w:w="11900" w:h="16838" w:orient="portrait"/>
          <w:cols w:equalWidth="0" w:num="1">
            <w:col w:w="11240"/>
          </w:cols>
          <w:pgMar w:left="320" w:top="461" w:right="339" w:bottom="1440" w:gutter="0" w:footer="0" w:header="0"/>
        </w:sectPr>
      </w:pPr>
    </w:p>
    <w:p>
      <w:pPr>
        <w:spacing w:after="0" w:line="118" w:lineRule="exact"/>
        <w:rPr>
          <w:sz w:val="24"/>
          <w:szCs w:val="24"/>
          <w:color w:val="auto"/>
        </w:rPr>
      </w:pPr>
    </w:p>
    <w:p>
      <w:pPr>
        <w:spacing w:after="0" w:line="302" w:lineRule="auto"/>
        <w:rPr>
          <w:sz w:val="20"/>
          <w:szCs w:val="20"/>
          <w:color w:val="auto"/>
        </w:rPr>
      </w:pPr>
      <w:r>
        <w:rPr>
          <w:rFonts w:ascii="Times New Roman" w:cs="Times New Roman" w:eastAsia="Times New Roman" w:hAnsi="Times New Roman"/>
          <w:sz w:val="14"/>
          <w:szCs w:val="14"/>
          <w:color w:val="auto"/>
        </w:rPr>
        <w:t>SOUTHWEST GAS CORPORATION MEETS THE CONDITIONS SET FORTH IN GENERAL INSTRUCTION (H)(1)(a) and (b) OF FORM 10-Q AND IS THEREFORE FILING THIS REPORT WITH THE REDUCED DISCLOSURE FORMAT AS PERMITTED BY GENERAL INSTRUCTION H(2).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1" w:right="339" w:bottom="1440" w:gutter="0" w:footer="0" w:header="0"/>
          <w:type w:val="continuous"/>
        </w:sectPr>
      </w:pPr>
    </w:p>
    <w:bookmarkStart w:id="1" w:name="page2"/>
    <w:bookmarkEnd w:id="1"/>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30, 2022</w:t>
            </w: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FILING FORMAT</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quarterly report on Form 10-Q is a combined report being filed by two separate registrants: Southwest Gas Holdings, Inc. and Southwest Gas Corporation. Except where the content clearly indicates otherwise, any reference in the report to “we,” “us” or “our” is to the holding company or the consolidated entity of Southwest Gas Holdings, Inc. and all of its subsidiaries, including Southwest Gas Corporation, which is a distinct registrant that is a wholly owned subsidiary of Southwest Gas Holdings, Inc. Information contained herein relating to any individual company is filed by such company on its own behalf. Each company makes representations only as to itself and makes no other representation whatsoever as to any other company.</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Part I—Financial information in this Quarterly Report on Form 10-Q includes separate financial statements (i.e., balance sheets, statements of income, statements of comprehensive income, statements of cash flows, and statements of equity) for Southwest Gas Holdings, Inc. and Southwest Gas Corporation, in that order. The Notes to the Condensed Consolidated Financial Statements are presented on a combined basis for both entities. All Items other than Part I – Item 1 are combined for the reporting companies.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2" w:name="page3"/>
    <w:bookmarkEnd w:id="2"/>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30, 2022</w:t>
            </w: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PART I -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SOUTHWEST GAS HOLDINGS, INC. AND SUBSIDIARIES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(Thousands of dollars, except par value)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121"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7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September 30, 2022</w:t>
            </w:r>
          </w:p>
        </w:tc>
        <w:tc>
          <w:tcPr>
            <w:tcW w:w="160" w:type="dxa"/>
            <w:vAlign w:val="bottom"/>
          </w:tcPr>
          <w:p>
            <w:pPr>
              <w:spacing w:after="0"/>
              <w:rPr>
                <w:sz w:val="16"/>
                <w:szCs w:val="16"/>
                <w:color w:val="auto"/>
              </w:rPr>
            </w:pPr>
          </w:p>
        </w:tc>
        <w:tc>
          <w:tcPr>
            <w:tcW w:w="14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December 31, 2021</w:t>
            </w:r>
          </w:p>
        </w:tc>
        <w:tc>
          <w:tcPr>
            <w:tcW w:w="0" w:type="dxa"/>
            <w:vAlign w:val="bottom"/>
          </w:tcPr>
          <w:p>
            <w:pPr>
              <w:spacing w:after="0"/>
              <w:rPr>
                <w:sz w:val="1"/>
                <w:szCs w:val="1"/>
                <w:color w:val="auto"/>
              </w:rPr>
            </w:pPr>
          </w:p>
        </w:tc>
      </w:tr>
      <w:tr>
        <w:trPr>
          <w:trHeight w:val="23"/>
        </w:trPr>
        <w:tc>
          <w:tcPr>
            <w:tcW w:w="7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ASSETS</w:t>
            </w:r>
          </w:p>
        </w:tc>
        <w:tc>
          <w:tcPr>
            <w:tcW w:w="1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7780" w:type="dxa"/>
            <w:vAlign w:val="bottom"/>
          </w:tcPr>
          <w:p>
            <w:pPr>
              <w:spacing w:after="0"/>
              <w:rPr>
                <w:sz w:val="20"/>
                <w:szCs w:val="20"/>
                <w:color w:val="auto"/>
              </w:rPr>
            </w:pPr>
            <w:r>
              <w:rPr>
                <w:rFonts w:ascii="Times New Roman" w:cs="Times New Roman" w:eastAsia="Times New Roman" w:hAnsi="Times New Roman"/>
                <w:sz w:val="14"/>
                <w:szCs w:val="14"/>
                <w:color w:val="auto"/>
              </w:rPr>
              <w:t>Regulated operations plant:</w:t>
            </w:r>
          </w:p>
        </w:tc>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Gas plant</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11,166,691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10,789,690</w:t>
            </w:r>
          </w:p>
        </w:tc>
        <w:tc>
          <w:tcPr>
            <w:tcW w:w="0" w:type="dxa"/>
            <w:vAlign w:val="bottom"/>
          </w:tcPr>
          <w:p>
            <w:pPr>
              <w:spacing w:after="0"/>
              <w:rPr>
                <w:sz w:val="1"/>
                <w:szCs w:val="1"/>
                <w:color w:val="auto"/>
              </w:rPr>
            </w:pPr>
          </w:p>
        </w:tc>
      </w:tr>
      <w:tr>
        <w:trPr>
          <w:trHeight w:val="195"/>
        </w:trPr>
        <w:tc>
          <w:tcPr>
            <w:tcW w:w="77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Less: accumulated depreciation</w:t>
            </w: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(3,536,274)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(3,397,736)</w:t>
            </w: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Construction work in progress</w:t>
            </w:r>
          </w:p>
        </w:tc>
        <w:tc>
          <w:tcPr>
            <w:tcW w:w="1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273,662</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202,068</w:t>
            </w:r>
          </w:p>
        </w:tc>
        <w:tc>
          <w:tcPr>
            <w:tcW w:w="0" w:type="dxa"/>
            <w:vAlign w:val="bottom"/>
          </w:tcPr>
          <w:p>
            <w:pPr>
              <w:spacing w:after="0"/>
              <w:rPr>
                <w:sz w:val="1"/>
                <w:szCs w:val="1"/>
                <w:color w:val="auto"/>
              </w:rPr>
            </w:pPr>
          </w:p>
        </w:tc>
      </w:tr>
      <w:tr>
        <w:trPr>
          <w:trHeight w:val="189"/>
        </w:trPr>
        <w:tc>
          <w:tcPr>
            <w:tcW w:w="778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4"/>
                <w:szCs w:val="14"/>
                <w:color w:val="auto"/>
              </w:rPr>
              <w:t>Net regulated operations plant</w:t>
            </w: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7,904,079</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7,594,022</w:t>
            </w:r>
          </w:p>
        </w:tc>
        <w:tc>
          <w:tcPr>
            <w:tcW w:w="0" w:type="dxa"/>
            <w:vAlign w:val="bottom"/>
          </w:tcPr>
          <w:p>
            <w:pPr>
              <w:spacing w:after="0"/>
              <w:rPr>
                <w:sz w:val="1"/>
                <w:szCs w:val="1"/>
                <w:color w:val="auto"/>
              </w:rPr>
            </w:pPr>
          </w:p>
        </w:tc>
      </w:tr>
      <w:tr>
        <w:trPr>
          <w:trHeight w:val="203"/>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property and investments, net</w:t>
            </w:r>
          </w:p>
        </w:tc>
        <w:tc>
          <w:tcPr>
            <w:tcW w:w="16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1,311,334</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1,316,479</w:t>
            </w:r>
          </w:p>
        </w:tc>
        <w:tc>
          <w:tcPr>
            <w:tcW w:w="0" w:type="dxa"/>
            <w:vAlign w:val="bottom"/>
          </w:tcPr>
          <w:p>
            <w:pPr>
              <w:spacing w:after="0"/>
              <w:rPr>
                <w:sz w:val="1"/>
                <w:szCs w:val="1"/>
                <w:color w:val="auto"/>
              </w:rPr>
            </w:pPr>
          </w:p>
        </w:tc>
      </w:tr>
      <w:tr>
        <w:trPr>
          <w:trHeight w:val="175"/>
        </w:trPr>
        <w:tc>
          <w:tcPr>
            <w:tcW w:w="7780" w:type="dxa"/>
            <w:vAlign w:val="bottom"/>
          </w:tcPr>
          <w:p>
            <w:pPr>
              <w:spacing w:after="0"/>
              <w:rPr>
                <w:sz w:val="20"/>
                <w:szCs w:val="20"/>
                <w:color w:val="auto"/>
              </w:rPr>
            </w:pPr>
            <w:r>
              <w:rPr>
                <w:rFonts w:ascii="Times New Roman" w:cs="Times New Roman" w:eastAsia="Times New Roman" w:hAnsi="Times New Roman"/>
                <w:sz w:val="14"/>
                <w:szCs w:val="14"/>
                <w:color w:val="auto"/>
              </w:rPr>
              <w:t>Current assets:</w:t>
            </w:r>
          </w:p>
        </w:tc>
        <w:tc>
          <w:tcPr>
            <w:tcW w:w="1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175,272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222,697</w:t>
            </w:r>
          </w:p>
        </w:tc>
        <w:tc>
          <w:tcPr>
            <w:tcW w:w="0" w:type="dxa"/>
            <w:vAlign w:val="bottom"/>
          </w:tcPr>
          <w:p>
            <w:pPr>
              <w:spacing w:after="0"/>
              <w:rPr>
                <w:sz w:val="1"/>
                <w:szCs w:val="1"/>
                <w:color w:val="auto"/>
              </w:rPr>
            </w:pPr>
          </w:p>
        </w:tc>
      </w:tr>
      <w:tr>
        <w:trPr>
          <w:trHeight w:val="195"/>
        </w:trPr>
        <w:tc>
          <w:tcPr>
            <w:tcW w:w="77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Accounts receivable, net of allowances</w:t>
            </w:r>
          </w:p>
        </w:tc>
        <w:tc>
          <w:tcPr>
            <w:tcW w:w="160" w:type="dxa"/>
            <w:vAlign w:val="bottom"/>
          </w:tcPr>
          <w:p>
            <w:pPr>
              <w:spacing w:after="0"/>
              <w:rPr>
                <w:sz w:val="16"/>
                <w:szCs w:val="16"/>
                <w:color w:val="auto"/>
              </w:rPr>
            </w:pPr>
          </w:p>
        </w:tc>
        <w:tc>
          <w:tcPr>
            <w:tcW w:w="15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779,558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707,127</w:t>
            </w: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Accrued utility revenue</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41,300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84,900</w:t>
            </w:r>
          </w:p>
        </w:tc>
        <w:tc>
          <w:tcPr>
            <w:tcW w:w="0" w:type="dxa"/>
            <w:vAlign w:val="bottom"/>
          </w:tcPr>
          <w:p>
            <w:pPr>
              <w:spacing w:after="0"/>
              <w:rPr>
                <w:sz w:val="1"/>
                <w:szCs w:val="1"/>
                <w:color w:val="auto"/>
              </w:rPr>
            </w:pPr>
          </w:p>
        </w:tc>
      </w:tr>
      <w:tr>
        <w:trPr>
          <w:trHeight w:val="195"/>
        </w:trPr>
        <w:tc>
          <w:tcPr>
            <w:tcW w:w="77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Income taxes receivable, net</w:t>
            </w:r>
          </w:p>
        </w:tc>
        <w:tc>
          <w:tcPr>
            <w:tcW w:w="160" w:type="dxa"/>
            <w:vAlign w:val="bottom"/>
          </w:tcPr>
          <w:p>
            <w:pPr>
              <w:spacing w:after="0"/>
              <w:rPr>
                <w:sz w:val="16"/>
                <w:szCs w:val="16"/>
                <w:color w:val="auto"/>
              </w:rPr>
            </w:pPr>
          </w:p>
        </w:tc>
        <w:tc>
          <w:tcPr>
            <w:tcW w:w="15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15,580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16,816</w:t>
            </w: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Deferred purchased gas costs</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381,351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291,145</w:t>
            </w:r>
          </w:p>
        </w:tc>
        <w:tc>
          <w:tcPr>
            <w:tcW w:w="0" w:type="dxa"/>
            <w:vAlign w:val="bottom"/>
          </w:tcPr>
          <w:p>
            <w:pPr>
              <w:spacing w:after="0"/>
              <w:rPr>
                <w:sz w:val="1"/>
                <w:szCs w:val="1"/>
                <w:color w:val="auto"/>
              </w:rPr>
            </w:pPr>
          </w:p>
        </w:tc>
      </w:tr>
      <w:tr>
        <w:trPr>
          <w:trHeight w:val="196"/>
        </w:trPr>
        <w:tc>
          <w:tcPr>
            <w:tcW w:w="77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Prepaid and other current assets</w:t>
            </w: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316,578</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292,082</w:t>
            </w:r>
          </w:p>
        </w:tc>
        <w:tc>
          <w:tcPr>
            <w:tcW w:w="0" w:type="dxa"/>
            <w:vAlign w:val="bottom"/>
          </w:tcPr>
          <w:p>
            <w:pPr>
              <w:spacing w:after="0"/>
              <w:rPr>
                <w:sz w:val="1"/>
                <w:szCs w:val="1"/>
                <w:color w:val="auto"/>
              </w:rPr>
            </w:pPr>
          </w:p>
        </w:tc>
      </w:tr>
      <w:tr>
        <w:trPr>
          <w:trHeight w:val="203"/>
        </w:trPr>
        <w:tc>
          <w:tcPr>
            <w:tcW w:w="77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Total current assets</w:t>
            </w:r>
          </w:p>
        </w:tc>
        <w:tc>
          <w:tcPr>
            <w:tcW w:w="16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1,709,639</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1,614,767</w:t>
            </w:r>
          </w:p>
        </w:tc>
        <w:tc>
          <w:tcPr>
            <w:tcW w:w="0" w:type="dxa"/>
            <w:vAlign w:val="bottom"/>
          </w:tcPr>
          <w:p>
            <w:pPr>
              <w:spacing w:after="0"/>
              <w:rPr>
                <w:sz w:val="1"/>
                <w:szCs w:val="1"/>
                <w:color w:val="auto"/>
              </w:rPr>
            </w:pPr>
          </w:p>
        </w:tc>
      </w:tr>
      <w:tr>
        <w:trPr>
          <w:trHeight w:val="175"/>
        </w:trPr>
        <w:tc>
          <w:tcPr>
            <w:tcW w:w="7780" w:type="dxa"/>
            <w:vAlign w:val="bottom"/>
          </w:tcPr>
          <w:p>
            <w:pPr>
              <w:spacing w:after="0"/>
              <w:rPr>
                <w:sz w:val="20"/>
                <w:szCs w:val="20"/>
                <w:color w:val="auto"/>
              </w:rPr>
            </w:pPr>
            <w:r>
              <w:rPr>
                <w:rFonts w:ascii="Times New Roman" w:cs="Times New Roman" w:eastAsia="Times New Roman" w:hAnsi="Times New Roman"/>
                <w:sz w:val="14"/>
                <w:szCs w:val="14"/>
                <w:color w:val="auto"/>
              </w:rPr>
              <w:t>Noncurrent assets:</w:t>
            </w:r>
          </w:p>
        </w:tc>
        <w:tc>
          <w:tcPr>
            <w:tcW w:w="1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Goodwill</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1,742,967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1,781,332</w:t>
            </w:r>
          </w:p>
        </w:tc>
        <w:tc>
          <w:tcPr>
            <w:tcW w:w="0" w:type="dxa"/>
            <w:vAlign w:val="bottom"/>
          </w:tcPr>
          <w:p>
            <w:pPr>
              <w:spacing w:after="0"/>
              <w:rPr>
                <w:sz w:val="1"/>
                <w:szCs w:val="1"/>
                <w:color w:val="auto"/>
              </w:rPr>
            </w:pPr>
          </w:p>
        </w:tc>
      </w:tr>
      <w:tr>
        <w:trPr>
          <w:trHeight w:val="195"/>
        </w:trPr>
        <w:tc>
          <w:tcPr>
            <w:tcW w:w="77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Deferred income taxes</w:t>
            </w:r>
          </w:p>
        </w:tc>
        <w:tc>
          <w:tcPr>
            <w:tcW w:w="160" w:type="dxa"/>
            <w:vAlign w:val="bottom"/>
          </w:tcPr>
          <w:p>
            <w:pPr>
              <w:spacing w:after="0"/>
              <w:rPr>
                <w:sz w:val="16"/>
                <w:szCs w:val="16"/>
                <w:color w:val="auto"/>
              </w:rPr>
            </w:pPr>
          </w:p>
        </w:tc>
        <w:tc>
          <w:tcPr>
            <w:tcW w:w="15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322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Deferred charges and other assets</w:t>
            </w:r>
          </w:p>
        </w:tc>
        <w:tc>
          <w:tcPr>
            <w:tcW w:w="1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434,236</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458,536</w:t>
            </w:r>
          </w:p>
        </w:tc>
        <w:tc>
          <w:tcPr>
            <w:tcW w:w="0" w:type="dxa"/>
            <w:vAlign w:val="bottom"/>
          </w:tcPr>
          <w:p>
            <w:pPr>
              <w:spacing w:after="0"/>
              <w:rPr>
                <w:sz w:val="1"/>
                <w:szCs w:val="1"/>
                <w:color w:val="auto"/>
              </w:rPr>
            </w:pPr>
          </w:p>
        </w:tc>
      </w:tr>
      <w:tr>
        <w:trPr>
          <w:trHeight w:val="190"/>
        </w:trPr>
        <w:tc>
          <w:tcPr>
            <w:tcW w:w="778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4"/>
                <w:szCs w:val="14"/>
                <w:color w:val="auto"/>
              </w:rPr>
              <w:t>Total noncurrent assets</w:t>
            </w: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2,177,525</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2,239,989</w:t>
            </w:r>
          </w:p>
        </w:tc>
        <w:tc>
          <w:tcPr>
            <w:tcW w:w="0" w:type="dxa"/>
            <w:vAlign w:val="bottom"/>
          </w:tcPr>
          <w:p>
            <w:pPr>
              <w:spacing w:after="0"/>
              <w:rPr>
                <w:sz w:val="1"/>
                <w:szCs w:val="1"/>
                <w:color w:val="auto"/>
              </w:rPr>
            </w:pPr>
          </w:p>
        </w:tc>
      </w:tr>
      <w:tr>
        <w:trPr>
          <w:trHeight w:val="221"/>
        </w:trPr>
        <w:tc>
          <w:tcPr>
            <w:tcW w:w="7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assets</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13,102,577</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12,765,257</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CAPITALIZATION AND LIABILITIES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77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Capitalization:</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778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Common stock, $1 par (authorized - 120,000,000 shares; issued and outstanding - 67,063,730 and 60,422,081 shares)</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68,694</w:t>
            </w:r>
          </w:p>
        </w:tc>
        <w:tc>
          <w:tcPr>
            <w:tcW w:w="100" w:type="dxa"/>
            <w:vAlign w:val="bottom"/>
          </w:tcPr>
          <w:p>
            <w:pPr>
              <w:spacing w:after="0"/>
              <w:rPr>
                <w:sz w:val="17"/>
                <w:szCs w:val="17"/>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62,052</w:t>
            </w:r>
          </w:p>
        </w:tc>
        <w:tc>
          <w:tcPr>
            <w:tcW w:w="0" w:type="dxa"/>
            <w:vAlign w:val="bottom"/>
          </w:tcPr>
          <w:p>
            <w:pPr>
              <w:spacing w:after="0"/>
              <w:rPr>
                <w:sz w:val="1"/>
                <w:szCs w:val="1"/>
                <w:color w:val="auto"/>
              </w:rPr>
            </w:pPr>
          </w:p>
        </w:tc>
      </w:tr>
      <w:tr>
        <w:trPr>
          <w:trHeight w:val="23"/>
        </w:trPr>
        <w:tc>
          <w:tcPr>
            <w:tcW w:w="7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2,283,250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1,824,216</w:t>
            </w:r>
          </w:p>
        </w:tc>
        <w:tc>
          <w:tcPr>
            <w:tcW w:w="0" w:type="dxa"/>
            <w:vAlign w:val="bottom"/>
          </w:tcPr>
          <w:p>
            <w:pPr>
              <w:spacing w:after="0"/>
              <w:rPr>
                <w:sz w:val="1"/>
                <w:szCs w:val="1"/>
                <w:color w:val="auto"/>
              </w:rPr>
            </w:pPr>
          </w:p>
        </w:tc>
      </w:tr>
      <w:tr>
        <w:trPr>
          <w:trHeight w:val="195"/>
        </w:trPr>
        <w:tc>
          <w:tcPr>
            <w:tcW w:w="77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Accumulated other comprehensive loss, net</w:t>
            </w: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(50,232)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(46,761)</w:t>
            </w: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Retained earnings</w:t>
            </w:r>
          </w:p>
        </w:tc>
        <w:tc>
          <w:tcPr>
            <w:tcW w:w="1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1,111,203</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1,114,313</w:t>
            </w:r>
          </w:p>
        </w:tc>
        <w:tc>
          <w:tcPr>
            <w:tcW w:w="0" w:type="dxa"/>
            <w:vAlign w:val="bottom"/>
          </w:tcPr>
          <w:p>
            <w:pPr>
              <w:spacing w:after="0"/>
              <w:rPr>
                <w:sz w:val="1"/>
                <w:szCs w:val="1"/>
                <w:color w:val="auto"/>
              </w:rPr>
            </w:pPr>
          </w:p>
        </w:tc>
      </w:tr>
      <w:tr>
        <w:trPr>
          <w:trHeight w:val="190"/>
        </w:trPr>
        <w:tc>
          <w:tcPr>
            <w:tcW w:w="778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4"/>
                <w:szCs w:val="14"/>
                <w:color w:val="auto"/>
              </w:rPr>
              <w:t>Total equity</w:t>
            </w: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3,412,915</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2,953,820</w:t>
            </w:r>
          </w:p>
        </w:tc>
        <w:tc>
          <w:tcPr>
            <w:tcW w:w="0" w:type="dxa"/>
            <w:vAlign w:val="bottom"/>
          </w:tcPr>
          <w:p>
            <w:pPr>
              <w:spacing w:after="0"/>
              <w:rPr>
                <w:sz w:val="1"/>
                <w:szCs w:val="1"/>
                <w:color w:val="auto"/>
              </w:rPr>
            </w:pPr>
          </w:p>
        </w:tc>
      </w:tr>
      <w:tr>
        <w:trPr>
          <w:trHeight w:val="203"/>
        </w:trPr>
        <w:tc>
          <w:tcPr>
            <w:tcW w:w="7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Redeemable noncontrolling interests</w:t>
            </w: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114,692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196,717</w:t>
            </w:r>
          </w:p>
        </w:tc>
        <w:tc>
          <w:tcPr>
            <w:tcW w:w="0" w:type="dxa"/>
            <w:vAlign w:val="bottom"/>
          </w:tcPr>
          <w:p>
            <w:pPr>
              <w:spacing w:after="0"/>
              <w:rPr>
                <w:sz w:val="1"/>
                <w:szCs w:val="1"/>
                <w:color w:val="auto"/>
              </w:rPr>
            </w:pPr>
          </w:p>
        </w:tc>
      </w:tr>
      <w:tr>
        <w:trPr>
          <w:trHeight w:val="196"/>
        </w:trPr>
        <w:tc>
          <w:tcPr>
            <w:tcW w:w="77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Long-term debt, less current maturities</w:t>
            </w: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5,865,591</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4,115,684</w:t>
            </w:r>
          </w:p>
        </w:tc>
        <w:tc>
          <w:tcPr>
            <w:tcW w:w="0" w:type="dxa"/>
            <w:vAlign w:val="bottom"/>
          </w:tcPr>
          <w:p>
            <w:pPr>
              <w:spacing w:after="0"/>
              <w:rPr>
                <w:sz w:val="1"/>
                <w:szCs w:val="1"/>
                <w:color w:val="auto"/>
              </w:rPr>
            </w:pPr>
          </w:p>
        </w:tc>
      </w:tr>
      <w:tr>
        <w:trPr>
          <w:trHeight w:val="203"/>
        </w:trPr>
        <w:tc>
          <w:tcPr>
            <w:tcW w:w="77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Total capitalization</w:t>
            </w:r>
          </w:p>
        </w:tc>
        <w:tc>
          <w:tcPr>
            <w:tcW w:w="16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9,393,198</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7,266,221</w:t>
            </w:r>
          </w:p>
        </w:tc>
        <w:tc>
          <w:tcPr>
            <w:tcW w:w="0" w:type="dxa"/>
            <w:vAlign w:val="bottom"/>
          </w:tcPr>
          <w:p>
            <w:pPr>
              <w:spacing w:after="0"/>
              <w:rPr>
                <w:sz w:val="1"/>
                <w:szCs w:val="1"/>
                <w:color w:val="auto"/>
              </w:rPr>
            </w:pPr>
          </w:p>
        </w:tc>
      </w:tr>
      <w:tr>
        <w:trPr>
          <w:trHeight w:val="175"/>
        </w:trPr>
        <w:tc>
          <w:tcPr>
            <w:tcW w:w="7780" w:type="dxa"/>
            <w:vAlign w:val="bottom"/>
          </w:tcPr>
          <w:p>
            <w:pPr>
              <w:spacing w:after="0"/>
              <w:rPr>
                <w:sz w:val="20"/>
                <w:szCs w:val="20"/>
                <w:color w:val="auto"/>
              </w:rPr>
            </w:pPr>
            <w:r>
              <w:rPr>
                <w:rFonts w:ascii="Times New Roman" w:cs="Times New Roman" w:eastAsia="Times New Roman" w:hAnsi="Times New Roman"/>
                <w:sz w:val="14"/>
                <w:szCs w:val="14"/>
                <w:color w:val="auto"/>
              </w:rPr>
              <w:t>Current liabilities:</w:t>
            </w:r>
          </w:p>
        </w:tc>
        <w:tc>
          <w:tcPr>
            <w:tcW w:w="1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Current maturities of long-term debt</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41,485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297,324</w:t>
            </w:r>
          </w:p>
        </w:tc>
        <w:tc>
          <w:tcPr>
            <w:tcW w:w="0" w:type="dxa"/>
            <w:vAlign w:val="bottom"/>
          </w:tcPr>
          <w:p>
            <w:pPr>
              <w:spacing w:after="0"/>
              <w:rPr>
                <w:sz w:val="1"/>
                <w:szCs w:val="1"/>
                <w:color w:val="auto"/>
              </w:rPr>
            </w:pPr>
          </w:p>
        </w:tc>
      </w:tr>
      <w:tr>
        <w:trPr>
          <w:trHeight w:val="195"/>
        </w:trPr>
        <w:tc>
          <w:tcPr>
            <w:tcW w:w="77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Short-term debt</w:t>
            </w:r>
          </w:p>
        </w:tc>
        <w:tc>
          <w:tcPr>
            <w:tcW w:w="160" w:type="dxa"/>
            <w:vAlign w:val="bottom"/>
          </w:tcPr>
          <w:p>
            <w:pPr>
              <w:spacing w:after="0"/>
              <w:rPr>
                <w:sz w:val="16"/>
                <w:szCs w:val="16"/>
                <w:color w:val="auto"/>
              </w:rPr>
            </w:pPr>
          </w:p>
        </w:tc>
        <w:tc>
          <w:tcPr>
            <w:tcW w:w="15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381,000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1,909,000</w:t>
            </w: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Accounts payable</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308,824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353,365</w:t>
            </w:r>
          </w:p>
        </w:tc>
        <w:tc>
          <w:tcPr>
            <w:tcW w:w="0" w:type="dxa"/>
            <w:vAlign w:val="bottom"/>
          </w:tcPr>
          <w:p>
            <w:pPr>
              <w:spacing w:after="0"/>
              <w:rPr>
                <w:sz w:val="1"/>
                <w:szCs w:val="1"/>
                <w:color w:val="auto"/>
              </w:rPr>
            </w:pPr>
          </w:p>
        </w:tc>
      </w:tr>
      <w:tr>
        <w:trPr>
          <w:trHeight w:val="195"/>
        </w:trPr>
        <w:tc>
          <w:tcPr>
            <w:tcW w:w="77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Customer deposits</w:t>
            </w:r>
          </w:p>
        </w:tc>
        <w:tc>
          <w:tcPr>
            <w:tcW w:w="160" w:type="dxa"/>
            <w:vAlign w:val="bottom"/>
          </w:tcPr>
          <w:p>
            <w:pPr>
              <w:spacing w:after="0"/>
              <w:rPr>
                <w:sz w:val="16"/>
                <w:szCs w:val="16"/>
                <w:color w:val="auto"/>
              </w:rPr>
            </w:pPr>
          </w:p>
        </w:tc>
        <w:tc>
          <w:tcPr>
            <w:tcW w:w="15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55,033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59,327</w:t>
            </w: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Income taxes payable, net</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4,516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6,734</w:t>
            </w:r>
          </w:p>
        </w:tc>
        <w:tc>
          <w:tcPr>
            <w:tcW w:w="0" w:type="dxa"/>
            <w:vAlign w:val="bottom"/>
          </w:tcPr>
          <w:p>
            <w:pPr>
              <w:spacing w:after="0"/>
              <w:rPr>
                <w:sz w:val="1"/>
                <w:szCs w:val="1"/>
                <w:color w:val="auto"/>
              </w:rPr>
            </w:pPr>
          </w:p>
        </w:tc>
      </w:tr>
      <w:tr>
        <w:trPr>
          <w:trHeight w:val="195"/>
        </w:trPr>
        <w:tc>
          <w:tcPr>
            <w:tcW w:w="77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Accrued general taxes</w:t>
            </w:r>
          </w:p>
        </w:tc>
        <w:tc>
          <w:tcPr>
            <w:tcW w:w="160" w:type="dxa"/>
            <w:vAlign w:val="bottom"/>
          </w:tcPr>
          <w:p>
            <w:pPr>
              <w:spacing w:after="0"/>
              <w:rPr>
                <w:sz w:val="16"/>
                <w:szCs w:val="16"/>
                <w:color w:val="auto"/>
              </w:rPr>
            </w:pPr>
          </w:p>
        </w:tc>
        <w:tc>
          <w:tcPr>
            <w:tcW w:w="15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72,941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53,473</w:t>
            </w: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Accrued interest</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41,484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30,964</w:t>
            </w:r>
          </w:p>
        </w:tc>
        <w:tc>
          <w:tcPr>
            <w:tcW w:w="0" w:type="dxa"/>
            <w:vAlign w:val="bottom"/>
          </w:tcPr>
          <w:p>
            <w:pPr>
              <w:spacing w:after="0"/>
              <w:rPr>
                <w:sz w:val="1"/>
                <w:szCs w:val="1"/>
                <w:color w:val="auto"/>
              </w:rPr>
            </w:pPr>
          </w:p>
        </w:tc>
      </w:tr>
      <w:tr>
        <w:trPr>
          <w:trHeight w:val="195"/>
        </w:trPr>
        <w:tc>
          <w:tcPr>
            <w:tcW w:w="77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Deferred purchased gas costs</w:t>
            </w:r>
          </w:p>
        </w:tc>
        <w:tc>
          <w:tcPr>
            <w:tcW w:w="160" w:type="dxa"/>
            <w:vAlign w:val="bottom"/>
          </w:tcPr>
          <w:p>
            <w:pPr>
              <w:spacing w:after="0"/>
              <w:rPr>
                <w:sz w:val="16"/>
                <w:szCs w:val="16"/>
                <w:color w:val="auto"/>
              </w:rPr>
            </w:pPr>
          </w:p>
        </w:tc>
        <w:tc>
          <w:tcPr>
            <w:tcW w:w="15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3,742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5,736</w:t>
            </w: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1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404,703</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396,126</w:t>
            </w:r>
          </w:p>
        </w:tc>
        <w:tc>
          <w:tcPr>
            <w:tcW w:w="0" w:type="dxa"/>
            <w:vAlign w:val="bottom"/>
          </w:tcPr>
          <w:p>
            <w:pPr>
              <w:spacing w:after="0"/>
              <w:rPr>
                <w:sz w:val="1"/>
                <w:szCs w:val="1"/>
                <w:color w:val="auto"/>
              </w:rPr>
            </w:pPr>
          </w:p>
        </w:tc>
      </w:tr>
      <w:tr>
        <w:trPr>
          <w:trHeight w:val="189"/>
        </w:trPr>
        <w:tc>
          <w:tcPr>
            <w:tcW w:w="778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1,313,728</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3,112,049</w:t>
            </w:r>
          </w:p>
        </w:tc>
        <w:tc>
          <w:tcPr>
            <w:tcW w:w="0" w:type="dxa"/>
            <w:vAlign w:val="bottom"/>
          </w:tcPr>
          <w:p>
            <w:pPr>
              <w:spacing w:after="0"/>
              <w:rPr>
                <w:sz w:val="1"/>
                <w:szCs w:val="1"/>
                <w:color w:val="auto"/>
              </w:rPr>
            </w:pPr>
          </w:p>
        </w:tc>
      </w:tr>
      <w:tr>
        <w:trPr>
          <w:trHeight w:val="189"/>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Deferred income taxes and other credits:</w:t>
            </w:r>
          </w:p>
        </w:tc>
        <w:tc>
          <w:tcPr>
            <w:tcW w:w="16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7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Deferred income taxes and investment tax credits, net</w:t>
            </w:r>
          </w:p>
        </w:tc>
        <w:tc>
          <w:tcPr>
            <w:tcW w:w="160" w:type="dxa"/>
            <w:vAlign w:val="bottom"/>
          </w:tcPr>
          <w:p>
            <w:pPr>
              <w:spacing w:after="0"/>
              <w:rPr>
                <w:sz w:val="16"/>
                <w:szCs w:val="16"/>
                <w:color w:val="auto"/>
              </w:rPr>
            </w:pPr>
          </w:p>
        </w:tc>
        <w:tc>
          <w:tcPr>
            <w:tcW w:w="15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774,465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768,868</w:t>
            </w: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Accumulated removal costs</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500,052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480,583</w:t>
            </w:r>
          </w:p>
        </w:tc>
        <w:tc>
          <w:tcPr>
            <w:tcW w:w="0" w:type="dxa"/>
            <w:vAlign w:val="bottom"/>
          </w:tcPr>
          <w:p>
            <w:pPr>
              <w:spacing w:after="0"/>
              <w:rPr>
                <w:sz w:val="1"/>
                <w:szCs w:val="1"/>
                <w:color w:val="auto"/>
              </w:rPr>
            </w:pPr>
          </w:p>
        </w:tc>
      </w:tr>
      <w:tr>
        <w:trPr>
          <w:trHeight w:val="196"/>
        </w:trPr>
        <w:tc>
          <w:tcPr>
            <w:tcW w:w="77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Other deferred credits and other long-term liabilities</w:t>
            </w: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1,121,134</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1,137,536</w:t>
            </w:r>
          </w:p>
        </w:tc>
        <w:tc>
          <w:tcPr>
            <w:tcW w:w="0" w:type="dxa"/>
            <w:vAlign w:val="bottom"/>
          </w:tcPr>
          <w:p>
            <w:pPr>
              <w:spacing w:after="0"/>
              <w:rPr>
                <w:sz w:val="1"/>
                <w:szCs w:val="1"/>
                <w:color w:val="auto"/>
              </w:rPr>
            </w:pPr>
          </w:p>
        </w:tc>
      </w:tr>
      <w:tr>
        <w:trPr>
          <w:trHeight w:val="203"/>
        </w:trPr>
        <w:tc>
          <w:tcPr>
            <w:tcW w:w="77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Total deferred income taxes and other credits</w:t>
            </w:r>
          </w:p>
        </w:tc>
        <w:tc>
          <w:tcPr>
            <w:tcW w:w="16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2,395,651</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2,386,987</w:t>
            </w:r>
          </w:p>
        </w:tc>
        <w:tc>
          <w:tcPr>
            <w:tcW w:w="0" w:type="dxa"/>
            <w:vAlign w:val="bottom"/>
          </w:tcPr>
          <w:p>
            <w:pPr>
              <w:spacing w:after="0"/>
              <w:rPr>
                <w:sz w:val="1"/>
                <w:szCs w:val="1"/>
                <w:color w:val="auto"/>
              </w:rPr>
            </w:pPr>
          </w:p>
        </w:tc>
      </w:tr>
      <w:tr>
        <w:trPr>
          <w:trHeight w:val="190"/>
        </w:trPr>
        <w:tc>
          <w:tcPr>
            <w:tcW w:w="7780" w:type="dxa"/>
            <w:vAlign w:val="bottom"/>
          </w:tcPr>
          <w:p>
            <w:pPr>
              <w:spacing w:after="0"/>
              <w:rPr>
                <w:sz w:val="20"/>
                <w:szCs w:val="20"/>
                <w:color w:val="auto"/>
              </w:rPr>
            </w:pPr>
            <w:r>
              <w:rPr>
                <w:rFonts w:ascii="Times New Roman" w:cs="Times New Roman" w:eastAsia="Times New Roman" w:hAnsi="Times New Roman"/>
                <w:sz w:val="14"/>
                <w:szCs w:val="14"/>
                <w:color w:val="auto"/>
              </w:rPr>
              <w:t>Total capitalization and liabilities</w:t>
            </w: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13,102,577</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12,765,257</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ectPr>
          <w:pgSz w:w="11900" w:h="16838" w:orient="portrait"/>
          <w:cols w:equalWidth="0" w:num="1">
            <w:col w:w="11220"/>
          </w:cols>
          <w:pgMar w:left="320" w:top="257" w:right="35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57" w:right="35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29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SOUTHWEST GAS CORPORATION</w:t>
            </w: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September 30, 2022</w:t>
            </w:r>
          </w:p>
        </w:tc>
        <w:tc>
          <w:tcPr>
            <w:tcW w:w="0" w:type="dxa"/>
            <w:vAlign w:val="bottom"/>
          </w:tcPr>
          <w:p>
            <w:pPr>
              <w:spacing w:after="0"/>
              <w:rPr>
                <w:sz w:val="1"/>
                <w:szCs w:val="1"/>
                <w:color w:val="auto"/>
              </w:rPr>
            </w:pPr>
          </w:p>
        </w:tc>
      </w:tr>
      <w:tr>
        <w:trPr>
          <w:trHeight w:val="866"/>
        </w:trPr>
        <w:tc>
          <w:tcPr>
            <w:tcW w:w="6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320" w:type="dxa"/>
            <w:vAlign w:val="bottom"/>
            <w:gridSpan w:val="12"/>
          </w:tcPr>
          <w:p>
            <w:pPr>
              <w:jc w:val="center"/>
              <w:spacing w:after="0"/>
              <w:rPr>
                <w:sz w:val="20"/>
                <w:szCs w:val="20"/>
                <w:color w:val="auto"/>
              </w:rPr>
            </w:pPr>
            <w:r>
              <w:rPr>
                <w:rFonts w:ascii="Times New Roman" w:cs="Times New Roman" w:eastAsia="Times New Roman" w:hAnsi="Times New Roman"/>
                <w:sz w:val="18"/>
                <w:szCs w:val="18"/>
                <w:color w:val="auto"/>
                <w:w w:val="99"/>
              </w:rPr>
              <w:t>SOUTHWEST GAS HOLDINGS, INC. AND SUBSIDIARIES</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320" w:type="dxa"/>
            <w:vAlign w:val="bottom"/>
            <w:gridSpan w:val="12"/>
          </w:tcPr>
          <w:p>
            <w:pPr>
              <w:jc w:val="center"/>
              <w:spacing w:after="0"/>
              <w:rPr>
                <w:sz w:val="20"/>
                <w:szCs w:val="20"/>
                <w:color w:val="auto"/>
              </w:rPr>
            </w:pPr>
            <w:r>
              <w:rPr>
                <w:rFonts w:ascii="Times New Roman" w:cs="Times New Roman" w:eastAsia="Times New Roman" w:hAnsi="Times New Roman"/>
                <w:sz w:val="18"/>
                <w:szCs w:val="18"/>
                <w:color w:val="auto"/>
                <w:w w:val="98"/>
              </w:rPr>
              <w:t>CONDENSED CONSOLIDATED STATEMENTS OF INCOME</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20" w:type="dxa"/>
            <w:vAlign w:val="bottom"/>
            <w:gridSpan w:val="8"/>
          </w:tcPr>
          <w:p>
            <w:pPr>
              <w:jc w:val="center"/>
              <w:ind w:left="159"/>
              <w:spacing w:after="0"/>
              <w:rPr>
                <w:sz w:val="20"/>
                <w:szCs w:val="20"/>
                <w:color w:val="auto"/>
              </w:rPr>
            </w:pPr>
            <w:r>
              <w:rPr>
                <w:rFonts w:ascii="Times New Roman" w:cs="Times New Roman" w:eastAsia="Times New Roman" w:hAnsi="Times New Roman"/>
                <w:sz w:val="18"/>
                <w:szCs w:val="18"/>
                <w:color w:val="auto"/>
                <w:w w:val="99"/>
              </w:rPr>
              <w:t>(In thousands, except per share amounts)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4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color w:val="auto"/>
              </w:rPr>
              <w:t>(Unaudited)</w:t>
            </w: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6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40" w:type="dxa"/>
            <w:vAlign w:val="bottom"/>
            <w:gridSpan w:val="5"/>
          </w:tcPr>
          <w:p>
            <w:pPr>
              <w:ind w:left="240"/>
              <w:spacing w:after="0"/>
              <w:rPr>
                <w:sz w:val="20"/>
                <w:szCs w:val="20"/>
                <w:color w:val="auto"/>
              </w:rPr>
            </w:pPr>
            <w:r>
              <w:rPr>
                <w:rFonts w:ascii="Times New Roman" w:cs="Times New Roman" w:eastAsia="Times New Roman" w:hAnsi="Times New Roman"/>
                <w:sz w:val="14"/>
                <w:szCs w:val="14"/>
                <w:color w:val="auto"/>
              </w:rPr>
              <w:t>Three Months Ended</w:t>
            </w:r>
          </w:p>
        </w:tc>
        <w:tc>
          <w:tcPr>
            <w:tcW w:w="360" w:type="dxa"/>
            <w:vAlign w:val="bottom"/>
          </w:tcPr>
          <w:p>
            <w:pPr>
              <w:spacing w:after="0"/>
              <w:rPr>
                <w:sz w:val="22"/>
                <w:szCs w:val="22"/>
                <w:color w:val="auto"/>
              </w:rPr>
            </w:pPr>
          </w:p>
        </w:tc>
        <w:tc>
          <w:tcPr>
            <w:tcW w:w="1940" w:type="dxa"/>
            <w:vAlign w:val="bottom"/>
            <w:gridSpan w:val="5"/>
          </w:tcPr>
          <w:p>
            <w:pPr>
              <w:ind w:left="160"/>
              <w:spacing w:after="0"/>
              <w:rPr>
                <w:sz w:val="20"/>
                <w:szCs w:val="20"/>
                <w:color w:val="auto"/>
              </w:rPr>
            </w:pPr>
            <w:r>
              <w:rPr>
                <w:rFonts w:ascii="Times New Roman" w:cs="Times New Roman" w:eastAsia="Times New Roman" w:hAnsi="Times New Roman"/>
                <w:sz w:val="14"/>
                <w:szCs w:val="14"/>
                <w:color w:val="auto"/>
              </w:rPr>
              <w:t>Nine Months Ended</w:t>
            </w:r>
          </w:p>
        </w:tc>
        <w:tc>
          <w:tcPr>
            <w:tcW w:w="220" w:type="dxa"/>
            <w:vAlign w:val="bottom"/>
          </w:tcPr>
          <w:p>
            <w:pPr>
              <w:spacing w:after="0"/>
              <w:rPr>
                <w:sz w:val="22"/>
                <w:szCs w:val="22"/>
                <w:color w:val="auto"/>
              </w:rPr>
            </w:pPr>
          </w:p>
        </w:tc>
        <w:tc>
          <w:tcPr>
            <w:tcW w:w="1960" w:type="dxa"/>
            <w:vAlign w:val="bottom"/>
            <w:gridSpan w:val="4"/>
          </w:tcPr>
          <w:p>
            <w:pPr>
              <w:ind w:left="220"/>
              <w:spacing w:after="0"/>
              <w:rPr>
                <w:sz w:val="20"/>
                <w:szCs w:val="20"/>
                <w:color w:val="auto"/>
              </w:rPr>
            </w:pPr>
            <w:r>
              <w:rPr>
                <w:rFonts w:ascii="Times New Roman" w:cs="Times New Roman" w:eastAsia="Times New Roman" w:hAnsi="Times New Roman"/>
                <w:sz w:val="14"/>
                <w:szCs w:val="14"/>
                <w:color w:val="auto"/>
              </w:rPr>
              <w:t>Twelve Months Ended</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September 30,</w:t>
            </w:r>
          </w:p>
        </w:tc>
        <w:tc>
          <w:tcPr>
            <w:tcW w:w="6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September 30,</w:t>
            </w:r>
          </w:p>
        </w:tc>
        <w:tc>
          <w:tcPr>
            <w:tcW w:w="6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4"/>
          </w:tcPr>
          <w:p>
            <w:pPr>
              <w:jc w:val="right"/>
              <w:ind w:right="607"/>
              <w:spacing w:after="0"/>
              <w:rPr>
                <w:sz w:val="20"/>
                <w:szCs w:val="20"/>
                <w:color w:val="auto"/>
              </w:rPr>
            </w:pPr>
            <w:r>
              <w:rPr>
                <w:rFonts w:ascii="Times New Roman" w:cs="Times New Roman" w:eastAsia="Times New Roman" w:hAnsi="Times New Roman"/>
                <w:sz w:val="14"/>
                <w:szCs w:val="14"/>
                <w:color w:val="auto"/>
              </w:rPr>
              <w:t>September 30,</w:t>
            </w:r>
          </w:p>
        </w:tc>
        <w:tc>
          <w:tcPr>
            <w:tcW w:w="0" w:type="dxa"/>
            <w:vAlign w:val="bottom"/>
          </w:tcPr>
          <w:p>
            <w:pPr>
              <w:spacing w:after="0"/>
              <w:rPr>
                <w:sz w:val="1"/>
                <w:szCs w:val="1"/>
                <w:color w:val="auto"/>
              </w:rPr>
            </w:pPr>
          </w:p>
        </w:tc>
      </w:tr>
      <w:tr>
        <w:trPr>
          <w:trHeight w:val="196"/>
        </w:trPr>
        <w:tc>
          <w:tcPr>
            <w:tcW w:w="60" w:type="dxa"/>
            <w:vAlign w:val="bottom"/>
            <w:tcBorders>
              <w:bottom w:val="single" w:sz="8" w:color="CCEEFF"/>
            </w:tcBorders>
          </w:tcPr>
          <w:p>
            <w:pPr>
              <w:spacing w:after="0"/>
              <w:rPr>
                <w:sz w:val="17"/>
                <w:szCs w:val="17"/>
                <w:color w:val="auto"/>
              </w:rPr>
            </w:pPr>
          </w:p>
        </w:tc>
        <w:tc>
          <w:tcPr>
            <w:tcW w:w="28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40" w:type="dxa"/>
            <w:vAlign w:val="bottom"/>
            <w:tcBorders>
              <w:bottom w:val="single" w:sz="8" w:color="CCEEFF"/>
            </w:tcBorders>
          </w:tcPr>
          <w:p>
            <w:pPr>
              <w:spacing w:after="0"/>
              <w:rPr>
                <w:sz w:val="17"/>
                <w:szCs w:val="17"/>
                <w:color w:val="auto"/>
              </w:rPr>
            </w:pPr>
          </w:p>
        </w:tc>
        <w:tc>
          <w:tcPr>
            <w:tcW w:w="5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07"/>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color w:val="auto"/>
                <w:w w:val="99"/>
              </w:rPr>
              <w:t>2021</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color w:val="auto"/>
                <w:w w:val="99"/>
              </w:rPr>
              <w:t>2022</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color w:val="auto"/>
                <w:w w:val="92"/>
              </w:rPr>
              <w:t>2021</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07"/>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07"/>
              <w:spacing w:after="0"/>
              <w:rPr>
                <w:sz w:val="20"/>
                <w:szCs w:val="20"/>
                <w:color w:val="auto"/>
              </w:rPr>
            </w:pPr>
            <w:r>
              <w:rPr>
                <w:rFonts w:ascii="Times New Roman" w:cs="Times New Roman" w:eastAsia="Times New Roman" w:hAnsi="Times New Roman"/>
                <w:sz w:val="14"/>
                <w:szCs w:val="14"/>
                <w:color w:val="auto"/>
              </w:rPr>
              <w:t>2021</w:t>
            </w:r>
          </w:p>
        </w:tc>
        <w:tc>
          <w:tcPr>
            <w:tcW w:w="0" w:type="dxa"/>
            <w:vAlign w:val="bottom"/>
          </w:tcPr>
          <w:p>
            <w:pPr>
              <w:spacing w:after="0"/>
              <w:rPr>
                <w:sz w:val="1"/>
                <w:szCs w:val="1"/>
                <w:color w:val="auto"/>
              </w:rPr>
            </w:pPr>
          </w:p>
        </w:tc>
      </w:tr>
      <w:tr>
        <w:trPr>
          <w:trHeight w:val="189"/>
        </w:trPr>
        <w:tc>
          <w:tcPr>
            <w:tcW w:w="39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revenues:</w:t>
            </w:r>
          </w:p>
        </w:tc>
        <w:tc>
          <w:tcPr>
            <w:tcW w:w="5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0" w:type="dxa"/>
            <w:vAlign w:val="bottom"/>
          </w:tcPr>
          <w:p>
            <w:pPr>
              <w:spacing w:after="0"/>
              <w:rPr>
                <w:sz w:val="16"/>
                <w:szCs w:val="16"/>
                <w:color w:val="auto"/>
              </w:rPr>
            </w:pPr>
          </w:p>
        </w:tc>
        <w:tc>
          <w:tcPr>
            <w:tcW w:w="3840" w:type="dxa"/>
            <w:vAlign w:val="bottom"/>
            <w:gridSpan w:val="3"/>
          </w:tcPr>
          <w:p>
            <w:pPr>
              <w:ind w:left="300"/>
              <w:spacing w:after="0"/>
              <w:rPr>
                <w:sz w:val="20"/>
                <w:szCs w:val="20"/>
                <w:color w:val="auto"/>
              </w:rPr>
            </w:pPr>
            <w:r>
              <w:rPr>
                <w:rFonts w:ascii="Times New Roman" w:cs="Times New Roman" w:eastAsia="Times New Roman" w:hAnsi="Times New Roman"/>
                <w:sz w:val="14"/>
                <w:szCs w:val="14"/>
                <w:color w:val="auto"/>
              </w:rPr>
              <w:t>Regulated operations revenues</w:t>
            </w:r>
          </w:p>
        </w:tc>
        <w:tc>
          <w:tcPr>
            <w:tcW w:w="82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367,122</w:t>
            </w:r>
          </w:p>
        </w:tc>
        <w:tc>
          <w:tcPr>
            <w:tcW w:w="10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255,848</w:t>
            </w:r>
          </w:p>
        </w:tc>
        <w:tc>
          <w:tcPr>
            <w:tcW w:w="120" w:type="dxa"/>
            <w:vAlign w:val="bottom"/>
          </w:tcPr>
          <w:p>
            <w:pPr>
              <w:spacing w:after="0"/>
              <w:rPr>
                <w:sz w:val="16"/>
                <w:szCs w:val="16"/>
                <w:color w:val="auto"/>
              </w:rPr>
            </w:pPr>
          </w:p>
        </w:tc>
        <w:tc>
          <w:tcPr>
            <w:tcW w:w="36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1,550,684</w:t>
            </w:r>
          </w:p>
        </w:tc>
        <w:tc>
          <w:tcPr>
            <w:tcW w:w="100" w:type="dxa"/>
            <w:vAlign w:val="bottom"/>
          </w:tcPr>
          <w:p>
            <w:pPr>
              <w:spacing w:after="0"/>
              <w:rPr>
                <w:sz w:val="16"/>
                <w:szCs w:val="16"/>
                <w:color w:val="auto"/>
              </w:rPr>
            </w:pPr>
          </w:p>
        </w:tc>
        <w:tc>
          <w:tcPr>
            <w:tcW w:w="38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1,070,576</w:t>
            </w:r>
          </w:p>
        </w:tc>
        <w:tc>
          <w:tcPr>
            <w:tcW w:w="12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ind w:right="7"/>
              <w:spacing w:after="0"/>
              <w:rPr>
                <w:sz w:val="20"/>
                <w:szCs w:val="20"/>
                <w:color w:val="auto"/>
              </w:rPr>
            </w:pPr>
            <w:r>
              <w:rPr>
                <w:rFonts w:ascii="Times New Roman" w:cs="Times New Roman" w:eastAsia="Times New Roman" w:hAnsi="Times New Roman"/>
                <w:sz w:val="14"/>
                <w:szCs w:val="14"/>
                <w:color w:val="auto"/>
              </w:rPr>
              <w:t>2,001,898</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1,445,066</w:t>
            </w:r>
          </w:p>
        </w:tc>
        <w:tc>
          <w:tcPr>
            <w:tcW w:w="0" w:type="dxa"/>
            <w:vAlign w:val="bottom"/>
          </w:tcPr>
          <w:p>
            <w:pPr>
              <w:spacing w:after="0"/>
              <w:rPr>
                <w:sz w:val="1"/>
                <w:szCs w:val="1"/>
                <w:color w:val="auto"/>
              </w:rPr>
            </w:pPr>
          </w:p>
        </w:tc>
      </w:tr>
      <w:tr>
        <w:trPr>
          <w:trHeight w:val="210"/>
        </w:trPr>
        <w:tc>
          <w:tcPr>
            <w:tcW w:w="60" w:type="dxa"/>
            <w:vAlign w:val="bottom"/>
            <w:shd w:val="clear" w:color="auto" w:fill="CCEEFF"/>
          </w:tcPr>
          <w:p>
            <w:pPr>
              <w:spacing w:after="0"/>
              <w:rPr>
                <w:sz w:val="18"/>
                <w:szCs w:val="18"/>
                <w:color w:val="auto"/>
              </w:rPr>
            </w:pPr>
          </w:p>
        </w:tc>
        <w:tc>
          <w:tcPr>
            <w:tcW w:w="384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Utility infrastructure services revenues</w:t>
            </w:r>
          </w:p>
        </w:tc>
        <w:tc>
          <w:tcPr>
            <w:tcW w:w="5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758,466</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632,848</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1,988,433</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1,525,448</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4"/>
                <w:szCs w:val="14"/>
                <w:color w:val="auto"/>
              </w:rPr>
              <w:t>2,621,646</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2,065,038</w:t>
            </w:r>
          </w:p>
        </w:tc>
        <w:tc>
          <w:tcPr>
            <w:tcW w:w="0" w:type="dxa"/>
            <w:vAlign w:val="bottom"/>
          </w:tcPr>
          <w:p>
            <w:pPr>
              <w:spacing w:after="0"/>
              <w:rPr>
                <w:sz w:val="1"/>
                <w:szCs w:val="1"/>
                <w:color w:val="auto"/>
              </w:rPr>
            </w:pPr>
          </w:p>
        </w:tc>
      </w:tr>
      <w:tr>
        <w:trPr>
          <w:trHeight w:val="190"/>
        </w:trPr>
        <w:tc>
          <w:tcPr>
            <w:tcW w:w="60" w:type="dxa"/>
            <w:vAlign w:val="bottom"/>
            <w:tcBorders>
              <w:bottom w:val="single" w:sz="8" w:color="CCEEFF"/>
            </w:tcBorders>
          </w:tcPr>
          <w:p>
            <w:pPr>
              <w:spacing w:after="0"/>
              <w:rPr>
                <w:sz w:val="16"/>
                <w:szCs w:val="16"/>
                <w:color w:val="auto"/>
              </w:rPr>
            </w:pPr>
          </w:p>
        </w:tc>
        <w:tc>
          <w:tcPr>
            <w:tcW w:w="3840" w:type="dxa"/>
            <w:vAlign w:val="bottom"/>
            <w:tcBorders>
              <w:bottom w:val="single" w:sz="8" w:color="CCEEFF"/>
            </w:tcBorders>
            <w:gridSpan w:val="3"/>
          </w:tcPr>
          <w:p>
            <w:pPr>
              <w:ind w:left="620"/>
              <w:spacing w:after="0"/>
              <w:rPr>
                <w:sz w:val="20"/>
                <w:szCs w:val="20"/>
                <w:color w:val="auto"/>
              </w:rPr>
            </w:pPr>
            <w:r>
              <w:rPr>
                <w:rFonts w:ascii="Times New Roman" w:cs="Times New Roman" w:eastAsia="Times New Roman" w:hAnsi="Times New Roman"/>
                <w:sz w:val="14"/>
                <w:szCs w:val="14"/>
                <w:color w:val="auto"/>
              </w:rPr>
              <w:t>Total operating revenues</w:t>
            </w:r>
          </w:p>
        </w:tc>
        <w:tc>
          <w:tcPr>
            <w:tcW w:w="5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1,125,588</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888,696</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3,539,117</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2,596,024</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4"/>
                <w:szCs w:val="14"/>
                <w:color w:val="auto"/>
              </w:rPr>
              <w:t>4,623,544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3,510,104</w:t>
            </w:r>
          </w:p>
        </w:tc>
        <w:tc>
          <w:tcPr>
            <w:tcW w:w="0" w:type="dxa"/>
            <w:vAlign w:val="bottom"/>
          </w:tcPr>
          <w:p>
            <w:pPr>
              <w:spacing w:after="0"/>
              <w:rPr>
                <w:sz w:val="1"/>
                <w:szCs w:val="1"/>
                <w:color w:val="auto"/>
              </w:rPr>
            </w:pPr>
          </w:p>
        </w:tc>
      </w:tr>
      <w:tr>
        <w:trPr>
          <w:trHeight w:val="189"/>
        </w:trPr>
        <w:tc>
          <w:tcPr>
            <w:tcW w:w="39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5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0" w:type="dxa"/>
            <w:vAlign w:val="bottom"/>
          </w:tcPr>
          <w:p>
            <w:pPr>
              <w:spacing w:after="0"/>
              <w:rPr>
                <w:sz w:val="16"/>
                <w:szCs w:val="16"/>
                <w:color w:val="auto"/>
              </w:rPr>
            </w:pPr>
          </w:p>
        </w:tc>
        <w:tc>
          <w:tcPr>
            <w:tcW w:w="3840" w:type="dxa"/>
            <w:vAlign w:val="bottom"/>
            <w:gridSpan w:val="3"/>
          </w:tcPr>
          <w:p>
            <w:pPr>
              <w:ind w:left="300"/>
              <w:spacing w:after="0"/>
              <w:rPr>
                <w:sz w:val="20"/>
                <w:szCs w:val="20"/>
                <w:color w:val="auto"/>
              </w:rPr>
            </w:pPr>
            <w:r>
              <w:rPr>
                <w:rFonts w:ascii="Times New Roman" w:cs="Times New Roman" w:eastAsia="Times New Roman" w:hAnsi="Times New Roman"/>
                <w:sz w:val="14"/>
                <w:szCs w:val="14"/>
                <w:color w:val="auto"/>
              </w:rPr>
              <w:t>Net cost of gas sold</w:t>
            </w: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100,991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63,710</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547,769</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296,227</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7"/>
              <w:spacing w:after="0"/>
              <w:rPr>
                <w:sz w:val="20"/>
                <w:szCs w:val="20"/>
                <w:color w:val="auto"/>
              </w:rPr>
            </w:pPr>
            <w:r>
              <w:rPr>
                <w:rFonts w:ascii="Times New Roman" w:cs="Times New Roman" w:eastAsia="Times New Roman" w:hAnsi="Times New Roman"/>
                <w:sz w:val="14"/>
                <w:szCs w:val="14"/>
                <w:color w:val="auto"/>
              </w:rPr>
              <w:t>682,449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374,449</w:t>
            </w:r>
          </w:p>
        </w:tc>
        <w:tc>
          <w:tcPr>
            <w:tcW w:w="0" w:type="dxa"/>
            <w:vAlign w:val="bottom"/>
          </w:tcPr>
          <w:p>
            <w:pPr>
              <w:spacing w:after="0"/>
              <w:rPr>
                <w:sz w:val="1"/>
                <w:szCs w:val="1"/>
                <w:color w:val="auto"/>
              </w:rPr>
            </w:pPr>
          </w:p>
        </w:tc>
      </w:tr>
      <w:tr>
        <w:trPr>
          <w:trHeight w:val="210"/>
        </w:trPr>
        <w:tc>
          <w:tcPr>
            <w:tcW w:w="60" w:type="dxa"/>
            <w:vAlign w:val="bottom"/>
            <w:shd w:val="clear" w:color="auto" w:fill="CCEEFF"/>
          </w:tcPr>
          <w:p>
            <w:pPr>
              <w:spacing w:after="0"/>
              <w:rPr>
                <w:sz w:val="18"/>
                <w:szCs w:val="18"/>
                <w:color w:val="auto"/>
              </w:rPr>
            </w:pPr>
          </w:p>
        </w:tc>
        <w:tc>
          <w:tcPr>
            <w:tcW w:w="384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Operations and maintenance</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154,236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122,927</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479,330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334,450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4"/>
                <w:szCs w:val="14"/>
                <w:color w:val="auto"/>
              </w:rPr>
              <w:t>618,026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437,602</w:t>
            </w:r>
          </w:p>
        </w:tc>
        <w:tc>
          <w:tcPr>
            <w:tcW w:w="0" w:type="dxa"/>
            <w:vAlign w:val="bottom"/>
          </w:tcPr>
          <w:p>
            <w:pPr>
              <w:spacing w:after="0"/>
              <w:rPr>
                <w:sz w:val="1"/>
                <w:szCs w:val="1"/>
                <w:color w:val="auto"/>
              </w:rPr>
            </w:pPr>
          </w:p>
        </w:tc>
      </w:tr>
      <w:tr>
        <w:trPr>
          <w:trHeight w:val="195"/>
        </w:trPr>
        <w:tc>
          <w:tcPr>
            <w:tcW w:w="60" w:type="dxa"/>
            <w:vAlign w:val="bottom"/>
          </w:tcPr>
          <w:p>
            <w:pPr>
              <w:spacing w:after="0"/>
              <w:rPr>
                <w:sz w:val="16"/>
                <w:szCs w:val="16"/>
                <w:color w:val="auto"/>
              </w:rPr>
            </w:pPr>
          </w:p>
        </w:tc>
        <w:tc>
          <w:tcPr>
            <w:tcW w:w="3840" w:type="dxa"/>
            <w:vAlign w:val="bottom"/>
            <w:gridSpan w:val="3"/>
          </w:tcPr>
          <w:p>
            <w:pPr>
              <w:ind w:left="30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116,933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91,380</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347,589</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267,670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7"/>
              <w:spacing w:after="0"/>
              <w:rPr>
                <w:sz w:val="20"/>
                <w:szCs w:val="20"/>
                <w:color w:val="auto"/>
              </w:rPr>
            </w:pPr>
            <w:r>
              <w:rPr>
                <w:rFonts w:ascii="Times New Roman" w:cs="Times New Roman" w:eastAsia="Times New Roman" w:hAnsi="Times New Roman"/>
                <w:sz w:val="14"/>
                <w:szCs w:val="14"/>
                <w:color w:val="auto"/>
              </w:rPr>
              <w:t>450,960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354,688</w:t>
            </w:r>
          </w:p>
        </w:tc>
        <w:tc>
          <w:tcPr>
            <w:tcW w:w="0" w:type="dxa"/>
            <w:vAlign w:val="bottom"/>
          </w:tcPr>
          <w:p>
            <w:pPr>
              <w:spacing w:after="0"/>
              <w:rPr>
                <w:sz w:val="1"/>
                <w:szCs w:val="1"/>
                <w:color w:val="auto"/>
              </w:rPr>
            </w:pPr>
          </w:p>
        </w:tc>
      </w:tr>
      <w:tr>
        <w:trPr>
          <w:trHeight w:val="210"/>
        </w:trPr>
        <w:tc>
          <w:tcPr>
            <w:tcW w:w="60" w:type="dxa"/>
            <w:vAlign w:val="bottom"/>
            <w:shd w:val="clear" w:color="auto" w:fill="CCEEFF"/>
          </w:tcPr>
          <w:p>
            <w:pPr>
              <w:spacing w:after="0"/>
              <w:rPr>
                <w:sz w:val="18"/>
                <w:szCs w:val="18"/>
                <w:color w:val="auto"/>
              </w:rPr>
            </w:pPr>
          </w:p>
        </w:tc>
        <w:tc>
          <w:tcPr>
            <w:tcW w:w="384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Taxes other than income taxes</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23,356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20,109</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70,778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60,134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4"/>
                <w:szCs w:val="14"/>
                <w:color w:val="auto"/>
              </w:rPr>
              <w:t>90,987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76,087</w:t>
            </w:r>
          </w:p>
        </w:tc>
        <w:tc>
          <w:tcPr>
            <w:tcW w:w="0" w:type="dxa"/>
            <w:vAlign w:val="bottom"/>
          </w:tcPr>
          <w:p>
            <w:pPr>
              <w:spacing w:after="0"/>
              <w:rPr>
                <w:sz w:val="1"/>
                <w:szCs w:val="1"/>
                <w:color w:val="auto"/>
              </w:rPr>
            </w:pPr>
          </w:p>
        </w:tc>
      </w:tr>
      <w:tr>
        <w:trPr>
          <w:trHeight w:val="196"/>
        </w:trPr>
        <w:tc>
          <w:tcPr>
            <w:tcW w:w="60" w:type="dxa"/>
            <w:vAlign w:val="bottom"/>
            <w:tcBorders>
              <w:bottom w:val="single" w:sz="8" w:color="CCEEFF"/>
            </w:tcBorders>
          </w:tcPr>
          <w:p>
            <w:pPr>
              <w:spacing w:after="0"/>
              <w:rPr>
                <w:sz w:val="17"/>
                <w:szCs w:val="17"/>
                <w:color w:val="auto"/>
              </w:rPr>
            </w:pPr>
          </w:p>
        </w:tc>
        <w:tc>
          <w:tcPr>
            <w:tcW w:w="3840" w:type="dxa"/>
            <w:vAlign w:val="bottom"/>
            <w:tcBorders>
              <w:bottom w:val="single" w:sz="8" w:color="CCEEFF"/>
            </w:tcBorders>
            <w:gridSpan w:val="3"/>
          </w:tcPr>
          <w:p>
            <w:pPr>
              <w:ind w:left="300"/>
              <w:spacing w:after="0"/>
              <w:rPr>
                <w:sz w:val="20"/>
                <w:szCs w:val="20"/>
                <w:color w:val="auto"/>
              </w:rPr>
            </w:pPr>
            <w:r>
              <w:rPr>
                <w:rFonts w:ascii="Times New Roman" w:cs="Times New Roman" w:eastAsia="Times New Roman" w:hAnsi="Times New Roman"/>
                <w:sz w:val="14"/>
                <w:szCs w:val="14"/>
                <w:color w:val="auto"/>
              </w:rPr>
              <w:t>Utility infrastructure services expenses</w:t>
            </w:r>
          </w:p>
        </w:tc>
        <w:tc>
          <w:tcPr>
            <w:tcW w:w="5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680,135</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567,270</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1,829,560</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1,381,524</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4"/>
                <w:szCs w:val="14"/>
                <w:color w:val="auto"/>
              </w:rPr>
              <w:t>2,403,503</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1,858,464</w:t>
            </w:r>
          </w:p>
        </w:tc>
        <w:tc>
          <w:tcPr>
            <w:tcW w:w="0" w:type="dxa"/>
            <w:vAlign w:val="bottom"/>
          </w:tcPr>
          <w:p>
            <w:pPr>
              <w:spacing w:after="0"/>
              <w:rPr>
                <w:sz w:val="1"/>
                <w:szCs w:val="1"/>
                <w:color w:val="auto"/>
              </w:rPr>
            </w:pPr>
          </w:p>
        </w:tc>
      </w:tr>
      <w:tr>
        <w:trPr>
          <w:trHeight w:val="203"/>
        </w:trPr>
        <w:tc>
          <w:tcPr>
            <w:tcW w:w="60" w:type="dxa"/>
            <w:vAlign w:val="bottom"/>
            <w:shd w:val="clear" w:color="auto" w:fill="CCEEFF"/>
          </w:tcPr>
          <w:p>
            <w:pPr>
              <w:spacing w:after="0"/>
              <w:rPr>
                <w:sz w:val="17"/>
                <w:szCs w:val="17"/>
                <w:color w:val="auto"/>
              </w:rPr>
            </w:pPr>
          </w:p>
        </w:tc>
        <w:tc>
          <w:tcPr>
            <w:tcW w:w="384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Total operating expenses</w:t>
            </w:r>
          </w:p>
        </w:tc>
        <w:tc>
          <w:tcPr>
            <w:tcW w:w="5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1,075,651</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865,396</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3,275,026</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2,340,005</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4"/>
                <w:szCs w:val="14"/>
                <w:color w:val="auto"/>
              </w:rPr>
              <w:t>4,245,925</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3,101,290</w:t>
            </w:r>
          </w:p>
        </w:tc>
        <w:tc>
          <w:tcPr>
            <w:tcW w:w="0" w:type="dxa"/>
            <w:vAlign w:val="bottom"/>
          </w:tcPr>
          <w:p>
            <w:pPr>
              <w:spacing w:after="0"/>
              <w:rPr>
                <w:sz w:val="1"/>
                <w:szCs w:val="1"/>
                <w:color w:val="auto"/>
              </w:rPr>
            </w:pPr>
          </w:p>
        </w:tc>
      </w:tr>
      <w:tr>
        <w:trPr>
          <w:trHeight w:val="189"/>
        </w:trPr>
        <w:tc>
          <w:tcPr>
            <w:tcW w:w="390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4"/>
                <w:szCs w:val="14"/>
                <w:color w:val="auto"/>
              </w:rPr>
              <w:t>Operating income</w:t>
            </w:r>
          </w:p>
        </w:tc>
        <w:tc>
          <w:tcPr>
            <w:tcW w:w="5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49,937</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23,300</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264,091</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256,019</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4"/>
                <w:szCs w:val="14"/>
                <w:color w:val="auto"/>
              </w:rPr>
              <w:t>377,619</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408,814</w:t>
            </w:r>
          </w:p>
        </w:tc>
        <w:tc>
          <w:tcPr>
            <w:tcW w:w="0" w:type="dxa"/>
            <w:vAlign w:val="bottom"/>
          </w:tcPr>
          <w:p>
            <w:pPr>
              <w:spacing w:after="0"/>
              <w:rPr>
                <w:sz w:val="1"/>
                <w:szCs w:val="1"/>
                <w:color w:val="auto"/>
              </w:rPr>
            </w:pPr>
          </w:p>
        </w:tc>
      </w:tr>
      <w:tr>
        <w:trPr>
          <w:trHeight w:val="189"/>
        </w:trPr>
        <w:tc>
          <w:tcPr>
            <w:tcW w:w="39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income and (expenses):</w:t>
            </w:r>
          </w:p>
        </w:tc>
        <w:tc>
          <w:tcPr>
            <w:tcW w:w="5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0" w:type="dxa"/>
            <w:vAlign w:val="bottom"/>
          </w:tcPr>
          <w:p>
            <w:pPr>
              <w:spacing w:after="0"/>
              <w:rPr>
                <w:sz w:val="16"/>
                <w:szCs w:val="16"/>
                <w:color w:val="auto"/>
              </w:rPr>
            </w:pPr>
          </w:p>
        </w:tc>
        <w:tc>
          <w:tcPr>
            <w:tcW w:w="3840" w:type="dxa"/>
            <w:vAlign w:val="bottom"/>
            <w:gridSpan w:val="3"/>
          </w:tcPr>
          <w:p>
            <w:pPr>
              <w:ind w:left="300"/>
              <w:spacing w:after="0"/>
              <w:rPr>
                <w:sz w:val="20"/>
                <w:szCs w:val="20"/>
                <w:color w:val="auto"/>
              </w:rPr>
            </w:pPr>
            <w:r>
              <w:rPr>
                <w:rFonts w:ascii="Times New Roman" w:cs="Times New Roman" w:eastAsia="Times New Roman" w:hAnsi="Times New Roman"/>
                <w:sz w:val="14"/>
                <w:szCs w:val="14"/>
                <w:color w:val="auto"/>
              </w:rPr>
              <w:t>Net interest deductions</w:t>
            </w: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(64,373)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(31,298)</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(165,942)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(81,201)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(203,939)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(109,537)</w:t>
            </w:r>
          </w:p>
        </w:tc>
        <w:tc>
          <w:tcPr>
            <w:tcW w:w="0" w:type="dxa"/>
            <w:vAlign w:val="bottom"/>
          </w:tcPr>
          <w:p>
            <w:pPr>
              <w:spacing w:after="0"/>
              <w:rPr>
                <w:sz w:val="1"/>
                <w:szCs w:val="1"/>
                <w:color w:val="auto"/>
              </w:rPr>
            </w:pPr>
          </w:p>
        </w:tc>
      </w:tr>
      <w:tr>
        <w:trPr>
          <w:trHeight w:val="210"/>
        </w:trPr>
        <w:tc>
          <w:tcPr>
            <w:tcW w:w="60" w:type="dxa"/>
            <w:vAlign w:val="bottom"/>
            <w:shd w:val="clear" w:color="auto" w:fill="CCEEFF"/>
          </w:tcPr>
          <w:p>
            <w:pPr>
              <w:spacing w:after="0"/>
              <w:rPr>
                <w:sz w:val="18"/>
                <w:szCs w:val="18"/>
                <w:color w:val="auto"/>
              </w:rPr>
            </w:pPr>
          </w:p>
        </w:tc>
        <w:tc>
          <w:tcPr>
            <w:tcW w:w="384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Other income (deductions)</w:t>
            </w:r>
          </w:p>
        </w:tc>
        <w:tc>
          <w:tcPr>
            <w:tcW w:w="5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1,593</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(3,112)</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(3,975)</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4"/>
                <w:szCs w:val="14"/>
                <w:color w:val="auto"/>
              </w:rPr>
              <w:t>478</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w:t>
            </w:r>
          </w:p>
        </w:tc>
        <w:tc>
          <w:tcPr>
            <w:tcW w:w="0" w:type="dxa"/>
            <w:vAlign w:val="bottom"/>
          </w:tcPr>
          <w:p>
            <w:pPr>
              <w:spacing w:after="0"/>
              <w:rPr>
                <w:sz w:val="1"/>
                <w:szCs w:val="1"/>
                <w:color w:val="auto"/>
              </w:rPr>
            </w:pPr>
          </w:p>
        </w:tc>
      </w:tr>
      <w:tr>
        <w:trPr>
          <w:trHeight w:val="189"/>
        </w:trPr>
        <w:tc>
          <w:tcPr>
            <w:tcW w:w="60" w:type="dxa"/>
            <w:vAlign w:val="bottom"/>
            <w:tcBorders>
              <w:bottom w:val="single" w:sz="8" w:color="CCEEFF"/>
            </w:tcBorders>
          </w:tcPr>
          <w:p>
            <w:pPr>
              <w:spacing w:after="0"/>
              <w:rPr>
                <w:sz w:val="16"/>
                <w:szCs w:val="16"/>
                <w:color w:val="auto"/>
              </w:rPr>
            </w:pPr>
          </w:p>
        </w:tc>
        <w:tc>
          <w:tcPr>
            <w:tcW w:w="3840" w:type="dxa"/>
            <w:vAlign w:val="bottom"/>
            <w:tcBorders>
              <w:bottom w:val="single" w:sz="8" w:color="CCEEFF"/>
            </w:tcBorders>
            <w:gridSpan w:val="3"/>
          </w:tcPr>
          <w:p>
            <w:pPr>
              <w:ind w:left="620"/>
              <w:spacing w:after="0"/>
              <w:rPr>
                <w:sz w:val="20"/>
                <w:szCs w:val="20"/>
                <w:color w:val="auto"/>
              </w:rPr>
            </w:pPr>
            <w:r>
              <w:rPr>
                <w:rFonts w:ascii="Times New Roman" w:cs="Times New Roman" w:eastAsia="Times New Roman" w:hAnsi="Times New Roman"/>
                <w:sz w:val="14"/>
                <w:szCs w:val="14"/>
                <w:color w:val="auto"/>
              </w:rPr>
              <w:t>Total other income and (expenses)</w:t>
            </w:r>
          </w:p>
        </w:tc>
        <w:tc>
          <w:tcPr>
            <w:tcW w:w="5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(62,780)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(34,410)</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(165,940)</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(85,176)</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(203,461)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(109,255)</w:t>
            </w:r>
          </w:p>
        </w:tc>
        <w:tc>
          <w:tcPr>
            <w:tcW w:w="0" w:type="dxa"/>
            <w:vAlign w:val="bottom"/>
          </w:tcPr>
          <w:p>
            <w:pPr>
              <w:spacing w:after="0"/>
              <w:rPr>
                <w:sz w:val="1"/>
                <w:szCs w:val="1"/>
                <w:color w:val="auto"/>
              </w:rPr>
            </w:pPr>
          </w:p>
        </w:tc>
      </w:tr>
      <w:tr>
        <w:trPr>
          <w:trHeight w:val="203"/>
        </w:trPr>
        <w:tc>
          <w:tcPr>
            <w:tcW w:w="39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(loss) before income taxes</w:t>
            </w: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(12,843)</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(11,110)</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98,151</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170,843</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4"/>
                <w:szCs w:val="14"/>
                <w:color w:val="auto"/>
              </w:rPr>
              <w:t>174,158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299,559</w:t>
            </w:r>
          </w:p>
        </w:tc>
        <w:tc>
          <w:tcPr>
            <w:tcW w:w="0" w:type="dxa"/>
            <w:vAlign w:val="bottom"/>
          </w:tcPr>
          <w:p>
            <w:pPr>
              <w:spacing w:after="0"/>
              <w:rPr>
                <w:sz w:val="1"/>
                <w:szCs w:val="1"/>
                <w:color w:val="auto"/>
              </w:rPr>
            </w:pPr>
          </w:p>
        </w:tc>
      </w:tr>
      <w:tr>
        <w:trPr>
          <w:trHeight w:val="196"/>
        </w:trPr>
        <w:tc>
          <w:tcPr>
            <w:tcW w:w="390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5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(1,525)</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(1,816)</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18,300</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34,818</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4"/>
                <w:szCs w:val="14"/>
                <w:color w:val="auto"/>
              </w:rPr>
              <w:t>23,130</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58,498</w:t>
            </w:r>
          </w:p>
        </w:tc>
        <w:tc>
          <w:tcPr>
            <w:tcW w:w="0" w:type="dxa"/>
            <w:vAlign w:val="bottom"/>
          </w:tcPr>
          <w:p>
            <w:pPr>
              <w:spacing w:after="0"/>
              <w:rPr>
                <w:sz w:val="1"/>
                <w:szCs w:val="1"/>
                <w:color w:val="auto"/>
              </w:rPr>
            </w:pPr>
          </w:p>
        </w:tc>
      </w:tr>
      <w:tr>
        <w:trPr>
          <w:trHeight w:val="203"/>
        </w:trPr>
        <w:tc>
          <w:tcPr>
            <w:tcW w:w="39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(11,318)</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(9,294)</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79,851</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136,025</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4"/>
                <w:szCs w:val="14"/>
                <w:color w:val="auto"/>
              </w:rPr>
              <w:t>151,028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241,061</w:t>
            </w:r>
          </w:p>
        </w:tc>
        <w:tc>
          <w:tcPr>
            <w:tcW w:w="0" w:type="dxa"/>
            <w:vAlign w:val="bottom"/>
          </w:tcPr>
          <w:p>
            <w:pPr>
              <w:spacing w:after="0"/>
              <w:rPr>
                <w:sz w:val="1"/>
                <w:szCs w:val="1"/>
                <w:color w:val="auto"/>
              </w:rPr>
            </w:pPr>
          </w:p>
        </w:tc>
      </w:tr>
      <w:tr>
        <w:trPr>
          <w:trHeight w:val="196"/>
        </w:trPr>
        <w:tc>
          <w:tcPr>
            <w:tcW w:w="60" w:type="dxa"/>
            <w:vAlign w:val="bottom"/>
            <w:tcBorders>
              <w:bottom w:val="single" w:sz="8" w:color="CCEEFF"/>
            </w:tcBorders>
          </w:tcPr>
          <w:p>
            <w:pPr>
              <w:spacing w:after="0"/>
              <w:rPr>
                <w:sz w:val="17"/>
                <w:szCs w:val="17"/>
                <w:color w:val="auto"/>
              </w:rPr>
            </w:pPr>
          </w:p>
        </w:tc>
        <w:tc>
          <w:tcPr>
            <w:tcW w:w="3840" w:type="dxa"/>
            <w:vAlign w:val="bottom"/>
            <w:tcBorders>
              <w:bottom w:val="single" w:sz="8" w:color="CCEEFF"/>
            </w:tcBorders>
            <w:gridSpan w:val="3"/>
          </w:tcPr>
          <w:p>
            <w:pPr>
              <w:ind w:left="300"/>
              <w:spacing w:after="0"/>
              <w:rPr>
                <w:sz w:val="20"/>
                <w:szCs w:val="20"/>
                <w:color w:val="auto"/>
              </w:rPr>
            </w:pPr>
            <w:r>
              <w:rPr>
                <w:rFonts w:ascii="Times New Roman" w:cs="Times New Roman" w:eastAsia="Times New Roman" w:hAnsi="Times New Roman"/>
                <w:sz w:val="14"/>
                <w:szCs w:val="14"/>
                <w:color w:val="auto"/>
              </w:rPr>
              <w:t>Net income attributable to noncontrolling interests</w:t>
            </w:r>
          </w:p>
        </w:tc>
        <w:tc>
          <w:tcPr>
            <w:tcW w:w="5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991</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2,282</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2,557</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5,189</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4"/>
                <w:szCs w:val="14"/>
                <w:color w:val="auto"/>
              </w:rPr>
              <w:t>3,791</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6,681</w:t>
            </w:r>
          </w:p>
        </w:tc>
        <w:tc>
          <w:tcPr>
            <w:tcW w:w="0" w:type="dxa"/>
            <w:vAlign w:val="bottom"/>
          </w:tcPr>
          <w:p>
            <w:pPr>
              <w:spacing w:after="0"/>
              <w:rPr>
                <w:sz w:val="1"/>
                <w:szCs w:val="1"/>
                <w:color w:val="auto"/>
              </w:rPr>
            </w:pPr>
          </w:p>
        </w:tc>
      </w:tr>
      <w:tr>
        <w:trPr>
          <w:trHeight w:val="228"/>
        </w:trPr>
        <w:tc>
          <w:tcPr>
            <w:tcW w:w="390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 attributable to Southwest Gas Holdings, Inc.</w:t>
            </w:r>
          </w:p>
        </w:tc>
        <w:tc>
          <w:tcPr>
            <w:tcW w:w="5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(12,309)</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(11,576)</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77,294</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130,836</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4"/>
                <w:szCs w:val="14"/>
                <w:color w:val="auto"/>
              </w:rPr>
              <w:t>147,237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234,380</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bottom w:val="single" w:sz="8" w:color="CCEEFF"/>
            </w:tcBorders>
            <w:gridSpan w:val="4"/>
            <w:vMerge w:val="restart"/>
          </w:tcPr>
          <w:p>
            <w:pPr>
              <w:ind w:left="20"/>
              <w:spacing w:after="0"/>
              <w:rPr>
                <w:sz w:val="20"/>
                <w:szCs w:val="20"/>
                <w:color w:val="auto"/>
              </w:rPr>
            </w:pPr>
            <w:r>
              <w:rPr>
                <w:rFonts w:ascii="Times New Roman" w:cs="Times New Roman" w:eastAsia="Times New Roman" w:hAnsi="Times New Roman"/>
                <w:sz w:val="14"/>
                <w:szCs w:val="14"/>
                <w:color w:val="auto"/>
              </w:rPr>
              <w:t>Earnings (loss) per share:</w:t>
            </w:r>
          </w:p>
        </w:tc>
        <w:tc>
          <w:tcPr>
            <w:tcW w:w="5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900" w:type="dxa"/>
            <w:vAlign w:val="bottom"/>
            <w:gridSpan w:val="4"/>
            <w:vMerge w:val="continue"/>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60" w:type="dxa"/>
            <w:vAlign w:val="bottom"/>
            <w:tcBorders>
              <w:bottom w:val="single" w:sz="8" w:color="CCEEFF"/>
            </w:tcBorders>
            <w:shd w:val="clear" w:color="auto" w:fill="CCEEFF"/>
          </w:tcPr>
          <w:p>
            <w:pPr>
              <w:spacing w:after="0"/>
              <w:rPr>
                <w:sz w:val="19"/>
                <w:szCs w:val="19"/>
                <w:color w:val="auto"/>
              </w:rPr>
            </w:pPr>
          </w:p>
        </w:tc>
        <w:tc>
          <w:tcPr>
            <w:tcW w:w="384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Basic</w:t>
            </w:r>
          </w:p>
        </w:tc>
        <w:tc>
          <w:tcPr>
            <w:tcW w:w="5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(0.18)</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(0.19)</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4"/>
                <w:szCs w:val="14"/>
                <w:color w:val="auto"/>
              </w:rPr>
              <w:t>2.30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840" w:type="dxa"/>
            <w:vAlign w:val="bottom"/>
            <w:gridSpan w:val="3"/>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0" w:type="dxa"/>
            <w:vAlign w:val="bottom"/>
          </w:tcPr>
          <w:p>
            <w:pPr>
              <w:spacing w:after="0"/>
              <w:rPr>
                <w:sz w:val="15"/>
                <w:szCs w:val="15"/>
                <w:color w:val="auto"/>
              </w:rPr>
            </w:pPr>
          </w:p>
        </w:tc>
        <w:tc>
          <w:tcPr>
            <w:tcW w:w="384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Diluted</w:t>
            </w:r>
          </w:p>
        </w:tc>
        <w:tc>
          <w:tcPr>
            <w:tcW w:w="58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(0.18)</w:t>
            </w:r>
          </w:p>
        </w:tc>
        <w:tc>
          <w:tcPr>
            <w:tcW w:w="100" w:type="dxa"/>
            <w:vAlign w:val="bottom"/>
          </w:tcPr>
          <w:p>
            <w:pPr>
              <w:spacing w:after="0"/>
              <w:rPr>
                <w:sz w:val="15"/>
                <w:szCs w:val="15"/>
                <w:color w:val="auto"/>
              </w:rPr>
            </w:pPr>
          </w:p>
        </w:tc>
        <w:tc>
          <w:tcPr>
            <w:tcW w:w="360" w:type="dxa"/>
            <w:vAlign w:val="bottom"/>
            <w:tcBorders>
              <w:top w:val="single" w:sz="8" w:color="auto"/>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(0.19)</w:t>
            </w:r>
          </w:p>
        </w:tc>
        <w:tc>
          <w:tcPr>
            <w:tcW w:w="120" w:type="dxa"/>
            <w:vAlign w:val="bottom"/>
          </w:tcPr>
          <w:p>
            <w:pPr>
              <w:spacing w:after="0"/>
              <w:rPr>
                <w:sz w:val="15"/>
                <w:szCs w:val="15"/>
                <w:color w:val="auto"/>
              </w:rPr>
            </w:pPr>
          </w:p>
        </w:tc>
        <w:tc>
          <w:tcPr>
            <w:tcW w:w="360" w:type="dxa"/>
            <w:vAlign w:val="bottom"/>
            <w:tcBorders>
              <w:top w:val="single" w:sz="8" w:color="auto"/>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100" w:type="dxa"/>
            <w:vAlign w:val="bottom"/>
          </w:tcPr>
          <w:p>
            <w:pPr>
              <w:spacing w:after="0"/>
              <w:rPr>
                <w:sz w:val="15"/>
                <w:szCs w:val="15"/>
                <w:color w:val="auto"/>
              </w:rPr>
            </w:pPr>
          </w:p>
        </w:tc>
        <w:tc>
          <w:tcPr>
            <w:tcW w:w="380" w:type="dxa"/>
            <w:vAlign w:val="bottom"/>
            <w:tcBorders>
              <w:top w:val="single" w:sz="8" w:color="auto"/>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12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ind w:right="7"/>
              <w:spacing w:after="0"/>
              <w:rPr>
                <w:sz w:val="20"/>
                <w:szCs w:val="20"/>
                <w:color w:val="auto"/>
              </w:rPr>
            </w:pPr>
            <w:r>
              <w:rPr>
                <w:rFonts w:ascii="Times New Roman" w:cs="Times New Roman" w:eastAsia="Times New Roman" w:hAnsi="Times New Roman"/>
                <w:sz w:val="14"/>
                <w:szCs w:val="14"/>
                <w:color w:val="auto"/>
              </w:rPr>
              <w:t>2.30</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4.02</w:t>
            </w:r>
          </w:p>
        </w:tc>
        <w:tc>
          <w:tcPr>
            <w:tcW w:w="0" w:type="dxa"/>
            <w:vAlign w:val="bottom"/>
          </w:tcPr>
          <w:p>
            <w:pPr>
              <w:spacing w:after="0"/>
              <w:rPr>
                <w:sz w:val="1"/>
                <w:szCs w:val="1"/>
                <w:color w:val="auto"/>
              </w:rPr>
            </w:pPr>
          </w:p>
        </w:tc>
      </w:tr>
      <w:tr>
        <w:trPr>
          <w:trHeight w:val="20"/>
        </w:trPr>
        <w:tc>
          <w:tcPr>
            <w:tcW w:w="6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9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shares:</w:t>
            </w:r>
          </w:p>
        </w:tc>
        <w:tc>
          <w:tcPr>
            <w:tcW w:w="5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60" w:type="dxa"/>
            <w:vAlign w:val="bottom"/>
          </w:tcPr>
          <w:p>
            <w:pPr>
              <w:spacing w:after="0"/>
              <w:rPr>
                <w:sz w:val="16"/>
                <w:szCs w:val="16"/>
                <w:color w:val="auto"/>
              </w:rPr>
            </w:pPr>
          </w:p>
        </w:tc>
        <w:tc>
          <w:tcPr>
            <w:tcW w:w="384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Basic</w:t>
            </w: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67,157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59,688</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65,004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58,639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7"/>
              <w:spacing w:after="0"/>
              <w:rPr>
                <w:sz w:val="20"/>
                <w:szCs w:val="20"/>
                <w:color w:val="auto"/>
              </w:rPr>
            </w:pPr>
            <w:r>
              <w:rPr>
                <w:rFonts w:ascii="Times New Roman" w:cs="Times New Roman" w:eastAsia="Times New Roman" w:hAnsi="Times New Roman"/>
                <w:sz w:val="14"/>
                <w:szCs w:val="14"/>
                <w:color w:val="auto"/>
              </w:rPr>
              <w:t>63,905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58,209</w:t>
            </w:r>
          </w:p>
        </w:tc>
        <w:tc>
          <w:tcPr>
            <w:tcW w:w="0" w:type="dxa"/>
            <w:vAlign w:val="bottom"/>
          </w:tcPr>
          <w:p>
            <w:pPr>
              <w:spacing w:after="0"/>
              <w:rPr>
                <w:sz w:val="1"/>
                <w:szCs w:val="1"/>
                <w:color w:val="auto"/>
              </w:rPr>
            </w:pPr>
          </w:p>
        </w:tc>
      </w:tr>
      <w:tr>
        <w:trPr>
          <w:trHeight w:val="210"/>
        </w:trPr>
        <w:tc>
          <w:tcPr>
            <w:tcW w:w="60" w:type="dxa"/>
            <w:vAlign w:val="bottom"/>
            <w:shd w:val="clear" w:color="auto" w:fill="CCEEFF"/>
          </w:tcPr>
          <w:p>
            <w:pPr>
              <w:spacing w:after="0"/>
              <w:rPr>
                <w:sz w:val="18"/>
                <w:szCs w:val="18"/>
                <w:color w:val="auto"/>
              </w:rPr>
            </w:pPr>
          </w:p>
        </w:tc>
        <w:tc>
          <w:tcPr>
            <w:tcW w:w="38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Diluted</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67,325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59,816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65,148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58,742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4"/>
                <w:szCs w:val="14"/>
                <w:color w:val="auto"/>
              </w:rPr>
              <w:t>64,051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58,312</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Form 10-Q</w:t>
            </w:r>
          </w:p>
        </w:tc>
      </w:tr>
      <w:tr>
        <w:trPr>
          <w:trHeight w:val="210"/>
        </w:trPr>
        <w:tc>
          <w:tcPr>
            <w:tcW w:w="60" w:type="dxa"/>
            <w:vAlign w:val="bottom"/>
          </w:tcPr>
          <w:p>
            <w:pPr>
              <w:spacing w:after="0"/>
              <w:rPr>
                <w:sz w:val="18"/>
                <w:szCs w:val="18"/>
                <w:color w:val="auto"/>
              </w:rPr>
            </w:pPr>
          </w:p>
        </w:tc>
        <w:tc>
          <w:tcPr>
            <w:tcW w:w="29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SOUTHWEST GAS CORPORATION</w:t>
            </w:r>
          </w:p>
        </w:tc>
        <w:tc>
          <w:tcPr>
            <w:tcW w:w="1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September 30, 2022</w:t>
            </w:r>
          </w:p>
        </w:tc>
      </w:tr>
      <w:tr>
        <w:trPr>
          <w:trHeight w:val="866"/>
        </w:trPr>
        <w:tc>
          <w:tcPr>
            <w:tcW w:w="6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440" w:type="dxa"/>
            <w:vAlign w:val="bottom"/>
            <w:gridSpan w:val="1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SOUTHWEST GAS HOLDINGS, INC. AND SUBSIDIARIES</w:t>
            </w: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16"/>
        </w:trPr>
        <w:tc>
          <w:tcPr>
            <w:tcW w:w="60" w:type="dxa"/>
            <w:vAlign w:val="bottom"/>
          </w:tcPr>
          <w:p>
            <w:pPr>
              <w:spacing w:after="0"/>
              <w:rPr>
                <w:sz w:val="18"/>
                <w:szCs w:val="18"/>
                <w:color w:val="auto"/>
              </w:rPr>
            </w:pPr>
          </w:p>
        </w:tc>
        <w:tc>
          <w:tcPr>
            <w:tcW w:w="9320" w:type="dxa"/>
            <w:vAlign w:val="bottom"/>
            <w:gridSpan w:val="17"/>
          </w:tcPr>
          <w:p>
            <w:pPr>
              <w:jc w:val="center"/>
              <w:ind w:left="1724"/>
              <w:spacing w:after="0"/>
              <w:rPr>
                <w:sz w:val="20"/>
                <w:szCs w:val="20"/>
                <w:color w:val="auto"/>
              </w:rPr>
            </w:pPr>
            <w:r>
              <w:rPr>
                <w:rFonts w:ascii="Times New Roman" w:cs="Times New Roman" w:eastAsia="Times New Roman" w:hAnsi="Times New Roman"/>
                <w:sz w:val="18"/>
                <w:szCs w:val="18"/>
                <w:color w:val="auto"/>
                <w:w w:val="99"/>
              </w:rPr>
              <w:t>CONDENSED CONSOLIDATED STATEMENTS OF COMPREHENSIVE INCOME</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60" w:type="dxa"/>
            <w:vAlign w:val="bottom"/>
            <w:gridSpan w:val="5"/>
          </w:tcPr>
          <w:p>
            <w:pPr>
              <w:jc w:val="center"/>
              <w:ind w:left="130"/>
              <w:spacing w:after="0"/>
              <w:rPr>
                <w:sz w:val="20"/>
                <w:szCs w:val="20"/>
                <w:color w:val="auto"/>
              </w:rPr>
            </w:pPr>
            <w:r>
              <w:rPr>
                <w:rFonts w:ascii="Times New Roman" w:cs="Times New Roman" w:eastAsia="Times New Roman" w:hAnsi="Times New Roman"/>
                <w:sz w:val="18"/>
                <w:szCs w:val="18"/>
                <w:color w:val="auto"/>
              </w:rPr>
              <w:t>(Thousands of dollars)</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34"/>
        </w:trPr>
        <w:tc>
          <w:tcPr>
            <w:tcW w:w="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860" w:type="dxa"/>
            <w:vAlign w:val="bottom"/>
            <w:gridSpan w:val="5"/>
          </w:tcPr>
          <w:p>
            <w:pPr>
              <w:jc w:val="center"/>
              <w:ind w:left="130"/>
              <w:spacing w:after="0"/>
              <w:rPr>
                <w:sz w:val="20"/>
                <w:szCs w:val="20"/>
                <w:color w:val="auto"/>
              </w:rPr>
            </w:pPr>
            <w:r>
              <w:rPr>
                <w:rFonts w:ascii="Times New Roman" w:cs="Times New Roman" w:eastAsia="Times New Roman" w:hAnsi="Times New Roman"/>
                <w:sz w:val="18"/>
                <w:szCs w:val="18"/>
                <w:color w:val="auto"/>
              </w:rPr>
              <w:t>(Unaudited)</w:t>
            </w: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56"/>
        </w:trPr>
        <w:tc>
          <w:tcPr>
            <w:tcW w:w="6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80" w:type="dxa"/>
            <w:vAlign w:val="bottom"/>
            <w:gridSpan w:val="6"/>
          </w:tcPr>
          <w:p>
            <w:pPr>
              <w:jc w:val="center"/>
              <w:ind w:right="280"/>
              <w:spacing w:after="0"/>
              <w:rPr>
                <w:sz w:val="20"/>
                <w:szCs w:val="20"/>
                <w:color w:val="auto"/>
              </w:rPr>
            </w:pPr>
            <w:r>
              <w:rPr>
                <w:rFonts w:ascii="Times New Roman" w:cs="Times New Roman" w:eastAsia="Times New Roman" w:hAnsi="Times New Roman"/>
                <w:sz w:val="14"/>
                <w:szCs w:val="14"/>
                <w:color w:val="auto"/>
              </w:rPr>
              <w:t>Three Months Ended</w:t>
            </w:r>
          </w:p>
        </w:tc>
        <w:tc>
          <w:tcPr>
            <w:tcW w:w="200" w:type="dxa"/>
            <w:vAlign w:val="bottom"/>
          </w:tcPr>
          <w:p>
            <w:pPr>
              <w:spacing w:after="0"/>
              <w:rPr>
                <w:sz w:val="22"/>
                <w:szCs w:val="22"/>
                <w:color w:val="auto"/>
              </w:rPr>
            </w:pPr>
          </w:p>
        </w:tc>
        <w:tc>
          <w:tcPr>
            <w:tcW w:w="178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color w:val="auto"/>
              </w:rPr>
              <w:t>Nine Months Ended</w:t>
            </w:r>
          </w:p>
        </w:tc>
        <w:tc>
          <w:tcPr>
            <w:tcW w:w="180" w:type="dxa"/>
            <w:vAlign w:val="bottom"/>
          </w:tcPr>
          <w:p>
            <w:pPr>
              <w:spacing w:after="0"/>
              <w:rPr>
                <w:sz w:val="22"/>
                <w:szCs w:val="22"/>
                <w:color w:val="auto"/>
              </w:rPr>
            </w:pPr>
          </w:p>
        </w:tc>
        <w:tc>
          <w:tcPr>
            <w:tcW w:w="1680" w:type="dxa"/>
            <w:vAlign w:val="bottom"/>
            <w:gridSpan w:val="4"/>
          </w:tcPr>
          <w:p>
            <w:pPr>
              <w:jc w:val="right"/>
              <w:ind w:right="208"/>
              <w:spacing w:after="0"/>
              <w:rPr>
                <w:sz w:val="20"/>
                <w:szCs w:val="20"/>
                <w:color w:val="auto"/>
              </w:rPr>
            </w:pPr>
            <w:r>
              <w:rPr>
                <w:rFonts w:ascii="Times New Roman" w:cs="Times New Roman" w:eastAsia="Times New Roman" w:hAnsi="Times New Roman"/>
                <w:sz w:val="14"/>
                <w:szCs w:val="14"/>
                <w:color w:val="auto"/>
              </w:rPr>
              <w:t>Twelve Months Ended</w:t>
            </w:r>
          </w:p>
        </w:tc>
      </w:tr>
      <w:tr>
        <w:trPr>
          <w:trHeight w:val="196"/>
        </w:trPr>
        <w:tc>
          <w:tcPr>
            <w:tcW w:w="6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gridSpan w:val="6"/>
          </w:tcPr>
          <w:p>
            <w:pPr>
              <w:jc w:val="center"/>
              <w:ind w:right="280"/>
              <w:spacing w:after="0"/>
              <w:rPr>
                <w:sz w:val="20"/>
                <w:szCs w:val="20"/>
                <w:color w:val="auto"/>
              </w:rPr>
            </w:pPr>
            <w:r>
              <w:rPr>
                <w:rFonts w:ascii="Times New Roman" w:cs="Times New Roman" w:eastAsia="Times New Roman" w:hAnsi="Times New Roman"/>
                <w:sz w:val="14"/>
                <w:szCs w:val="14"/>
                <w:color w:val="auto"/>
              </w:rPr>
              <w:t>September 30,</w:t>
            </w:r>
          </w:p>
        </w:tc>
        <w:tc>
          <w:tcPr>
            <w:tcW w:w="200" w:type="dxa"/>
            <w:vAlign w:val="bottom"/>
          </w:tcPr>
          <w:p>
            <w:pPr>
              <w:spacing w:after="0"/>
              <w:rPr>
                <w:sz w:val="17"/>
                <w:szCs w:val="17"/>
                <w:color w:val="auto"/>
              </w:rPr>
            </w:pPr>
          </w:p>
        </w:tc>
        <w:tc>
          <w:tcPr>
            <w:tcW w:w="178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color w:val="auto"/>
              </w:rPr>
              <w:t>September 30,</w:t>
            </w:r>
          </w:p>
        </w:tc>
        <w:tc>
          <w:tcPr>
            <w:tcW w:w="180" w:type="dxa"/>
            <w:vAlign w:val="bottom"/>
          </w:tcPr>
          <w:p>
            <w:pPr>
              <w:spacing w:after="0"/>
              <w:rPr>
                <w:sz w:val="17"/>
                <w:szCs w:val="17"/>
                <w:color w:val="auto"/>
              </w:rPr>
            </w:pPr>
          </w:p>
        </w:tc>
        <w:tc>
          <w:tcPr>
            <w:tcW w:w="1680" w:type="dxa"/>
            <w:vAlign w:val="bottom"/>
            <w:gridSpan w:val="4"/>
          </w:tcPr>
          <w:p>
            <w:pPr>
              <w:jc w:val="right"/>
              <w:ind w:right="448"/>
              <w:spacing w:after="0"/>
              <w:rPr>
                <w:sz w:val="20"/>
                <w:szCs w:val="20"/>
                <w:color w:val="auto"/>
              </w:rPr>
            </w:pPr>
            <w:r>
              <w:rPr>
                <w:rFonts w:ascii="Times New Roman" w:cs="Times New Roman" w:eastAsia="Times New Roman" w:hAnsi="Times New Roman"/>
                <w:sz w:val="14"/>
                <w:szCs w:val="14"/>
                <w:color w:val="auto"/>
              </w:rPr>
              <w:t>September 30,</w:t>
            </w:r>
          </w:p>
        </w:tc>
      </w:tr>
      <w:tr>
        <w:trPr>
          <w:trHeight w:val="203"/>
        </w:trPr>
        <w:tc>
          <w:tcPr>
            <w:tcW w:w="60" w:type="dxa"/>
            <w:vAlign w:val="bottom"/>
            <w:tcBorders>
              <w:top w:val="single" w:sz="8" w:color="CCEEFF"/>
            </w:tcBorders>
            <w:shd w:val="clear" w:color="auto" w:fill="CCEEFF"/>
          </w:tcPr>
          <w:p>
            <w:pPr>
              <w:spacing w:after="0"/>
              <w:rPr>
                <w:sz w:val="17"/>
                <w:szCs w:val="17"/>
                <w:color w:val="auto"/>
              </w:rPr>
            </w:pPr>
          </w:p>
        </w:tc>
        <w:tc>
          <w:tcPr>
            <w:tcW w:w="28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2022</w:t>
            </w:r>
          </w:p>
        </w:tc>
        <w:tc>
          <w:tcPr>
            <w:tcW w:w="1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2021</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ind w:right="227"/>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2021</w:t>
            </w:r>
          </w:p>
        </w:tc>
      </w:tr>
      <w:tr>
        <w:trPr>
          <w:trHeight w:val="190"/>
        </w:trPr>
        <w:tc>
          <w:tcPr>
            <w:tcW w:w="458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8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(11,318)</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(9,294)</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79,851</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136,025</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151,028</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241,061</w:t>
            </w:r>
          </w:p>
        </w:tc>
      </w:tr>
      <w:tr>
        <w:trPr>
          <w:trHeight w:val="189"/>
        </w:trPr>
        <w:tc>
          <w:tcPr>
            <w:tcW w:w="45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net of tax</w:t>
            </w:r>
          </w:p>
        </w:tc>
        <w:tc>
          <w:tcPr>
            <w:tcW w:w="8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r>
      <w:tr>
        <w:trPr>
          <w:trHeight w:val="195"/>
        </w:trPr>
        <w:tc>
          <w:tcPr>
            <w:tcW w:w="60" w:type="dxa"/>
            <w:vAlign w:val="bottom"/>
          </w:tcPr>
          <w:p>
            <w:pPr>
              <w:spacing w:after="0"/>
              <w:rPr>
                <w:sz w:val="16"/>
                <w:szCs w:val="16"/>
                <w:color w:val="auto"/>
              </w:rPr>
            </w:pPr>
          </w:p>
        </w:tc>
        <w:tc>
          <w:tcPr>
            <w:tcW w:w="45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Defined benefit pension plans:</w:t>
            </w: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10"/>
        </w:trPr>
        <w:tc>
          <w:tcPr>
            <w:tcW w:w="60" w:type="dxa"/>
            <w:vAlign w:val="bottom"/>
            <w:shd w:val="clear" w:color="auto" w:fill="CCEEFF"/>
          </w:tcPr>
          <w:p>
            <w:pPr>
              <w:spacing w:after="0"/>
              <w:rPr>
                <w:sz w:val="18"/>
                <w:szCs w:val="18"/>
                <w:color w:val="auto"/>
              </w:rPr>
            </w:pPr>
          </w:p>
        </w:tc>
        <w:tc>
          <w:tcPr>
            <w:tcW w:w="45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Net actuarial gain (loss)</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44,974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(43,730)</w:t>
            </w:r>
          </w:p>
        </w:tc>
      </w:tr>
      <w:tr>
        <w:trPr>
          <w:trHeight w:val="195"/>
        </w:trPr>
        <w:tc>
          <w:tcPr>
            <w:tcW w:w="60" w:type="dxa"/>
            <w:vAlign w:val="bottom"/>
          </w:tcPr>
          <w:p>
            <w:pPr>
              <w:spacing w:after="0"/>
              <w:rPr>
                <w:sz w:val="16"/>
                <w:szCs w:val="16"/>
                <w:color w:val="auto"/>
              </w:rPr>
            </w:pPr>
          </w:p>
        </w:tc>
        <w:tc>
          <w:tcPr>
            <w:tcW w:w="452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Amortization of prior service cost</w:t>
            </w: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766</w:t>
            </w:r>
          </w:p>
        </w:tc>
      </w:tr>
      <w:tr>
        <w:trPr>
          <w:trHeight w:val="210"/>
        </w:trPr>
        <w:tc>
          <w:tcPr>
            <w:tcW w:w="60" w:type="dxa"/>
            <w:vAlign w:val="bottom"/>
            <w:shd w:val="clear" w:color="auto" w:fill="CCEEFF"/>
          </w:tcPr>
          <w:p>
            <w:pPr>
              <w:spacing w:after="0"/>
              <w:rPr>
                <w:sz w:val="18"/>
                <w:szCs w:val="18"/>
                <w:color w:val="auto"/>
              </w:rPr>
            </w:pPr>
          </w:p>
        </w:tc>
        <w:tc>
          <w:tcPr>
            <w:tcW w:w="45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Amortization of net actuarial loss</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6,616</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8,474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19,847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25,420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28,321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32,608</w:t>
            </w:r>
          </w:p>
        </w:tc>
      </w:tr>
      <w:tr>
        <w:trPr>
          <w:trHeight w:val="196"/>
        </w:trPr>
        <w:tc>
          <w:tcPr>
            <w:tcW w:w="60" w:type="dxa"/>
            <w:vAlign w:val="bottom"/>
            <w:tcBorders>
              <w:bottom w:val="single" w:sz="8" w:color="CCEEFF"/>
            </w:tcBorders>
          </w:tcPr>
          <w:p>
            <w:pPr>
              <w:spacing w:after="0"/>
              <w:rPr>
                <w:sz w:val="17"/>
                <w:szCs w:val="17"/>
                <w:color w:val="auto"/>
              </w:rPr>
            </w:pPr>
          </w:p>
        </w:tc>
        <w:tc>
          <w:tcPr>
            <w:tcW w:w="4520" w:type="dxa"/>
            <w:vAlign w:val="bottom"/>
            <w:tcBorders>
              <w:bottom w:val="single" w:sz="8" w:color="CCEEFF"/>
            </w:tcBorders>
            <w:gridSpan w:val="3"/>
          </w:tcPr>
          <w:p>
            <w:pPr>
              <w:ind w:left="160"/>
              <w:spacing w:after="0"/>
              <w:rPr>
                <w:sz w:val="20"/>
                <w:szCs w:val="20"/>
                <w:color w:val="auto"/>
              </w:rPr>
            </w:pPr>
            <w:r>
              <w:rPr>
                <w:rFonts w:ascii="Times New Roman" w:cs="Times New Roman" w:eastAsia="Times New Roman" w:hAnsi="Times New Roman"/>
                <w:sz w:val="14"/>
                <w:szCs w:val="14"/>
                <w:color w:val="auto"/>
              </w:rPr>
              <w:t>Regulatory adjustment</w:t>
            </w:r>
          </w:p>
        </w:tc>
        <w:tc>
          <w:tcPr>
            <w:tcW w:w="8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(5,524)</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(7,277)</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(16,571)</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(21,831)</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(61,767)</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2,959</w:t>
            </w:r>
          </w:p>
        </w:tc>
      </w:tr>
      <w:tr>
        <w:trPr>
          <w:trHeight w:val="203"/>
        </w:trPr>
        <w:tc>
          <w:tcPr>
            <w:tcW w:w="60" w:type="dxa"/>
            <w:vAlign w:val="bottom"/>
            <w:shd w:val="clear" w:color="auto" w:fill="CCEEFF"/>
          </w:tcPr>
          <w:p>
            <w:pPr>
              <w:spacing w:after="0"/>
              <w:rPr>
                <w:sz w:val="17"/>
                <w:szCs w:val="17"/>
                <w:color w:val="auto"/>
              </w:rPr>
            </w:pPr>
          </w:p>
        </w:tc>
        <w:tc>
          <w:tcPr>
            <w:tcW w:w="452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Net defined benefit pension plans</w:t>
            </w:r>
          </w:p>
        </w:tc>
        <w:tc>
          <w:tcPr>
            <w:tcW w:w="8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1,126</w:t>
            </w:r>
          </w:p>
        </w:tc>
        <w:tc>
          <w:tcPr>
            <w:tcW w:w="10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1,380</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3,376</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4,136</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11,810</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(7,397)</w:t>
            </w:r>
          </w:p>
        </w:tc>
      </w:tr>
      <w:tr>
        <w:trPr>
          <w:trHeight w:val="175"/>
        </w:trPr>
        <w:tc>
          <w:tcPr>
            <w:tcW w:w="60" w:type="dxa"/>
            <w:vAlign w:val="bottom"/>
          </w:tcPr>
          <w:p>
            <w:pPr>
              <w:spacing w:after="0"/>
              <w:rPr>
                <w:sz w:val="15"/>
                <w:szCs w:val="15"/>
                <w:color w:val="auto"/>
              </w:rPr>
            </w:pPr>
          </w:p>
        </w:tc>
        <w:tc>
          <w:tcPr>
            <w:tcW w:w="45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Forward-starting interest rate swaps (“FSIRS”):</w:t>
            </w: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10"/>
        </w:trPr>
        <w:tc>
          <w:tcPr>
            <w:tcW w:w="60" w:type="dxa"/>
            <w:vAlign w:val="bottom"/>
            <w:shd w:val="clear" w:color="auto" w:fill="CCEEFF"/>
          </w:tcPr>
          <w:p>
            <w:pPr>
              <w:spacing w:after="0"/>
              <w:rPr>
                <w:sz w:val="18"/>
                <w:szCs w:val="18"/>
                <w:color w:val="auto"/>
              </w:rPr>
            </w:pPr>
          </w:p>
        </w:tc>
        <w:tc>
          <w:tcPr>
            <w:tcW w:w="45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Amounts reclassified into net income</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1,653</w:t>
            </w:r>
          </w:p>
        </w:tc>
      </w:tr>
      <w:tr>
        <w:trPr>
          <w:trHeight w:val="189"/>
        </w:trPr>
        <w:tc>
          <w:tcPr>
            <w:tcW w:w="60" w:type="dxa"/>
            <w:vAlign w:val="bottom"/>
            <w:tcBorders>
              <w:bottom w:val="single" w:sz="8" w:color="CCEEFF"/>
            </w:tcBorders>
          </w:tcPr>
          <w:p>
            <w:pPr>
              <w:spacing w:after="0"/>
              <w:rPr>
                <w:sz w:val="16"/>
                <w:szCs w:val="16"/>
                <w:color w:val="auto"/>
              </w:rPr>
            </w:pPr>
          </w:p>
        </w:tc>
        <w:tc>
          <w:tcPr>
            <w:tcW w:w="4520" w:type="dxa"/>
            <w:vAlign w:val="bottom"/>
            <w:tcBorders>
              <w:bottom w:val="single" w:sz="8" w:color="CCEEFF"/>
            </w:tcBorders>
            <w:gridSpan w:val="3"/>
          </w:tcPr>
          <w:p>
            <w:pPr>
              <w:ind w:left="300"/>
              <w:spacing w:after="0"/>
              <w:rPr>
                <w:sz w:val="20"/>
                <w:szCs w:val="20"/>
                <w:color w:val="auto"/>
              </w:rPr>
            </w:pPr>
            <w:r>
              <w:rPr>
                <w:rFonts w:ascii="Times New Roman" w:cs="Times New Roman" w:eastAsia="Times New Roman" w:hAnsi="Times New Roman"/>
                <w:sz w:val="14"/>
                <w:szCs w:val="14"/>
                <w:color w:val="auto"/>
              </w:rPr>
              <w:t>Net forward-starting interest rate swaps</w:t>
            </w:r>
          </w:p>
        </w:tc>
        <w:tc>
          <w:tcPr>
            <w:tcW w:w="86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413</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416</w:t>
            </w:r>
          </w:p>
        </w:tc>
        <w:tc>
          <w:tcPr>
            <w:tcW w:w="12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1,240</w:t>
            </w:r>
          </w:p>
        </w:tc>
        <w:tc>
          <w:tcPr>
            <w:tcW w:w="12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828</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1,653</w:t>
            </w:r>
          </w:p>
        </w:tc>
      </w:tr>
      <w:tr>
        <w:trPr>
          <w:trHeight w:val="203"/>
        </w:trPr>
        <w:tc>
          <w:tcPr>
            <w:tcW w:w="60" w:type="dxa"/>
            <w:vAlign w:val="bottom"/>
            <w:shd w:val="clear" w:color="auto" w:fill="CCEEFF"/>
          </w:tcPr>
          <w:p>
            <w:pPr>
              <w:spacing w:after="0"/>
              <w:rPr>
                <w:sz w:val="17"/>
                <w:szCs w:val="17"/>
                <w:color w:val="auto"/>
              </w:rPr>
            </w:pPr>
          </w:p>
        </w:tc>
        <w:tc>
          <w:tcPr>
            <w:tcW w:w="452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8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(5,830)</w:t>
            </w:r>
          </w:p>
        </w:tc>
        <w:tc>
          <w:tcPr>
            <w:tcW w:w="10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(2,056)</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(7,263)</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(6,919)</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2,576</w:t>
            </w:r>
          </w:p>
        </w:tc>
      </w:tr>
      <w:tr>
        <w:trPr>
          <w:trHeight w:val="189"/>
        </w:trPr>
        <w:tc>
          <w:tcPr>
            <w:tcW w:w="458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4"/>
                <w:szCs w:val="14"/>
                <w:color w:val="auto"/>
              </w:rPr>
              <w:t>Total other comprehensive income (loss), net of tax</w:t>
            </w:r>
          </w:p>
        </w:tc>
        <w:tc>
          <w:tcPr>
            <w:tcW w:w="8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(4,704)</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(263)</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(3,471)</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5,052</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5,719</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(3,168)</w:t>
            </w:r>
          </w:p>
        </w:tc>
      </w:tr>
      <w:tr>
        <w:trPr>
          <w:trHeight w:val="203"/>
        </w:trPr>
        <w:tc>
          <w:tcPr>
            <w:tcW w:w="45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income (loss)</w:t>
            </w: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(16,022)</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(9,557)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76,380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141,077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156,747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237,893</w:t>
            </w:r>
          </w:p>
        </w:tc>
      </w:tr>
      <w:tr>
        <w:trPr>
          <w:trHeight w:val="196"/>
        </w:trPr>
        <w:tc>
          <w:tcPr>
            <w:tcW w:w="60" w:type="dxa"/>
            <w:vAlign w:val="bottom"/>
            <w:tcBorders>
              <w:bottom w:val="single" w:sz="8" w:color="CCEEFF"/>
            </w:tcBorders>
          </w:tcPr>
          <w:p>
            <w:pPr>
              <w:spacing w:after="0"/>
              <w:rPr>
                <w:sz w:val="17"/>
                <w:szCs w:val="17"/>
                <w:color w:val="auto"/>
              </w:rPr>
            </w:pPr>
          </w:p>
        </w:tc>
        <w:tc>
          <w:tcPr>
            <w:tcW w:w="4520" w:type="dxa"/>
            <w:vAlign w:val="bottom"/>
            <w:tcBorders>
              <w:bottom w:val="single" w:sz="8" w:color="CCEEFF"/>
            </w:tcBorders>
            <w:gridSpan w:val="3"/>
          </w:tcPr>
          <w:p>
            <w:pPr>
              <w:ind w:left="300"/>
              <w:spacing w:after="0"/>
              <w:rPr>
                <w:sz w:val="20"/>
                <w:szCs w:val="20"/>
                <w:color w:val="auto"/>
              </w:rPr>
            </w:pPr>
            <w:r>
              <w:rPr>
                <w:rFonts w:ascii="Times New Roman" w:cs="Times New Roman" w:eastAsia="Times New Roman" w:hAnsi="Times New Roman"/>
                <w:sz w:val="14"/>
                <w:szCs w:val="14"/>
                <w:color w:val="auto"/>
              </w:rPr>
              <w:t>Comprehensive income attributable to noncontrolling interests</w:t>
            </w:r>
          </w:p>
        </w:tc>
        <w:tc>
          <w:tcPr>
            <w:tcW w:w="8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991</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2,282</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2,557</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5,189</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3,791</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6,681</w:t>
            </w:r>
          </w:p>
        </w:tc>
      </w:tr>
      <w:tr>
        <w:trPr>
          <w:trHeight w:val="228"/>
        </w:trPr>
        <w:tc>
          <w:tcPr>
            <w:tcW w:w="458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income (loss) attributable to Southwest Gas Holdings, Inc.</w:t>
            </w:r>
          </w:p>
        </w:tc>
        <w:tc>
          <w:tcPr>
            <w:tcW w:w="8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(17,013)</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(11,839)</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73,823</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135,888</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152,956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231,212</w:t>
            </w:r>
          </w:p>
        </w:tc>
      </w:tr>
      <w:tr>
        <w:trPr>
          <w:trHeight w:val="20"/>
        </w:trPr>
        <w:tc>
          <w:tcPr>
            <w:tcW w:w="6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SOUTHWEST GAS CORPORATION</w:t>
            </w:r>
          </w:p>
        </w:tc>
        <w:tc>
          <w:tcPr>
            <w:tcW w:w="3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September 30, 2022</w:t>
            </w:r>
          </w:p>
        </w:tc>
        <w:tc>
          <w:tcPr>
            <w:tcW w:w="0" w:type="dxa"/>
            <w:vAlign w:val="bottom"/>
          </w:tcPr>
          <w:p>
            <w:pPr>
              <w:spacing w:after="0"/>
              <w:rPr>
                <w:sz w:val="1"/>
                <w:szCs w:val="1"/>
                <w:color w:val="auto"/>
              </w:rPr>
            </w:pPr>
          </w:p>
        </w:tc>
      </w:tr>
      <w:tr>
        <w:trPr>
          <w:trHeight w:val="866"/>
        </w:trPr>
        <w:tc>
          <w:tcPr>
            <w:tcW w:w="2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3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SOUTHWEST GAS HOLDINGS, INC. AND SUBSIDIARIES</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30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w w:val="98"/>
              </w:rPr>
              <w:t>CONDENSED CONSOLIDATED STATEMENTS OF CASH FLOWS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80" w:type="dxa"/>
            <w:vAlign w:val="bottom"/>
          </w:tcPr>
          <w:p>
            <w:pPr>
              <w:jc w:val="center"/>
              <w:ind w:left="1350"/>
              <w:spacing w:after="0"/>
              <w:rPr>
                <w:sz w:val="20"/>
                <w:szCs w:val="20"/>
                <w:color w:val="auto"/>
              </w:rPr>
            </w:pPr>
            <w:r>
              <w:rPr>
                <w:rFonts w:ascii="Times New Roman" w:cs="Times New Roman" w:eastAsia="Times New Roman" w:hAnsi="Times New Roman"/>
                <w:sz w:val="18"/>
                <w:szCs w:val="18"/>
                <w:color w:val="auto"/>
              </w:rPr>
              <w:t>(Thousands of dollars)</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80" w:type="dxa"/>
            <w:vAlign w:val="bottom"/>
          </w:tcPr>
          <w:p>
            <w:pPr>
              <w:jc w:val="center"/>
              <w:ind w:left="1350"/>
              <w:spacing w:after="0"/>
              <w:rPr>
                <w:sz w:val="20"/>
                <w:szCs w:val="20"/>
                <w:color w:val="auto"/>
              </w:rPr>
            </w:pPr>
            <w:r>
              <w:rPr>
                <w:rFonts w:ascii="Times New Roman" w:cs="Times New Roman" w:eastAsia="Times New Roman" w:hAnsi="Times New Roman"/>
                <w:sz w:val="18"/>
                <w:szCs w:val="18"/>
                <w:color w:val="auto"/>
              </w:rPr>
              <w:t>(Unaudited)</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2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color w:val="auto"/>
              </w:rPr>
              <w:t>Nine Months Ended</w:t>
            </w:r>
          </w:p>
        </w:tc>
        <w:tc>
          <w:tcPr>
            <w:tcW w:w="200" w:type="dxa"/>
            <w:vAlign w:val="bottom"/>
          </w:tcPr>
          <w:p>
            <w:pPr>
              <w:spacing w:after="0"/>
              <w:rPr>
                <w:sz w:val="22"/>
                <w:szCs w:val="22"/>
                <w:color w:val="auto"/>
              </w:rPr>
            </w:pPr>
          </w:p>
        </w:tc>
        <w:tc>
          <w:tcPr>
            <w:tcW w:w="1940" w:type="dxa"/>
            <w:vAlign w:val="bottom"/>
            <w:gridSpan w:val="4"/>
          </w:tcPr>
          <w:p>
            <w:pPr>
              <w:jc w:val="right"/>
              <w:ind w:right="348"/>
              <w:spacing w:after="0"/>
              <w:rPr>
                <w:sz w:val="20"/>
                <w:szCs w:val="20"/>
                <w:color w:val="auto"/>
              </w:rPr>
            </w:pPr>
            <w:r>
              <w:rPr>
                <w:rFonts w:ascii="Times New Roman" w:cs="Times New Roman" w:eastAsia="Times New Roman" w:hAnsi="Times New Roman"/>
                <w:sz w:val="14"/>
                <w:szCs w:val="14"/>
                <w:color w:val="auto"/>
              </w:rPr>
              <w:t>Twelve Months Ended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2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color w:val="auto"/>
              </w:rPr>
              <w:t>September 30,</w:t>
            </w:r>
          </w:p>
        </w:tc>
        <w:tc>
          <w:tcPr>
            <w:tcW w:w="200" w:type="dxa"/>
            <w:vAlign w:val="bottom"/>
          </w:tcPr>
          <w:p>
            <w:pPr>
              <w:spacing w:after="0"/>
              <w:rPr>
                <w:sz w:val="17"/>
                <w:szCs w:val="17"/>
                <w:color w:val="auto"/>
              </w:rPr>
            </w:pPr>
          </w:p>
        </w:tc>
        <w:tc>
          <w:tcPr>
            <w:tcW w:w="1940" w:type="dxa"/>
            <w:vAlign w:val="bottom"/>
            <w:gridSpan w:val="4"/>
          </w:tcPr>
          <w:p>
            <w:pPr>
              <w:jc w:val="right"/>
              <w:ind w:right="588"/>
              <w:spacing w:after="0"/>
              <w:rPr>
                <w:sz w:val="20"/>
                <w:szCs w:val="20"/>
                <w:color w:val="auto"/>
              </w:rPr>
            </w:pPr>
            <w:r>
              <w:rPr>
                <w:rFonts w:ascii="Times New Roman" w:cs="Times New Roman" w:eastAsia="Times New Roman" w:hAnsi="Times New Roman"/>
                <w:sz w:val="14"/>
                <w:szCs w:val="14"/>
                <w:color w:val="auto"/>
              </w:rPr>
              <w:t>September 30,</w:t>
            </w:r>
          </w:p>
        </w:tc>
        <w:tc>
          <w:tcPr>
            <w:tcW w:w="0" w:type="dxa"/>
            <w:vAlign w:val="bottom"/>
          </w:tcPr>
          <w:p>
            <w:pPr>
              <w:spacing w:after="0"/>
              <w:rPr>
                <w:sz w:val="1"/>
                <w:szCs w:val="1"/>
                <w:color w:val="auto"/>
              </w:rPr>
            </w:pPr>
          </w:p>
        </w:tc>
      </w:tr>
      <w:tr>
        <w:trPr>
          <w:trHeight w:val="203"/>
        </w:trPr>
        <w:tc>
          <w:tcPr>
            <w:tcW w:w="20" w:type="dxa"/>
            <w:vAlign w:val="bottom"/>
            <w:tcBorders>
              <w:top w:val="single" w:sz="8" w:color="CCEEFF"/>
            </w:tcBorders>
            <w:shd w:val="clear" w:color="auto" w:fill="CCEEFF"/>
          </w:tcPr>
          <w:p>
            <w:pPr>
              <w:spacing w:after="0"/>
              <w:rPr>
                <w:sz w:val="17"/>
                <w:szCs w:val="17"/>
                <w:color w:val="auto"/>
              </w:rPr>
            </w:pPr>
          </w:p>
        </w:tc>
        <w:tc>
          <w:tcPr>
            <w:tcW w:w="28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8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2021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7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CASH FLOW FROM OPERATING ACTIVITIES:</w:t>
            </w: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67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Net income</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79,851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136,025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151,028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241,061</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780" w:type="dxa"/>
            <w:vAlign w:val="bottom"/>
            <w:gridSpan w:val="3"/>
          </w:tcPr>
          <w:p>
            <w:pPr>
              <w:ind w:left="32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678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347,589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267,670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450,960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354,688</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780" w:type="dxa"/>
            <w:vAlign w:val="bottom"/>
            <w:gridSpan w:val="3"/>
          </w:tcPr>
          <w:p>
            <w:pPr>
              <w:ind w:left="640"/>
              <w:spacing w:after="0"/>
              <w:rPr>
                <w:sz w:val="20"/>
                <w:szCs w:val="20"/>
                <w:color w:val="auto"/>
              </w:rPr>
            </w:pPr>
            <w:r>
              <w:rPr>
                <w:rFonts w:ascii="Times New Roman" w:cs="Times New Roman" w:eastAsia="Times New Roman" w:hAnsi="Times New Roman"/>
                <w:sz w:val="14"/>
                <w:szCs w:val="14"/>
                <w:color w:val="auto"/>
              </w:rPr>
              <w:t>Deferred income taxes</w:t>
            </w:r>
          </w:p>
        </w:tc>
        <w:tc>
          <w:tcPr>
            <w:tcW w:w="22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22,955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45,374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38,793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58,339</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678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Changes in current assets and liabilities: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780" w:type="dxa"/>
            <w:vAlign w:val="bottom"/>
            <w:gridSpan w:val="3"/>
          </w:tcPr>
          <w:p>
            <w:pPr>
              <w:ind w:left="1100"/>
              <w:spacing w:after="0"/>
              <w:rPr>
                <w:sz w:val="20"/>
                <w:szCs w:val="20"/>
                <w:color w:val="auto"/>
              </w:rPr>
            </w:pPr>
            <w:r>
              <w:rPr>
                <w:rFonts w:ascii="Times New Roman" w:cs="Times New Roman" w:eastAsia="Times New Roman" w:hAnsi="Times New Roman"/>
                <w:sz w:val="14"/>
                <w:szCs w:val="14"/>
                <w:color w:val="auto"/>
              </w:rPr>
              <w:t>Accounts receivable, net of allowances</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(78,719)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(62,081)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(68,192)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(68,714)</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6780" w:type="dxa"/>
            <w:vAlign w:val="bottom"/>
            <w:gridSpan w:val="3"/>
            <w:shd w:val="clear" w:color="auto" w:fill="CCEEFF"/>
          </w:tcPr>
          <w:p>
            <w:pPr>
              <w:ind w:left="1100"/>
              <w:spacing w:after="0"/>
              <w:rPr>
                <w:sz w:val="20"/>
                <w:szCs w:val="20"/>
                <w:color w:val="auto"/>
              </w:rPr>
            </w:pPr>
            <w:r>
              <w:rPr>
                <w:rFonts w:ascii="Times New Roman" w:cs="Times New Roman" w:eastAsia="Times New Roman" w:hAnsi="Times New Roman"/>
                <w:sz w:val="14"/>
                <w:szCs w:val="14"/>
                <w:color w:val="auto"/>
              </w:rPr>
              <w:t>Accrued utility revenue</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43,600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42,700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(3,200)</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780" w:type="dxa"/>
            <w:vAlign w:val="bottom"/>
            <w:gridSpan w:val="3"/>
          </w:tcPr>
          <w:p>
            <w:pPr>
              <w:ind w:left="1100"/>
              <w:spacing w:after="0"/>
              <w:rPr>
                <w:sz w:val="20"/>
                <w:szCs w:val="20"/>
                <w:color w:val="auto"/>
              </w:rPr>
            </w:pPr>
            <w:r>
              <w:rPr>
                <w:rFonts w:ascii="Times New Roman" w:cs="Times New Roman" w:eastAsia="Times New Roman" w:hAnsi="Times New Roman"/>
                <w:sz w:val="14"/>
                <w:szCs w:val="14"/>
                <w:color w:val="auto"/>
              </w:rPr>
              <w:t>Deferred purchased gas costs</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(92,200)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(293,410)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(142,518)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(317,070)</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6780" w:type="dxa"/>
            <w:vAlign w:val="bottom"/>
            <w:gridSpan w:val="3"/>
            <w:shd w:val="clear" w:color="auto" w:fill="CCEEFF"/>
          </w:tcPr>
          <w:p>
            <w:pPr>
              <w:ind w:left="1100"/>
              <w:spacing w:after="0"/>
              <w:rPr>
                <w:sz w:val="20"/>
                <w:szCs w:val="20"/>
                <w:color w:val="auto"/>
              </w:rPr>
            </w:pPr>
            <w:r>
              <w:rPr>
                <w:rFonts w:ascii="Times New Roman" w:cs="Times New Roman" w:eastAsia="Times New Roman" w:hAnsi="Times New Roman"/>
                <w:sz w:val="14"/>
                <w:szCs w:val="14"/>
                <w:color w:val="auto"/>
              </w:rPr>
              <w:t>Accounts payable</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(29,353)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(51,086)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72,159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251</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780" w:type="dxa"/>
            <w:vAlign w:val="bottom"/>
            <w:gridSpan w:val="3"/>
          </w:tcPr>
          <w:p>
            <w:pPr>
              <w:ind w:left="1100"/>
              <w:spacing w:after="0"/>
              <w:rPr>
                <w:sz w:val="20"/>
                <w:szCs w:val="20"/>
                <w:color w:val="auto"/>
              </w:rPr>
            </w:pPr>
            <w:r>
              <w:rPr>
                <w:rFonts w:ascii="Times New Roman" w:cs="Times New Roman" w:eastAsia="Times New Roman" w:hAnsi="Times New Roman"/>
                <w:sz w:val="14"/>
                <w:szCs w:val="14"/>
                <w:color w:val="auto"/>
              </w:rPr>
              <w:t>Accrued taxes</w:t>
            </w:r>
          </w:p>
        </w:tc>
        <w:tc>
          <w:tcPr>
            <w:tcW w:w="22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18,352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5,954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5,673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3,134</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6780" w:type="dxa"/>
            <w:vAlign w:val="bottom"/>
            <w:gridSpan w:val="3"/>
            <w:shd w:val="clear" w:color="auto" w:fill="CCEEFF"/>
          </w:tcPr>
          <w:p>
            <w:pPr>
              <w:ind w:left="1100"/>
              <w:spacing w:after="0"/>
              <w:rPr>
                <w:sz w:val="20"/>
                <w:szCs w:val="20"/>
                <w:color w:val="auto"/>
              </w:rPr>
            </w:pPr>
            <w:r>
              <w:rPr>
                <w:rFonts w:ascii="Times New Roman" w:cs="Times New Roman" w:eastAsia="Times New Roman" w:hAnsi="Times New Roman"/>
                <w:sz w:val="14"/>
                <w:szCs w:val="14"/>
                <w:color w:val="auto"/>
              </w:rPr>
              <w:t>Other current assets and liabilities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23,289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(113,537)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9,531</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780" w:type="dxa"/>
            <w:vAlign w:val="bottom"/>
            <w:gridSpan w:val="3"/>
          </w:tcPr>
          <w:p>
            <w:pPr>
              <w:ind w:left="640"/>
              <w:spacing w:after="0"/>
              <w:rPr>
                <w:sz w:val="20"/>
                <w:szCs w:val="20"/>
                <w:color w:val="auto"/>
              </w:rPr>
            </w:pPr>
            <w:r>
              <w:rPr>
                <w:rFonts w:ascii="Times New Roman" w:cs="Times New Roman" w:eastAsia="Times New Roman" w:hAnsi="Times New Roman"/>
                <w:sz w:val="14"/>
                <w:szCs w:val="14"/>
                <w:color w:val="auto"/>
              </w:rPr>
              <w:t>Gains on sale of property and equipment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(5,215)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(5,365)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(6,756)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(6,632)</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678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Changes in undistributed stock compensation</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7,855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7,676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9,473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9,001</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780" w:type="dxa"/>
            <w:vAlign w:val="bottom"/>
            <w:gridSpan w:val="3"/>
          </w:tcPr>
          <w:p>
            <w:pPr>
              <w:ind w:left="640"/>
              <w:spacing w:after="0"/>
              <w:rPr>
                <w:sz w:val="20"/>
                <w:szCs w:val="20"/>
                <w:color w:val="auto"/>
              </w:rPr>
            </w:pPr>
            <w:r>
              <w:rPr>
                <w:rFonts w:ascii="Times New Roman" w:cs="Times New Roman" w:eastAsia="Times New Roman" w:hAnsi="Times New Roman"/>
                <w:sz w:val="14"/>
                <w:szCs w:val="14"/>
                <w:color w:val="auto"/>
              </w:rPr>
              <w:t>Equity AFUDC</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(1,311)</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678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Changes in deferred charges and other assets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16,417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(7,956)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10,832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(21,373)</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6780" w:type="dxa"/>
            <w:vAlign w:val="bottom"/>
            <w:tcBorders>
              <w:bottom w:val="single" w:sz="8" w:color="CCEEFF"/>
            </w:tcBorders>
            <w:gridSpan w:val="3"/>
          </w:tcPr>
          <w:p>
            <w:pPr>
              <w:ind w:left="640"/>
              <w:spacing w:after="0"/>
              <w:rPr>
                <w:sz w:val="20"/>
                <w:szCs w:val="20"/>
                <w:color w:val="auto"/>
              </w:rPr>
            </w:pPr>
            <w:r>
              <w:rPr>
                <w:rFonts w:ascii="Times New Roman" w:cs="Times New Roman" w:eastAsia="Times New Roman" w:hAnsi="Times New Roman"/>
                <w:sz w:val="14"/>
                <w:szCs w:val="14"/>
                <w:color w:val="auto"/>
              </w:rPr>
              <w:t>Changes in other liabilities and deferred credits</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(25,826)</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(57,269)</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(42,186)</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(67,922)</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6780" w:type="dxa"/>
            <w:vAlign w:val="bottom"/>
            <w:gridSpan w:val="3"/>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303,355</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51,521</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363,217</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189,783</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7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CASH FLOW FROM INVESTING ACTIVITIES:</w:t>
            </w: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67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Construction expenditures and property additions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(612,516)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(506,737)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(821,405)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(699,368)</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780" w:type="dxa"/>
            <w:vAlign w:val="bottom"/>
            <w:gridSpan w:val="3"/>
          </w:tcPr>
          <w:p>
            <w:pPr>
              <w:ind w:left="320"/>
              <w:spacing w:after="0"/>
              <w:rPr>
                <w:sz w:val="20"/>
                <w:szCs w:val="20"/>
                <w:color w:val="auto"/>
              </w:rPr>
            </w:pPr>
            <w:r>
              <w:rPr>
                <w:rFonts w:ascii="Times New Roman" w:cs="Times New Roman" w:eastAsia="Times New Roman" w:hAnsi="Times New Roman"/>
                <w:sz w:val="14"/>
                <w:szCs w:val="14"/>
                <w:color w:val="auto"/>
              </w:rPr>
              <w:t>Acquisition of businesses, net of cash acquired</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(18,809)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(830,395)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(1,542,674)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(830,145)</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67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Changes in customer advances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23,222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7,940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31,256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14,282</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6780" w:type="dxa"/>
            <w:vAlign w:val="bottom"/>
            <w:tcBorders>
              <w:bottom w:val="single" w:sz="8" w:color="CCEEFF"/>
            </w:tcBorders>
            <w:gridSpan w:val="3"/>
          </w:tcPr>
          <w:p>
            <w:pPr>
              <w:ind w:left="320"/>
              <w:spacing w:after="0"/>
              <w:rPr>
                <w:sz w:val="20"/>
                <w:szCs w:val="20"/>
                <w:color w:val="auto"/>
              </w:rPr>
            </w:pPr>
            <w:r>
              <w:rPr>
                <w:rFonts w:ascii="Times New Roman" w:cs="Times New Roman" w:eastAsia="Times New Roman" w:hAnsi="Times New Roman"/>
                <w:sz w:val="14"/>
                <w:szCs w:val="14"/>
                <w:color w:val="auto"/>
              </w:rPr>
              <w:t>Other</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4,005</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14,755</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7,506</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17,238</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6780" w:type="dxa"/>
            <w:vAlign w:val="bottom"/>
            <w:gridSpan w:val="3"/>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(604,098)</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(1,314,437)</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(2,325,317)</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(1,497,993)</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7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CASH FLOW FROM FINANCING ACTIVITIES:</w:t>
            </w: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67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Issuance of common stock, net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459,051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210,812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461,880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259,422</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780" w:type="dxa"/>
            <w:vAlign w:val="bottom"/>
            <w:gridSpan w:val="3"/>
          </w:tcPr>
          <w:p>
            <w:pPr>
              <w:ind w:left="320"/>
              <w:spacing w:after="0"/>
              <w:rPr>
                <w:sz w:val="20"/>
                <w:szCs w:val="20"/>
                <w:color w:val="auto"/>
              </w:rPr>
            </w:pPr>
            <w:r>
              <w:rPr>
                <w:rFonts w:ascii="Times New Roman" w:cs="Times New Roman" w:eastAsia="Times New Roman" w:hAnsi="Times New Roman"/>
                <w:sz w:val="14"/>
                <w:szCs w:val="14"/>
                <w:color w:val="auto"/>
              </w:rPr>
              <w:t>Centuri distribution to redeemable noncontrolling interest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(39,649)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(39,649)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67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Dividends paid</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(118,980)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(102,292)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(154,910)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(134,479)</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780" w:type="dxa"/>
            <w:vAlign w:val="bottom"/>
            <w:gridSpan w:val="3"/>
          </w:tcPr>
          <w:p>
            <w:pPr>
              <w:ind w:left="320"/>
              <w:spacing w:after="0"/>
              <w:rPr>
                <w:sz w:val="20"/>
                <w:szCs w:val="20"/>
                <w:color w:val="auto"/>
              </w:rPr>
            </w:pPr>
            <w:r>
              <w:rPr>
                <w:rFonts w:ascii="Times New Roman" w:cs="Times New Roman" w:eastAsia="Times New Roman" w:hAnsi="Times New Roman"/>
                <w:sz w:val="14"/>
                <w:szCs w:val="14"/>
                <w:color w:val="auto"/>
              </w:rPr>
              <w:t>Issuance of long-term debt, net</w:t>
            </w:r>
          </w:p>
        </w:tc>
        <w:tc>
          <w:tcPr>
            <w:tcW w:w="22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770,240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1,654,960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775,976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1,666,718</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67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Retirement of long-term debt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(422,356)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(406,815)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(468,205)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(473,926)</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780" w:type="dxa"/>
            <w:vAlign w:val="bottom"/>
            <w:gridSpan w:val="3"/>
          </w:tcPr>
          <w:p>
            <w:pPr>
              <w:ind w:left="320"/>
              <w:spacing w:after="0"/>
              <w:rPr>
                <w:sz w:val="20"/>
                <w:szCs w:val="20"/>
                <w:color w:val="auto"/>
              </w:rPr>
            </w:pPr>
            <w:r>
              <w:rPr>
                <w:rFonts w:ascii="Times New Roman" w:cs="Times New Roman" w:eastAsia="Times New Roman" w:hAnsi="Times New Roman"/>
                <w:sz w:val="14"/>
                <w:szCs w:val="14"/>
                <w:color w:val="auto"/>
              </w:rPr>
              <w:t>Change in credit facility and commercial paper</w:t>
            </w:r>
          </w:p>
        </w:tc>
        <w:tc>
          <w:tcPr>
            <w:tcW w:w="22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8,000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(150,000)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138,000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(58,000)</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67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Change in short-term debt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(380,253)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165,000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(593,253)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218,000</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780" w:type="dxa"/>
            <w:vAlign w:val="bottom"/>
            <w:gridSpan w:val="3"/>
          </w:tcPr>
          <w:p>
            <w:pPr>
              <w:ind w:left="320"/>
              <w:spacing w:after="0"/>
              <w:rPr>
                <w:sz w:val="20"/>
                <w:szCs w:val="20"/>
                <w:color w:val="auto"/>
              </w:rPr>
            </w:pPr>
            <w:r>
              <w:rPr>
                <w:rFonts w:ascii="Times New Roman" w:cs="Times New Roman" w:eastAsia="Times New Roman" w:hAnsi="Times New Roman"/>
                <w:sz w:val="14"/>
                <w:szCs w:val="14"/>
                <w:color w:val="auto"/>
              </w:rPr>
              <w:t>Issuance of short-term debt</w:t>
            </w:r>
          </w:p>
        </w:tc>
        <w:tc>
          <w:tcPr>
            <w:tcW w:w="22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1,850,000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67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Withholding remittance - share-based compensation</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(1,254)</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6780" w:type="dxa"/>
            <w:vAlign w:val="bottom"/>
            <w:tcBorders>
              <w:bottom w:val="single" w:sz="8" w:color="CCEEFF"/>
            </w:tcBorders>
            <w:gridSpan w:val="3"/>
          </w:tcPr>
          <w:p>
            <w:pPr>
              <w:ind w:left="320"/>
              <w:spacing w:after="0"/>
              <w:rPr>
                <w:sz w:val="20"/>
                <w:szCs w:val="20"/>
                <w:color w:val="auto"/>
              </w:rPr>
            </w:pPr>
            <w:r>
              <w:rPr>
                <w:rFonts w:ascii="Times New Roman" w:cs="Times New Roman" w:eastAsia="Times New Roman" w:hAnsi="Times New Roman"/>
                <w:sz w:val="14"/>
                <w:szCs w:val="14"/>
                <w:color w:val="auto"/>
              </w:rPr>
              <w:t>Other</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(19,929)</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(4,355)</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(16,303)</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(6,161)</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6780" w:type="dxa"/>
            <w:vAlign w:val="bottom"/>
            <w:gridSpan w:val="3"/>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254,019</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1,366,056</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1,951,421</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1,470,320</w:t>
            </w: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tcPr>
          <w:p>
            <w:pPr>
              <w:spacing w:after="0"/>
              <w:rPr>
                <w:sz w:val="16"/>
                <w:szCs w:val="16"/>
                <w:color w:val="auto"/>
              </w:rPr>
            </w:pPr>
          </w:p>
        </w:tc>
        <w:tc>
          <w:tcPr>
            <w:tcW w:w="6780" w:type="dxa"/>
            <w:vAlign w:val="bottom"/>
            <w:tcBorders>
              <w:bottom w:val="single" w:sz="8" w:color="CCEEFF"/>
            </w:tcBorders>
            <w:gridSpan w:val="3"/>
          </w:tcPr>
          <w:p>
            <w:pPr>
              <w:ind w:left="320"/>
              <w:spacing w:after="0"/>
              <w:rPr>
                <w:sz w:val="20"/>
                <w:szCs w:val="20"/>
                <w:color w:val="auto"/>
              </w:rPr>
            </w:pPr>
            <w:r>
              <w:rPr>
                <w:rFonts w:ascii="Times New Roman" w:cs="Times New Roman" w:eastAsia="Times New Roman" w:hAnsi="Times New Roman"/>
                <w:sz w:val="14"/>
                <w:szCs w:val="14"/>
                <w:color w:val="auto"/>
              </w:rPr>
              <w:t>Effects of currency translation on cash and cash equivalents</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198</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(739)</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635</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67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Change in cash and cash equivalents</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(47,425)</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103,338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(11,418)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162,745</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6780" w:type="dxa"/>
            <w:vAlign w:val="bottom"/>
            <w:tcBorders>
              <w:bottom w:val="single" w:sz="8" w:color="CCEEFF"/>
            </w:tcBorders>
            <w:gridSpan w:val="3"/>
          </w:tcPr>
          <w:p>
            <w:pPr>
              <w:ind w:left="320"/>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222,697</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83,352</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186,690</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23,945</w:t>
            </w:r>
          </w:p>
        </w:tc>
        <w:tc>
          <w:tcPr>
            <w:tcW w:w="0" w:type="dxa"/>
            <w:vAlign w:val="bottom"/>
          </w:tcPr>
          <w:p>
            <w:pPr>
              <w:spacing w:after="0"/>
              <w:rPr>
                <w:sz w:val="1"/>
                <w:szCs w:val="1"/>
                <w:color w:val="auto"/>
              </w:rPr>
            </w:pPr>
          </w:p>
        </w:tc>
      </w:tr>
      <w:tr>
        <w:trPr>
          <w:trHeight w:val="221"/>
        </w:trPr>
        <w:tc>
          <w:tcPr>
            <w:tcW w:w="20" w:type="dxa"/>
            <w:vAlign w:val="bottom"/>
            <w:tcBorders>
              <w:bottom w:val="single" w:sz="8" w:color="CCEEFF"/>
            </w:tcBorders>
            <w:shd w:val="clear" w:color="auto" w:fill="CCEEFF"/>
          </w:tcPr>
          <w:p>
            <w:pPr>
              <w:spacing w:after="0"/>
              <w:rPr>
                <w:sz w:val="18"/>
                <w:szCs w:val="18"/>
                <w:color w:val="auto"/>
              </w:rPr>
            </w:pPr>
          </w:p>
        </w:tc>
        <w:tc>
          <w:tcPr>
            <w:tcW w:w="6780" w:type="dxa"/>
            <w:vAlign w:val="bottom"/>
            <w:tcBorders>
              <w:bottom w:val="single" w:sz="8" w:color="CCEEFF"/>
            </w:tcBorders>
            <w:gridSpan w:val="3"/>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Cash and cash equivalents at end of period</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175,272</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186,690</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175,272</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186,690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78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4"/>
                <w:szCs w:val="14"/>
                <w:color w:val="auto"/>
              </w:rPr>
              <w:t>SUPPLEMENTAL INFORMATION:</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678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20" w:type="dxa"/>
            <w:vAlign w:val="bottom"/>
            <w:tcBorders>
              <w:bottom w:val="single" w:sz="8" w:color="CCEEFF"/>
            </w:tcBorders>
            <w:shd w:val="clear" w:color="auto" w:fill="CCEEFF"/>
          </w:tcPr>
          <w:p>
            <w:pPr>
              <w:spacing w:after="0"/>
              <w:rPr>
                <w:sz w:val="19"/>
                <w:szCs w:val="19"/>
                <w:color w:val="auto"/>
              </w:rPr>
            </w:pPr>
          </w:p>
        </w:tc>
        <w:tc>
          <w:tcPr>
            <w:tcW w:w="6780" w:type="dxa"/>
            <w:vAlign w:val="bottom"/>
            <w:tcBorders>
              <w:bottom w:val="single" w:sz="8" w:color="CCEEFF"/>
            </w:tcBorders>
            <w:gridSpan w:val="3"/>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Interest paid, net of amounts capitalized</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146,792</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57,128</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194,016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98,567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780" w:type="dxa"/>
            <w:vAlign w:val="bottom"/>
            <w:tcBorders>
              <w:top w:val="single" w:sz="8" w:color="CCEEFF"/>
              <w:bottom w:val="single" w:sz="8" w:color="CCEEFF"/>
            </w:tcBorders>
            <w:gridSpan w:val="3"/>
            <w:vMerge w:val="restart"/>
          </w:tcPr>
          <w:p>
            <w:pPr>
              <w:ind w:left="320"/>
              <w:spacing w:after="0"/>
              <w:rPr>
                <w:sz w:val="20"/>
                <w:szCs w:val="20"/>
                <w:color w:val="auto"/>
              </w:rPr>
            </w:pPr>
            <w:r>
              <w:rPr>
                <w:rFonts w:ascii="Times New Roman" w:cs="Times New Roman" w:eastAsia="Times New Roman" w:hAnsi="Times New Roman"/>
                <w:sz w:val="14"/>
                <w:szCs w:val="14"/>
                <w:color w:val="auto"/>
              </w:rPr>
              <w:t>Income taxes paid, net</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6780" w:type="dxa"/>
            <w:vAlign w:val="bottom"/>
            <w:gridSpan w:val="3"/>
            <w:vMerge w:val="continue"/>
          </w:tcPr>
          <w:p>
            <w:pPr>
              <w:spacing w:after="0"/>
              <w:rPr>
                <w:sz w:val="15"/>
                <w:szCs w:val="15"/>
                <w:color w:val="auto"/>
              </w:rPr>
            </w:pP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10,317</w:t>
            </w:r>
          </w:p>
        </w:tc>
        <w:tc>
          <w:tcPr>
            <w:tcW w:w="100" w:type="dxa"/>
            <w:vAlign w:val="bottom"/>
          </w:tcPr>
          <w:p>
            <w:pPr>
              <w:spacing w:after="0"/>
              <w:rPr>
                <w:sz w:val="15"/>
                <w:szCs w:val="15"/>
                <w:color w:val="auto"/>
              </w:rPr>
            </w:pP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7,665</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6,860</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12,720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32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124460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257" w:right="35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6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29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SOUTHWEST GAS CORPORATION</w:t>
            </w:r>
          </w:p>
        </w:tc>
        <w:tc>
          <w:tcPr>
            <w:tcW w:w="3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September 30, 2022</w:t>
            </w:r>
          </w:p>
        </w:tc>
        <w:tc>
          <w:tcPr>
            <w:tcW w:w="0" w:type="dxa"/>
            <w:vAlign w:val="bottom"/>
          </w:tcPr>
          <w:p>
            <w:pPr>
              <w:spacing w:after="0"/>
              <w:rPr>
                <w:sz w:val="1"/>
                <w:szCs w:val="1"/>
                <w:color w:val="auto"/>
              </w:rPr>
            </w:pPr>
          </w:p>
        </w:tc>
      </w:tr>
      <w:tr>
        <w:trPr>
          <w:trHeight w:val="866"/>
        </w:trPr>
        <w:tc>
          <w:tcPr>
            <w:tcW w:w="6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060" w:type="dxa"/>
            <w:vAlign w:val="bottom"/>
            <w:gridSpan w:val="5"/>
          </w:tcPr>
          <w:p>
            <w:pPr>
              <w:jc w:val="center"/>
              <w:ind w:left="170"/>
              <w:spacing w:after="0"/>
              <w:rPr>
                <w:sz w:val="20"/>
                <w:szCs w:val="20"/>
                <w:color w:val="auto"/>
              </w:rPr>
            </w:pPr>
            <w:r>
              <w:rPr>
                <w:rFonts w:ascii="Times New Roman" w:cs="Times New Roman" w:eastAsia="Times New Roman" w:hAnsi="Times New Roman"/>
                <w:sz w:val="18"/>
                <w:szCs w:val="18"/>
                <w:color w:val="auto"/>
                <w:w w:val="99"/>
              </w:rPr>
              <w:t>SOUTHWEST GAS HOLDINGS, INC. AND SUBSIDIARIES</w:t>
            </w: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60" w:type="dxa"/>
            <w:vAlign w:val="bottom"/>
            <w:gridSpan w:val="5"/>
          </w:tcPr>
          <w:p>
            <w:pPr>
              <w:jc w:val="center"/>
              <w:ind w:left="170"/>
              <w:spacing w:after="0"/>
              <w:rPr>
                <w:sz w:val="20"/>
                <w:szCs w:val="20"/>
                <w:color w:val="auto"/>
              </w:rPr>
            </w:pPr>
            <w:r>
              <w:rPr>
                <w:rFonts w:ascii="Times New Roman" w:cs="Times New Roman" w:eastAsia="Times New Roman" w:hAnsi="Times New Roman"/>
                <w:sz w:val="18"/>
                <w:szCs w:val="18"/>
                <w:color w:val="auto"/>
                <w:w w:val="98"/>
              </w:rPr>
              <w:t>CONDENSED CONSOLIDATED STATEMENTS OF EQUITY</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40" w:type="dxa"/>
            <w:vAlign w:val="bottom"/>
            <w:gridSpan w:val="4"/>
          </w:tcPr>
          <w:p>
            <w:pPr>
              <w:jc w:val="center"/>
              <w:ind w:left="510"/>
              <w:spacing w:after="0"/>
              <w:rPr>
                <w:sz w:val="20"/>
                <w:szCs w:val="20"/>
                <w:color w:val="auto"/>
              </w:rPr>
            </w:pPr>
            <w:r>
              <w:rPr>
                <w:rFonts w:ascii="Times New Roman" w:cs="Times New Roman" w:eastAsia="Times New Roman" w:hAnsi="Times New Roman"/>
                <w:sz w:val="18"/>
                <w:szCs w:val="18"/>
                <w:color w:val="auto"/>
                <w:w w:val="99"/>
              </w:rPr>
              <w:t>(In thousands, except per share amounts)</w:t>
            </w: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20" w:type="dxa"/>
            <w:vAlign w:val="bottom"/>
          </w:tcPr>
          <w:p>
            <w:pPr>
              <w:jc w:val="center"/>
              <w:ind w:left="1710"/>
              <w:spacing w:after="0"/>
              <w:rPr>
                <w:sz w:val="20"/>
                <w:szCs w:val="20"/>
                <w:color w:val="auto"/>
              </w:rPr>
            </w:pPr>
            <w:r>
              <w:rPr>
                <w:rFonts w:ascii="Times New Roman" w:cs="Times New Roman" w:eastAsia="Times New Roman" w:hAnsi="Times New Roman"/>
                <w:sz w:val="18"/>
                <w:szCs w:val="18"/>
                <w:color w:val="auto"/>
              </w:rPr>
              <w:t>(Unaudited)</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80" w:type="dxa"/>
            <w:vAlign w:val="bottom"/>
            <w:gridSpan w:val="5"/>
          </w:tcPr>
          <w:p>
            <w:pPr>
              <w:jc w:val="center"/>
              <w:ind w:right="360"/>
              <w:spacing w:after="0"/>
              <w:rPr>
                <w:sz w:val="20"/>
                <w:szCs w:val="20"/>
                <w:color w:val="auto"/>
              </w:rPr>
            </w:pPr>
            <w:r>
              <w:rPr>
                <w:rFonts w:ascii="Times New Roman" w:cs="Times New Roman" w:eastAsia="Times New Roman" w:hAnsi="Times New Roman"/>
                <w:sz w:val="16"/>
                <w:szCs w:val="16"/>
                <w:color w:val="auto"/>
              </w:rPr>
              <w:t>Three Months Ended</w:t>
            </w:r>
          </w:p>
        </w:tc>
        <w:tc>
          <w:tcPr>
            <w:tcW w:w="240" w:type="dxa"/>
            <w:vAlign w:val="bottom"/>
          </w:tcPr>
          <w:p>
            <w:pPr>
              <w:spacing w:after="0"/>
              <w:rPr>
                <w:sz w:val="24"/>
                <w:szCs w:val="24"/>
                <w:color w:val="auto"/>
              </w:rPr>
            </w:pPr>
          </w:p>
        </w:tc>
        <w:tc>
          <w:tcPr>
            <w:tcW w:w="2080" w:type="dxa"/>
            <w:vAlign w:val="bottom"/>
            <w:gridSpan w:val="4"/>
          </w:tcPr>
          <w:p>
            <w:pPr>
              <w:jc w:val="right"/>
              <w:ind w:right="419"/>
              <w:spacing w:after="0"/>
              <w:rPr>
                <w:sz w:val="20"/>
                <w:szCs w:val="20"/>
                <w:color w:val="auto"/>
              </w:rPr>
            </w:pPr>
            <w:r>
              <w:rPr>
                <w:rFonts w:ascii="Times New Roman" w:cs="Times New Roman" w:eastAsia="Times New Roman" w:hAnsi="Times New Roman"/>
                <w:sz w:val="16"/>
                <w:szCs w:val="16"/>
                <w:color w:val="auto"/>
              </w:rPr>
              <w:t>Nine Months Ended</w:t>
            </w: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80" w:type="dxa"/>
            <w:vAlign w:val="bottom"/>
            <w:gridSpan w:val="5"/>
          </w:tcPr>
          <w:p>
            <w:pPr>
              <w:jc w:val="center"/>
              <w:ind w:right="360"/>
              <w:spacing w:after="0"/>
              <w:rPr>
                <w:sz w:val="20"/>
                <w:szCs w:val="20"/>
                <w:color w:val="auto"/>
              </w:rPr>
            </w:pPr>
            <w:r>
              <w:rPr>
                <w:rFonts w:ascii="Times New Roman" w:cs="Times New Roman" w:eastAsia="Times New Roman" w:hAnsi="Times New Roman"/>
                <w:sz w:val="16"/>
                <w:szCs w:val="16"/>
                <w:color w:val="auto"/>
              </w:rPr>
              <w:t>September 30,</w:t>
            </w:r>
          </w:p>
        </w:tc>
        <w:tc>
          <w:tcPr>
            <w:tcW w:w="240" w:type="dxa"/>
            <w:vAlign w:val="bottom"/>
          </w:tcPr>
          <w:p>
            <w:pPr>
              <w:spacing w:after="0"/>
              <w:rPr>
                <w:sz w:val="18"/>
                <w:szCs w:val="18"/>
                <w:color w:val="auto"/>
              </w:rPr>
            </w:pPr>
          </w:p>
        </w:tc>
        <w:tc>
          <w:tcPr>
            <w:tcW w:w="2080" w:type="dxa"/>
            <w:vAlign w:val="bottom"/>
            <w:gridSpan w:val="4"/>
          </w:tcPr>
          <w:p>
            <w:pPr>
              <w:jc w:val="right"/>
              <w:ind w:right="619"/>
              <w:spacing w:after="0"/>
              <w:rPr>
                <w:sz w:val="20"/>
                <w:szCs w:val="20"/>
                <w:color w:val="auto"/>
              </w:rPr>
            </w:pPr>
            <w:r>
              <w:rPr>
                <w:rFonts w:ascii="Times New Roman" w:cs="Times New Roman" w:eastAsia="Times New Roman" w:hAnsi="Times New Roman"/>
                <w:sz w:val="16"/>
                <w:szCs w:val="16"/>
                <w:color w:val="auto"/>
              </w:rPr>
              <w:t>September 30,</w:t>
            </w:r>
          </w:p>
        </w:tc>
        <w:tc>
          <w:tcPr>
            <w:tcW w:w="0" w:type="dxa"/>
            <w:vAlign w:val="bottom"/>
          </w:tcPr>
          <w:p>
            <w:pPr>
              <w:spacing w:after="0"/>
              <w:rPr>
                <w:sz w:val="1"/>
                <w:szCs w:val="1"/>
                <w:color w:val="auto"/>
              </w:rPr>
            </w:pPr>
          </w:p>
        </w:tc>
      </w:tr>
      <w:tr>
        <w:trPr>
          <w:trHeight w:val="209"/>
        </w:trPr>
        <w:tc>
          <w:tcPr>
            <w:tcW w:w="60" w:type="dxa"/>
            <w:vAlign w:val="bottom"/>
            <w:tcBorders>
              <w:bottom w:val="single" w:sz="8" w:color="CCEEFF"/>
            </w:tcBorders>
          </w:tcPr>
          <w:p>
            <w:pPr>
              <w:spacing w:after="0"/>
              <w:rPr>
                <w:sz w:val="18"/>
                <w:szCs w:val="18"/>
                <w:color w:val="auto"/>
              </w:rPr>
            </w:pPr>
          </w:p>
        </w:tc>
        <w:tc>
          <w:tcPr>
            <w:tcW w:w="28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5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2021</w:t>
            </w:r>
          </w:p>
        </w:tc>
        <w:tc>
          <w:tcPr>
            <w:tcW w:w="1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2022</w:t>
            </w:r>
          </w:p>
        </w:tc>
        <w:tc>
          <w:tcPr>
            <w:tcW w:w="120" w:type="dxa"/>
            <w:vAlign w:val="bottom"/>
            <w:tcBorders>
              <w:top w:val="single" w:sz="8" w:color="auto"/>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2021</w:t>
            </w:r>
          </w:p>
        </w:tc>
        <w:tc>
          <w:tcPr>
            <w:tcW w:w="0" w:type="dxa"/>
            <w:vAlign w:val="bottom"/>
          </w:tcPr>
          <w:p>
            <w:pPr>
              <w:spacing w:after="0"/>
              <w:rPr>
                <w:sz w:val="1"/>
                <w:szCs w:val="1"/>
                <w:color w:val="auto"/>
              </w:rPr>
            </w:pPr>
          </w:p>
        </w:tc>
      </w:tr>
      <w:tr>
        <w:trPr>
          <w:trHeight w:val="199"/>
        </w:trPr>
        <w:tc>
          <w:tcPr>
            <w:tcW w:w="64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stock shares</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642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Beginning balances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67,004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59,088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60,422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57,193</w:t>
            </w:r>
          </w:p>
        </w:tc>
        <w:tc>
          <w:tcPr>
            <w:tcW w:w="0" w:type="dxa"/>
            <w:vAlign w:val="bottom"/>
          </w:tcPr>
          <w:p>
            <w:pPr>
              <w:spacing w:after="0"/>
              <w:rPr>
                <w:sz w:val="1"/>
                <w:szCs w:val="1"/>
                <w:color w:val="auto"/>
              </w:rPr>
            </w:pPr>
          </w:p>
        </w:tc>
      </w:tr>
      <w:tr>
        <w:trPr>
          <w:trHeight w:val="216"/>
        </w:trPr>
        <w:tc>
          <w:tcPr>
            <w:tcW w:w="60" w:type="dxa"/>
            <w:vAlign w:val="bottom"/>
            <w:shd w:val="clear" w:color="auto" w:fill="CCEEFF"/>
          </w:tcPr>
          <w:p>
            <w:pPr>
              <w:spacing w:after="0"/>
              <w:rPr>
                <w:sz w:val="18"/>
                <w:szCs w:val="18"/>
                <w:color w:val="auto"/>
              </w:rPr>
            </w:pPr>
          </w:p>
        </w:tc>
        <w:tc>
          <w:tcPr>
            <w:tcW w:w="6420" w:type="dxa"/>
            <w:vAlign w:val="bottom"/>
            <w:gridSpan w:val="3"/>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Common stock issuances</w:t>
            </w: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1,291</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6,642</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3,186</w:t>
            </w:r>
          </w:p>
        </w:tc>
        <w:tc>
          <w:tcPr>
            <w:tcW w:w="0" w:type="dxa"/>
            <w:vAlign w:val="bottom"/>
          </w:tcPr>
          <w:p>
            <w:pPr>
              <w:spacing w:after="0"/>
              <w:rPr>
                <w:sz w:val="1"/>
                <w:szCs w:val="1"/>
                <w:color w:val="auto"/>
              </w:rPr>
            </w:pPr>
          </w:p>
        </w:tc>
      </w:tr>
      <w:tr>
        <w:trPr>
          <w:trHeight w:val="212"/>
        </w:trPr>
        <w:tc>
          <w:tcPr>
            <w:tcW w:w="60" w:type="dxa"/>
            <w:vAlign w:val="bottom"/>
          </w:tcPr>
          <w:p>
            <w:pPr>
              <w:spacing w:after="0"/>
              <w:rPr>
                <w:sz w:val="18"/>
                <w:szCs w:val="18"/>
                <w:color w:val="auto"/>
              </w:rPr>
            </w:pPr>
          </w:p>
        </w:tc>
        <w:tc>
          <w:tcPr>
            <w:tcW w:w="642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Ending balances</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67,064</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60,379</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67,064</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60,379</w:t>
            </w:r>
          </w:p>
        </w:tc>
        <w:tc>
          <w:tcPr>
            <w:tcW w:w="0" w:type="dxa"/>
            <w:vAlign w:val="bottom"/>
          </w:tcPr>
          <w:p>
            <w:pPr>
              <w:spacing w:after="0"/>
              <w:rPr>
                <w:sz w:val="1"/>
                <w:szCs w:val="1"/>
                <w:color w:val="auto"/>
              </w:rPr>
            </w:pPr>
          </w:p>
        </w:tc>
      </w:tr>
      <w:tr>
        <w:trPr>
          <w:trHeight w:val="20"/>
        </w:trPr>
        <w:tc>
          <w:tcPr>
            <w:tcW w:w="6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5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4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stock amount</w:t>
            </w: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642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Beginning balances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68,634</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60,718</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62,052</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58,823</w:t>
            </w:r>
          </w:p>
        </w:tc>
        <w:tc>
          <w:tcPr>
            <w:tcW w:w="0" w:type="dxa"/>
            <w:vAlign w:val="bottom"/>
          </w:tcPr>
          <w:p>
            <w:pPr>
              <w:spacing w:after="0"/>
              <w:rPr>
                <w:sz w:val="1"/>
                <w:szCs w:val="1"/>
                <w:color w:val="auto"/>
              </w:rPr>
            </w:pPr>
          </w:p>
        </w:tc>
      </w:tr>
      <w:tr>
        <w:trPr>
          <w:trHeight w:val="219"/>
        </w:trPr>
        <w:tc>
          <w:tcPr>
            <w:tcW w:w="60" w:type="dxa"/>
            <w:vAlign w:val="bottom"/>
            <w:shd w:val="clear" w:color="auto" w:fill="CCEEFF"/>
          </w:tcPr>
          <w:p>
            <w:pPr>
              <w:spacing w:after="0"/>
              <w:rPr>
                <w:sz w:val="19"/>
                <w:szCs w:val="19"/>
                <w:color w:val="auto"/>
              </w:rPr>
            </w:pPr>
          </w:p>
        </w:tc>
        <w:tc>
          <w:tcPr>
            <w:tcW w:w="6420" w:type="dxa"/>
            <w:vAlign w:val="bottom"/>
            <w:gridSpan w:val="3"/>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Common stock issuances</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6,642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3,186</w:t>
            </w:r>
          </w:p>
        </w:tc>
        <w:tc>
          <w:tcPr>
            <w:tcW w:w="0" w:type="dxa"/>
            <w:vAlign w:val="bottom"/>
          </w:tcPr>
          <w:p>
            <w:pPr>
              <w:spacing w:after="0"/>
              <w:rPr>
                <w:sz w:val="1"/>
                <w:szCs w:val="1"/>
                <w:color w:val="auto"/>
              </w:rPr>
            </w:pPr>
          </w:p>
        </w:tc>
      </w:tr>
      <w:tr>
        <w:trPr>
          <w:trHeight w:val="207"/>
        </w:trPr>
        <w:tc>
          <w:tcPr>
            <w:tcW w:w="60" w:type="dxa"/>
            <w:vAlign w:val="bottom"/>
            <w:tcBorders>
              <w:bottom w:val="single" w:sz="8" w:color="CCEEFF"/>
            </w:tcBorders>
          </w:tcPr>
          <w:p>
            <w:pPr>
              <w:spacing w:after="0"/>
              <w:rPr>
                <w:sz w:val="17"/>
                <w:szCs w:val="17"/>
                <w:color w:val="auto"/>
              </w:rPr>
            </w:pPr>
          </w:p>
        </w:tc>
        <w:tc>
          <w:tcPr>
            <w:tcW w:w="6420" w:type="dxa"/>
            <w:vAlign w:val="bottom"/>
            <w:tcBorders>
              <w:bottom w:val="single" w:sz="8" w:color="CCEEFF"/>
            </w:tcBorders>
            <w:gridSpan w:val="3"/>
          </w:tcPr>
          <w:p>
            <w:pPr>
              <w:ind w:left="300"/>
              <w:spacing w:after="0"/>
              <w:rPr>
                <w:sz w:val="20"/>
                <w:szCs w:val="20"/>
                <w:color w:val="auto"/>
              </w:rPr>
            </w:pPr>
            <w:r>
              <w:rPr>
                <w:rFonts w:ascii="Times New Roman" w:cs="Times New Roman" w:eastAsia="Times New Roman" w:hAnsi="Times New Roman"/>
                <w:sz w:val="16"/>
                <w:szCs w:val="16"/>
                <w:color w:val="auto"/>
              </w:rPr>
              <w:t>Ending balances</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68,694</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62,009</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68,694</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62,009</w:t>
            </w:r>
          </w:p>
        </w:tc>
        <w:tc>
          <w:tcPr>
            <w:tcW w:w="0" w:type="dxa"/>
            <w:vAlign w:val="bottom"/>
          </w:tcPr>
          <w:p>
            <w:pPr>
              <w:spacing w:after="0"/>
              <w:rPr>
                <w:sz w:val="1"/>
                <w:szCs w:val="1"/>
                <w:color w:val="auto"/>
              </w:rPr>
            </w:pPr>
          </w:p>
        </w:tc>
      </w:tr>
      <w:tr>
        <w:trPr>
          <w:trHeight w:val="199"/>
        </w:trPr>
        <w:tc>
          <w:tcPr>
            <w:tcW w:w="64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642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Beginning balances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2,279,493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1,733,572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1,824,216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1,609,155</w:t>
            </w:r>
          </w:p>
        </w:tc>
        <w:tc>
          <w:tcPr>
            <w:tcW w:w="0" w:type="dxa"/>
            <w:vAlign w:val="bottom"/>
          </w:tcPr>
          <w:p>
            <w:pPr>
              <w:spacing w:after="0"/>
              <w:rPr>
                <w:sz w:val="1"/>
                <w:szCs w:val="1"/>
                <w:color w:val="auto"/>
              </w:rPr>
            </w:pPr>
          </w:p>
        </w:tc>
      </w:tr>
      <w:tr>
        <w:trPr>
          <w:trHeight w:val="219"/>
        </w:trPr>
        <w:tc>
          <w:tcPr>
            <w:tcW w:w="60" w:type="dxa"/>
            <w:vAlign w:val="bottom"/>
            <w:shd w:val="clear" w:color="auto" w:fill="CCEEFF"/>
          </w:tcPr>
          <w:p>
            <w:pPr>
              <w:spacing w:after="0"/>
              <w:rPr>
                <w:sz w:val="19"/>
                <w:szCs w:val="19"/>
                <w:color w:val="auto"/>
              </w:rPr>
            </w:pPr>
          </w:p>
        </w:tc>
        <w:tc>
          <w:tcPr>
            <w:tcW w:w="6420" w:type="dxa"/>
            <w:vAlign w:val="bottom"/>
            <w:gridSpan w:val="3"/>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Common stock issuances</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90,317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459,034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214,734</w:t>
            </w:r>
          </w:p>
        </w:tc>
        <w:tc>
          <w:tcPr>
            <w:tcW w:w="0" w:type="dxa"/>
            <w:vAlign w:val="bottom"/>
          </w:tcPr>
          <w:p>
            <w:pPr>
              <w:spacing w:after="0"/>
              <w:rPr>
                <w:sz w:val="1"/>
                <w:szCs w:val="1"/>
                <w:color w:val="auto"/>
              </w:rPr>
            </w:pPr>
          </w:p>
        </w:tc>
      </w:tr>
      <w:tr>
        <w:trPr>
          <w:trHeight w:val="207"/>
        </w:trPr>
        <w:tc>
          <w:tcPr>
            <w:tcW w:w="60" w:type="dxa"/>
            <w:vAlign w:val="bottom"/>
            <w:tcBorders>
              <w:bottom w:val="single" w:sz="8" w:color="CCEEFF"/>
            </w:tcBorders>
          </w:tcPr>
          <w:p>
            <w:pPr>
              <w:spacing w:after="0"/>
              <w:rPr>
                <w:sz w:val="17"/>
                <w:szCs w:val="17"/>
                <w:color w:val="auto"/>
              </w:rPr>
            </w:pPr>
          </w:p>
        </w:tc>
        <w:tc>
          <w:tcPr>
            <w:tcW w:w="6420" w:type="dxa"/>
            <w:vAlign w:val="bottom"/>
            <w:tcBorders>
              <w:bottom w:val="single" w:sz="8" w:color="CCEEFF"/>
            </w:tcBorders>
            <w:gridSpan w:val="3"/>
          </w:tcPr>
          <w:p>
            <w:pPr>
              <w:ind w:left="300"/>
              <w:spacing w:after="0"/>
              <w:rPr>
                <w:sz w:val="20"/>
                <w:szCs w:val="20"/>
                <w:color w:val="auto"/>
              </w:rPr>
            </w:pPr>
            <w:r>
              <w:rPr>
                <w:rFonts w:ascii="Times New Roman" w:cs="Times New Roman" w:eastAsia="Times New Roman" w:hAnsi="Times New Roman"/>
                <w:sz w:val="16"/>
                <w:szCs w:val="16"/>
                <w:color w:val="auto"/>
              </w:rPr>
              <w:t>Ending balances</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2,283,250</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1,823,889</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2,283,250</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1,823,889</w:t>
            </w:r>
          </w:p>
        </w:tc>
        <w:tc>
          <w:tcPr>
            <w:tcW w:w="0" w:type="dxa"/>
            <w:vAlign w:val="bottom"/>
          </w:tcPr>
          <w:p>
            <w:pPr>
              <w:spacing w:after="0"/>
              <w:rPr>
                <w:sz w:val="1"/>
                <w:szCs w:val="1"/>
                <w:color w:val="auto"/>
              </w:rPr>
            </w:pPr>
          </w:p>
        </w:tc>
      </w:tr>
      <w:tr>
        <w:trPr>
          <w:trHeight w:val="199"/>
        </w:trPr>
        <w:tc>
          <w:tcPr>
            <w:tcW w:w="64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642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Beginning balances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(45,528)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(55,688)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(46,761)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(61,003)</w:t>
            </w:r>
          </w:p>
        </w:tc>
        <w:tc>
          <w:tcPr>
            <w:tcW w:w="0" w:type="dxa"/>
            <w:vAlign w:val="bottom"/>
          </w:tcPr>
          <w:p>
            <w:pPr>
              <w:spacing w:after="0"/>
              <w:rPr>
                <w:sz w:val="1"/>
                <w:szCs w:val="1"/>
                <w:color w:val="auto"/>
              </w:rPr>
            </w:pPr>
          </w:p>
        </w:tc>
      </w:tr>
      <w:tr>
        <w:trPr>
          <w:trHeight w:val="219"/>
        </w:trPr>
        <w:tc>
          <w:tcPr>
            <w:tcW w:w="60" w:type="dxa"/>
            <w:vAlign w:val="bottom"/>
            <w:shd w:val="clear" w:color="auto" w:fill="CCEEFF"/>
          </w:tcPr>
          <w:p>
            <w:pPr>
              <w:spacing w:after="0"/>
              <w:rPr>
                <w:sz w:val="19"/>
                <w:szCs w:val="19"/>
                <w:color w:val="auto"/>
              </w:rPr>
            </w:pPr>
          </w:p>
        </w:tc>
        <w:tc>
          <w:tcPr>
            <w:tcW w:w="6420" w:type="dxa"/>
            <w:vAlign w:val="bottom"/>
            <w:gridSpan w:val="3"/>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Foreign currency exchange translation adjustment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(7,263)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w:t>
            </w:r>
          </w:p>
        </w:tc>
        <w:tc>
          <w:tcPr>
            <w:tcW w:w="0" w:type="dxa"/>
            <w:vAlign w:val="bottom"/>
          </w:tcPr>
          <w:p>
            <w:pPr>
              <w:spacing w:after="0"/>
              <w:rPr>
                <w:sz w:val="1"/>
                <w:szCs w:val="1"/>
                <w:color w:val="auto"/>
              </w:rPr>
            </w:pPr>
          </w:p>
        </w:tc>
      </w:tr>
      <w:tr>
        <w:trPr>
          <w:trHeight w:val="162"/>
        </w:trPr>
        <w:tc>
          <w:tcPr>
            <w:tcW w:w="60" w:type="dxa"/>
            <w:vAlign w:val="bottom"/>
          </w:tcPr>
          <w:p>
            <w:pPr>
              <w:spacing w:after="0"/>
              <w:rPr>
                <w:sz w:val="14"/>
                <w:szCs w:val="14"/>
                <w:color w:val="auto"/>
              </w:rPr>
            </w:pPr>
          </w:p>
        </w:tc>
        <w:tc>
          <w:tcPr>
            <w:tcW w:w="6420" w:type="dxa"/>
            <w:vAlign w:val="bottom"/>
            <w:gridSpan w:val="3"/>
          </w:tcPr>
          <w:p>
            <w:pPr>
              <w:ind w:left="900"/>
              <w:spacing w:after="0" w:line="162" w:lineRule="exact"/>
              <w:rPr>
                <w:sz w:val="20"/>
                <w:szCs w:val="20"/>
                <w:color w:val="auto"/>
              </w:rPr>
            </w:pPr>
            <w:r>
              <w:rPr>
                <w:rFonts w:ascii="Times New Roman" w:cs="Times New Roman" w:eastAsia="Times New Roman" w:hAnsi="Times New Roman"/>
                <w:sz w:val="16"/>
                <w:szCs w:val="16"/>
                <w:color w:val="auto"/>
              </w:rPr>
              <w:t>Net actuarial gain arising during period, less amortization of unamortized benefit</w:t>
            </w:r>
          </w:p>
        </w:tc>
        <w:tc>
          <w:tcPr>
            <w:tcW w:w="26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1,126</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1,380</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3,376</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4,136</w:t>
            </w: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6420" w:type="dxa"/>
            <w:vAlign w:val="bottom"/>
            <w:gridSpan w:val="3"/>
          </w:tcPr>
          <w:p>
            <w:pPr>
              <w:ind w:left="1060"/>
              <w:spacing w:after="0"/>
              <w:rPr>
                <w:sz w:val="20"/>
                <w:szCs w:val="20"/>
                <w:color w:val="auto"/>
              </w:rPr>
            </w:pPr>
            <w:r>
              <w:rPr>
                <w:rFonts w:ascii="Times New Roman" w:cs="Times New Roman" w:eastAsia="Times New Roman" w:hAnsi="Times New Roman"/>
                <w:sz w:val="16"/>
                <w:szCs w:val="16"/>
                <w:color w:val="auto"/>
              </w:rPr>
              <w:t>plan cost, net of tax</w:t>
            </w:r>
          </w:p>
        </w:tc>
        <w:tc>
          <w:tcPr>
            <w:tcW w:w="2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0" w:type="dxa"/>
            <w:vAlign w:val="bottom"/>
            <w:shd w:val="clear" w:color="auto" w:fill="CCEEFF"/>
          </w:tcPr>
          <w:p>
            <w:pPr>
              <w:spacing w:after="0"/>
              <w:rPr>
                <w:sz w:val="19"/>
                <w:szCs w:val="19"/>
                <w:color w:val="auto"/>
              </w:rPr>
            </w:pPr>
          </w:p>
        </w:tc>
        <w:tc>
          <w:tcPr>
            <w:tcW w:w="6420" w:type="dxa"/>
            <w:vAlign w:val="bottom"/>
            <w:gridSpan w:val="3"/>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FSIRS amounts reclassified to net income, net of tax</w:t>
            </w: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1,240</w:t>
            </w:r>
          </w:p>
        </w:tc>
        <w:tc>
          <w:tcPr>
            <w:tcW w:w="0" w:type="dxa"/>
            <w:vAlign w:val="bottom"/>
          </w:tcPr>
          <w:p>
            <w:pPr>
              <w:spacing w:after="0"/>
              <w:rPr>
                <w:sz w:val="1"/>
                <w:szCs w:val="1"/>
                <w:color w:val="auto"/>
              </w:rPr>
            </w:pPr>
          </w:p>
        </w:tc>
      </w:tr>
      <w:tr>
        <w:trPr>
          <w:trHeight w:val="207"/>
        </w:trPr>
        <w:tc>
          <w:tcPr>
            <w:tcW w:w="60" w:type="dxa"/>
            <w:vAlign w:val="bottom"/>
            <w:tcBorders>
              <w:bottom w:val="single" w:sz="8" w:color="CCEEFF"/>
            </w:tcBorders>
          </w:tcPr>
          <w:p>
            <w:pPr>
              <w:spacing w:after="0"/>
              <w:rPr>
                <w:sz w:val="17"/>
                <w:szCs w:val="17"/>
                <w:color w:val="auto"/>
              </w:rPr>
            </w:pPr>
          </w:p>
        </w:tc>
        <w:tc>
          <w:tcPr>
            <w:tcW w:w="6420" w:type="dxa"/>
            <w:vAlign w:val="bottom"/>
            <w:tcBorders>
              <w:bottom w:val="single" w:sz="8" w:color="CCEEFF"/>
            </w:tcBorders>
            <w:gridSpan w:val="3"/>
          </w:tcPr>
          <w:p>
            <w:pPr>
              <w:ind w:left="300"/>
              <w:spacing w:after="0"/>
              <w:rPr>
                <w:sz w:val="20"/>
                <w:szCs w:val="20"/>
                <w:color w:val="auto"/>
              </w:rPr>
            </w:pPr>
            <w:r>
              <w:rPr>
                <w:rFonts w:ascii="Times New Roman" w:cs="Times New Roman" w:eastAsia="Times New Roman" w:hAnsi="Times New Roman"/>
                <w:sz w:val="16"/>
                <w:szCs w:val="16"/>
                <w:color w:val="auto"/>
              </w:rPr>
              <w:t>Ending balances</w:t>
            </w:r>
          </w:p>
        </w:tc>
        <w:tc>
          <w:tcPr>
            <w:tcW w:w="2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(50,232)</w:t>
            </w:r>
          </w:p>
        </w:tc>
        <w:tc>
          <w:tcPr>
            <w:tcW w:w="10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(55,951)</w:t>
            </w:r>
          </w:p>
        </w:tc>
        <w:tc>
          <w:tcPr>
            <w:tcW w:w="12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(50,232)</w:t>
            </w:r>
          </w:p>
        </w:tc>
        <w:tc>
          <w:tcPr>
            <w:tcW w:w="12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(55,951)</w:t>
            </w:r>
          </w:p>
        </w:tc>
        <w:tc>
          <w:tcPr>
            <w:tcW w:w="0" w:type="dxa"/>
            <w:vAlign w:val="bottom"/>
          </w:tcPr>
          <w:p>
            <w:pPr>
              <w:spacing w:after="0"/>
              <w:rPr>
                <w:sz w:val="1"/>
                <w:szCs w:val="1"/>
                <w:color w:val="auto"/>
              </w:rPr>
            </w:pPr>
          </w:p>
        </w:tc>
      </w:tr>
      <w:tr>
        <w:trPr>
          <w:trHeight w:val="199"/>
        </w:trPr>
        <w:tc>
          <w:tcPr>
            <w:tcW w:w="64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Retained earnings</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642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Beginning balances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1,156,253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1,108,279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1,114,313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1,067,978</w:t>
            </w:r>
          </w:p>
        </w:tc>
        <w:tc>
          <w:tcPr>
            <w:tcW w:w="0" w:type="dxa"/>
            <w:vAlign w:val="bottom"/>
          </w:tcPr>
          <w:p>
            <w:pPr>
              <w:spacing w:after="0"/>
              <w:rPr>
                <w:sz w:val="1"/>
                <w:szCs w:val="1"/>
                <w:color w:val="auto"/>
              </w:rPr>
            </w:pPr>
          </w:p>
        </w:tc>
      </w:tr>
      <w:tr>
        <w:trPr>
          <w:trHeight w:val="219"/>
        </w:trPr>
        <w:tc>
          <w:tcPr>
            <w:tcW w:w="60" w:type="dxa"/>
            <w:vAlign w:val="bottom"/>
            <w:shd w:val="clear" w:color="auto" w:fill="CCEEFF"/>
          </w:tcPr>
          <w:p>
            <w:pPr>
              <w:spacing w:after="0"/>
              <w:rPr>
                <w:sz w:val="19"/>
                <w:szCs w:val="19"/>
                <w:color w:val="auto"/>
              </w:rPr>
            </w:pPr>
          </w:p>
        </w:tc>
        <w:tc>
          <w:tcPr>
            <w:tcW w:w="6420" w:type="dxa"/>
            <w:vAlign w:val="bottom"/>
            <w:gridSpan w:val="3"/>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Net income (loss)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(12,309)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(11,576)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77,294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130,836</w:t>
            </w: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6420" w:type="dxa"/>
            <w:vAlign w:val="bottom"/>
            <w:gridSpan w:val="3"/>
          </w:tcPr>
          <w:p>
            <w:pPr>
              <w:ind w:left="900"/>
              <w:spacing w:after="0"/>
              <w:rPr>
                <w:sz w:val="20"/>
                <w:szCs w:val="20"/>
                <w:color w:val="auto"/>
              </w:rPr>
            </w:pPr>
            <w:r>
              <w:rPr>
                <w:rFonts w:ascii="Times New Roman" w:cs="Times New Roman" w:eastAsia="Times New Roman" w:hAnsi="Times New Roman"/>
                <w:sz w:val="16"/>
                <w:szCs w:val="16"/>
                <w:color w:val="auto"/>
              </w:rPr>
              <w:t>Dividends declared</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(41,696)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(36,098)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(125,337)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(106,303)</w:t>
            </w:r>
          </w:p>
        </w:tc>
        <w:tc>
          <w:tcPr>
            <w:tcW w:w="0" w:type="dxa"/>
            <w:vAlign w:val="bottom"/>
          </w:tcPr>
          <w:p>
            <w:pPr>
              <w:spacing w:after="0"/>
              <w:rPr>
                <w:sz w:val="1"/>
                <w:szCs w:val="1"/>
                <w:color w:val="auto"/>
              </w:rPr>
            </w:pPr>
          </w:p>
        </w:tc>
      </w:tr>
      <w:tr>
        <w:trPr>
          <w:trHeight w:val="219"/>
        </w:trPr>
        <w:tc>
          <w:tcPr>
            <w:tcW w:w="60" w:type="dxa"/>
            <w:vAlign w:val="bottom"/>
            <w:shd w:val="clear" w:color="auto" w:fill="CCEEFF"/>
          </w:tcPr>
          <w:p>
            <w:pPr>
              <w:spacing w:after="0"/>
              <w:rPr>
                <w:sz w:val="19"/>
                <w:szCs w:val="19"/>
                <w:color w:val="auto"/>
              </w:rPr>
            </w:pPr>
          </w:p>
        </w:tc>
        <w:tc>
          <w:tcPr>
            <w:tcW w:w="6420" w:type="dxa"/>
            <w:vAlign w:val="bottom"/>
            <w:gridSpan w:val="3"/>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Redemption value adjustments</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8,955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19,264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44,933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(12,642)</w:t>
            </w:r>
          </w:p>
        </w:tc>
        <w:tc>
          <w:tcPr>
            <w:tcW w:w="0" w:type="dxa"/>
            <w:vAlign w:val="bottom"/>
          </w:tcPr>
          <w:p>
            <w:pPr>
              <w:spacing w:after="0"/>
              <w:rPr>
                <w:sz w:val="1"/>
                <w:szCs w:val="1"/>
                <w:color w:val="auto"/>
              </w:rPr>
            </w:pPr>
          </w:p>
        </w:tc>
      </w:tr>
      <w:tr>
        <w:trPr>
          <w:trHeight w:val="207"/>
        </w:trPr>
        <w:tc>
          <w:tcPr>
            <w:tcW w:w="60" w:type="dxa"/>
            <w:vAlign w:val="bottom"/>
            <w:tcBorders>
              <w:bottom w:val="single" w:sz="8" w:color="CCEEFF"/>
            </w:tcBorders>
          </w:tcPr>
          <w:p>
            <w:pPr>
              <w:spacing w:after="0"/>
              <w:rPr>
                <w:sz w:val="17"/>
                <w:szCs w:val="17"/>
                <w:color w:val="auto"/>
              </w:rPr>
            </w:pPr>
          </w:p>
        </w:tc>
        <w:tc>
          <w:tcPr>
            <w:tcW w:w="6420" w:type="dxa"/>
            <w:vAlign w:val="bottom"/>
            <w:tcBorders>
              <w:bottom w:val="single" w:sz="8" w:color="CCEEFF"/>
            </w:tcBorders>
            <w:gridSpan w:val="3"/>
          </w:tcPr>
          <w:p>
            <w:pPr>
              <w:ind w:left="300"/>
              <w:spacing w:after="0"/>
              <w:rPr>
                <w:sz w:val="20"/>
                <w:szCs w:val="20"/>
                <w:color w:val="auto"/>
              </w:rPr>
            </w:pPr>
            <w:r>
              <w:rPr>
                <w:rFonts w:ascii="Times New Roman" w:cs="Times New Roman" w:eastAsia="Times New Roman" w:hAnsi="Times New Roman"/>
                <w:sz w:val="16"/>
                <w:szCs w:val="16"/>
                <w:color w:val="auto"/>
              </w:rPr>
              <w:t>Ending balances</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1,111,203</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1,079,869</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1,111,203</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1,079,869</w:t>
            </w:r>
          </w:p>
        </w:tc>
        <w:tc>
          <w:tcPr>
            <w:tcW w:w="0" w:type="dxa"/>
            <w:vAlign w:val="bottom"/>
          </w:tcPr>
          <w:p>
            <w:pPr>
              <w:spacing w:after="0"/>
              <w:rPr>
                <w:sz w:val="1"/>
                <w:szCs w:val="1"/>
                <w:color w:val="auto"/>
              </w:rPr>
            </w:pPr>
          </w:p>
        </w:tc>
      </w:tr>
      <w:tr>
        <w:trPr>
          <w:trHeight w:val="237"/>
        </w:trPr>
        <w:tc>
          <w:tcPr>
            <w:tcW w:w="648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equity ending balances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3,412,915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2,909,816</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3,412,915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2,909,816</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tcBorders>
            <w:gridSpan w:val="4"/>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48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Dividends declared per common share</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0.62</w:t>
            </w: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0.595</w:t>
            </w:r>
          </w:p>
        </w:tc>
        <w:tc>
          <w:tcPr>
            <w:tcW w:w="120" w:type="dxa"/>
            <w:vAlign w:val="bottom"/>
          </w:tcPr>
          <w:p>
            <w:pPr>
              <w:spacing w:after="0"/>
              <w:rPr>
                <w:sz w:val="16"/>
                <w:szCs w:val="16"/>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12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1.785</w:t>
            </w: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3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7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Form 10-Q</w:t>
            </w:r>
          </w:p>
        </w:tc>
        <w:tc>
          <w:tcPr>
            <w:tcW w:w="0" w:type="dxa"/>
            <w:vAlign w:val="bottom"/>
          </w:tcPr>
          <w:p>
            <w:pPr>
              <w:spacing w:after="0"/>
              <w:rPr>
                <w:sz w:val="1"/>
                <w:szCs w:val="1"/>
                <w:color w:val="auto"/>
              </w:rPr>
            </w:pPr>
          </w:p>
        </w:tc>
      </w:tr>
      <w:tr>
        <w:trPr>
          <w:trHeight w:val="210"/>
        </w:trPr>
        <w:tc>
          <w:tcPr>
            <w:tcW w:w="290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SOUTHWEST GAS CORPORATION</w:t>
            </w:r>
          </w:p>
        </w:tc>
        <w:tc>
          <w:tcPr>
            <w:tcW w:w="472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September 30, 2022</w:t>
            </w:r>
          </w:p>
        </w:tc>
        <w:tc>
          <w:tcPr>
            <w:tcW w:w="0" w:type="dxa"/>
            <w:vAlign w:val="bottom"/>
          </w:tcPr>
          <w:p>
            <w:pPr>
              <w:spacing w:after="0"/>
              <w:rPr>
                <w:sz w:val="1"/>
                <w:szCs w:val="1"/>
                <w:color w:val="auto"/>
              </w:rPr>
            </w:pPr>
          </w:p>
        </w:tc>
      </w:tr>
      <w:tr>
        <w:trPr>
          <w:trHeight w:val="866"/>
        </w:trPr>
        <w:tc>
          <w:tcPr>
            <w:tcW w:w="120" w:type="dxa"/>
            <w:vAlign w:val="bottom"/>
            <w:tcBorders>
              <w:top w:val="single" w:sz="8" w:color="auto"/>
            </w:tcBorders>
          </w:tcPr>
          <w:p>
            <w:pPr>
              <w:spacing w:after="0"/>
              <w:rPr>
                <w:sz w:val="24"/>
                <w:szCs w:val="24"/>
                <w:color w:val="auto"/>
              </w:rPr>
            </w:pPr>
          </w:p>
        </w:tc>
        <w:tc>
          <w:tcPr>
            <w:tcW w:w="2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94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color w:val="auto"/>
                <w:w w:val="99"/>
              </w:rPr>
              <w:t>SOUTHWEST GAS CORPORATION AND SUBSIDIARIES</w:t>
            </w: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20" w:type="dxa"/>
            <w:vAlign w:val="bottom"/>
            <w:gridSpan w:val="2"/>
          </w:tcPr>
          <w:p>
            <w:pPr>
              <w:jc w:val="center"/>
              <w:ind w:left="530"/>
              <w:spacing w:after="0"/>
              <w:rPr>
                <w:sz w:val="20"/>
                <w:szCs w:val="20"/>
                <w:color w:val="auto"/>
              </w:rPr>
            </w:pPr>
            <w:r>
              <w:rPr>
                <w:rFonts w:ascii="Times New Roman" w:cs="Times New Roman" w:eastAsia="Times New Roman" w:hAnsi="Times New Roman"/>
                <w:sz w:val="18"/>
                <w:szCs w:val="18"/>
                <w:color w:val="auto"/>
                <w:w w:val="99"/>
              </w:rPr>
              <w:t>CONDENSED CONSOLIDATED BALANCE SHEETS</w:t>
            </w: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20" w:type="dxa"/>
            <w:vAlign w:val="bottom"/>
            <w:gridSpan w:val="2"/>
          </w:tcPr>
          <w:p>
            <w:pPr>
              <w:jc w:val="center"/>
              <w:ind w:left="510"/>
              <w:spacing w:after="0"/>
              <w:rPr>
                <w:sz w:val="20"/>
                <w:szCs w:val="20"/>
                <w:color w:val="auto"/>
              </w:rPr>
            </w:pPr>
            <w:r>
              <w:rPr>
                <w:rFonts w:ascii="Times New Roman" w:cs="Times New Roman" w:eastAsia="Times New Roman" w:hAnsi="Times New Roman"/>
                <w:sz w:val="18"/>
                <w:szCs w:val="18"/>
                <w:color w:val="auto"/>
              </w:rPr>
              <w:t>(Thousands of dollars)</w:t>
            </w: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20" w:type="dxa"/>
            <w:vAlign w:val="bottom"/>
            <w:gridSpan w:val="2"/>
          </w:tcPr>
          <w:p>
            <w:pPr>
              <w:jc w:val="center"/>
              <w:ind w:left="510"/>
              <w:spacing w:after="0"/>
              <w:rPr>
                <w:sz w:val="20"/>
                <w:szCs w:val="20"/>
                <w:color w:val="auto"/>
              </w:rPr>
            </w:pPr>
            <w:r>
              <w:rPr>
                <w:rFonts w:ascii="Times New Roman" w:cs="Times New Roman" w:eastAsia="Times New Roman" w:hAnsi="Times New Roman"/>
                <w:sz w:val="18"/>
                <w:szCs w:val="18"/>
                <w:color w:val="auto"/>
              </w:rPr>
              <w:t>(Unaudited)</w:t>
            </w: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0"/>
        </w:trPr>
        <w:tc>
          <w:tcPr>
            <w:tcW w:w="1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September 30, 2022</w:t>
            </w:r>
          </w:p>
        </w:tc>
        <w:tc>
          <w:tcPr>
            <w:tcW w:w="180" w:type="dxa"/>
            <w:vAlign w:val="bottom"/>
          </w:tcPr>
          <w:p>
            <w:pPr>
              <w:spacing w:after="0"/>
              <w:rPr>
                <w:sz w:val="24"/>
                <w:szCs w:val="24"/>
                <w:color w:val="auto"/>
              </w:rPr>
            </w:pPr>
          </w:p>
        </w:tc>
        <w:tc>
          <w:tcPr>
            <w:tcW w:w="15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December 31, 2021</w:t>
            </w:r>
          </w:p>
        </w:tc>
        <w:tc>
          <w:tcPr>
            <w:tcW w:w="0" w:type="dxa"/>
            <w:vAlign w:val="bottom"/>
          </w:tcPr>
          <w:p>
            <w:pPr>
              <w:spacing w:after="0"/>
              <w:rPr>
                <w:sz w:val="1"/>
                <w:szCs w:val="1"/>
                <w:color w:val="auto"/>
              </w:rPr>
            </w:pPr>
          </w:p>
        </w:tc>
      </w:tr>
      <w:tr>
        <w:trPr>
          <w:trHeight w:val="23"/>
        </w:trPr>
        <w:tc>
          <w:tcPr>
            <w:tcW w:w="120" w:type="dxa"/>
            <w:vAlign w:val="bottom"/>
          </w:tcPr>
          <w:p>
            <w:pPr>
              <w:spacing w:after="0"/>
              <w:rPr>
                <w:sz w:val="2"/>
                <w:szCs w:val="2"/>
                <w:color w:val="auto"/>
              </w:rPr>
            </w:pPr>
          </w:p>
        </w:tc>
        <w:tc>
          <w:tcPr>
            <w:tcW w:w="7480" w:type="dxa"/>
            <w:vAlign w:val="bottom"/>
            <w:tcBorders>
              <w:bottom w:val="single" w:sz="8" w:color="CCEEFF"/>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74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120" w:type="dxa"/>
            <w:vAlign w:val="bottom"/>
          </w:tcPr>
          <w:p>
            <w:pPr>
              <w:spacing w:after="0"/>
              <w:rPr>
                <w:sz w:val="16"/>
                <w:szCs w:val="16"/>
                <w:color w:val="auto"/>
              </w:rPr>
            </w:pPr>
          </w:p>
        </w:tc>
        <w:tc>
          <w:tcPr>
            <w:tcW w:w="750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Regulated operations plant:</w:t>
            </w: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750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Gas plant</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9,259,486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8,901,575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20" w:type="dxa"/>
            <w:vAlign w:val="bottom"/>
          </w:tcPr>
          <w:p>
            <w:pPr>
              <w:spacing w:after="0"/>
              <w:rPr>
                <w:sz w:val="16"/>
                <w:szCs w:val="16"/>
                <w:color w:val="auto"/>
              </w:rPr>
            </w:pPr>
          </w:p>
        </w:tc>
        <w:tc>
          <w:tcPr>
            <w:tcW w:w="7500" w:type="dxa"/>
            <w:vAlign w:val="bottom"/>
            <w:gridSpan w:val="4"/>
          </w:tcPr>
          <w:p>
            <w:pPr>
              <w:ind w:left="340"/>
              <w:spacing w:after="0"/>
              <w:rPr>
                <w:sz w:val="20"/>
                <w:szCs w:val="20"/>
                <w:color w:val="auto"/>
              </w:rPr>
            </w:pPr>
            <w:r>
              <w:rPr>
                <w:rFonts w:ascii="Times New Roman" w:cs="Times New Roman" w:eastAsia="Times New Roman" w:hAnsi="Times New Roman"/>
                <w:sz w:val="14"/>
                <w:szCs w:val="14"/>
                <w:color w:val="auto"/>
              </w:rPr>
              <w:t>Less: accumulated depreciation</w:t>
            </w:r>
          </w:p>
        </w:tc>
        <w:tc>
          <w:tcPr>
            <w:tcW w:w="2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(2,641,407)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(2,538,508)</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750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Construction work in progress</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241,457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183,485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20" w:type="dxa"/>
            <w:vAlign w:val="bottom"/>
          </w:tcPr>
          <w:p>
            <w:pPr>
              <w:spacing w:after="0"/>
              <w:rPr>
                <w:sz w:val="16"/>
                <w:szCs w:val="16"/>
                <w:color w:val="auto"/>
              </w:rPr>
            </w:pPr>
          </w:p>
        </w:tc>
        <w:tc>
          <w:tcPr>
            <w:tcW w:w="7480" w:type="dxa"/>
            <w:vAlign w:val="bottom"/>
            <w:tcBorders>
              <w:bottom w:val="single" w:sz="8" w:color="CCEEFF"/>
            </w:tcBorders>
            <w:gridSpan w:val="3"/>
          </w:tcPr>
          <w:p>
            <w:pPr>
              <w:ind w:left="660"/>
              <w:spacing w:after="0"/>
              <w:rPr>
                <w:sz w:val="20"/>
                <w:szCs w:val="20"/>
                <w:color w:val="auto"/>
              </w:rPr>
            </w:pPr>
            <w:r>
              <w:rPr>
                <w:rFonts w:ascii="Times New Roman" w:cs="Times New Roman" w:eastAsia="Times New Roman" w:hAnsi="Times New Roman"/>
                <w:sz w:val="14"/>
                <w:szCs w:val="14"/>
                <w:color w:val="auto"/>
              </w:rPr>
              <w:t>Net regulated operations plant</w:t>
            </w:r>
          </w:p>
        </w:tc>
        <w:tc>
          <w:tcPr>
            <w:tcW w:w="20" w:type="dxa"/>
            <w:vAlign w:val="bottom"/>
            <w:tcBorders>
              <w:top w:val="single" w:sz="8" w:color="auto"/>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6,859,536</w:t>
            </w:r>
          </w:p>
        </w:tc>
        <w:tc>
          <w:tcPr>
            <w:tcW w:w="12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6,546,552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74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property and investments, net</w:t>
            </w:r>
          </w:p>
        </w:tc>
        <w:tc>
          <w:tcPr>
            <w:tcW w:w="2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145,561</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153,093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20" w:type="dxa"/>
            <w:vAlign w:val="bottom"/>
          </w:tcPr>
          <w:p>
            <w:pPr>
              <w:spacing w:after="0"/>
              <w:rPr>
                <w:sz w:val="15"/>
                <w:szCs w:val="15"/>
                <w:color w:val="auto"/>
              </w:rPr>
            </w:pPr>
          </w:p>
        </w:tc>
        <w:tc>
          <w:tcPr>
            <w:tcW w:w="74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750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25,151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38,691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20" w:type="dxa"/>
            <w:vAlign w:val="bottom"/>
          </w:tcPr>
          <w:p>
            <w:pPr>
              <w:spacing w:after="0"/>
              <w:rPr>
                <w:sz w:val="16"/>
                <w:szCs w:val="16"/>
                <w:color w:val="auto"/>
              </w:rPr>
            </w:pPr>
          </w:p>
        </w:tc>
        <w:tc>
          <w:tcPr>
            <w:tcW w:w="7500" w:type="dxa"/>
            <w:vAlign w:val="bottom"/>
            <w:gridSpan w:val="4"/>
          </w:tcPr>
          <w:p>
            <w:pPr>
              <w:ind w:left="340"/>
              <w:spacing w:after="0"/>
              <w:rPr>
                <w:sz w:val="20"/>
                <w:szCs w:val="20"/>
                <w:color w:val="auto"/>
              </w:rPr>
            </w:pPr>
            <w:r>
              <w:rPr>
                <w:rFonts w:ascii="Times New Roman" w:cs="Times New Roman" w:eastAsia="Times New Roman" w:hAnsi="Times New Roman"/>
                <w:sz w:val="14"/>
                <w:szCs w:val="14"/>
                <w:color w:val="auto"/>
              </w:rPr>
              <w:t>Accounts receivable, net of allowance</w:t>
            </w:r>
          </w:p>
        </w:tc>
        <w:tc>
          <w:tcPr>
            <w:tcW w:w="2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103,619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169,666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750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Accrued utility revenue</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41,300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84,900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20" w:type="dxa"/>
            <w:vAlign w:val="bottom"/>
          </w:tcPr>
          <w:p>
            <w:pPr>
              <w:spacing w:after="0"/>
              <w:rPr>
                <w:sz w:val="16"/>
                <w:szCs w:val="16"/>
                <w:color w:val="auto"/>
              </w:rPr>
            </w:pPr>
          </w:p>
        </w:tc>
        <w:tc>
          <w:tcPr>
            <w:tcW w:w="7500" w:type="dxa"/>
            <w:vAlign w:val="bottom"/>
            <w:gridSpan w:val="4"/>
          </w:tcPr>
          <w:p>
            <w:pPr>
              <w:ind w:left="340"/>
              <w:spacing w:after="0"/>
              <w:rPr>
                <w:sz w:val="20"/>
                <w:szCs w:val="20"/>
                <w:color w:val="auto"/>
              </w:rPr>
            </w:pPr>
            <w:r>
              <w:rPr>
                <w:rFonts w:ascii="Times New Roman" w:cs="Times New Roman" w:eastAsia="Times New Roman" w:hAnsi="Times New Roman"/>
                <w:sz w:val="14"/>
                <w:szCs w:val="14"/>
                <w:color w:val="auto"/>
              </w:rPr>
              <w:t>Income taxes receivable, net</w:t>
            </w:r>
          </w:p>
        </w:tc>
        <w:tc>
          <w:tcPr>
            <w:tcW w:w="2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7,826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750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Deferred purchased gas costs</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381,351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291,145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20" w:type="dxa"/>
            <w:vAlign w:val="bottom"/>
          </w:tcPr>
          <w:p>
            <w:pPr>
              <w:spacing w:after="0"/>
              <w:rPr>
                <w:sz w:val="16"/>
                <w:szCs w:val="16"/>
                <w:color w:val="auto"/>
              </w:rPr>
            </w:pPr>
          </w:p>
        </w:tc>
        <w:tc>
          <w:tcPr>
            <w:tcW w:w="7500" w:type="dxa"/>
            <w:vAlign w:val="bottom"/>
            <w:gridSpan w:val="4"/>
          </w:tcPr>
          <w:p>
            <w:pPr>
              <w:ind w:left="340"/>
              <w:spacing w:after="0"/>
              <w:rPr>
                <w:sz w:val="20"/>
                <w:szCs w:val="20"/>
                <w:color w:val="auto"/>
              </w:rPr>
            </w:pPr>
            <w:r>
              <w:rPr>
                <w:rFonts w:ascii="Times New Roman" w:cs="Times New Roman" w:eastAsia="Times New Roman" w:hAnsi="Times New Roman"/>
                <w:sz w:val="14"/>
                <w:szCs w:val="14"/>
                <w:color w:val="auto"/>
              </w:rPr>
              <w:t>Receivable from parent</w:t>
            </w:r>
          </w:p>
        </w:tc>
        <w:tc>
          <w:tcPr>
            <w:tcW w:w="2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750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Prepaid and other current assets</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243,297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242,243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20" w:type="dxa"/>
            <w:vAlign w:val="bottom"/>
          </w:tcPr>
          <w:p>
            <w:pPr>
              <w:spacing w:after="0"/>
              <w:rPr>
                <w:sz w:val="16"/>
                <w:szCs w:val="16"/>
                <w:color w:val="auto"/>
              </w:rPr>
            </w:pPr>
          </w:p>
        </w:tc>
        <w:tc>
          <w:tcPr>
            <w:tcW w:w="7480" w:type="dxa"/>
            <w:vAlign w:val="bottom"/>
            <w:tcBorders>
              <w:bottom w:val="single" w:sz="8" w:color="CCEEFF"/>
            </w:tcBorders>
            <w:gridSpan w:val="3"/>
          </w:tcPr>
          <w:p>
            <w:pPr>
              <w:ind w:left="660"/>
              <w:spacing w:after="0"/>
              <w:rPr>
                <w:sz w:val="20"/>
                <w:szCs w:val="20"/>
                <w:color w:val="auto"/>
              </w:rPr>
            </w:pPr>
            <w:r>
              <w:rPr>
                <w:rFonts w:ascii="Times New Roman" w:cs="Times New Roman" w:eastAsia="Times New Roman" w:hAnsi="Times New Roman"/>
                <w:sz w:val="14"/>
                <w:szCs w:val="14"/>
                <w:color w:val="auto"/>
              </w:rPr>
              <w:t>Total current assets</w:t>
            </w:r>
          </w:p>
        </w:tc>
        <w:tc>
          <w:tcPr>
            <w:tcW w:w="20" w:type="dxa"/>
            <w:vAlign w:val="bottom"/>
            <w:tcBorders>
              <w:top w:val="single" w:sz="8" w:color="auto"/>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797,432</w:t>
            </w:r>
          </w:p>
        </w:tc>
        <w:tc>
          <w:tcPr>
            <w:tcW w:w="12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835,502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74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Noncurrent assets:</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20" w:type="dxa"/>
            <w:vAlign w:val="bottom"/>
          </w:tcPr>
          <w:p>
            <w:pPr>
              <w:spacing w:after="0"/>
              <w:rPr>
                <w:sz w:val="16"/>
                <w:szCs w:val="16"/>
                <w:color w:val="auto"/>
              </w:rPr>
            </w:pPr>
          </w:p>
        </w:tc>
        <w:tc>
          <w:tcPr>
            <w:tcW w:w="7500" w:type="dxa"/>
            <w:vAlign w:val="bottom"/>
            <w:gridSpan w:val="4"/>
          </w:tcPr>
          <w:p>
            <w:pPr>
              <w:ind w:left="340"/>
              <w:spacing w:after="0"/>
              <w:rPr>
                <w:sz w:val="20"/>
                <w:szCs w:val="20"/>
                <w:color w:val="auto"/>
              </w:rPr>
            </w:pPr>
            <w:r>
              <w:rPr>
                <w:rFonts w:ascii="Times New Roman" w:cs="Times New Roman" w:eastAsia="Times New Roman" w:hAnsi="Times New Roman"/>
                <w:sz w:val="14"/>
                <w:szCs w:val="14"/>
                <w:color w:val="auto"/>
              </w:rPr>
              <w:t>Goodwill</w:t>
            </w:r>
          </w:p>
        </w:tc>
        <w:tc>
          <w:tcPr>
            <w:tcW w:w="2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10,095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10,095</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750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Deferred charges and other assets</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381,145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405,021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7480" w:type="dxa"/>
            <w:vAlign w:val="bottom"/>
            <w:tcBorders>
              <w:bottom w:val="single" w:sz="8" w:color="CCEEFF"/>
            </w:tcBorders>
            <w:gridSpan w:val="3"/>
          </w:tcPr>
          <w:p>
            <w:pPr>
              <w:ind w:left="660"/>
              <w:spacing w:after="0"/>
              <w:rPr>
                <w:sz w:val="20"/>
                <w:szCs w:val="20"/>
                <w:color w:val="auto"/>
              </w:rPr>
            </w:pPr>
            <w:r>
              <w:rPr>
                <w:rFonts w:ascii="Times New Roman" w:cs="Times New Roman" w:eastAsia="Times New Roman" w:hAnsi="Times New Roman"/>
                <w:sz w:val="14"/>
                <w:szCs w:val="14"/>
                <w:color w:val="auto"/>
              </w:rPr>
              <w:t>Total noncurrent assets</w:t>
            </w:r>
          </w:p>
        </w:tc>
        <w:tc>
          <w:tcPr>
            <w:tcW w:w="20" w:type="dxa"/>
            <w:vAlign w:val="bottom"/>
            <w:tcBorders>
              <w:top w:val="single" w:sz="8" w:color="auto"/>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391,240</w:t>
            </w:r>
          </w:p>
        </w:tc>
        <w:tc>
          <w:tcPr>
            <w:tcW w:w="12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415,116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75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8,193,769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7,950,263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748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CAPITALIZATION AND LIABILITIES</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20" w:type="dxa"/>
            <w:vAlign w:val="bottom"/>
          </w:tcPr>
          <w:p>
            <w:pPr>
              <w:spacing w:after="0"/>
              <w:rPr>
                <w:sz w:val="12"/>
                <w:szCs w:val="12"/>
                <w:color w:val="auto"/>
              </w:rPr>
            </w:pPr>
          </w:p>
        </w:tc>
        <w:tc>
          <w:tcPr>
            <w:tcW w:w="74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75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Capitalization:</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20" w:type="dxa"/>
            <w:vAlign w:val="bottom"/>
          </w:tcPr>
          <w:p>
            <w:pPr>
              <w:spacing w:after="0"/>
              <w:rPr>
                <w:sz w:val="16"/>
                <w:szCs w:val="16"/>
                <w:color w:val="auto"/>
              </w:rPr>
            </w:pPr>
          </w:p>
        </w:tc>
        <w:tc>
          <w:tcPr>
            <w:tcW w:w="7500" w:type="dxa"/>
            <w:vAlign w:val="bottom"/>
            <w:gridSpan w:val="4"/>
          </w:tcPr>
          <w:p>
            <w:pPr>
              <w:ind w:left="340"/>
              <w:spacing w:after="0"/>
              <w:rPr>
                <w:sz w:val="20"/>
                <w:szCs w:val="20"/>
                <w:color w:val="auto"/>
              </w:rPr>
            </w:pPr>
            <w:r>
              <w:rPr>
                <w:rFonts w:ascii="Times New Roman" w:cs="Times New Roman" w:eastAsia="Times New Roman" w:hAnsi="Times New Roman"/>
                <w:sz w:val="14"/>
                <w:szCs w:val="14"/>
                <w:color w:val="auto"/>
              </w:rPr>
              <w:t>Common stock</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49,112</w:t>
            </w:r>
          </w:p>
        </w:tc>
        <w:tc>
          <w:tcPr>
            <w:tcW w:w="12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49,112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750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1,622,620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1,618,911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20" w:type="dxa"/>
            <w:vAlign w:val="bottom"/>
          </w:tcPr>
          <w:p>
            <w:pPr>
              <w:spacing w:after="0"/>
              <w:rPr>
                <w:sz w:val="16"/>
                <w:szCs w:val="16"/>
                <w:color w:val="auto"/>
              </w:rPr>
            </w:pPr>
          </w:p>
        </w:tc>
        <w:tc>
          <w:tcPr>
            <w:tcW w:w="7500" w:type="dxa"/>
            <w:vAlign w:val="bottom"/>
            <w:gridSpan w:val="4"/>
          </w:tcPr>
          <w:p>
            <w:pPr>
              <w:ind w:left="340"/>
              <w:spacing w:after="0"/>
              <w:rPr>
                <w:sz w:val="20"/>
                <w:szCs w:val="20"/>
                <w:color w:val="auto"/>
              </w:rPr>
            </w:pPr>
            <w:r>
              <w:rPr>
                <w:rFonts w:ascii="Times New Roman" w:cs="Times New Roman" w:eastAsia="Times New Roman" w:hAnsi="Times New Roman"/>
                <w:sz w:val="14"/>
                <w:szCs w:val="14"/>
                <w:color w:val="auto"/>
              </w:rPr>
              <w:t>Accumulated other comprehensive loss, net</w:t>
            </w:r>
          </w:p>
        </w:tc>
        <w:tc>
          <w:tcPr>
            <w:tcW w:w="2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(43,121)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(46,913)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750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Retained earnings</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900,428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906,827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7480" w:type="dxa"/>
            <w:vAlign w:val="bottom"/>
            <w:gridSpan w:val="3"/>
          </w:tcPr>
          <w:p>
            <w:pPr>
              <w:ind w:left="660"/>
              <w:spacing w:after="0"/>
              <w:rPr>
                <w:sz w:val="20"/>
                <w:szCs w:val="20"/>
                <w:color w:val="auto"/>
              </w:rPr>
            </w:pPr>
            <w:r>
              <w:rPr>
                <w:rFonts w:ascii="Times New Roman" w:cs="Times New Roman" w:eastAsia="Times New Roman" w:hAnsi="Times New Roman"/>
                <w:sz w:val="14"/>
                <w:szCs w:val="14"/>
                <w:color w:val="auto"/>
              </w:rPr>
              <w:t>Total equity</w:t>
            </w:r>
          </w:p>
        </w:tc>
        <w:tc>
          <w:tcPr>
            <w:tcW w:w="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2,529,039</w:t>
            </w: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2,527,937</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750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Long-term debt, less current maturities</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3,042,082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2,440,603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7480" w:type="dxa"/>
            <w:vAlign w:val="bottom"/>
            <w:tcBorders>
              <w:bottom w:val="single" w:sz="8" w:color="CCEEFF"/>
            </w:tcBorders>
            <w:gridSpan w:val="3"/>
          </w:tcPr>
          <w:p>
            <w:pPr>
              <w:ind w:left="660"/>
              <w:spacing w:after="0"/>
              <w:rPr>
                <w:sz w:val="20"/>
                <w:szCs w:val="20"/>
                <w:color w:val="auto"/>
              </w:rPr>
            </w:pPr>
            <w:r>
              <w:rPr>
                <w:rFonts w:ascii="Times New Roman" w:cs="Times New Roman" w:eastAsia="Times New Roman" w:hAnsi="Times New Roman"/>
                <w:sz w:val="14"/>
                <w:szCs w:val="14"/>
                <w:color w:val="auto"/>
              </w:rPr>
              <w:t>Total capitalization</w:t>
            </w:r>
          </w:p>
        </w:tc>
        <w:tc>
          <w:tcPr>
            <w:tcW w:w="20" w:type="dxa"/>
            <w:vAlign w:val="bottom"/>
            <w:tcBorders>
              <w:top w:val="single" w:sz="8" w:color="auto"/>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5,571,121</w:t>
            </w:r>
          </w:p>
        </w:tc>
        <w:tc>
          <w:tcPr>
            <w:tcW w:w="12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4,968,540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74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20" w:type="dxa"/>
            <w:vAlign w:val="bottom"/>
          </w:tcPr>
          <w:p>
            <w:pPr>
              <w:spacing w:after="0"/>
              <w:rPr>
                <w:sz w:val="16"/>
                <w:szCs w:val="16"/>
                <w:color w:val="auto"/>
              </w:rPr>
            </w:pPr>
          </w:p>
        </w:tc>
        <w:tc>
          <w:tcPr>
            <w:tcW w:w="7500" w:type="dxa"/>
            <w:vAlign w:val="bottom"/>
            <w:gridSpan w:val="4"/>
          </w:tcPr>
          <w:p>
            <w:pPr>
              <w:ind w:left="340"/>
              <w:spacing w:after="0"/>
              <w:rPr>
                <w:sz w:val="20"/>
                <w:szCs w:val="20"/>
                <w:color w:val="auto"/>
              </w:rPr>
            </w:pPr>
            <w:r>
              <w:rPr>
                <w:rFonts w:ascii="Times New Roman" w:cs="Times New Roman" w:eastAsia="Times New Roman" w:hAnsi="Times New Roman"/>
                <w:sz w:val="14"/>
                <w:szCs w:val="14"/>
                <w:color w:val="auto"/>
              </w:rPr>
              <w:t>Current maturities of long-term debt</w:t>
            </w:r>
          </w:p>
        </w:tc>
        <w:tc>
          <w:tcPr>
            <w:tcW w:w="220" w:type="dxa"/>
            <w:vAlign w:val="bottom"/>
          </w:tcPr>
          <w:p>
            <w:pPr>
              <w:spacing w:after="0"/>
              <w:rPr>
                <w:sz w:val="16"/>
                <w:szCs w:val="16"/>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275,000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750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Short-term debt</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225,000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20" w:type="dxa"/>
            <w:vAlign w:val="bottom"/>
          </w:tcPr>
          <w:p>
            <w:pPr>
              <w:spacing w:after="0"/>
              <w:rPr>
                <w:sz w:val="16"/>
                <w:szCs w:val="16"/>
                <w:color w:val="auto"/>
              </w:rPr>
            </w:pPr>
          </w:p>
        </w:tc>
        <w:tc>
          <w:tcPr>
            <w:tcW w:w="7500" w:type="dxa"/>
            <w:vAlign w:val="bottom"/>
            <w:gridSpan w:val="4"/>
          </w:tcPr>
          <w:p>
            <w:pPr>
              <w:ind w:left="340"/>
              <w:spacing w:after="0"/>
              <w:rPr>
                <w:sz w:val="20"/>
                <w:szCs w:val="20"/>
                <w:color w:val="auto"/>
              </w:rPr>
            </w:pPr>
            <w:r>
              <w:rPr>
                <w:rFonts w:ascii="Times New Roman" w:cs="Times New Roman" w:eastAsia="Times New Roman" w:hAnsi="Times New Roman"/>
                <w:sz w:val="14"/>
                <w:szCs w:val="14"/>
                <w:color w:val="auto"/>
              </w:rPr>
              <w:t>Accounts payable</w:t>
            </w:r>
          </w:p>
        </w:tc>
        <w:tc>
          <w:tcPr>
            <w:tcW w:w="2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150,572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234,070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750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Customer deposits</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51,833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56,127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20" w:type="dxa"/>
            <w:vAlign w:val="bottom"/>
          </w:tcPr>
          <w:p>
            <w:pPr>
              <w:spacing w:after="0"/>
              <w:rPr>
                <w:sz w:val="16"/>
                <w:szCs w:val="16"/>
                <w:color w:val="auto"/>
              </w:rPr>
            </w:pPr>
          </w:p>
        </w:tc>
        <w:tc>
          <w:tcPr>
            <w:tcW w:w="7500" w:type="dxa"/>
            <w:vAlign w:val="bottom"/>
            <w:gridSpan w:val="4"/>
          </w:tcPr>
          <w:p>
            <w:pPr>
              <w:ind w:left="340"/>
              <w:spacing w:after="0"/>
              <w:rPr>
                <w:sz w:val="20"/>
                <w:szCs w:val="20"/>
                <w:color w:val="auto"/>
              </w:rPr>
            </w:pPr>
            <w:r>
              <w:rPr>
                <w:rFonts w:ascii="Times New Roman" w:cs="Times New Roman" w:eastAsia="Times New Roman" w:hAnsi="Times New Roman"/>
                <w:sz w:val="14"/>
                <w:szCs w:val="14"/>
                <w:color w:val="auto"/>
              </w:rPr>
              <w:t>Accrued general taxes</w:t>
            </w:r>
          </w:p>
        </w:tc>
        <w:tc>
          <w:tcPr>
            <w:tcW w:w="2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66,582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53,064</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750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Accrued interest</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30,685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7500" w:type="dxa"/>
            <w:vAlign w:val="bottom"/>
            <w:gridSpan w:val="4"/>
          </w:tcPr>
          <w:p>
            <w:pPr>
              <w:ind w:left="34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2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139,217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146,422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7480" w:type="dxa"/>
            <w:vAlign w:val="bottom"/>
            <w:tcBorders>
              <w:top w:val="single" w:sz="8" w:color="CCEEFF"/>
            </w:tcBorders>
            <w:gridSpan w:val="3"/>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663,889</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1,037,609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20" w:type="dxa"/>
            <w:vAlign w:val="bottom"/>
          </w:tcPr>
          <w:p>
            <w:pPr>
              <w:spacing w:after="0"/>
              <w:rPr>
                <w:sz w:val="15"/>
                <w:szCs w:val="15"/>
                <w:color w:val="auto"/>
              </w:rPr>
            </w:pPr>
          </w:p>
        </w:tc>
        <w:tc>
          <w:tcPr>
            <w:tcW w:w="74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Deferred income taxes and other credits:</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750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Deferred income taxes and investment tax credits, net</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666,604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638,828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20" w:type="dxa"/>
            <w:vAlign w:val="bottom"/>
          </w:tcPr>
          <w:p>
            <w:pPr>
              <w:spacing w:after="0"/>
              <w:rPr>
                <w:sz w:val="16"/>
                <w:szCs w:val="16"/>
                <w:color w:val="auto"/>
              </w:rPr>
            </w:pPr>
          </w:p>
        </w:tc>
        <w:tc>
          <w:tcPr>
            <w:tcW w:w="7500" w:type="dxa"/>
            <w:vAlign w:val="bottom"/>
            <w:gridSpan w:val="4"/>
          </w:tcPr>
          <w:p>
            <w:pPr>
              <w:ind w:left="340"/>
              <w:spacing w:after="0"/>
              <w:rPr>
                <w:sz w:val="20"/>
                <w:szCs w:val="20"/>
                <w:color w:val="auto"/>
              </w:rPr>
            </w:pPr>
            <w:r>
              <w:rPr>
                <w:rFonts w:ascii="Times New Roman" w:cs="Times New Roman" w:eastAsia="Times New Roman" w:hAnsi="Times New Roman"/>
                <w:sz w:val="14"/>
                <w:szCs w:val="14"/>
                <w:color w:val="auto"/>
              </w:rPr>
              <w:t>Accumulated removal costs</w:t>
            </w:r>
          </w:p>
        </w:tc>
        <w:tc>
          <w:tcPr>
            <w:tcW w:w="2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442,000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424,000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750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Other deferred credits and other long-term liabilities</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850,155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881,286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20" w:type="dxa"/>
            <w:vAlign w:val="bottom"/>
          </w:tcPr>
          <w:p>
            <w:pPr>
              <w:spacing w:after="0"/>
              <w:rPr>
                <w:sz w:val="16"/>
                <w:szCs w:val="16"/>
                <w:color w:val="auto"/>
              </w:rPr>
            </w:pPr>
          </w:p>
        </w:tc>
        <w:tc>
          <w:tcPr>
            <w:tcW w:w="7480" w:type="dxa"/>
            <w:vAlign w:val="bottom"/>
            <w:tcBorders>
              <w:bottom w:val="single" w:sz="8" w:color="CCEEFF"/>
            </w:tcBorders>
            <w:gridSpan w:val="3"/>
          </w:tcPr>
          <w:p>
            <w:pPr>
              <w:ind w:left="660"/>
              <w:spacing w:after="0"/>
              <w:rPr>
                <w:sz w:val="20"/>
                <w:szCs w:val="20"/>
                <w:color w:val="auto"/>
              </w:rPr>
            </w:pPr>
            <w:r>
              <w:rPr>
                <w:rFonts w:ascii="Times New Roman" w:cs="Times New Roman" w:eastAsia="Times New Roman" w:hAnsi="Times New Roman"/>
                <w:sz w:val="14"/>
                <w:szCs w:val="14"/>
                <w:color w:val="auto"/>
              </w:rPr>
              <w:t>Total deferred income taxes and other credits</w:t>
            </w:r>
          </w:p>
        </w:tc>
        <w:tc>
          <w:tcPr>
            <w:tcW w:w="20" w:type="dxa"/>
            <w:vAlign w:val="bottom"/>
            <w:tcBorders>
              <w:top w:val="single" w:sz="8" w:color="auto"/>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1,958,759</w:t>
            </w:r>
          </w:p>
        </w:tc>
        <w:tc>
          <w:tcPr>
            <w:tcW w:w="12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1,944,114</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20" w:type="dxa"/>
            <w:vAlign w:val="bottom"/>
          </w:tcPr>
          <w:p>
            <w:pPr>
              <w:spacing w:after="0"/>
              <w:rPr>
                <w:sz w:val="19"/>
                <w:szCs w:val="19"/>
                <w:color w:val="auto"/>
              </w:rPr>
            </w:pPr>
          </w:p>
        </w:tc>
        <w:tc>
          <w:tcPr>
            <w:tcW w:w="75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capitalization and liabilities</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8,193,769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7,950,263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7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3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124460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80" w:top="257" w:right="39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3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10"/>
        </w:trPr>
        <w:tc>
          <w:tcPr>
            <w:tcW w:w="60" w:type="dxa"/>
            <w:vAlign w:val="bottom"/>
          </w:tcPr>
          <w:p>
            <w:pPr>
              <w:spacing w:after="0"/>
              <w:rPr>
                <w:sz w:val="18"/>
                <w:szCs w:val="18"/>
                <w:color w:val="auto"/>
              </w:rPr>
            </w:pPr>
          </w:p>
        </w:tc>
        <w:tc>
          <w:tcPr>
            <w:tcW w:w="29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SOUTHWEST GAS CORPORATION</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September 30, 2022</w:t>
            </w:r>
          </w:p>
        </w:tc>
      </w:tr>
      <w:tr>
        <w:trPr>
          <w:trHeight w:val="866"/>
        </w:trPr>
        <w:tc>
          <w:tcPr>
            <w:tcW w:w="6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0" w:type="dxa"/>
            <w:vAlign w:val="bottom"/>
            <w:gridSpan w:val="11"/>
          </w:tcPr>
          <w:p>
            <w:pPr>
              <w:jc w:val="center"/>
              <w:spacing w:after="0"/>
              <w:rPr>
                <w:sz w:val="20"/>
                <w:szCs w:val="20"/>
                <w:color w:val="auto"/>
              </w:rPr>
            </w:pPr>
            <w:r>
              <w:rPr>
                <w:rFonts w:ascii="Times New Roman" w:cs="Times New Roman" w:eastAsia="Times New Roman" w:hAnsi="Times New Roman"/>
                <w:sz w:val="18"/>
                <w:szCs w:val="18"/>
                <w:color w:val="auto"/>
                <w:w w:val="99"/>
              </w:rPr>
              <w:t>SOUTHWEST GAS CORPORATION AND SUBSIDIARIES</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0" w:type="dxa"/>
            <w:vAlign w:val="bottom"/>
            <w:gridSpan w:val="11"/>
          </w:tcPr>
          <w:p>
            <w:pPr>
              <w:jc w:val="center"/>
              <w:spacing w:after="0"/>
              <w:rPr>
                <w:sz w:val="20"/>
                <w:szCs w:val="20"/>
                <w:color w:val="auto"/>
              </w:rPr>
            </w:pPr>
            <w:r>
              <w:rPr>
                <w:rFonts w:ascii="Times New Roman" w:cs="Times New Roman" w:eastAsia="Times New Roman" w:hAnsi="Times New Roman"/>
                <w:sz w:val="18"/>
                <w:szCs w:val="18"/>
                <w:color w:val="auto"/>
                <w:w w:val="98"/>
              </w:rPr>
              <w:t>CONDENSED CONSOLIDATED STATEMENTS OF INCOME</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2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rPr>
              <w:t>(Thousands of dollars)</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2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rPr>
              <w:t>(Unaudited)</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56"/>
        </w:trPr>
        <w:tc>
          <w:tcPr>
            <w:tcW w:w="6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20" w:type="dxa"/>
            <w:vAlign w:val="bottom"/>
            <w:gridSpan w:val="5"/>
          </w:tcPr>
          <w:p>
            <w:pPr>
              <w:ind w:left="240"/>
              <w:spacing w:after="0"/>
              <w:rPr>
                <w:sz w:val="20"/>
                <w:szCs w:val="20"/>
                <w:color w:val="auto"/>
              </w:rPr>
            </w:pPr>
            <w:r>
              <w:rPr>
                <w:rFonts w:ascii="Times New Roman" w:cs="Times New Roman" w:eastAsia="Times New Roman" w:hAnsi="Times New Roman"/>
                <w:sz w:val="14"/>
                <w:szCs w:val="14"/>
                <w:color w:val="auto"/>
              </w:rPr>
              <w:t>Three Months Ended</w:t>
            </w:r>
          </w:p>
        </w:tc>
        <w:tc>
          <w:tcPr>
            <w:tcW w:w="240" w:type="dxa"/>
            <w:vAlign w:val="bottom"/>
          </w:tcPr>
          <w:p>
            <w:pPr>
              <w:spacing w:after="0"/>
              <w:rPr>
                <w:sz w:val="22"/>
                <w:szCs w:val="22"/>
                <w:color w:val="auto"/>
              </w:rPr>
            </w:pPr>
          </w:p>
        </w:tc>
        <w:tc>
          <w:tcPr>
            <w:tcW w:w="2060" w:type="dxa"/>
            <w:vAlign w:val="bottom"/>
            <w:gridSpan w:val="5"/>
          </w:tcPr>
          <w:p>
            <w:pPr>
              <w:ind w:left="280"/>
              <w:spacing w:after="0"/>
              <w:rPr>
                <w:sz w:val="20"/>
                <w:szCs w:val="20"/>
                <w:color w:val="auto"/>
              </w:rPr>
            </w:pPr>
            <w:r>
              <w:rPr>
                <w:rFonts w:ascii="Times New Roman" w:cs="Times New Roman" w:eastAsia="Times New Roman" w:hAnsi="Times New Roman"/>
                <w:sz w:val="14"/>
                <w:szCs w:val="14"/>
                <w:color w:val="auto"/>
              </w:rPr>
              <w:t>Nine Months Ended</w:t>
            </w:r>
          </w:p>
        </w:tc>
        <w:tc>
          <w:tcPr>
            <w:tcW w:w="240" w:type="dxa"/>
            <w:vAlign w:val="bottom"/>
          </w:tcPr>
          <w:p>
            <w:pPr>
              <w:spacing w:after="0"/>
              <w:rPr>
                <w:sz w:val="22"/>
                <w:szCs w:val="22"/>
                <w:color w:val="auto"/>
              </w:rPr>
            </w:pPr>
          </w:p>
        </w:tc>
        <w:tc>
          <w:tcPr>
            <w:tcW w:w="2040" w:type="dxa"/>
            <w:vAlign w:val="bottom"/>
            <w:gridSpan w:val="5"/>
          </w:tcPr>
          <w:p>
            <w:pPr>
              <w:jc w:val="right"/>
              <w:ind w:right="540"/>
              <w:spacing w:after="0"/>
              <w:rPr>
                <w:sz w:val="20"/>
                <w:szCs w:val="20"/>
                <w:color w:val="auto"/>
              </w:rPr>
            </w:pPr>
            <w:r>
              <w:rPr>
                <w:rFonts w:ascii="Times New Roman" w:cs="Times New Roman" w:eastAsia="Times New Roman" w:hAnsi="Times New Roman"/>
                <w:sz w:val="14"/>
                <w:szCs w:val="14"/>
                <w:color w:val="auto"/>
              </w:rPr>
              <w:t>Twelve Months Ended</w:t>
            </w:r>
          </w:p>
        </w:tc>
      </w:tr>
      <w:tr>
        <w:trPr>
          <w:trHeight w:val="196"/>
        </w:trPr>
        <w:tc>
          <w:tcPr>
            <w:tcW w:w="6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September 30,</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September 30,</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40" w:type="dxa"/>
            <w:vAlign w:val="bottom"/>
            <w:gridSpan w:val="5"/>
          </w:tcPr>
          <w:p>
            <w:pPr>
              <w:jc w:val="right"/>
              <w:ind w:right="760"/>
              <w:spacing w:after="0"/>
              <w:rPr>
                <w:sz w:val="20"/>
                <w:szCs w:val="20"/>
                <w:color w:val="auto"/>
              </w:rPr>
            </w:pPr>
            <w:r>
              <w:rPr>
                <w:rFonts w:ascii="Times New Roman" w:cs="Times New Roman" w:eastAsia="Times New Roman" w:hAnsi="Times New Roman"/>
                <w:sz w:val="14"/>
                <w:szCs w:val="14"/>
                <w:color w:val="auto"/>
              </w:rPr>
              <w:t>September 30,</w:t>
            </w:r>
          </w:p>
        </w:tc>
      </w:tr>
      <w:tr>
        <w:trPr>
          <w:trHeight w:val="203"/>
        </w:trPr>
        <w:tc>
          <w:tcPr>
            <w:tcW w:w="60" w:type="dxa"/>
            <w:vAlign w:val="bottom"/>
            <w:tcBorders>
              <w:top w:val="single" w:sz="8" w:color="CCEEFF"/>
            </w:tcBorders>
            <w:shd w:val="clear" w:color="auto" w:fill="CCEEFF"/>
          </w:tcPr>
          <w:p>
            <w:pPr>
              <w:spacing w:after="0"/>
              <w:rPr>
                <w:sz w:val="17"/>
                <w:szCs w:val="17"/>
                <w:color w:val="auto"/>
              </w:rPr>
            </w:pPr>
          </w:p>
        </w:tc>
        <w:tc>
          <w:tcPr>
            <w:tcW w:w="28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ind w:right="286"/>
              <w:spacing w:after="0"/>
              <w:rPr>
                <w:sz w:val="20"/>
                <w:szCs w:val="20"/>
                <w:color w:val="auto"/>
              </w:rPr>
            </w:pPr>
            <w:r>
              <w:rPr>
                <w:rFonts w:ascii="Times New Roman" w:cs="Times New Roman" w:eastAsia="Times New Roman" w:hAnsi="Times New Roman"/>
                <w:sz w:val="14"/>
                <w:szCs w:val="14"/>
                <w:color w:val="auto"/>
              </w:rPr>
              <w:t>2022</w:t>
            </w:r>
          </w:p>
        </w:tc>
        <w:tc>
          <w:tcPr>
            <w:tcW w:w="1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2022</w:t>
            </w:r>
          </w:p>
        </w:tc>
        <w:tc>
          <w:tcPr>
            <w:tcW w:w="1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w w:val="99"/>
              </w:rPr>
              <w:t>2021</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ind w:right="307"/>
              <w:spacing w:after="0"/>
              <w:rPr>
                <w:sz w:val="20"/>
                <w:szCs w:val="20"/>
                <w:color w:val="auto"/>
              </w:rPr>
            </w:pPr>
            <w:r>
              <w:rPr>
                <w:rFonts w:ascii="Times New Roman" w:cs="Times New Roman" w:eastAsia="Times New Roman" w:hAnsi="Times New Roman"/>
                <w:sz w:val="14"/>
                <w:szCs w:val="14"/>
                <w:color w:val="auto"/>
              </w:rPr>
              <w:t>2022</w:t>
            </w:r>
          </w:p>
        </w:tc>
        <w:tc>
          <w:tcPr>
            <w:tcW w:w="1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ind w:right="307"/>
              <w:spacing w:after="0"/>
              <w:rPr>
                <w:sz w:val="20"/>
                <w:szCs w:val="20"/>
                <w:color w:val="auto"/>
              </w:rPr>
            </w:pPr>
            <w:r>
              <w:rPr>
                <w:rFonts w:ascii="Times New Roman" w:cs="Times New Roman" w:eastAsia="Times New Roman" w:hAnsi="Times New Roman"/>
                <w:sz w:val="14"/>
                <w:szCs w:val="14"/>
                <w:color w:val="auto"/>
              </w:rPr>
              <w:t>2021</w:t>
            </w:r>
          </w:p>
        </w:tc>
        <w:tc>
          <w:tcPr>
            <w:tcW w:w="80" w:type="dxa"/>
            <w:vAlign w:val="bottom"/>
          </w:tcPr>
          <w:p>
            <w:pPr>
              <w:spacing w:after="0"/>
              <w:rPr>
                <w:sz w:val="17"/>
                <w:szCs w:val="17"/>
                <w:color w:val="auto"/>
              </w:rPr>
            </w:pPr>
          </w:p>
        </w:tc>
      </w:tr>
      <w:tr>
        <w:trPr>
          <w:trHeight w:val="189"/>
        </w:trPr>
        <w:tc>
          <w:tcPr>
            <w:tcW w:w="312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4"/>
                <w:szCs w:val="14"/>
                <w:color w:val="auto"/>
              </w:rPr>
              <w:t>Regulated operations revenues</w:t>
            </w:r>
          </w:p>
        </w:tc>
        <w:tc>
          <w:tcPr>
            <w:tcW w:w="12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303,944</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255,848</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1,358,425</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1,070,576</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1,809,639</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4"/>
                <w:szCs w:val="14"/>
                <w:color w:val="auto"/>
              </w:rPr>
              <w:t>1,445,066</w:t>
            </w:r>
          </w:p>
        </w:tc>
        <w:tc>
          <w:tcPr>
            <w:tcW w:w="80" w:type="dxa"/>
            <w:vAlign w:val="bottom"/>
          </w:tcPr>
          <w:p>
            <w:pPr>
              <w:spacing w:after="0"/>
              <w:rPr>
                <w:sz w:val="16"/>
                <w:szCs w:val="16"/>
                <w:color w:val="auto"/>
              </w:rPr>
            </w:pPr>
          </w:p>
        </w:tc>
      </w:tr>
      <w:tr>
        <w:trPr>
          <w:trHeight w:val="189"/>
        </w:trPr>
        <w:tc>
          <w:tcPr>
            <w:tcW w:w="31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1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tcPr>
          <w:p>
            <w:pPr>
              <w:spacing w:after="0"/>
              <w:rPr>
                <w:sz w:val="16"/>
                <w:szCs w:val="16"/>
                <w:color w:val="auto"/>
              </w:rPr>
            </w:pPr>
          </w:p>
        </w:tc>
      </w:tr>
      <w:tr>
        <w:trPr>
          <w:trHeight w:val="195"/>
        </w:trPr>
        <w:tc>
          <w:tcPr>
            <w:tcW w:w="60" w:type="dxa"/>
            <w:vAlign w:val="bottom"/>
          </w:tcPr>
          <w:p>
            <w:pPr>
              <w:spacing w:after="0"/>
              <w:rPr>
                <w:sz w:val="16"/>
                <w:szCs w:val="16"/>
                <w:color w:val="auto"/>
              </w:rPr>
            </w:pPr>
          </w:p>
        </w:tc>
        <w:tc>
          <w:tcPr>
            <w:tcW w:w="3060" w:type="dxa"/>
            <w:vAlign w:val="bottom"/>
            <w:gridSpan w:val="3"/>
          </w:tcPr>
          <w:p>
            <w:pPr>
              <w:ind w:left="300"/>
              <w:spacing w:after="0"/>
              <w:rPr>
                <w:sz w:val="20"/>
                <w:szCs w:val="20"/>
                <w:color w:val="auto"/>
              </w:rPr>
            </w:pPr>
            <w:r>
              <w:rPr>
                <w:rFonts w:ascii="Times New Roman" w:cs="Times New Roman" w:eastAsia="Times New Roman" w:hAnsi="Times New Roman"/>
                <w:sz w:val="14"/>
                <w:szCs w:val="14"/>
                <w:color w:val="auto"/>
              </w:rPr>
              <w:t>Net cost of gas sold</w:t>
            </w:r>
          </w:p>
        </w:tc>
        <w:tc>
          <w:tcPr>
            <w:tcW w:w="1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100,441</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63,710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544,216</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296,227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678,896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ind w:right="7"/>
              <w:spacing w:after="0"/>
              <w:rPr>
                <w:sz w:val="20"/>
                <w:szCs w:val="20"/>
                <w:color w:val="auto"/>
              </w:rPr>
            </w:pPr>
            <w:r>
              <w:rPr>
                <w:rFonts w:ascii="Times New Roman" w:cs="Times New Roman" w:eastAsia="Times New Roman" w:hAnsi="Times New Roman"/>
                <w:sz w:val="14"/>
                <w:szCs w:val="14"/>
                <w:color w:val="auto"/>
              </w:rPr>
              <w:t>374,449</w:t>
            </w:r>
          </w:p>
        </w:tc>
        <w:tc>
          <w:tcPr>
            <w:tcW w:w="80" w:type="dxa"/>
            <w:vAlign w:val="bottom"/>
          </w:tcPr>
          <w:p>
            <w:pPr>
              <w:spacing w:after="0"/>
              <w:rPr>
                <w:sz w:val="16"/>
                <w:szCs w:val="16"/>
                <w:color w:val="auto"/>
              </w:rPr>
            </w:pPr>
          </w:p>
        </w:tc>
      </w:tr>
      <w:tr>
        <w:trPr>
          <w:trHeight w:val="210"/>
        </w:trPr>
        <w:tc>
          <w:tcPr>
            <w:tcW w:w="60" w:type="dxa"/>
            <w:vAlign w:val="bottom"/>
            <w:shd w:val="clear" w:color="auto" w:fill="CCEEFF"/>
          </w:tcPr>
          <w:p>
            <w:pPr>
              <w:spacing w:after="0"/>
              <w:rPr>
                <w:sz w:val="18"/>
                <w:szCs w:val="18"/>
                <w:color w:val="auto"/>
              </w:rPr>
            </w:pPr>
          </w:p>
        </w:tc>
        <w:tc>
          <w:tcPr>
            <w:tcW w:w="306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Operations and maintenance</w:t>
            </w: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121,537</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119,708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368,984</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328,980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478,554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4"/>
                <w:szCs w:val="14"/>
                <w:color w:val="auto"/>
              </w:rPr>
              <w:t>431,795</w:t>
            </w:r>
          </w:p>
        </w:tc>
        <w:tc>
          <w:tcPr>
            <w:tcW w:w="80" w:type="dxa"/>
            <w:vAlign w:val="bottom"/>
          </w:tcPr>
          <w:p>
            <w:pPr>
              <w:spacing w:after="0"/>
              <w:rPr>
                <w:sz w:val="18"/>
                <w:szCs w:val="18"/>
                <w:color w:val="auto"/>
              </w:rPr>
            </w:pPr>
          </w:p>
        </w:tc>
      </w:tr>
      <w:tr>
        <w:trPr>
          <w:trHeight w:val="195"/>
        </w:trPr>
        <w:tc>
          <w:tcPr>
            <w:tcW w:w="60" w:type="dxa"/>
            <w:vAlign w:val="bottom"/>
          </w:tcPr>
          <w:p>
            <w:pPr>
              <w:spacing w:after="0"/>
              <w:rPr>
                <w:sz w:val="16"/>
                <w:szCs w:val="16"/>
                <w:color w:val="auto"/>
              </w:rPr>
            </w:pPr>
          </w:p>
        </w:tc>
        <w:tc>
          <w:tcPr>
            <w:tcW w:w="3060" w:type="dxa"/>
            <w:vAlign w:val="bottom"/>
            <w:gridSpan w:val="3"/>
          </w:tcPr>
          <w:p>
            <w:pPr>
              <w:ind w:left="30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64,390</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61,359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192,434</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187,688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258,144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ind w:right="7"/>
              <w:spacing w:after="0"/>
              <w:rPr>
                <w:sz w:val="20"/>
                <w:szCs w:val="20"/>
                <w:color w:val="auto"/>
              </w:rPr>
            </w:pPr>
            <w:r>
              <w:rPr>
                <w:rFonts w:ascii="Times New Roman" w:cs="Times New Roman" w:eastAsia="Times New Roman" w:hAnsi="Times New Roman"/>
                <w:sz w:val="14"/>
                <w:szCs w:val="14"/>
                <w:color w:val="auto"/>
              </w:rPr>
              <w:t>249,118</w:t>
            </w:r>
          </w:p>
        </w:tc>
        <w:tc>
          <w:tcPr>
            <w:tcW w:w="80" w:type="dxa"/>
            <w:vAlign w:val="bottom"/>
          </w:tcPr>
          <w:p>
            <w:pPr>
              <w:spacing w:after="0"/>
              <w:rPr>
                <w:sz w:val="16"/>
                <w:szCs w:val="16"/>
                <w:color w:val="auto"/>
              </w:rPr>
            </w:pPr>
          </w:p>
        </w:tc>
      </w:tr>
      <w:tr>
        <w:trPr>
          <w:trHeight w:val="210"/>
        </w:trPr>
        <w:tc>
          <w:tcPr>
            <w:tcW w:w="60" w:type="dxa"/>
            <w:vAlign w:val="bottom"/>
            <w:shd w:val="clear" w:color="auto" w:fill="CCEEFF"/>
          </w:tcPr>
          <w:p>
            <w:pPr>
              <w:spacing w:after="0"/>
              <w:rPr>
                <w:sz w:val="18"/>
                <w:szCs w:val="18"/>
                <w:color w:val="auto"/>
              </w:rPr>
            </w:pPr>
          </w:p>
        </w:tc>
        <w:tc>
          <w:tcPr>
            <w:tcW w:w="306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Taxes other than income taxes</w:t>
            </w:r>
          </w:p>
        </w:tc>
        <w:tc>
          <w:tcPr>
            <w:tcW w:w="1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20,693</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20,109</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62,443</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60,134</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82,652</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4"/>
                <w:szCs w:val="14"/>
                <w:color w:val="auto"/>
              </w:rPr>
              <w:t>76,087</w:t>
            </w:r>
          </w:p>
        </w:tc>
        <w:tc>
          <w:tcPr>
            <w:tcW w:w="80" w:type="dxa"/>
            <w:vAlign w:val="bottom"/>
          </w:tcPr>
          <w:p>
            <w:pPr>
              <w:spacing w:after="0"/>
              <w:rPr>
                <w:sz w:val="18"/>
                <w:szCs w:val="18"/>
                <w:color w:val="auto"/>
              </w:rPr>
            </w:pPr>
          </w:p>
        </w:tc>
      </w:tr>
      <w:tr>
        <w:trPr>
          <w:trHeight w:val="189"/>
        </w:trPr>
        <w:tc>
          <w:tcPr>
            <w:tcW w:w="60" w:type="dxa"/>
            <w:vAlign w:val="bottom"/>
            <w:tcBorders>
              <w:bottom w:val="single" w:sz="8" w:color="CCEEFF"/>
            </w:tcBorders>
          </w:tcPr>
          <w:p>
            <w:pPr>
              <w:spacing w:after="0"/>
              <w:rPr>
                <w:sz w:val="16"/>
                <w:szCs w:val="16"/>
                <w:color w:val="auto"/>
              </w:rPr>
            </w:pPr>
          </w:p>
        </w:tc>
        <w:tc>
          <w:tcPr>
            <w:tcW w:w="3060" w:type="dxa"/>
            <w:vAlign w:val="bottom"/>
            <w:tcBorders>
              <w:bottom w:val="single" w:sz="8" w:color="CCEEFF"/>
            </w:tcBorders>
            <w:gridSpan w:val="3"/>
          </w:tcPr>
          <w:p>
            <w:pPr>
              <w:ind w:left="620"/>
              <w:spacing w:after="0"/>
              <w:rPr>
                <w:sz w:val="20"/>
                <w:szCs w:val="20"/>
                <w:color w:val="auto"/>
              </w:rPr>
            </w:pPr>
            <w:r>
              <w:rPr>
                <w:rFonts w:ascii="Times New Roman" w:cs="Times New Roman" w:eastAsia="Times New Roman" w:hAnsi="Times New Roman"/>
                <w:sz w:val="14"/>
                <w:szCs w:val="14"/>
                <w:color w:val="auto"/>
              </w:rPr>
              <w:t>Total operating expenses</w:t>
            </w:r>
          </w:p>
        </w:tc>
        <w:tc>
          <w:tcPr>
            <w:tcW w:w="12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307,061</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264,886</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1,168,077</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873,029</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1,498,246</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4"/>
                <w:szCs w:val="14"/>
                <w:color w:val="auto"/>
              </w:rPr>
              <w:t>1,131,449</w:t>
            </w:r>
          </w:p>
        </w:tc>
        <w:tc>
          <w:tcPr>
            <w:tcW w:w="80" w:type="dxa"/>
            <w:vAlign w:val="bottom"/>
          </w:tcPr>
          <w:p>
            <w:pPr>
              <w:spacing w:after="0"/>
              <w:rPr>
                <w:sz w:val="16"/>
                <w:szCs w:val="16"/>
                <w:color w:val="auto"/>
              </w:rPr>
            </w:pPr>
          </w:p>
        </w:tc>
      </w:tr>
      <w:tr>
        <w:trPr>
          <w:trHeight w:val="203"/>
        </w:trPr>
        <w:tc>
          <w:tcPr>
            <w:tcW w:w="31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income (loss)</w:t>
            </w:r>
          </w:p>
        </w:tc>
        <w:tc>
          <w:tcPr>
            <w:tcW w:w="12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(3,117)</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(9,038)</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190,348</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197,547</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311,393</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4"/>
                <w:szCs w:val="14"/>
                <w:color w:val="auto"/>
              </w:rPr>
              <w:t>313,617</w:t>
            </w:r>
          </w:p>
        </w:tc>
        <w:tc>
          <w:tcPr>
            <w:tcW w:w="80" w:type="dxa"/>
            <w:vAlign w:val="bottom"/>
          </w:tcPr>
          <w:p>
            <w:pPr>
              <w:spacing w:after="0"/>
              <w:rPr>
                <w:sz w:val="17"/>
                <w:szCs w:val="17"/>
                <w:color w:val="auto"/>
              </w:rPr>
            </w:pPr>
          </w:p>
        </w:tc>
      </w:tr>
      <w:tr>
        <w:trPr>
          <w:trHeight w:val="175"/>
        </w:trPr>
        <w:tc>
          <w:tcPr>
            <w:tcW w:w="312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Other income and (expenses):</w:t>
            </w:r>
          </w:p>
        </w:tc>
        <w:tc>
          <w:tcPr>
            <w:tcW w:w="1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10"/>
        </w:trPr>
        <w:tc>
          <w:tcPr>
            <w:tcW w:w="60" w:type="dxa"/>
            <w:vAlign w:val="bottom"/>
            <w:shd w:val="clear" w:color="auto" w:fill="CCEEFF"/>
          </w:tcPr>
          <w:p>
            <w:pPr>
              <w:spacing w:after="0"/>
              <w:rPr>
                <w:sz w:val="18"/>
                <w:szCs w:val="18"/>
                <w:color w:val="auto"/>
              </w:rPr>
            </w:pPr>
          </w:p>
        </w:tc>
        <w:tc>
          <w:tcPr>
            <w:tcW w:w="306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Net interest deductions</w:t>
            </w: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(29,417)</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(24,922)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(84,660)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(71,263)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(110,957)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(97,259)</w:t>
            </w:r>
          </w:p>
        </w:tc>
        <w:tc>
          <w:tcPr>
            <w:tcW w:w="80" w:type="dxa"/>
            <w:vAlign w:val="bottom"/>
          </w:tcPr>
          <w:p>
            <w:pPr>
              <w:spacing w:after="0"/>
              <w:rPr>
                <w:sz w:val="18"/>
                <w:szCs w:val="18"/>
                <w:color w:val="auto"/>
              </w:rPr>
            </w:pPr>
          </w:p>
        </w:tc>
      </w:tr>
      <w:tr>
        <w:trPr>
          <w:trHeight w:val="196"/>
        </w:trPr>
        <w:tc>
          <w:tcPr>
            <w:tcW w:w="60" w:type="dxa"/>
            <w:vAlign w:val="bottom"/>
            <w:tcBorders>
              <w:bottom w:val="single" w:sz="8" w:color="CCEEFF"/>
            </w:tcBorders>
          </w:tcPr>
          <w:p>
            <w:pPr>
              <w:spacing w:after="0"/>
              <w:rPr>
                <w:sz w:val="17"/>
                <w:szCs w:val="17"/>
                <w:color w:val="auto"/>
              </w:rPr>
            </w:pPr>
          </w:p>
        </w:tc>
        <w:tc>
          <w:tcPr>
            <w:tcW w:w="3060" w:type="dxa"/>
            <w:vAlign w:val="bottom"/>
            <w:tcBorders>
              <w:bottom w:val="single" w:sz="8" w:color="CCEEFF"/>
            </w:tcBorders>
            <w:gridSpan w:val="3"/>
          </w:tcPr>
          <w:p>
            <w:pPr>
              <w:ind w:left="300"/>
              <w:spacing w:after="0"/>
              <w:rPr>
                <w:sz w:val="20"/>
                <w:szCs w:val="20"/>
                <w:color w:val="auto"/>
              </w:rPr>
            </w:pPr>
            <w:r>
              <w:rPr>
                <w:rFonts w:ascii="Times New Roman" w:cs="Times New Roman" w:eastAsia="Times New Roman" w:hAnsi="Times New Roman"/>
                <w:sz w:val="14"/>
                <w:szCs w:val="14"/>
                <w:color w:val="auto"/>
              </w:rPr>
              <w:t>Other income (deductions)</w:t>
            </w:r>
          </w:p>
        </w:tc>
        <w:tc>
          <w:tcPr>
            <w:tcW w:w="12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1,678</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(4,287)</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(440)</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(4,902)</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(545)</w:t>
            </w:r>
          </w:p>
        </w:tc>
        <w:tc>
          <w:tcPr>
            <w:tcW w:w="80" w:type="dxa"/>
            <w:vAlign w:val="bottom"/>
          </w:tcPr>
          <w:p>
            <w:pPr>
              <w:spacing w:after="0"/>
              <w:rPr>
                <w:sz w:val="17"/>
                <w:szCs w:val="17"/>
                <w:color w:val="auto"/>
              </w:rPr>
            </w:pPr>
          </w:p>
        </w:tc>
      </w:tr>
      <w:tr>
        <w:trPr>
          <w:trHeight w:val="203"/>
        </w:trPr>
        <w:tc>
          <w:tcPr>
            <w:tcW w:w="60" w:type="dxa"/>
            <w:vAlign w:val="bottom"/>
            <w:shd w:val="clear" w:color="auto" w:fill="CCEEFF"/>
          </w:tcPr>
          <w:p>
            <w:pPr>
              <w:spacing w:after="0"/>
              <w:rPr>
                <w:sz w:val="17"/>
                <w:szCs w:val="17"/>
                <w:color w:val="auto"/>
              </w:rPr>
            </w:pPr>
          </w:p>
        </w:tc>
        <w:tc>
          <w:tcPr>
            <w:tcW w:w="306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Total other income and (expenses)</w:t>
            </w:r>
          </w:p>
        </w:tc>
        <w:tc>
          <w:tcPr>
            <w:tcW w:w="12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(27,739)</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(29,209)</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(85,100)</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(76,165)</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(111,054)</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(97,804)</w:t>
            </w:r>
          </w:p>
        </w:tc>
        <w:tc>
          <w:tcPr>
            <w:tcW w:w="80" w:type="dxa"/>
            <w:vAlign w:val="bottom"/>
          </w:tcPr>
          <w:p>
            <w:pPr>
              <w:spacing w:after="0"/>
              <w:rPr>
                <w:sz w:val="17"/>
                <w:szCs w:val="17"/>
                <w:color w:val="auto"/>
              </w:rPr>
            </w:pPr>
          </w:p>
        </w:tc>
      </w:tr>
      <w:tr>
        <w:trPr>
          <w:trHeight w:val="189"/>
        </w:trPr>
        <w:tc>
          <w:tcPr>
            <w:tcW w:w="312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Income (loss) before income taxes</w:t>
            </w:r>
          </w:p>
        </w:tc>
        <w:tc>
          <w:tcPr>
            <w:tcW w:w="1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(30,856)</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(38,247)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105,248</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121,382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200,339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ind w:right="7"/>
              <w:spacing w:after="0"/>
              <w:rPr>
                <w:sz w:val="20"/>
                <w:szCs w:val="20"/>
                <w:color w:val="auto"/>
              </w:rPr>
            </w:pPr>
            <w:r>
              <w:rPr>
                <w:rFonts w:ascii="Times New Roman" w:cs="Times New Roman" w:eastAsia="Times New Roman" w:hAnsi="Times New Roman"/>
                <w:sz w:val="14"/>
                <w:szCs w:val="14"/>
                <w:color w:val="auto"/>
              </w:rPr>
              <w:t>215,813</w:t>
            </w:r>
          </w:p>
        </w:tc>
        <w:tc>
          <w:tcPr>
            <w:tcW w:w="80" w:type="dxa"/>
            <w:vAlign w:val="bottom"/>
          </w:tcPr>
          <w:p>
            <w:pPr>
              <w:spacing w:after="0"/>
              <w:rPr>
                <w:sz w:val="16"/>
                <w:szCs w:val="16"/>
                <w:color w:val="auto"/>
              </w:rPr>
            </w:pPr>
          </w:p>
        </w:tc>
      </w:tr>
      <w:tr>
        <w:trPr>
          <w:trHeight w:val="210"/>
        </w:trPr>
        <w:tc>
          <w:tcPr>
            <w:tcW w:w="31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1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(8,657)</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(10,703)</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17,918</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18,798</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28,458</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4"/>
                <w:szCs w:val="14"/>
                <w:color w:val="auto"/>
              </w:rPr>
              <w:t>33,679</w:t>
            </w:r>
          </w:p>
        </w:tc>
        <w:tc>
          <w:tcPr>
            <w:tcW w:w="80" w:type="dxa"/>
            <w:vAlign w:val="bottom"/>
          </w:tcPr>
          <w:p>
            <w:pPr>
              <w:spacing w:after="0"/>
              <w:rPr>
                <w:sz w:val="18"/>
                <w:szCs w:val="18"/>
                <w:color w:val="auto"/>
              </w:rPr>
            </w:pPr>
          </w:p>
        </w:tc>
      </w:tr>
      <w:tr>
        <w:trPr>
          <w:trHeight w:val="196"/>
        </w:trPr>
        <w:tc>
          <w:tcPr>
            <w:tcW w:w="312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1220" w:type="dxa"/>
            <w:vAlign w:val="bottom"/>
          </w:tcPr>
          <w:p>
            <w:pPr>
              <w:spacing w:after="0"/>
              <w:rPr>
                <w:sz w:val="17"/>
                <w:szCs w:val="17"/>
                <w:color w:val="auto"/>
              </w:rPr>
            </w:pP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(22,199)</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(27,544)</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87,330</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102,584</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171,881</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4"/>
                <w:szCs w:val="14"/>
                <w:color w:val="auto"/>
              </w:rPr>
              <w:t>182,134</w:t>
            </w:r>
          </w:p>
        </w:tc>
        <w:tc>
          <w:tcPr>
            <w:tcW w:w="80" w:type="dxa"/>
            <w:vAlign w:val="bottom"/>
          </w:tcPr>
          <w:p>
            <w:pPr>
              <w:spacing w:after="0"/>
              <w:rPr>
                <w:sz w:val="17"/>
                <w:szCs w:val="17"/>
                <w:color w:val="auto"/>
              </w:rPr>
            </w:pPr>
          </w:p>
        </w:tc>
      </w:tr>
      <w:tr>
        <w:trPr>
          <w:trHeight w:val="21"/>
        </w:trPr>
        <w:tc>
          <w:tcPr>
            <w:tcW w:w="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57" w:right="399" w:bottom="1440" w:gutter="0" w:footer="0" w:header="0"/>
        </w:sectPr>
      </w:pPr>
    </w:p>
    <w:bookmarkStart w:id="9" w:name="page10"/>
    <w:bookmarkEnd w:id="9"/>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30, 2022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SOUTHWEST GAS CORPORATION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(Thousands of dollars)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6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color w:val="auto"/>
              </w:rPr>
              <w:t>Three Months Ended</w:t>
            </w:r>
          </w:p>
        </w:tc>
        <w:tc>
          <w:tcPr>
            <w:tcW w:w="220" w:type="dxa"/>
            <w:vAlign w:val="bottom"/>
          </w:tcPr>
          <w:p>
            <w:pPr>
              <w:spacing w:after="0"/>
              <w:rPr>
                <w:sz w:val="13"/>
                <w:szCs w:val="13"/>
                <w:color w:val="auto"/>
              </w:rPr>
            </w:pPr>
          </w:p>
        </w:tc>
        <w:tc>
          <w:tcPr>
            <w:tcW w:w="1960" w:type="dxa"/>
            <w:vAlign w:val="bottom"/>
            <w:gridSpan w:val="5"/>
          </w:tcPr>
          <w:p>
            <w:pPr>
              <w:ind w:left="240"/>
              <w:spacing w:after="0"/>
              <w:rPr>
                <w:sz w:val="20"/>
                <w:szCs w:val="20"/>
                <w:color w:val="auto"/>
              </w:rPr>
            </w:pPr>
            <w:r>
              <w:rPr>
                <w:rFonts w:ascii="Times New Roman" w:cs="Times New Roman" w:eastAsia="Times New Roman" w:hAnsi="Times New Roman"/>
                <w:sz w:val="14"/>
                <w:szCs w:val="14"/>
                <w:color w:val="auto"/>
              </w:rPr>
              <w:t>Nine Months Ended</w:t>
            </w:r>
          </w:p>
        </w:tc>
        <w:tc>
          <w:tcPr>
            <w:tcW w:w="220" w:type="dxa"/>
            <w:vAlign w:val="bottom"/>
          </w:tcPr>
          <w:p>
            <w:pPr>
              <w:spacing w:after="0"/>
              <w:rPr>
                <w:sz w:val="13"/>
                <w:szCs w:val="13"/>
                <w:color w:val="auto"/>
              </w:rPr>
            </w:pPr>
          </w:p>
        </w:tc>
        <w:tc>
          <w:tcPr>
            <w:tcW w:w="1860" w:type="dxa"/>
            <w:vAlign w:val="bottom"/>
            <w:gridSpan w:val="4"/>
          </w:tcPr>
          <w:p>
            <w:pPr>
              <w:jc w:val="right"/>
              <w:ind w:right="308"/>
              <w:spacing w:after="0"/>
              <w:rPr>
                <w:sz w:val="20"/>
                <w:szCs w:val="20"/>
                <w:color w:val="auto"/>
              </w:rPr>
            </w:pPr>
            <w:r>
              <w:rPr>
                <w:rFonts w:ascii="Times New Roman" w:cs="Times New Roman" w:eastAsia="Times New Roman" w:hAnsi="Times New Roman"/>
                <w:sz w:val="14"/>
                <w:szCs w:val="14"/>
                <w:color w:val="auto"/>
              </w:rPr>
              <w:t>Twelve Months Ended</w:t>
            </w:r>
          </w:p>
        </w:tc>
      </w:tr>
      <w:tr>
        <w:trPr>
          <w:trHeight w:val="196"/>
        </w:trPr>
        <w:tc>
          <w:tcPr>
            <w:tcW w:w="4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6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color w:val="auto"/>
              </w:rPr>
              <w:t>September 30,</w:t>
            </w:r>
          </w:p>
        </w:tc>
        <w:tc>
          <w:tcPr>
            <w:tcW w:w="220" w:type="dxa"/>
            <w:vAlign w:val="bottom"/>
          </w:tcPr>
          <w:p>
            <w:pPr>
              <w:spacing w:after="0"/>
              <w:rPr>
                <w:sz w:val="17"/>
                <w:szCs w:val="17"/>
                <w:color w:val="auto"/>
              </w:rPr>
            </w:pPr>
          </w:p>
        </w:tc>
        <w:tc>
          <w:tcPr>
            <w:tcW w:w="1960" w:type="dxa"/>
            <w:vAlign w:val="bottom"/>
            <w:gridSpan w:val="5"/>
          </w:tcPr>
          <w:p>
            <w:pPr>
              <w:ind w:left="400"/>
              <w:spacing w:after="0"/>
              <w:rPr>
                <w:sz w:val="20"/>
                <w:szCs w:val="20"/>
                <w:color w:val="auto"/>
              </w:rPr>
            </w:pPr>
            <w:r>
              <w:rPr>
                <w:rFonts w:ascii="Times New Roman" w:cs="Times New Roman" w:eastAsia="Times New Roman" w:hAnsi="Times New Roman"/>
                <w:sz w:val="14"/>
                <w:szCs w:val="14"/>
                <w:color w:val="auto"/>
              </w:rPr>
              <w:t>September 30,</w:t>
            </w:r>
          </w:p>
        </w:tc>
        <w:tc>
          <w:tcPr>
            <w:tcW w:w="220" w:type="dxa"/>
            <w:vAlign w:val="bottom"/>
          </w:tcPr>
          <w:p>
            <w:pPr>
              <w:spacing w:after="0"/>
              <w:rPr>
                <w:sz w:val="17"/>
                <w:szCs w:val="17"/>
                <w:color w:val="auto"/>
              </w:rPr>
            </w:pPr>
          </w:p>
        </w:tc>
        <w:tc>
          <w:tcPr>
            <w:tcW w:w="1860" w:type="dxa"/>
            <w:vAlign w:val="bottom"/>
            <w:gridSpan w:val="4"/>
          </w:tcPr>
          <w:p>
            <w:pPr>
              <w:jc w:val="right"/>
              <w:ind w:right="548"/>
              <w:spacing w:after="0"/>
              <w:rPr>
                <w:sz w:val="20"/>
                <w:szCs w:val="20"/>
                <w:color w:val="auto"/>
              </w:rPr>
            </w:pPr>
            <w:r>
              <w:rPr>
                <w:rFonts w:ascii="Times New Roman" w:cs="Times New Roman" w:eastAsia="Times New Roman" w:hAnsi="Times New Roman"/>
                <w:sz w:val="14"/>
                <w:szCs w:val="14"/>
                <w:color w:val="auto"/>
              </w:rPr>
              <w:t>September 30,</w:t>
            </w:r>
          </w:p>
        </w:tc>
      </w:tr>
      <w:tr>
        <w:trPr>
          <w:trHeight w:val="203"/>
        </w:trPr>
        <w:tc>
          <w:tcPr>
            <w:tcW w:w="48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2022</w:t>
            </w:r>
          </w:p>
        </w:tc>
        <w:tc>
          <w:tcPr>
            <w:tcW w:w="1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2022</w:t>
            </w:r>
          </w:p>
        </w:tc>
        <w:tc>
          <w:tcPr>
            <w:tcW w:w="1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2021</w:t>
            </w:r>
          </w:p>
        </w:tc>
      </w:tr>
      <w:tr>
        <w:trPr>
          <w:trHeight w:val="189"/>
        </w:trPr>
        <w:tc>
          <w:tcPr>
            <w:tcW w:w="4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(22,199)</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(27,544)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87,330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102,584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171,881</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182,134</w:t>
            </w:r>
          </w:p>
        </w:tc>
      </w:tr>
      <w:tr>
        <w:trPr>
          <w:trHeight w:val="189"/>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net of tax</w:t>
            </w: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r>
      <w:tr>
        <w:trPr>
          <w:trHeight w:val="195"/>
        </w:trPr>
        <w:tc>
          <w:tcPr>
            <w:tcW w:w="4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Defined benefit pension plans:</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10"/>
        </w:trPr>
        <w:tc>
          <w:tcPr>
            <w:tcW w:w="4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actuarial gain (loss)</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44,974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(43,730)</w:t>
            </w:r>
          </w:p>
        </w:tc>
      </w:tr>
      <w:tr>
        <w:trPr>
          <w:trHeight w:val="195"/>
        </w:trPr>
        <w:tc>
          <w:tcPr>
            <w:tcW w:w="48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Amortization of prior service cost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766</w:t>
            </w:r>
          </w:p>
        </w:tc>
      </w:tr>
      <w:tr>
        <w:trPr>
          <w:trHeight w:val="210"/>
        </w:trPr>
        <w:tc>
          <w:tcPr>
            <w:tcW w:w="4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Amortization of net actuarial loss</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6,616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8,474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19,847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25,420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28,321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32,608</w:t>
            </w:r>
          </w:p>
        </w:tc>
      </w:tr>
      <w:tr>
        <w:trPr>
          <w:trHeight w:val="196"/>
        </w:trPr>
        <w:tc>
          <w:tcPr>
            <w:tcW w:w="48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Regulatory adjustment</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(5,524)</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(7,277)</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color w:val="auto"/>
              </w:rPr>
              <w:t>(16,571)</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(21,831)</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(61,767)</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2,959</w:t>
            </w:r>
          </w:p>
        </w:tc>
      </w:tr>
      <w:tr>
        <w:trPr>
          <w:trHeight w:val="203"/>
        </w:trPr>
        <w:tc>
          <w:tcPr>
            <w:tcW w:w="4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Net defined benefit pension plans</w:t>
            </w: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1,126</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1,380</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3,376</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4,136</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11,810</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(7,397)</w:t>
            </w:r>
          </w:p>
        </w:tc>
      </w:tr>
      <w:tr>
        <w:trPr>
          <w:trHeight w:val="175"/>
        </w:trPr>
        <w:tc>
          <w:tcPr>
            <w:tcW w:w="4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Forward-starting interest rate swaps (“FSIRS”):</w:t>
            </w: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210"/>
        </w:trPr>
        <w:tc>
          <w:tcPr>
            <w:tcW w:w="4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Amounts reclassified into net income (loss)</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1,653</w:t>
            </w:r>
          </w:p>
        </w:tc>
      </w:tr>
      <w:tr>
        <w:trPr>
          <w:trHeight w:val="190"/>
        </w:trPr>
        <w:tc>
          <w:tcPr>
            <w:tcW w:w="48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Net forward-starting interest rate swaps</w:t>
            </w:r>
          </w:p>
        </w:tc>
        <w:tc>
          <w:tcPr>
            <w:tcW w:w="22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413</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416</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1,240</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828</w:t>
            </w:r>
          </w:p>
        </w:tc>
        <w:tc>
          <w:tcPr>
            <w:tcW w:w="12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1,653</w:t>
            </w:r>
          </w:p>
        </w:tc>
      </w:tr>
      <w:tr>
        <w:trPr>
          <w:trHeight w:val="196"/>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other comprehensive income (loss), net of tax</w:t>
            </w: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1,126</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1,793</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3,792</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5,376</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12,638</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(5,744)</w:t>
            </w:r>
          </w:p>
        </w:tc>
      </w:tr>
      <w:tr>
        <w:trPr>
          <w:trHeight w:val="203"/>
        </w:trPr>
        <w:tc>
          <w:tcPr>
            <w:tcW w:w="4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Comprehensive income (loss)</w:t>
            </w:r>
          </w:p>
        </w:tc>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(21,073)</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(25,751)</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91,122</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107,960</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184,519</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176,390</w:t>
            </w:r>
          </w:p>
        </w:tc>
      </w:tr>
      <w:tr>
        <w:trPr>
          <w:trHeight w:val="20"/>
        </w:trPr>
        <w:tc>
          <w:tcPr>
            <w:tcW w:w="4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6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10"/>
        </w:trPr>
        <w:tc>
          <w:tcPr>
            <w:tcW w:w="60" w:type="dxa"/>
            <w:vAlign w:val="bottom"/>
          </w:tcPr>
          <w:p>
            <w:pPr>
              <w:spacing w:after="0"/>
              <w:rPr>
                <w:sz w:val="18"/>
                <w:szCs w:val="18"/>
                <w:color w:val="auto"/>
              </w:rPr>
            </w:pPr>
          </w:p>
        </w:tc>
        <w:tc>
          <w:tcPr>
            <w:tcW w:w="29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SOUTHWEST GAS CORPORATION</w:t>
            </w:r>
          </w:p>
        </w:tc>
        <w:tc>
          <w:tcPr>
            <w:tcW w:w="3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September 30, 2022</w:t>
            </w:r>
          </w:p>
        </w:tc>
      </w:tr>
      <w:tr>
        <w:trPr>
          <w:trHeight w:val="866"/>
        </w:trPr>
        <w:tc>
          <w:tcPr>
            <w:tcW w:w="6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980" w:type="dxa"/>
            <w:vAlign w:val="bottom"/>
            <w:gridSpan w:val="4"/>
          </w:tcPr>
          <w:p>
            <w:pPr>
              <w:jc w:val="center"/>
              <w:ind w:left="270"/>
              <w:spacing w:after="0"/>
              <w:rPr>
                <w:sz w:val="20"/>
                <w:szCs w:val="20"/>
                <w:color w:val="auto"/>
              </w:rPr>
            </w:pPr>
            <w:r>
              <w:rPr>
                <w:rFonts w:ascii="Times New Roman" w:cs="Times New Roman" w:eastAsia="Times New Roman" w:hAnsi="Times New Roman"/>
                <w:sz w:val="18"/>
                <w:szCs w:val="18"/>
                <w:color w:val="auto"/>
                <w:w w:val="99"/>
              </w:rPr>
              <w:t>SOUTHWEST GAS CORPORATION AND SUBSIDIARIES</w:t>
            </w: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34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w w:val="98"/>
              </w:rPr>
              <w:t>CONDENSED CONSOLIDATED STATEMENTS OF CASH FLOWS</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60" w:type="dxa"/>
            <w:vAlign w:val="bottom"/>
          </w:tcPr>
          <w:p>
            <w:pPr>
              <w:jc w:val="center"/>
              <w:ind w:left="1370"/>
              <w:spacing w:after="0"/>
              <w:rPr>
                <w:sz w:val="20"/>
                <w:szCs w:val="20"/>
                <w:color w:val="auto"/>
              </w:rPr>
            </w:pPr>
            <w:r>
              <w:rPr>
                <w:rFonts w:ascii="Times New Roman" w:cs="Times New Roman" w:eastAsia="Times New Roman" w:hAnsi="Times New Roman"/>
                <w:sz w:val="18"/>
                <w:szCs w:val="18"/>
                <w:color w:val="auto"/>
              </w:rPr>
              <w:t>(Thousands of dollars)</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4"/>
        </w:trPr>
        <w:tc>
          <w:tcPr>
            <w:tcW w:w="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60" w:type="dxa"/>
            <w:vAlign w:val="bottom"/>
          </w:tcPr>
          <w:p>
            <w:pPr>
              <w:jc w:val="center"/>
              <w:ind w:left="1370"/>
              <w:spacing w:after="0"/>
              <w:rPr>
                <w:sz w:val="20"/>
                <w:szCs w:val="20"/>
                <w:color w:val="auto"/>
              </w:rPr>
            </w:pPr>
            <w:r>
              <w:rPr>
                <w:rFonts w:ascii="Times New Roman" w:cs="Times New Roman" w:eastAsia="Times New Roman" w:hAnsi="Times New Roman"/>
                <w:sz w:val="18"/>
                <w:szCs w:val="18"/>
                <w:color w:val="auto"/>
              </w:rPr>
              <w:t>(Unaudited)</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56"/>
        </w:trPr>
        <w:tc>
          <w:tcPr>
            <w:tcW w:w="6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20" w:type="dxa"/>
            <w:vAlign w:val="bottom"/>
            <w:gridSpan w:val="5"/>
          </w:tcPr>
          <w:p>
            <w:pPr>
              <w:ind w:left="260"/>
              <w:spacing w:after="0"/>
              <w:rPr>
                <w:sz w:val="20"/>
                <w:szCs w:val="20"/>
                <w:color w:val="auto"/>
              </w:rPr>
            </w:pPr>
            <w:r>
              <w:rPr>
                <w:rFonts w:ascii="Times New Roman" w:cs="Times New Roman" w:eastAsia="Times New Roman" w:hAnsi="Times New Roman"/>
                <w:sz w:val="14"/>
                <w:szCs w:val="14"/>
                <w:color w:val="auto"/>
              </w:rPr>
              <w:t>Nine Months Ended</w:t>
            </w:r>
          </w:p>
        </w:tc>
        <w:tc>
          <w:tcPr>
            <w:tcW w:w="220" w:type="dxa"/>
            <w:vAlign w:val="bottom"/>
          </w:tcPr>
          <w:p>
            <w:pPr>
              <w:spacing w:after="0"/>
              <w:rPr>
                <w:sz w:val="22"/>
                <w:szCs w:val="22"/>
                <w:color w:val="auto"/>
              </w:rPr>
            </w:pPr>
          </w:p>
        </w:tc>
        <w:tc>
          <w:tcPr>
            <w:tcW w:w="1900" w:type="dxa"/>
            <w:vAlign w:val="bottom"/>
            <w:gridSpan w:val="4"/>
          </w:tcPr>
          <w:p>
            <w:pPr>
              <w:jc w:val="right"/>
              <w:ind w:right="348"/>
              <w:spacing w:after="0"/>
              <w:rPr>
                <w:sz w:val="20"/>
                <w:szCs w:val="20"/>
                <w:color w:val="auto"/>
              </w:rPr>
            </w:pPr>
            <w:r>
              <w:rPr>
                <w:rFonts w:ascii="Times New Roman" w:cs="Times New Roman" w:eastAsia="Times New Roman" w:hAnsi="Times New Roman"/>
                <w:sz w:val="14"/>
                <w:szCs w:val="14"/>
                <w:color w:val="auto"/>
              </w:rPr>
              <w:t>Twelve Months Ended</w:t>
            </w:r>
          </w:p>
        </w:tc>
      </w:tr>
      <w:tr>
        <w:trPr>
          <w:trHeight w:val="196"/>
        </w:trPr>
        <w:tc>
          <w:tcPr>
            <w:tcW w:w="60" w:type="dxa"/>
            <w:vAlign w:val="bottom"/>
            <w:tcBorders>
              <w:bottom w:val="single" w:sz="8" w:color="CCEEFF"/>
            </w:tcBorders>
          </w:tcPr>
          <w:p>
            <w:pPr>
              <w:spacing w:after="0"/>
              <w:rPr>
                <w:sz w:val="17"/>
                <w:szCs w:val="17"/>
                <w:color w:val="auto"/>
              </w:rPr>
            </w:pPr>
          </w:p>
        </w:tc>
        <w:tc>
          <w:tcPr>
            <w:tcW w:w="28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8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September 30,</w:t>
            </w:r>
          </w:p>
        </w:tc>
        <w:tc>
          <w:tcPr>
            <w:tcW w:w="6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4"/>
          </w:tcPr>
          <w:p>
            <w:pPr>
              <w:jc w:val="right"/>
              <w:ind w:right="568"/>
              <w:spacing w:after="0"/>
              <w:rPr>
                <w:sz w:val="20"/>
                <w:szCs w:val="20"/>
                <w:color w:val="auto"/>
              </w:rPr>
            </w:pPr>
            <w:r>
              <w:rPr>
                <w:rFonts w:ascii="Times New Roman" w:cs="Times New Roman" w:eastAsia="Times New Roman" w:hAnsi="Times New Roman"/>
                <w:sz w:val="14"/>
                <w:szCs w:val="14"/>
                <w:color w:val="auto"/>
              </w:rPr>
              <w:t>September 30,</w:t>
            </w:r>
          </w:p>
        </w:tc>
      </w:tr>
      <w:tr>
        <w:trPr>
          <w:trHeight w:val="203"/>
        </w:trPr>
        <w:tc>
          <w:tcPr>
            <w:tcW w:w="60" w:type="dxa"/>
            <w:vAlign w:val="bottom"/>
            <w:shd w:val="clear" w:color="auto" w:fill="CCEEFF"/>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6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2022</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w w:val="92"/>
              </w:rPr>
              <w:t>2021</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2022</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2021</w:t>
            </w:r>
          </w:p>
        </w:tc>
      </w:tr>
      <w:tr>
        <w:trPr>
          <w:trHeight w:val="175"/>
        </w:trPr>
        <w:tc>
          <w:tcPr>
            <w:tcW w:w="682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CASH FLOW FROM OPERATING ACTIVITIES:</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10"/>
        </w:trPr>
        <w:tc>
          <w:tcPr>
            <w:tcW w:w="60" w:type="dxa"/>
            <w:vAlign w:val="bottom"/>
            <w:shd w:val="clear" w:color="auto" w:fill="CCEEFF"/>
          </w:tcPr>
          <w:p>
            <w:pPr>
              <w:spacing w:after="0"/>
              <w:rPr>
                <w:sz w:val="18"/>
                <w:szCs w:val="18"/>
                <w:color w:val="auto"/>
              </w:rPr>
            </w:pPr>
          </w:p>
        </w:tc>
        <w:tc>
          <w:tcPr>
            <w:tcW w:w="676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Net income</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87,330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102,584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171,881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182,134</w:t>
            </w:r>
          </w:p>
        </w:tc>
      </w:tr>
      <w:tr>
        <w:trPr>
          <w:trHeight w:val="195"/>
        </w:trPr>
        <w:tc>
          <w:tcPr>
            <w:tcW w:w="60" w:type="dxa"/>
            <w:vAlign w:val="bottom"/>
          </w:tcPr>
          <w:p>
            <w:pPr>
              <w:spacing w:after="0"/>
              <w:rPr>
                <w:sz w:val="16"/>
                <w:szCs w:val="16"/>
                <w:color w:val="auto"/>
              </w:rPr>
            </w:pPr>
          </w:p>
        </w:tc>
        <w:tc>
          <w:tcPr>
            <w:tcW w:w="6760" w:type="dxa"/>
            <w:vAlign w:val="bottom"/>
            <w:gridSpan w:val="3"/>
          </w:tcPr>
          <w:p>
            <w:pPr>
              <w:ind w:left="30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10"/>
        </w:trPr>
        <w:tc>
          <w:tcPr>
            <w:tcW w:w="60" w:type="dxa"/>
            <w:vAlign w:val="bottom"/>
            <w:shd w:val="clear" w:color="auto" w:fill="CCEEFF"/>
          </w:tcPr>
          <w:p>
            <w:pPr>
              <w:spacing w:after="0"/>
              <w:rPr>
                <w:sz w:val="18"/>
                <w:szCs w:val="18"/>
                <w:color w:val="auto"/>
              </w:rPr>
            </w:pPr>
          </w:p>
        </w:tc>
        <w:tc>
          <w:tcPr>
            <w:tcW w:w="676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192,434</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187,688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258,144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249,118</w:t>
            </w:r>
          </w:p>
        </w:tc>
      </w:tr>
      <w:tr>
        <w:trPr>
          <w:trHeight w:val="195"/>
        </w:trPr>
        <w:tc>
          <w:tcPr>
            <w:tcW w:w="60" w:type="dxa"/>
            <w:vAlign w:val="bottom"/>
          </w:tcPr>
          <w:p>
            <w:pPr>
              <w:spacing w:after="0"/>
              <w:rPr>
                <w:sz w:val="16"/>
                <w:szCs w:val="16"/>
                <w:color w:val="auto"/>
              </w:rPr>
            </w:pPr>
          </w:p>
        </w:tc>
        <w:tc>
          <w:tcPr>
            <w:tcW w:w="6760" w:type="dxa"/>
            <w:vAlign w:val="bottom"/>
            <w:gridSpan w:val="3"/>
          </w:tcPr>
          <w:p>
            <w:pPr>
              <w:ind w:left="620"/>
              <w:spacing w:after="0"/>
              <w:rPr>
                <w:sz w:val="20"/>
                <w:szCs w:val="20"/>
                <w:color w:val="auto"/>
              </w:rPr>
            </w:pPr>
            <w:r>
              <w:rPr>
                <w:rFonts w:ascii="Times New Roman" w:cs="Times New Roman" w:eastAsia="Times New Roman" w:hAnsi="Times New Roman"/>
                <w:sz w:val="14"/>
                <w:szCs w:val="14"/>
                <w:color w:val="auto"/>
              </w:rPr>
              <w:t>Deferred income taxes</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26,579</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35,800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44,016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55,164</w:t>
            </w:r>
          </w:p>
        </w:tc>
      </w:tr>
      <w:tr>
        <w:trPr>
          <w:trHeight w:val="210"/>
        </w:trPr>
        <w:tc>
          <w:tcPr>
            <w:tcW w:w="60" w:type="dxa"/>
            <w:vAlign w:val="bottom"/>
            <w:shd w:val="clear" w:color="auto" w:fill="CCEEFF"/>
          </w:tcPr>
          <w:p>
            <w:pPr>
              <w:spacing w:after="0"/>
              <w:rPr>
                <w:sz w:val="18"/>
                <w:szCs w:val="18"/>
                <w:color w:val="auto"/>
              </w:rPr>
            </w:pPr>
          </w:p>
        </w:tc>
        <w:tc>
          <w:tcPr>
            <w:tcW w:w="676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Changes in current assets and liabilities: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195"/>
        </w:trPr>
        <w:tc>
          <w:tcPr>
            <w:tcW w:w="60" w:type="dxa"/>
            <w:vAlign w:val="bottom"/>
          </w:tcPr>
          <w:p>
            <w:pPr>
              <w:spacing w:after="0"/>
              <w:rPr>
                <w:sz w:val="16"/>
                <w:szCs w:val="16"/>
                <w:color w:val="auto"/>
              </w:rPr>
            </w:pPr>
          </w:p>
        </w:tc>
        <w:tc>
          <w:tcPr>
            <w:tcW w:w="6760" w:type="dxa"/>
            <w:vAlign w:val="bottom"/>
            <w:gridSpan w:val="3"/>
          </w:tcPr>
          <w:p>
            <w:pPr>
              <w:ind w:left="940"/>
              <w:spacing w:after="0"/>
              <w:rPr>
                <w:sz w:val="20"/>
                <w:szCs w:val="20"/>
                <w:color w:val="auto"/>
              </w:rPr>
            </w:pPr>
            <w:r>
              <w:rPr>
                <w:rFonts w:ascii="Times New Roman" w:cs="Times New Roman" w:eastAsia="Times New Roman" w:hAnsi="Times New Roman"/>
                <w:sz w:val="14"/>
                <w:szCs w:val="14"/>
                <w:color w:val="auto"/>
              </w:rPr>
              <w:t>Accounts receivable, net of allowance</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66,048</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43,430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(22,766)</w:t>
            </w:r>
          </w:p>
        </w:tc>
      </w:tr>
      <w:tr>
        <w:trPr>
          <w:trHeight w:val="210"/>
        </w:trPr>
        <w:tc>
          <w:tcPr>
            <w:tcW w:w="60" w:type="dxa"/>
            <w:vAlign w:val="bottom"/>
            <w:shd w:val="clear" w:color="auto" w:fill="CCEEFF"/>
          </w:tcPr>
          <w:p>
            <w:pPr>
              <w:spacing w:after="0"/>
              <w:rPr>
                <w:sz w:val="18"/>
                <w:szCs w:val="18"/>
                <w:color w:val="auto"/>
              </w:rPr>
            </w:pPr>
          </w:p>
        </w:tc>
        <w:tc>
          <w:tcPr>
            <w:tcW w:w="6760" w:type="dxa"/>
            <w:vAlign w:val="bottom"/>
            <w:gridSpan w:val="3"/>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Accrued utility revenue</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43,600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42,700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(3,200)</w:t>
            </w:r>
          </w:p>
        </w:tc>
      </w:tr>
      <w:tr>
        <w:trPr>
          <w:trHeight w:val="195"/>
        </w:trPr>
        <w:tc>
          <w:tcPr>
            <w:tcW w:w="60" w:type="dxa"/>
            <w:vAlign w:val="bottom"/>
          </w:tcPr>
          <w:p>
            <w:pPr>
              <w:spacing w:after="0"/>
              <w:rPr>
                <w:sz w:val="16"/>
                <w:szCs w:val="16"/>
                <w:color w:val="auto"/>
              </w:rPr>
            </w:pPr>
          </w:p>
        </w:tc>
        <w:tc>
          <w:tcPr>
            <w:tcW w:w="6760" w:type="dxa"/>
            <w:vAlign w:val="bottom"/>
            <w:gridSpan w:val="3"/>
          </w:tcPr>
          <w:p>
            <w:pPr>
              <w:ind w:left="940"/>
              <w:spacing w:after="0"/>
              <w:rPr>
                <w:sz w:val="20"/>
                <w:szCs w:val="20"/>
                <w:color w:val="auto"/>
              </w:rPr>
            </w:pPr>
            <w:r>
              <w:rPr>
                <w:rFonts w:ascii="Times New Roman" w:cs="Times New Roman" w:eastAsia="Times New Roman" w:hAnsi="Times New Roman"/>
                <w:sz w:val="14"/>
                <w:szCs w:val="14"/>
                <w:color w:val="auto"/>
              </w:rPr>
              <w:t>Deferred purchased gas costs</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(90,206)</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(293,410)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(140,524)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(317,070)</w:t>
            </w:r>
          </w:p>
        </w:tc>
      </w:tr>
      <w:tr>
        <w:trPr>
          <w:trHeight w:val="210"/>
        </w:trPr>
        <w:tc>
          <w:tcPr>
            <w:tcW w:w="60" w:type="dxa"/>
            <w:vAlign w:val="bottom"/>
            <w:shd w:val="clear" w:color="auto" w:fill="CCEEFF"/>
          </w:tcPr>
          <w:p>
            <w:pPr>
              <w:spacing w:after="0"/>
              <w:rPr>
                <w:sz w:val="18"/>
                <w:szCs w:val="18"/>
                <w:color w:val="auto"/>
              </w:rPr>
            </w:pPr>
          </w:p>
        </w:tc>
        <w:tc>
          <w:tcPr>
            <w:tcW w:w="6760" w:type="dxa"/>
            <w:vAlign w:val="bottom"/>
            <w:gridSpan w:val="3"/>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Accounts payable</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(71,899)</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(42,536)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28,401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17,396</w:t>
            </w:r>
          </w:p>
        </w:tc>
      </w:tr>
      <w:tr>
        <w:trPr>
          <w:trHeight w:val="195"/>
        </w:trPr>
        <w:tc>
          <w:tcPr>
            <w:tcW w:w="60" w:type="dxa"/>
            <w:vAlign w:val="bottom"/>
          </w:tcPr>
          <w:p>
            <w:pPr>
              <w:spacing w:after="0"/>
              <w:rPr>
                <w:sz w:val="16"/>
                <w:szCs w:val="16"/>
                <w:color w:val="auto"/>
              </w:rPr>
            </w:pPr>
          </w:p>
        </w:tc>
        <w:tc>
          <w:tcPr>
            <w:tcW w:w="6760" w:type="dxa"/>
            <w:vAlign w:val="bottom"/>
            <w:gridSpan w:val="3"/>
          </w:tcPr>
          <w:p>
            <w:pPr>
              <w:ind w:left="940"/>
              <w:spacing w:after="0"/>
              <w:rPr>
                <w:sz w:val="20"/>
                <w:szCs w:val="20"/>
                <w:color w:val="auto"/>
              </w:rPr>
            </w:pPr>
            <w:r>
              <w:rPr>
                <w:rFonts w:ascii="Times New Roman" w:cs="Times New Roman" w:eastAsia="Times New Roman" w:hAnsi="Times New Roman"/>
                <w:sz w:val="14"/>
                <w:szCs w:val="14"/>
                <w:color w:val="auto"/>
              </w:rPr>
              <w:t>Accrued taxes</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18,725</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5,396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21,082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(12,045)</w:t>
            </w:r>
          </w:p>
        </w:tc>
      </w:tr>
      <w:tr>
        <w:trPr>
          <w:trHeight w:val="210"/>
        </w:trPr>
        <w:tc>
          <w:tcPr>
            <w:tcW w:w="60" w:type="dxa"/>
            <w:vAlign w:val="bottom"/>
            <w:shd w:val="clear" w:color="auto" w:fill="CCEEFF"/>
          </w:tcPr>
          <w:p>
            <w:pPr>
              <w:spacing w:after="0"/>
              <w:rPr>
                <w:sz w:val="18"/>
                <w:szCs w:val="18"/>
                <w:color w:val="auto"/>
              </w:rPr>
            </w:pPr>
          </w:p>
        </w:tc>
        <w:tc>
          <w:tcPr>
            <w:tcW w:w="6760" w:type="dxa"/>
            <w:vAlign w:val="bottom"/>
            <w:gridSpan w:val="3"/>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Other current assets and liabilities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(5,908)</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18,608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(94,787)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(7,739)</w:t>
            </w:r>
          </w:p>
        </w:tc>
      </w:tr>
      <w:tr>
        <w:trPr>
          <w:trHeight w:val="195"/>
        </w:trPr>
        <w:tc>
          <w:tcPr>
            <w:tcW w:w="60" w:type="dxa"/>
            <w:vAlign w:val="bottom"/>
          </w:tcPr>
          <w:p>
            <w:pPr>
              <w:spacing w:after="0"/>
              <w:rPr>
                <w:sz w:val="16"/>
                <w:szCs w:val="16"/>
                <w:color w:val="auto"/>
              </w:rPr>
            </w:pPr>
          </w:p>
        </w:tc>
        <w:tc>
          <w:tcPr>
            <w:tcW w:w="6760" w:type="dxa"/>
            <w:vAlign w:val="bottom"/>
            <w:gridSpan w:val="3"/>
          </w:tcPr>
          <w:p>
            <w:pPr>
              <w:ind w:left="620"/>
              <w:spacing w:after="0"/>
              <w:rPr>
                <w:sz w:val="20"/>
                <w:szCs w:val="20"/>
                <w:color w:val="auto"/>
              </w:rPr>
            </w:pPr>
            <w:r>
              <w:rPr>
                <w:rFonts w:ascii="Times New Roman" w:cs="Times New Roman" w:eastAsia="Times New Roman" w:hAnsi="Times New Roman"/>
                <w:sz w:val="14"/>
                <w:szCs w:val="14"/>
                <w:color w:val="auto"/>
              </w:rPr>
              <w:t>Gain on sale of property</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(1,503)</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60" w:type="dxa"/>
            <w:vAlign w:val="bottom"/>
            <w:shd w:val="clear" w:color="auto" w:fill="CCEEFF"/>
          </w:tcPr>
          <w:p>
            <w:pPr>
              <w:spacing w:after="0"/>
              <w:rPr>
                <w:sz w:val="18"/>
                <w:szCs w:val="18"/>
                <w:color w:val="auto"/>
              </w:rPr>
            </w:pPr>
          </w:p>
        </w:tc>
        <w:tc>
          <w:tcPr>
            <w:tcW w:w="676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Changes in undistributed stock compensation</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4,993</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5,948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6,239</w:t>
            </w:r>
          </w:p>
        </w:tc>
      </w:tr>
      <w:tr>
        <w:trPr>
          <w:trHeight w:val="195"/>
        </w:trPr>
        <w:tc>
          <w:tcPr>
            <w:tcW w:w="60" w:type="dxa"/>
            <w:vAlign w:val="bottom"/>
          </w:tcPr>
          <w:p>
            <w:pPr>
              <w:spacing w:after="0"/>
              <w:rPr>
                <w:sz w:val="16"/>
                <w:szCs w:val="16"/>
                <w:color w:val="auto"/>
              </w:rPr>
            </w:pPr>
          </w:p>
        </w:tc>
        <w:tc>
          <w:tcPr>
            <w:tcW w:w="6760" w:type="dxa"/>
            <w:vAlign w:val="bottom"/>
            <w:gridSpan w:val="3"/>
          </w:tcPr>
          <w:p>
            <w:pPr>
              <w:ind w:left="620"/>
              <w:spacing w:after="0"/>
              <w:rPr>
                <w:sz w:val="20"/>
                <w:szCs w:val="20"/>
                <w:color w:val="auto"/>
              </w:rPr>
            </w:pPr>
            <w:r>
              <w:rPr>
                <w:rFonts w:ascii="Times New Roman" w:cs="Times New Roman" w:eastAsia="Times New Roman" w:hAnsi="Times New Roman"/>
                <w:sz w:val="14"/>
                <w:szCs w:val="14"/>
                <w:color w:val="auto"/>
              </w:rPr>
              <w:t>Equity AFUDC</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(1,311)</w:t>
            </w:r>
          </w:p>
        </w:tc>
      </w:tr>
      <w:tr>
        <w:trPr>
          <w:trHeight w:val="210"/>
        </w:trPr>
        <w:tc>
          <w:tcPr>
            <w:tcW w:w="60" w:type="dxa"/>
            <w:vAlign w:val="bottom"/>
            <w:shd w:val="clear" w:color="auto" w:fill="CCEEFF"/>
          </w:tcPr>
          <w:p>
            <w:pPr>
              <w:spacing w:after="0"/>
              <w:rPr>
                <w:sz w:val="18"/>
                <w:szCs w:val="18"/>
                <w:color w:val="auto"/>
              </w:rPr>
            </w:pPr>
          </w:p>
        </w:tc>
        <w:tc>
          <w:tcPr>
            <w:tcW w:w="676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Changes in deferred charges and other assets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(18,726)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(8,905)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(35,329)</w:t>
            </w:r>
          </w:p>
        </w:tc>
      </w:tr>
      <w:tr>
        <w:trPr>
          <w:trHeight w:val="196"/>
        </w:trPr>
        <w:tc>
          <w:tcPr>
            <w:tcW w:w="60" w:type="dxa"/>
            <w:vAlign w:val="bottom"/>
            <w:tcBorders>
              <w:bottom w:val="single" w:sz="8" w:color="CCEEFF"/>
            </w:tcBorders>
          </w:tcPr>
          <w:p>
            <w:pPr>
              <w:spacing w:after="0"/>
              <w:rPr>
                <w:sz w:val="17"/>
                <w:szCs w:val="17"/>
                <w:color w:val="auto"/>
              </w:rPr>
            </w:pPr>
          </w:p>
        </w:tc>
        <w:tc>
          <w:tcPr>
            <w:tcW w:w="6760" w:type="dxa"/>
            <w:vAlign w:val="bottom"/>
            <w:tcBorders>
              <w:bottom w:val="single" w:sz="8" w:color="CCEEFF"/>
            </w:tcBorders>
            <w:gridSpan w:val="3"/>
          </w:tcPr>
          <w:p>
            <w:pPr>
              <w:ind w:left="620"/>
              <w:spacing w:after="0"/>
              <w:rPr>
                <w:sz w:val="20"/>
                <w:szCs w:val="20"/>
                <w:color w:val="auto"/>
              </w:rPr>
            </w:pPr>
            <w:r>
              <w:rPr>
                <w:rFonts w:ascii="Times New Roman" w:cs="Times New Roman" w:eastAsia="Times New Roman" w:hAnsi="Times New Roman"/>
                <w:sz w:val="14"/>
                <w:szCs w:val="14"/>
                <w:color w:val="auto"/>
              </w:rPr>
              <w:t>Changes in other liabilities and deferred credits</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(26,467)</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(55,905)</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(42,948)</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(68,509)</w:t>
            </w:r>
          </w:p>
        </w:tc>
      </w:tr>
      <w:tr>
        <w:trPr>
          <w:trHeight w:val="203"/>
        </w:trPr>
        <w:tc>
          <w:tcPr>
            <w:tcW w:w="60" w:type="dxa"/>
            <w:vAlign w:val="bottom"/>
            <w:shd w:val="clear" w:color="auto" w:fill="CCEEFF"/>
          </w:tcPr>
          <w:p>
            <w:pPr>
              <w:spacing w:after="0"/>
              <w:rPr>
                <w:sz w:val="17"/>
                <w:szCs w:val="17"/>
                <w:color w:val="auto"/>
              </w:rPr>
            </w:pPr>
          </w:p>
        </w:tc>
        <w:tc>
          <w:tcPr>
            <w:tcW w:w="6760" w:type="dxa"/>
            <w:vAlign w:val="bottom"/>
            <w:gridSpan w:val="3"/>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244,590</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31,066</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238,769</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42,082</w:t>
            </w:r>
          </w:p>
        </w:tc>
      </w:tr>
      <w:tr>
        <w:trPr>
          <w:trHeight w:val="175"/>
        </w:trPr>
        <w:tc>
          <w:tcPr>
            <w:tcW w:w="682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CASH FLOW FROM INVESTING ACTIVITIES:</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10"/>
        </w:trPr>
        <w:tc>
          <w:tcPr>
            <w:tcW w:w="60" w:type="dxa"/>
            <w:vAlign w:val="bottom"/>
            <w:shd w:val="clear" w:color="auto" w:fill="CCEEFF"/>
          </w:tcPr>
          <w:p>
            <w:pPr>
              <w:spacing w:after="0"/>
              <w:rPr>
                <w:sz w:val="18"/>
                <w:szCs w:val="18"/>
                <w:color w:val="auto"/>
              </w:rPr>
            </w:pPr>
          </w:p>
        </w:tc>
        <w:tc>
          <w:tcPr>
            <w:tcW w:w="676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Construction expenditures and property additions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(485,825)</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(415,398)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(672,410)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(582,393)</w:t>
            </w:r>
          </w:p>
        </w:tc>
      </w:tr>
      <w:tr>
        <w:trPr>
          <w:trHeight w:val="195"/>
        </w:trPr>
        <w:tc>
          <w:tcPr>
            <w:tcW w:w="60" w:type="dxa"/>
            <w:vAlign w:val="bottom"/>
          </w:tcPr>
          <w:p>
            <w:pPr>
              <w:spacing w:after="0"/>
              <w:rPr>
                <w:sz w:val="16"/>
                <w:szCs w:val="16"/>
                <w:color w:val="auto"/>
              </w:rPr>
            </w:pPr>
          </w:p>
        </w:tc>
        <w:tc>
          <w:tcPr>
            <w:tcW w:w="6760" w:type="dxa"/>
            <w:vAlign w:val="bottom"/>
            <w:gridSpan w:val="3"/>
          </w:tcPr>
          <w:p>
            <w:pPr>
              <w:ind w:left="300"/>
              <w:spacing w:after="0"/>
              <w:rPr>
                <w:sz w:val="20"/>
                <w:szCs w:val="20"/>
                <w:color w:val="auto"/>
              </w:rPr>
            </w:pPr>
            <w:r>
              <w:rPr>
                <w:rFonts w:ascii="Times New Roman" w:cs="Times New Roman" w:eastAsia="Times New Roman" w:hAnsi="Times New Roman"/>
                <w:sz w:val="14"/>
                <w:szCs w:val="14"/>
                <w:color w:val="auto"/>
              </w:rPr>
              <w:t>Changes in customer advances</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23,222</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7,940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31,255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14,282</w:t>
            </w:r>
          </w:p>
        </w:tc>
      </w:tr>
      <w:tr>
        <w:trPr>
          <w:trHeight w:val="210"/>
        </w:trPr>
        <w:tc>
          <w:tcPr>
            <w:tcW w:w="60" w:type="dxa"/>
            <w:vAlign w:val="bottom"/>
            <w:shd w:val="clear" w:color="auto" w:fill="CCEEFF"/>
          </w:tcPr>
          <w:p>
            <w:pPr>
              <w:spacing w:after="0"/>
              <w:rPr>
                <w:sz w:val="18"/>
                <w:szCs w:val="18"/>
                <w:color w:val="auto"/>
              </w:rPr>
            </w:pPr>
          </w:p>
        </w:tc>
        <w:tc>
          <w:tcPr>
            <w:tcW w:w="676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Other</w:t>
            </w: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(1,005)</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(1,102)</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653</w:t>
            </w:r>
          </w:p>
        </w:tc>
      </w:tr>
      <w:tr>
        <w:trPr>
          <w:trHeight w:val="190"/>
        </w:trPr>
        <w:tc>
          <w:tcPr>
            <w:tcW w:w="60" w:type="dxa"/>
            <w:vAlign w:val="bottom"/>
            <w:tcBorders>
              <w:bottom w:val="single" w:sz="8" w:color="CCEEFF"/>
            </w:tcBorders>
          </w:tcPr>
          <w:p>
            <w:pPr>
              <w:spacing w:after="0"/>
              <w:rPr>
                <w:sz w:val="16"/>
                <w:szCs w:val="16"/>
                <w:color w:val="auto"/>
              </w:rPr>
            </w:pPr>
          </w:p>
        </w:tc>
        <w:tc>
          <w:tcPr>
            <w:tcW w:w="6760" w:type="dxa"/>
            <w:vAlign w:val="bottom"/>
            <w:tcBorders>
              <w:bottom w:val="single" w:sz="8" w:color="CCEEFF"/>
            </w:tcBorders>
            <w:gridSpan w:val="3"/>
          </w:tcPr>
          <w:p>
            <w:pPr>
              <w:ind w:left="76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(463,608)</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(407,393)</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(642,257)</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(567,458)</w:t>
            </w:r>
          </w:p>
        </w:tc>
      </w:tr>
      <w:tr>
        <w:trPr>
          <w:trHeight w:val="189"/>
        </w:trPr>
        <w:tc>
          <w:tcPr>
            <w:tcW w:w="68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 FROM FINANCING ACTIVITIES:</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195"/>
        </w:trPr>
        <w:tc>
          <w:tcPr>
            <w:tcW w:w="60" w:type="dxa"/>
            <w:vAlign w:val="bottom"/>
          </w:tcPr>
          <w:p>
            <w:pPr>
              <w:spacing w:after="0"/>
              <w:rPr>
                <w:sz w:val="16"/>
                <w:szCs w:val="16"/>
                <w:color w:val="auto"/>
              </w:rPr>
            </w:pPr>
          </w:p>
        </w:tc>
        <w:tc>
          <w:tcPr>
            <w:tcW w:w="6760" w:type="dxa"/>
            <w:vAlign w:val="bottom"/>
            <w:gridSpan w:val="3"/>
          </w:tcPr>
          <w:p>
            <w:pPr>
              <w:ind w:left="300"/>
              <w:spacing w:after="0"/>
              <w:rPr>
                <w:sz w:val="20"/>
                <w:szCs w:val="20"/>
                <w:color w:val="auto"/>
              </w:rPr>
            </w:pPr>
            <w:r>
              <w:rPr>
                <w:rFonts w:ascii="Times New Roman" w:cs="Times New Roman" w:eastAsia="Times New Roman" w:hAnsi="Times New Roman"/>
                <w:sz w:val="14"/>
                <w:szCs w:val="14"/>
                <w:color w:val="auto"/>
              </w:rPr>
              <w:t>Contributions from parent</w:t>
            </w:r>
          </w:p>
        </w:tc>
        <w:tc>
          <w:tcPr>
            <w:tcW w:w="22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202,583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248,544</w:t>
            </w:r>
          </w:p>
        </w:tc>
      </w:tr>
      <w:tr>
        <w:trPr>
          <w:trHeight w:val="210"/>
        </w:trPr>
        <w:tc>
          <w:tcPr>
            <w:tcW w:w="60" w:type="dxa"/>
            <w:vAlign w:val="bottom"/>
            <w:shd w:val="clear" w:color="auto" w:fill="CCEEFF"/>
          </w:tcPr>
          <w:p>
            <w:pPr>
              <w:spacing w:after="0"/>
              <w:rPr>
                <w:sz w:val="18"/>
                <w:szCs w:val="18"/>
                <w:color w:val="auto"/>
              </w:rPr>
            </w:pPr>
          </w:p>
        </w:tc>
        <w:tc>
          <w:tcPr>
            <w:tcW w:w="676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Dividends paid</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(92,200)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(82,000)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(121,600)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(109,000)</w:t>
            </w:r>
          </w:p>
        </w:tc>
      </w:tr>
      <w:tr>
        <w:trPr>
          <w:trHeight w:val="188"/>
        </w:trPr>
        <w:tc>
          <w:tcPr>
            <w:tcW w:w="60" w:type="dxa"/>
            <w:vAlign w:val="bottom"/>
          </w:tcPr>
          <w:p>
            <w:pPr>
              <w:spacing w:after="0"/>
              <w:rPr>
                <w:sz w:val="16"/>
                <w:szCs w:val="16"/>
                <w:color w:val="auto"/>
              </w:rPr>
            </w:pPr>
          </w:p>
        </w:tc>
        <w:tc>
          <w:tcPr>
            <w:tcW w:w="6760" w:type="dxa"/>
            <w:vAlign w:val="bottom"/>
            <w:gridSpan w:val="3"/>
          </w:tcPr>
          <w:p>
            <w:pPr>
              <w:ind w:left="300"/>
              <w:spacing w:after="0"/>
              <w:rPr>
                <w:sz w:val="20"/>
                <w:szCs w:val="20"/>
                <w:color w:val="auto"/>
              </w:rPr>
            </w:pPr>
            <w:r>
              <w:rPr>
                <w:rFonts w:ascii="Times New Roman" w:cs="Times New Roman" w:eastAsia="Times New Roman" w:hAnsi="Times New Roman"/>
                <w:sz w:val="14"/>
                <w:szCs w:val="14"/>
                <w:color w:val="auto"/>
              </w:rPr>
              <w:t>Issuance of long-term debt, net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593,862</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297,318</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593,862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297,318</w:t>
            </w:r>
          </w:p>
        </w:tc>
      </w:tr>
      <w:tr>
        <w:trPr>
          <w:trHeight w:val="217"/>
        </w:trPr>
        <w:tc>
          <w:tcPr>
            <w:tcW w:w="60" w:type="dxa"/>
            <w:vAlign w:val="bottom"/>
            <w:shd w:val="clear" w:color="auto" w:fill="CCEEFF"/>
          </w:tcPr>
          <w:p>
            <w:pPr>
              <w:spacing w:after="0"/>
              <w:rPr>
                <w:sz w:val="18"/>
                <w:szCs w:val="18"/>
                <w:color w:val="auto"/>
              </w:rPr>
            </w:pPr>
          </w:p>
        </w:tc>
        <w:tc>
          <w:tcPr>
            <w:tcW w:w="676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Retirement of long-term debt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(275,000)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(275,000)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60" w:type="dxa"/>
            <w:vAlign w:val="bottom"/>
          </w:tcPr>
          <w:p>
            <w:pPr>
              <w:spacing w:after="0"/>
              <w:rPr>
                <w:sz w:val="16"/>
                <w:szCs w:val="16"/>
                <w:color w:val="auto"/>
              </w:rPr>
            </w:pPr>
          </w:p>
        </w:tc>
        <w:tc>
          <w:tcPr>
            <w:tcW w:w="6760" w:type="dxa"/>
            <w:vAlign w:val="bottom"/>
            <w:gridSpan w:val="3"/>
          </w:tcPr>
          <w:p>
            <w:pPr>
              <w:ind w:left="300"/>
              <w:spacing w:after="0"/>
              <w:rPr>
                <w:sz w:val="20"/>
                <w:szCs w:val="20"/>
                <w:color w:val="auto"/>
              </w:rPr>
            </w:pPr>
            <w:r>
              <w:rPr>
                <w:rFonts w:ascii="Times New Roman" w:cs="Times New Roman" w:eastAsia="Times New Roman" w:hAnsi="Times New Roman"/>
                <w:sz w:val="14"/>
                <w:szCs w:val="14"/>
                <w:color w:val="auto"/>
              </w:rPr>
              <w:t>Change in credit facility and commercial paper</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8,000</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(150,000)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138,000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(58,000)</w:t>
            </w:r>
          </w:p>
        </w:tc>
      </w:tr>
      <w:tr>
        <w:trPr>
          <w:trHeight w:val="210"/>
        </w:trPr>
        <w:tc>
          <w:tcPr>
            <w:tcW w:w="60" w:type="dxa"/>
            <w:vAlign w:val="bottom"/>
            <w:shd w:val="clear" w:color="auto" w:fill="CCEEFF"/>
          </w:tcPr>
          <w:p>
            <w:pPr>
              <w:spacing w:after="0"/>
              <w:rPr>
                <w:sz w:val="18"/>
                <w:szCs w:val="18"/>
                <w:color w:val="auto"/>
              </w:rPr>
            </w:pPr>
          </w:p>
        </w:tc>
        <w:tc>
          <w:tcPr>
            <w:tcW w:w="676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Change in short-term debt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193,000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250,000</w:t>
            </w:r>
          </w:p>
        </w:tc>
      </w:tr>
      <w:tr>
        <w:trPr>
          <w:trHeight w:val="195"/>
        </w:trPr>
        <w:tc>
          <w:tcPr>
            <w:tcW w:w="60" w:type="dxa"/>
            <w:vAlign w:val="bottom"/>
          </w:tcPr>
          <w:p>
            <w:pPr>
              <w:spacing w:after="0"/>
              <w:rPr>
                <w:sz w:val="16"/>
                <w:szCs w:val="16"/>
                <w:color w:val="auto"/>
              </w:rPr>
            </w:pPr>
          </w:p>
        </w:tc>
        <w:tc>
          <w:tcPr>
            <w:tcW w:w="6760" w:type="dxa"/>
            <w:vAlign w:val="bottom"/>
            <w:gridSpan w:val="3"/>
          </w:tcPr>
          <w:p>
            <w:pPr>
              <w:ind w:left="300"/>
              <w:spacing w:after="0"/>
              <w:rPr>
                <w:sz w:val="20"/>
                <w:szCs w:val="20"/>
                <w:color w:val="auto"/>
              </w:rPr>
            </w:pPr>
            <w:r>
              <w:rPr>
                <w:rFonts w:ascii="Times New Roman" w:cs="Times New Roman" w:eastAsia="Times New Roman" w:hAnsi="Times New Roman"/>
                <w:sz w:val="14"/>
                <w:szCs w:val="14"/>
                <w:color w:val="auto"/>
              </w:rPr>
              <w:t>Withholding remittance - share-based compensation</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(2,011)</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(1,254)</w:t>
            </w:r>
          </w:p>
        </w:tc>
      </w:tr>
      <w:tr>
        <w:trPr>
          <w:trHeight w:val="210"/>
        </w:trPr>
        <w:tc>
          <w:tcPr>
            <w:tcW w:w="60" w:type="dxa"/>
            <w:vAlign w:val="bottom"/>
            <w:shd w:val="clear" w:color="auto" w:fill="CCEEFF"/>
          </w:tcPr>
          <w:p>
            <w:pPr>
              <w:spacing w:after="0"/>
              <w:rPr>
                <w:sz w:val="18"/>
                <w:szCs w:val="18"/>
                <w:color w:val="auto"/>
              </w:rPr>
            </w:pPr>
          </w:p>
        </w:tc>
        <w:tc>
          <w:tcPr>
            <w:tcW w:w="676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Other</w:t>
            </w: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(2,173)</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(1,632)</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(2,361)</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(1,708)</w:t>
            </w:r>
          </w:p>
        </w:tc>
      </w:tr>
      <w:tr>
        <w:trPr>
          <w:trHeight w:val="190"/>
        </w:trPr>
        <w:tc>
          <w:tcPr>
            <w:tcW w:w="60" w:type="dxa"/>
            <w:vAlign w:val="bottom"/>
            <w:tcBorders>
              <w:bottom w:val="single" w:sz="8" w:color="CCEEFF"/>
            </w:tcBorders>
          </w:tcPr>
          <w:p>
            <w:pPr>
              <w:spacing w:after="0"/>
              <w:rPr>
                <w:sz w:val="16"/>
                <w:szCs w:val="16"/>
                <w:color w:val="auto"/>
              </w:rPr>
            </w:pPr>
          </w:p>
        </w:tc>
        <w:tc>
          <w:tcPr>
            <w:tcW w:w="6760" w:type="dxa"/>
            <w:vAlign w:val="bottom"/>
            <w:tcBorders>
              <w:bottom w:val="single" w:sz="8" w:color="CCEEFF"/>
            </w:tcBorders>
            <w:gridSpan w:val="3"/>
          </w:tcPr>
          <w:p>
            <w:pPr>
              <w:ind w:left="76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205,478</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458,015</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305,881</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625,900</w:t>
            </w:r>
          </w:p>
        </w:tc>
      </w:tr>
      <w:tr>
        <w:trPr>
          <w:trHeight w:val="189"/>
        </w:trPr>
        <w:tc>
          <w:tcPr>
            <w:tcW w:w="60" w:type="dxa"/>
            <w:vAlign w:val="bottom"/>
            <w:shd w:val="clear" w:color="auto" w:fill="CCEEFF"/>
          </w:tcPr>
          <w:p>
            <w:pPr>
              <w:spacing w:after="0"/>
              <w:rPr>
                <w:sz w:val="16"/>
                <w:szCs w:val="16"/>
                <w:color w:val="auto"/>
              </w:rPr>
            </w:pPr>
          </w:p>
        </w:tc>
        <w:tc>
          <w:tcPr>
            <w:tcW w:w="2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195"/>
        </w:trPr>
        <w:tc>
          <w:tcPr>
            <w:tcW w:w="682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Change in cash and cash equivalents</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(13,540)</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81,688</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(97,607)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100,524</w:t>
            </w:r>
          </w:p>
        </w:tc>
      </w:tr>
      <w:tr>
        <w:trPr>
          <w:trHeight w:val="210"/>
        </w:trPr>
        <w:tc>
          <w:tcPr>
            <w:tcW w:w="68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38,691</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41,070</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122,758</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22,234</w:t>
            </w:r>
          </w:p>
        </w:tc>
      </w:tr>
      <w:tr>
        <w:trPr>
          <w:trHeight w:val="190"/>
        </w:trPr>
        <w:tc>
          <w:tcPr>
            <w:tcW w:w="682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end of period</w:t>
            </w: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25,151</w:t>
            </w:r>
          </w:p>
        </w:tc>
        <w:tc>
          <w:tcPr>
            <w:tcW w:w="120" w:type="dxa"/>
            <w:vAlign w:val="bottom"/>
          </w:tcPr>
          <w:p>
            <w:pPr>
              <w:spacing w:after="0"/>
              <w:rPr>
                <w:sz w:val="16"/>
                <w:szCs w:val="16"/>
                <w:color w:val="auto"/>
              </w:rPr>
            </w:pPr>
          </w:p>
        </w:tc>
        <w:tc>
          <w:tcPr>
            <w:tcW w:w="36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122,758</w:t>
            </w:r>
          </w:p>
        </w:tc>
        <w:tc>
          <w:tcPr>
            <w:tcW w:w="120" w:type="dxa"/>
            <w:vAlign w:val="bottom"/>
          </w:tcPr>
          <w:p>
            <w:pPr>
              <w:spacing w:after="0"/>
              <w:rPr>
                <w:sz w:val="16"/>
                <w:szCs w:val="16"/>
                <w:color w:val="auto"/>
              </w:rPr>
            </w:pP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25,151</w:t>
            </w:r>
          </w:p>
        </w:tc>
        <w:tc>
          <w:tcPr>
            <w:tcW w:w="12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122,758</w:t>
            </w:r>
          </w:p>
        </w:tc>
      </w:tr>
      <w:tr>
        <w:trPr>
          <w:trHeight w:val="20"/>
        </w:trPr>
        <w:tc>
          <w:tcPr>
            <w:tcW w:w="6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76"/>
        </w:trPr>
        <w:tc>
          <w:tcPr>
            <w:tcW w:w="68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SUPPLEMENTAL INFORMATION:</w:t>
            </w: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196"/>
        </w:trPr>
        <w:tc>
          <w:tcPr>
            <w:tcW w:w="60" w:type="dxa"/>
            <w:vAlign w:val="bottom"/>
          </w:tcPr>
          <w:p>
            <w:pPr>
              <w:spacing w:after="0"/>
              <w:rPr>
                <w:sz w:val="17"/>
                <w:szCs w:val="17"/>
                <w:color w:val="auto"/>
              </w:rPr>
            </w:pPr>
          </w:p>
        </w:tc>
        <w:tc>
          <w:tcPr>
            <w:tcW w:w="6760" w:type="dxa"/>
            <w:vAlign w:val="bottom"/>
            <w:gridSpan w:val="3"/>
          </w:tcPr>
          <w:p>
            <w:pPr>
              <w:ind w:left="300"/>
              <w:spacing w:after="0"/>
              <w:rPr>
                <w:sz w:val="20"/>
                <w:szCs w:val="20"/>
                <w:color w:val="auto"/>
              </w:rPr>
            </w:pPr>
            <w:r>
              <w:rPr>
                <w:rFonts w:ascii="Times New Roman" w:cs="Times New Roman" w:eastAsia="Times New Roman" w:hAnsi="Times New Roman"/>
                <w:sz w:val="14"/>
                <w:szCs w:val="14"/>
                <w:color w:val="auto"/>
              </w:rPr>
              <w:t>Interest paid, net of amounts capitalized</w:t>
            </w: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76,141</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53,220</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113,161</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92,778</w:t>
            </w:r>
          </w:p>
        </w:tc>
      </w:tr>
      <w:tr>
        <w:trPr>
          <w:trHeight w:val="20"/>
        </w:trPr>
        <w:tc>
          <w:tcPr>
            <w:tcW w:w="6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21"/>
        </w:trPr>
        <w:tc>
          <w:tcPr>
            <w:tcW w:w="60" w:type="dxa"/>
            <w:vAlign w:val="bottom"/>
            <w:tcBorders>
              <w:bottom w:val="single" w:sz="8" w:color="CCEEFF"/>
            </w:tcBorders>
            <w:shd w:val="clear" w:color="auto" w:fill="CCEEFF"/>
          </w:tcPr>
          <w:p>
            <w:pPr>
              <w:spacing w:after="0"/>
              <w:rPr>
                <w:sz w:val="18"/>
                <w:szCs w:val="18"/>
                <w:color w:val="auto"/>
              </w:rPr>
            </w:pPr>
          </w:p>
        </w:tc>
        <w:tc>
          <w:tcPr>
            <w:tcW w:w="6760" w:type="dxa"/>
            <w:vAlign w:val="bottom"/>
            <w:tcBorders>
              <w:bottom w:val="single" w:sz="8" w:color="CCEEFF"/>
            </w:tcBorders>
            <w:gridSpan w:val="3"/>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Income taxes paid (received), net</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(13,524)</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3,359</w:t>
            </w:r>
          </w:p>
        </w:tc>
      </w:tr>
      <w:tr>
        <w:trPr>
          <w:trHeight w:val="20"/>
        </w:trPr>
        <w:tc>
          <w:tcPr>
            <w:tcW w:w="6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57" w:right="39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6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29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SOUTHWEST GAS CORPORATION</w:t>
            </w:r>
          </w:p>
        </w:tc>
        <w:tc>
          <w:tcPr>
            <w:tcW w:w="3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September 30, 2022</w:t>
            </w:r>
          </w:p>
        </w:tc>
        <w:tc>
          <w:tcPr>
            <w:tcW w:w="0" w:type="dxa"/>
            <w:vAlign w:val="bottom"/>
          </w:tcPr>
          <w:p>
            <w:pPr>
              <w:spacing w:after="0"/>
              <w:rPr>
                <w:sz w:val="1"/>
                <w:szCs w:val="1"/>
                <w:color w:val="auto"/>
              </w:rPr>
            </w:pPr>
          </w:p>
        </w:tc>
      </w:tr>
      <w:tr>
        <w:trPr>
          <w:trHeight w:val="866"/>
        </w:trPr>
        <w:tc>
          <w:tcPr>
            <w:tcW w:w="6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060" w:type="dxa"/>
            <w:vAlign w:val="bottom"/>
            <w:gridSpan w:val="5"/>
          </w:tcPr>
          <w:p>
            <w:pPr>
              <w:jc w:val="center"/>
              <w:ind w:left="190"/>
              <w:spacing w:after="0"/>
              <w:rPr>
                <w:sz w:val="20"/>
                <w:szCs w:val="20"/>
                <w:color w:val="auto"/>
              </w:rPr>
            </w:pPr>
            <w:r>
              <w:rPr>
                <w:rFonts w:ascii="Times New Roman" w:cs="Times New Roman" w:eastAsia="Times New Roman" w:hAnsi="Times New Roman"/>
                <w:sz w:val="18"/>
                <w:szCs w:val="18"/>
                <w:color w:val="auto"/>
                <w:w w:val="99"/>
              </w:rPr>
              <w:t>SOUTHWEST GAS CORPORATION AND SUBSIDIARIES</w:t>
            </w: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60" w:type="dxa"/>
            <w:vAlign w:val="bottom"/>
            <w:gridSpan w:val="5"/>
          </w:tcPr>
          <w:p>
            <w:pPr>
              <w:jc w:val="center"/>
              <w:ind w:left="170"/>
              <w:spacing w:after="0"/>
              <w:rPr>
                <w:sz w:val="20"/>
                <w:szCs w:val="20"/>
                <w:color w:val="auto"/>
              </w:rPr>
            </w:pPr>
            <w:r>
              <w:rPr>
                <w:rFonts w:ascii="Times New Roman" w:cs="Times New Roman" w:eastAsia="Times New Roman" w:hAnsi="Times New Roman"/>
                <w:sz w:val="18"/>
                <w:szCs w:val="18"/>
                <w:color w:val="auto"/>
                <w:w w:val="98"/>
              </w:rPr>
              <w:t>CONDENSED CONSOLIDATED STATEMENTS OF EQUITY</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20" w:type="dxa"/>
            <w:vAlign w:val="bottom"/>
          </w:tcPr>
          <w:p>
            <w:pPr>
              <w:jc w:val="center"/>
              <w:ind w:left="1710"/>
              <w:spacing w:after="0"/>
              <w:rPr>
                <w:sz w:val="20"/>
                <w:szCs w:val="20"/>
                <w:color w:val="auto"/>
              </w:rPr>
            </w:pPr>
            <w:r>
              <w:rPr>
                <w:rFonts w:ascii="Times New Roman" w:cs="Times New Roman" w:eastAsia="Times New Roman" w:hAnsi="Times New Roman"/>
                <w:sz w:val="18"/>
                <w:szCs w:val="18"/>
                <w:color w:val="auto"/>
              </w:rPr>
              <w:t>(In thousands)</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20" w:type="dxa"/>
            <w:vAlign w:val="bottom"/>
          </w:tcPr>
          <w:p>
            <w:pPr>
              <w:jc w:val="center"/>
              <w:ind w:left="1710"/>
              <w:spacing w:after="0"/>
              <w:rPr>
                <w:sz w:val="20"/>
                <w:szCs w:val="20"/>
                <w:color w:val="auto"/>
              </w:rPr>
            </w:pPr>
            <w:r>
              <w:rPr>
                <w:rFonts w:ascii="Times New Roman" w:cs="Times New Roman" w:eastAsia="Times New Roman" w:hAnsi="Times New Roman"/>
                <w:sz w:val="18"/>
                <w:szCs w:val="18"/>
                <w:color w:val="auto"/>
              </w:rPr>
              <w:t>(Unaudited)</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80" w:type="dxa"/>
            <w:vAlign w:val="bottom"/>
            <w:gridSpan w:val="5"/>
          </w:tcPr>
          <w:p>
            <w:pPr>
              <w:jc w:val="center"/>
              <w:ind w:right="360"/>
              <w:spacing w:after="0"/>
              <w:rPr>
                <w:sz w:val="20"/>
                <w:szCs w:val="20"/>
                <w:color w:val="auto"/>
              </w:rPr>
            </w:pPr>
            <w:r>
              <w:rPr>
                <w:rFonts w:ascii="Times New Roman" w:cs="Times New Roman" w:eastAsia="Times New Roman" w:hAnsi="Times New Roman"/>
                <w:sz w:val="16"/>
                <w:szCs w:val="16"/>
                <w:color w:val="auto"/>
              </w:rPr>
              <w:t>Three Months Ended</w:t>
            </w:r>
          </w:p>
        </w:tc>
        <w:tc>
          <w:tcPr>
            <w:tcW w:w="240" w:type="dxa"/>
            <w:vAlign w:val="bottom"/>
          </w:tcPr>
          <w:p>
            <w:pPr>
              <w:spacing w:after="0"/>
              <w:rPr>
                <w:sz w:val="24"/>
                <w:szCs w:val="24"/>
                <w:color w:val="auto"/>
              </w:rPr>
            </w:pPr>
          </w:p>
        </w:tc>
        <w:tc>
          <w:tcPr>
            <w:tcW w:w="2080" w:type="dxa"/>
            <w:vAlign w:val="bottom"/>
            <w:gridSpan w:val="4"/>
          </w:tcPr>
          <w:p>
            <w:pPr>
              <w:jc w:val="right"/>
              <w:ind w:right="419"/>
              <w:spacing w:after="0"/>
              <w:rPr>
                <w:sz w:val="20"/>
                <w:szCs w:val="20"/>
                <w:color w:val="auto"/>
              </w:rPr>
            </w:pPr>
            <w:r>
              <w:rPr>
                <w:rFonts w:ascii="Times New Roman" w:cs="Times New Roman" w:eastAsia="Times New Roman" w:hAnsi="Times New Roman"/>
                <w:sz w:val="16"/>
                <w:szCs w:val="16"/>
                <w:color w:val="auto"/>
              </w:rPr>
              <w:t>Nine Months Ended</w:t>
            </w: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80" w:type="dxa"/>
            <w:vAlign w:val="bottom"/>
            <w:gridSpan w:val="5"/>
          </w:tcPr>
          <w:p>
            <w:pPr>
              <w:jc w:val="center"/>
              <w:ind w:right="360"/>
              <w:spacing w:after="0"/>
              <w:rPr>
                <w:sz w:val="20"/>
                <w:szCs w:val="20"/>
                <w:color w:val="auto"/>
              </w:rPr>
            </w:pPr>
            <w:r>
              <w:rPr>
                <w:rFonts w:ascii="Times New Roman" w:cs="Times New Roman" w:eastAsia="Times New Roman" w:hAnsi="Times New Roman"/>
                <w:sz w:val="16"/>
                <w:szCs w:val="16"/>
                <w:color w:val="auto"/>
              </w:rPr>
              <w:t>September 30,</w:t>
            </w:r>
          </w:p>
        </w:tc>
        <w:tc>
          <w:tcPr>
            <w:tcW w:w="240" w:type="dxa"/>
            <w:vAlign w:val="bottom"/>
          </w:tcPr>
          <w:p>
            <w:pPr>
              <w:spacing w:after="0"/>
              <w:rPr>
                <w:sz w:val="18"/>
                <w:szCs w:val="18"/>
                <w:color w:val="auto"/>
              </w:rPr>
            </w:pPr>
          </w:p>
        </w:tc>
        <w:tc>
          <w:tcPr>
            <w:tcW w:w="2080" w:type="dxa"/>
            <w:vAlign w:val="bottom"/>
            <w:gridSpan w:val="4"/>
          </w:tcPr>
          <w:p>
            <w:pPr>
              <w:jc w:val="right"/>
              <w:ind w:right="619"/>
              <w:spacing w:after="0"/>
              <w:rPr>
                <w:sz w:val="20"/>
                <w:szCs w:val="20"/>
                <w:color w:val="auto"/>
              </w:rPr>
            </w:pPr>
            <w:r>
              <w:rPr>
                <w:rFonts w:ascii="Times New Roman" w:cs="Times New Roman" w:eastAsia="Times New Roman" w:hAnsi="Times New Roman"/>
                <w:sz w:val="16"/>
                <w:szCs w:val="16"/>
                <w:color w:val="auto"/>
              </w:rPr>
              <w:t>September 30,</w:t>
            </w:r>
          </w:p>
        </w:tc>
        <w:tc>
          <w:tcPr>
            <w:tcW w:w="0" w:type="dxa"/>
            <w:vAlign w:val="bottom"/>
          </w:tcPr>
          <w:p>
            <w:pPr>
              <w:spacing w:after="0"/>
              <w:rPr>
                <w:sz w:val="1"/>
                <w:szCs w:val="1"/>
                <w:color w:val="auto"/>
              </w:rPr>
            </w:pPr>
          </w:p>
        </w:tc>
      </w:tr>
      <w:tr>
        <w:trPr>
          <w:trHeight w:val="209"/>
        </w:trPr>
        <w:tc>
          <w:tcPr>
            <w:tcW w:w="60" w:type="dxa"/>
            <w:vAlign w:val="bottom"/>
            <w:tcBorders>
              <w:bottom w:val="single" w:sz="8" w:color="CCEEFF"/>
            </w:tcBorders>
          </w:tcPr>
          <w:p>
            <w:pPr>
              <w:spacing w:after="0"/>
              <w:rPr>
                <w:sz w:val="18"/>
                <w:szCs w:val="18"/>
                <w:color w:val="auto"/>
              </w:rPr>
            </w:pPr>
          </w:p>
        </w:tc>
        <w:tc>
          <w:tcPr>
            <w:tcW w:w="28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5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2021</w:t>
            </w:r>
          </w:p>
        </w:tc>
        <w:tc>
          <w:tcPr>
            <w:tcW w:w="1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2022</w:t>
            </w:r>
          </w:p>
        </w:tc>
        <w:tc>
          <w:tcPr>
            <w:tcW w:w="120" w:type="dxa"/>
            <w:vAlign w:val="bottom"/>
            <w:tcBorders>
              <w:top w:val="single" w:sz="8" w:color="auto"/>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2021</w:t>
            </w:r>
          </w:p>
        </w:tc>
        <w:tc>
          <w:tcPr>
            <w:tcW w:w="0" w:type="dxa"/>
            <w:vAlign w:val="bottom"/>
          </w:tcPr>
          <w:p>
            <w:pPr>
              <w:spacing w:after="0"/>
              <w:rPr>
                <w:sz w:val="1"/>
                <w:szCs w:val="1"/>
                <w:color w:val="auto"/>
              </w:rPr>
            </w:pPr>
          </w:p>
        </w:tc>
      </w:tr>
      <w:tr>
        <w:trPr>
          <w:trHeight w:val="196"/>
        </w:trPr>
        <w:tc>
          <w:tcPr>
            <w:tcW w:w="64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stock shares</w:t>
            </w: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0" w:type="dxa"/>
            <w:vAlign w:val="bottom"/>
          </w:tcPr>
          <w:p>
            <w:pPr>
              <w:spacing w:after="0"/>
              <w:rPr>
                <w:sz w:val="18"/>
                <w:szCs w:val="18"/>
                <w:color w:val="auto"/>
              </w:rPr>
            </w:pPr>
          </w:p>
        </w:tc>
        <w:tc>
          <w:tcPr>
            <w:tcW w:w="642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Beginning and ending balances</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47,482</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47,482</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47,482</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47,482</w:t>
            </w:r>
          </w:p>
        </w:tc>
        <w:tc>
          <w:tcPr>
            <w:tcW w:w="0" w:type="dxa"/>
            <w:vAlign w:val="bottom"/>
          </w:tcPr>
          <w:p>
            <w:pPr>
              <w:spacing w:after="0"/>
              <w:rPr>
                <w:sz w:val="1"/>
                <w:szCs w:val="1"/>
                <w:color w:val="auto"/>
              </w:rPr>
            </w:pPr>
          </w:p>
        </w:tc>
      </w:tr>
      <w:tr>
        <w:trPr>
          <w:trHeight w:val="20"/>
        </w:trPr>
        <w:tc>
          <w:tcPr>
            <w:tcW w:w="6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5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4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stock amount</w:t>
            </w:r>
          </w:p>
        </w:tc>
        <w:tc>
          <w:tcPr>
            <w:tcW w:w="2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60" w:type="dxa"/>
            <w:vAlign w:val="bottom"/>
            <w:tcBorders>
              <w:bottom w:val="single" w:sz="8" w:color="CCEEFF"/>
            </w:tcBorders>
          </w:tcPr>
          <w:p>
            <w:pPr>
              <w:spacing w:after="0"/>
              <w:rPr>
                <w:sz w:val="17"/>
                <w:szCs w:val="17"/>
                <w:color w:val="auto"/>
              </w:rPr>
            </w:pPr>
          </w:p>
        </w:tc>
        <w:tc>
          <w:tcPr>
            <w:tcW w:w="6420" w:type="dxa"/>
            <w:vAlign w:val="bottom"/>
            <w:tcBorders>
              <w:bottom w:val="single" w:sz="8" w:color="CCEEFF"/>
            </w:tcBorders>
            <w:gridSpan w:val="3"/>
          </w:tcPr>
          <w:p>
            <w:pPr>
              <w:ind w:left="300"/>
              <w:spacing w:after="0"/>
              <w:rPr>
                <w:sz w:val="20"/>
                <w:szCs w:val="20"/>
                <w:color w:val="auto"/>
              </w:rPr>
            </w:pPr>
            <w:r>
              <w:rPr>
                <w:rFonts w:ascii="Times New Roman" w:cs="Times New Roman" w:eastAsia="Times New Roman" w:hAnsi="Times New Roman"/>
                <w:sz w:val="16"/>
                <w:szCs w:val="16"/>
                <w:color w:val="auto"/>
              </w:rPr>
              <w:t>Beginning and ending balances</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49,112</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49,112</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49,112</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49,112</w:t>
            </w:r>
          </w:p>
        </w:tc>
        <w:tc>
          <w:tcPr>
            <w:tcW w:w="0" w:type="dxa"/>
            <w:vAlign w:val="bottom"/>
          </w:tcPr>
          <w:p>
            <w:pPr>
              <w:spacing w:after="0"/>
              <w:rPr>
                <w:sz w:val="1"/>
                <w:szCs w:val="1"/>
                <w:color w:val="auto"/>
              </w:rPr>
            </w:pPr>
          </w:p>
        </w:tc>
      </w:tr>
      <w:tr>
        <w:trPr>
          <w:trHeight w:val="199"/>
        </w:trPr>
        <w:tc>
          <w:tcPr>
            <w:tcW w:w="64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642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Beginning balances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1,622,006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1,529,419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1,618,911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1,410,345</w:t>
            </w:r>
          </w:p>
        </w:tc>
        <w:tc>
          <w:tcPr>
            <w:tcW w:w="0" w:type="dxa"/>
            <w:vAlign w:val="bottom"/>
          </w:tcPr>
          <w:p>
            <w:pPr>
              <w:spacing w:after="0"/>
              <w:rPr>
                <w:sz w:val="1"/>
                <w:szCs w:val="1"/>
                <w:color w:val="auto"/>
              </w:rPr>
            </w:pPr>
          </w:p>
        </w:tc>
      </w:tr>
      <w:tr>
        <w:trPr>
          <w:trHeight w:val="219"/>
        </w:trPr>
        <w:tc>
          <w:tcPr>
            <w:tcW w:w="60" w:type="dxa"/>
            <w:vAlign w:val="bottom"/>
            <w:shd w:val="clear" w:color="auto" w:fill="CCEEFF"/>
          </w:tcPr>
          <w:p>
            <w:pPr>
              <w:spacing w:after="0"/>
              <w:rPr>
                <w:sz w:val="19"/>
                <w:szCs w:val="19"/>
                <w:color w:val="auto"/>
              </w:rPr>
            </w:pPr>
          </w:p>
        </w:tc>
        <w:tc>
          <w:tcPr>
            <w:tcW w:w="642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Share-based compensation</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4,868</w:t>
            </w: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6420" w:type="dxa"/>
            <w:vAlign w:val="bottom"/>
            <w:gridSpan w:val="3"/>
          </w:tcPr>
          <w:p>
            <w:pPr>
              <w:ind w:left="620"/>
              <w:spacing w:after="0"/>
              <w:rPr>
                <w:sz w:val="20"/>
                <w:szCs w:val="20"/>
                <w:color w:val="auto"/>
              </w:rPr>
            </w:pPr>
            <w:r>
              <w:rPr>
                <w:rFonts w:ascii="Times New Roman" w:cs="Times New Roman" w:eastAsia="Times New Roman" w:hAnsi="Times New Roman"/>
                <w:sz w:val="16"/>
                <w:szCs w:val="16"/>
                <w:color w:val="auto"/>
              </w:rPr>
              <w:t>Contributions from Southwest Gas Holdings, Inc.</w:t>
            </w:r>
          </w:p>
        </w:tc>
        <w:tc>
          <w:tcPr>
            <w:tcW w:w="26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86,942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202,583</w:t>
            </w:r>
          </w:p>
        </w:tc>
        <w:tc>
          <w:tcPr>
            <w:tcW w:w="0" w:type="dxa"/>
            <w:vAlign w:val="bottom"/>
          </w:tcPr>
          <w:p>
            <w:pPr>
              <w:spacing w:after="0"/>
              <w:rPr>
                <w:sz w:val="1"/>
                <w:szCs w:val="1"/>
                <w:color w:val="auto"/>
              </w:rPr>
            </w:pPr>
          </w:p>
        </w:tc>
      </w:tr>
      <w:tr>
        <w:trPr>
          <w:trHeight w:val="212"/>
        </w:trPr>
        <w:tc>
          <w:tcPr>
            <w:tcW w:w="60" w:type="dxa"/>
            <w:vAlign w:val="bottom"/>
            <w:tcBorders>
              <w:top w:val="single" w:sz="8" w:color="CCEEFF"/>
            </w:tcBorders>
            <w:shd w:val="clear" w:color="auto" w:fill="CCEEFF"/>
          </w:tcPr>
          <w:p>
            <w:pPr>
              <w:spacing w:after="0"/>
              <w:rPr>
                <w:sz w:val="18"/>
                <w:szCs w:val="18"/>
                <w:color w:val="auto"/>
              </w:rPr>
            </w:pPr>
          </w:p>
        </w:tc>
        <w:tc>
          <w:tcPr>
            <w:tcW w:w="6420" w:type="dxa"/>
            <w:vAlign w:val="bottom"/>
            <w:tcBorders>
              <w:top w:val="single" w:sz="8" w:color="CCEEFF"/>
            </w:tcBorders>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Ending balances</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1,622,620</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1,617,796</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1,622,620</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1,617,796</w:t>
            </w:r>
          </w:p>
        </w:tc>
        <w:tc>
          <w:tcPr>
            <w:tcW w:w="0" w:type="dxa"/>
            <w:vAlign w:val="bottom"/>
          </w:tcPr>
          <w:p>
            <w:pPr>
              <w:spacing w:after="0"/>
              <w:rPr>
                <w:sz w:val="1"/>
                <w:szCs w:val="1"/>
                <w:color w:val="auto"/>
              </w:rPr>
            </w:pPr>
          </w:p>
        </w:tc>
      </w:tr>
      <w:tr>
        <w:trPr>
          <w:trHeight w:val="193"/>
        </w:trPr>
        <w:tc>
          <w:tcPr>
            <w:tcW w:w="648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60" w:type="dxa"/>
            <w:vAlign w:val="bottom"/>
            <w:shd w:val="clear" w:color="auto" w:fill="CCEEFF"/>
          </w:tcPr>
          <w:p>
            <w:pPr>
              <w:spacing w:after="0"/>
              <w:rPr>
                <w:sz w:val="19"/>
                <w:szCs w:val="19"/>
                <w:color w:val="auto"/>
              </w:rPr>
            </w:pPr>
          </w:p>
        </w:tc>
        <w:tc>
          <w:tcPr>
            <w:tcW w:w="642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Beginning balances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(44,247)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(57,552)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(46,913)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(61,135)</w:t>
            </w:r>
          </w:p>
        </w:tc>
        <w:tc>
          <w:tcPr>
            <w:tcW w:w="0" w:type="dxa"/>
            <w:vAlign w:val="bottom"/>
          </w:tcPr>
          <w:p>
            <w:pPr>
              <w:spacing w:after="0"/>
              <w:rPr>
                <w:sz w:val="1"/>
                <w:szCs w:val="1"/>
                <w:color w:val="auto"/>
              </w:rPr>
            </w:pPr>
          </w:p>
        </w:tc>
      </w:tr>
      <w:tr>
        <w:trPr>
          <w:trHeight w:val="162"/>
        </w:trPr>
        <w:tc>
          <w:tcPr>
            <w:tcW w:w="60" w:type="dxa"/>
            <w:vAlign w:val="bottom"/>
          </w:tcPr>
          <w:p>
            <w:pPr>
              <w:spacing w:after="0"/>
              <w:rPr>
                <w:sz w:val="14"/>
                <w:szCs w:val="14"/>
                <w:color w:val="auto"/>
              </w:rPr>
            </w:pPr>
          </w:p>
        </w:tc>
        <w:tc>
          <w:tcPr>
            <w:tcW w:w="6420" w:type="dxa"/>
            <w:vAlign w:val="bottom"/>
            <w:gridSpan w:val="3"/>
          </w:tcPr>
          <w:p>
            <w:pPr>
              <w:ind w:left="620"/>
              <w:spacing w:after="0" w:line="162" w:lineRule="exact"/>
              <w:rPr>
                <w:sz w:val="20"/>
                <w:szCs w:val="20"/>
                <w:color w:val="auto"/>
              </w:rPr>
            </w:pPr>
            <w:r>
              <w:rPr>
                <w:rFonts w:ascii="Times New Roman" w:cs="Times New Roman" w:eastAsia="Times New Roman" w:hAnsi="Times New Roman"/>
                <w:sz w:val="16"/>
                <w:szCs w:val="16"/>
                <w:color w:val="auto"/>
              </w:rPr>
              <w:t>Net actuarial gain arising during period, less amortization of unamortized benefit plan</w:t>
            </w:r>
          </w:p>
        </w:tc>
        <w:tc>
          <w:tcPr>
            <w:tcW w:w="26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1,126</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1,380</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3,376</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4,136</w:t>
            </w: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6420" w:type="dxa"/>
            <w:vAlign w:val="bottom"/>
            <w:gridSpan w:val="3"/>
          </w:tcPr>
          <w:p>
            <w:pPr>
              <w:ind w:left="780"/>
              <w:spacing w:after="0"/>
              <w:rPr>
                <w:sz w:val="20"/>
                <w:szCs w:val="20"/>
                <w:color w:val="auto"/>
              </w:rPr>
            </w:pPr>
            <w:r>
              <w:rPr>
                <w:rFonts w:ascii="Times New Roman" w:cs="Times New Roman" w:eastAsia="Times New Roman" w:hAnsi="Times New Roman"/>
                <w:sz w:val="16"/>
                <w:szCs w:val="16"/>
                <w:color w:val="auto"/>
              </w:rPr>
              <w:t>cost, net of tax</w:t>
            </w:r>
          </w:p>
        </w:tc>
        <w:tc>
          <w:tcPr>
            <w:tcW w:w="2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0" w:type="dxa"/>
            <w:vAlign w:val="bottom"/>
            <w:shd w:val="clear" w:color="auto" w:fill="CCEEFF"/>
          </w:tcPr>
          <w:p>
            <w:pPr>
              <w:spacing w:after="0"/>
              <w:rPr>
                <w:sz w:val="19"/>
                <w:szCs w:val="19"/>
                <w:color w:val="auto"/>
              </w:rPr>
            </w:pPr>
          </w:p>
        </w:tc>
        <w:tc>
          <w:tcPr>
            <w:tcW w:w="642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FSIRS amounts reclassified to net income, net of tax</w:t>
            </w: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1,240</w:t>
            </w:r>
          </w:p>
        </w:tc>
        <w:tc>
          <w:tcPr>
            <w:tcW w:w="0" w:type="dxa"/>
            <w:vAlign w:val="bottom"/>
          </w:tcPr>
          <w:p>
            <w:pPr>
              <w:spacing w:after="0"/>
              <w:rPr>
                <w:sz w:val="1"/>
                <w:szCs w:val="1"/>
                <w:color w:val="auto"/>
              </w:rPr>
            </w:pPr>
          </w:p>
        </w:tc>
      </w:tr>
      <w:tr>
        <w:trPr>
          <w:trHeight w:val="207"/>
        </w:trPr>
        <w:tc>
          <w:tcPr>
            <w:tcW w:w="60" w:type="dxa"/>
            <w:vAlign w:val="bottom"/>
            <w:tcBorders>
              <w:bottom w:val="single" w:sz="8" w:color="CCEEFF"/>
            </w:tcBorders>
          </w:tcPr>
          <w:p>
            <w:pPr>
              <w:spacing w:after="0"/>
              <w:rPr>
                <w:sz w:val="17"/>
                <w:szCs w:val="17"/>
                <w:color w:val="auto"/>
              </w:rPr>
            </w:pPr>
          </w:p>
        </w:tc>
        <w:tc>
          <w:tcPr>
            <w:tcW w:w="6420" w:type="dxa"/>
            <w:vAlign w:val="bottom"/>
            <w:tcBorders>
              <w:bottom w:val="single" w:sz="8" w:color="CCEEFF"/>
            </w:tcBorders>
            <w:gridSpan w:val="3"/>
          </w:tcPr>
          <w:p>
            <w:pPr>
              <w:ind w:left="300"/>
              <w:spacing w:after="0"/>
              <w:rPr>
                <w:sz w:val="20"/>
                <w:szCs w:val="20"/>
                <w:color w:val="auto"/>
              </w:rPr>
            </w:pPr>
            <w:r>
              <w:rPr>
                <w:rFonts w:ascii="Times New Roman" w:cs="Times New Roman" w:eastAsia="Times New Roman" w:hAnsi="Times New Roman"/>
                <w:sz w:val="16"/>
                <w:szCs w:val="16"/>
                <w:color w:val="auto"/>
              </w:rPr>
              <w:t>Ending balances</w:t>
            </w:r>
          </w:p>
        </w:tc>
        <w:tc>
          <w:tcPr>
            <w:tcW w:w="2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(43,121)</w:t>
            </w:r>
          </w:p>
        </w:tc>
        <w:tc>
          <w:tcPr>
            <w:tcW w:w="10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(55,759)</w:t>
            </w:r>
          </w:p>
        </w:tc>
        <w:tc>
          <w:tcPr>
            <w:tcW w:w="12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(43,121)</w:t>
            </w:r>
          </w:p>
        </w:tc>
        <w:tc>
          <w:tcPr>
            <w:tcW w:w="12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(55,759)</w:t>
            </w:r>
          </w:p>
        </w:tc>
        <w:tc>
          <w:tcPr>
            <w:tcW w:w="0" w:type="dxa"/>
            <w:vAlign w:val="bottom"/>
          </w:tcPr>
          <w:p>
            <w:pPr>
              <w:spacing w:after="0"/>
              <w:rPr>
                <w:sz w:val="1"/>
                <w:szCs w:val="1"/>
                <w:color w:val="auto"/>
              </w:rPr>
            </w:pPr>
          </w:p>
        </w:tc>
      </w:tr>
      <w:tr>
        <w:trPr>
          <w:trHeight w:val="199"/>
        </w:trPr>
        <w:tc>
          <w:tcPr>
            <w:tcW w:w="64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Retained earnings</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642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Beginning balances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952,725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908,757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906,827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835,146</w:t>
            </w:r>
          </w:p>
        </w:tc>
        <w:tc>
          <w:tcPr>
            <w:tcW w:w="0" w:type="dxa"/>
            <w:vAlign w:val="bottom"/>
          </w:tcPr>
          <w:p>
            <w:pPr>
              <w:spacing w:after="0"/>
              <w:rPr>
                <w:sz w:val="1"/>
                <w:szCs w:val="1"/>
                <w:color w:val="auto"/>
              </w:rPr>
            </w:pPr>
          </w:p>
        </w:tc>
      </w:tr>
      <w:tr>
        <w:trPr>
          <w:trHeight w:val="219"/>
        </w:trPr>
        <w:tc>
          <w:tcPr>
            <w:tcW w:w="60" w:type="dxa"/>
            <w:vAlign w:val="bottom"/>
            <w:shd w:val="clear" w:color="auto" w:fill="CCEEFF"/>
          </w:tcPr>
          <w:p>
            <w:pPr>
              <w:spacing w:after="0"/>
              <w:rPr>
                <w:sz w:val="19"/>
                <w:szCs w:val="19"/>
                <w:color w:val="auto"/>
              </w:rPr>
            </w:pPr>
          </w:p>
        </w:tc>
        <w:tc>
          <w:tcPr>
            <w:tcW w:w="642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Net income (loss)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(22,199)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(27,544)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87,330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102,584</w:t>
            </w: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6420" w:type="dxa"/>
            <w:vAlign w:val="bottom"/>
            <w:gridSpan w:val="3"/>
          </w:tcPr>
          <w:p>
            <w:pPr>
              <w:ind w:left="620"/>
              <w:spacing w:after="0"/>
              <w:rPr>
                <w:sz w:val="20"/>
                <w:szCs w:val="20"/>
                <w:color w:val="auto"/>
              </w:rPr>
            </w:pPr>
            <w:r>
              <w:rPr>
                <w:rFonts w:ascii="Times New Roman" w:cs="Times New Roman" w:eastAsia="Times New Roman" w:hAnsi="Times New Roman"/>
                <w:sz w:val="16"/>
                <w:szCs w:val="16"/>
                <w:color w:val="auto"/>
              </w:rPr>
              <w:t>Share-based compensation</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(685)</w:t>
            </w:r>
          </w:p>
        </w:tc>
        <w:tc>
          <w:tcPr>
            <w:tcW w:w="0" w:type="dxa"/>
            <w:vAlign w:val="bottom"/>
          </w:tcPr>
          <w:p>
            <w:pPr>
              <w:spacing w:after="0"/>
              <w:rPr>
                <w:sz w:val="1"/>
                <w:szCs w:val="1"/>
                <w:color w:val="auto"/>
              </w:rPr>
            </w:pPr>
          </w:p>
        </w:tc>
      </w:tr>
      <w:tr>
        <w:trPr>
          <w:trHeight w:val="219"/>
        </w:trPr>
        <w:tc>
          <w:tcPr>
            <w:tcW w:w="60" w:type="dxa"/>
            <w:vAlign w:val="bottom"/>
            <w:shd w:val="clear" w:color="auto" w:fill="CCEEFF"/>
          </w:tcPr>
          <w:p>
            <w:pPr>
              <w:spacing w:after="0"/>
              <w:rPr>
                <w:sz w:val="19"/>
                <w:szCs w:val="19"/>
                <w:color w:val="auto"/>
              </w:rPr>
            </w:pPr>
          </w:p>
        </w:tc>
        <w:tc>
          <w:tcPr>
            <w:tcW w:w="642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Dividends declared to Southwest Gas Holdings, Inc.</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(29,400)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(93,000)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(85,400)</w:t>
            </w:r>
          </w:p>
        </w:tc>
        <w:tc>
          <w:tcPr>
            <w:tcW w:w="0" w:type="dxa"/>
            <w:vAlign w:val="bottom"/>
          </w:tcPr>
          <w:p>
            <w:pPr>
              <w:spacing w:after="0"/>
              <w:rPr>
                <w:sz w:val="1"/>
                <w:szCs w:val="1"/>
                <w:color w:val="auto"/>
              </w:rPr>
            </w:pPr>
          </w:p>
        </w:tc>
      </w:tr>
      <w:tr>
        <w:trPr>
          <w:trHeight w:val="207"/>
        </w:trPr>
        <w:tc>
          <w:tcPr>
            <w:tcW w:w="60" w:type="dxa"/>
            <w:vAlign w:val="bottom"/>
            <w:tcBorders>
              <w:bottom w:val="single" w:sz="8" w:color="CCEEFF"/>
            </w:tcBorders>
          </w:tcPr>
          <w:p>
            <w:pPr>
              <w:spacing w:after="0"/>
              <w:rPr>
                <w:sz w:val="17"/>
                <w:szCs w:val="17"/>
                <w:color w:val="auto"/>
              </w:rPr>
            </w:pPr>
          </w:p>
        </w:tc>
        <w:tc>
          <w:tcPr>
            <w:tcW w:w="6420" w:type="dxa"/>
            <w:vAlign w:val="bottom"/>
            <w:tcBorders>
              <w:bottom w:val="single" w:sz="8" w:color="CCEEFF"/>
            </w:tcBorders>
            <w:gridSpan w:val="3"/>
          </w:tcPr>
          <w:p>
            <w:pPr>
              <w:ind w:left="300"/>
              <w:spacing w:after="0"/>
              <w:rPr>
                <w:sz w:val="20"/>
                <w:szCs w:val="20"/>
                <w:color w:val="auto"/>
              </w:rPr>
            </w:pPr>
            <w:r>
              <w:rPr>
                <w:rFonts w:ascii="Times New Roman" w:cs="Times New Roman" w:eastAsia="Times New Roman" w:hAnsi="Times New Roman"/>
                <w:sz w:val="16"/>
                <w:szCs w:val="16"/>
                <w:color w:val="auto"/>
              </w:rPr>
              <w:t>Ending balances</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900,428</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851,645</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900,428</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851,645</w:t>
            </w:r>
          </w:p>
        </w:tc>
        <w:tc>
          <w:tcPr>
            <w:tcW w:w="0" w:type="dxa"/>
            <w:vAlign w:val="bottom"/>
          </w:tcPr>
          <w:p>
            <w:pPr>
              <w:spacing w:after="0"/>
              <w:rPr>
                <w:sz w:val="1"/>
                <w:szCs w:val="1"/>
                <w:color w:val="auto"/>
              </w:rPr>
            </w:pPr>
          </w:p>
        </w:tc>
      </w:tr>
      <w:tr>
        <w:trPr>
          <w:trHeight w:val="237"/>
        </w:trPr>
        <w:tc>
          <w:tcPr>
            <w:tcW w:w="648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Southwest Gas Corporation equity ending balances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2,529,039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2,462,794</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2,529,039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2,462,794</w:t>
            </w:r>
          </w:p>
        </w:tc>
        <w:tc>
          <w:tcPr>
            <w:tcW w:w="0" w:type="dxa"/>
            <w:vAlign w:val="bottom"/>
          </w:tcPr>
          <w:p>
            <w:pPr>
              <w:spacing w:after="0"/>
              <w:rPr>
                <w:sz w:val="1"/>
                <w:szCs w:val="1"/>
                <w:color w:val="auto"/>
              </w:rPr>
            </w:pPr>
          </w:p>
        </w:tc>
      </w:tr>
      <w:tr>
        <w:trPr>
          <w:trHeight w:val="20"/>
        </w:trPr>
        <w:tc>
          <w:tcPr>
            <w:tcW w:w="6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5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r>
        <w:rPr>
          <w:rFonts w:ascii="Times New Roman" w:cs="Times New Roman" w:eastAsia="Times New Roman" w:hAnsi="Times New Roman"/>
          <w:sz w:val="18"/>
          <w:szCs w:val="18"/>
          <w:color w:val="EE2724"/>
        </w:rPr>
        <w:t>.</w:t>
      </w:r>
    </w:p>
    <w:p>
      <w:pPr>
        <w:spacing w:after="0" w:line="200" w:lineRule="exact"/>
        <w:rPr>
          <w:sz w:val="20"/>
          <w:szCs w:val="20"/>
          <w:color w:val="auto"/>
        </w:rPr>
      </w:pPr>
    </w:p>
    <w:p>
      <w:pPr>
        <w:spacing w:after="0" w:line="3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12" w:name="page13"/>
    <w:bookmarkEnd w:id="12"/>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30, 2022</w:t>
            </w: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Background, Organization, and Summary of Significant Accounting Policies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Nature of Operations. </w:t>
      </w:r>
      <w:r>
        <w:rPr>
          <w:rFonts w:ascii="Times New Roman" w:cs="Times New Roman" w:eastAsia="Times New Roman" w:hAnsi="Times New Roman"/>
          <w:sz w:val="18"/>
          <w:szCs w:val="18"/>
          <w:color w:val="auto"/>
        </w:rPr>
        <w:t>Southwest Gas Holdings, Inc. (together with its subsidiaries, the “Company”) is a holding company, owning all of the shares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of Southwest Gas Corporation (“Southwest” or the “natural gas distribution” segment), all of the shares of common stock of Centuri Group, Inc. (“Centuri,” or the “utility infrastructure services” segment), and all of the shares of common stock of MountainWest Pipelines Holding Company (“MountainWest,” or the “pipeline and storage” segment).</w:t>
      </w:r>
    </w:p>
    <w:p>
      <w:pPr>
        <w:spacing w:after="0" w:line="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Southwest is engaged in the business of purchasing, distributing, and transporting natural gas for customers in portions of Arizona, Nevada, and California. Public utility rates, practices, facilities, and service territories of Southwest are subject to regulatory oversight. The timing and amount of rate relief can materially impact results of operations. Natural gas purchases and the timing of related recoveries can materially impact liquidity. Results for the natural gas distribution segment are higher during winter periods due to the seasonality incorporated in its regulatory rate structures.</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Company completed the acquisition of Dominion Energy Questar Pipeline, LLC and related entities (“Questar Pipelines”) in December 2021 and formed MountainWest, which owns all of the membership interests in Questar Pipelines. In April 2022, the Company completed a general rebranding of the Questar Pipelines entities under the MountainWest name. The acquired operations further diversify the Company’s business in the midstream sector, with an expansion of interstate natural gas pipelines and underground storage services, primarily composed of regulated operations under the jurisdiction of the Federal Energy Regulatory Commission (the “FERC”), thereby expanding natural gas transportation services into Utah, Wyoming, and Colorado. See </w:t>
      </w:r>
      <w:r>
        <w:rPr>
          <w:rFonts w:ascii="Times New Roman" w:cs="Times New Roman" w:eastAsia="Times New Roman" w:hAnsi="Times New Roman"/>
          <w:sz w:val="18"/>
          <w:szCs w:val="18"/>
          <w:b w:val="1"/>
          <w:bCs w:val="1"/>
          <w:color w:val="auto"/>
        </w:rPr>
        <w:t xml:space="preserve">Note 8 - Business Acquisitions </w:t>
      </w:r>
      <w:r>
        <w:rPr>
          <w:rFonts w:ascii="Times New Roman" w:cs="Times New Roman" w:eastAsia="Times New Roman" w:hAnsi="Times New Roman"/>
          <w:sz w:val="18"/>
          <w:szCs w:val="18"/>
          <w:color w:val="auto"/>
        </w:rPr>
        <w:t>for more information.</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Centuri is a strategic utility infrastructure services company dedicated to partnering with North America’s gas and electric providers to build and maintain the energy network that powers millions of homes across the United States (“U.S.”) and Canada. Centuri derives revenue primarily from installation, replacement, repair, and maintenance of energy networks. Centuri operates in the U.S., primarily as NPL, Neuco, Linetec, and Riggs Distler, and in Canada, primarily as NPL Canada. Utility infrastructure services activity is seasonal in many of Centuri’s operating areas. Peak periods are the summer and fall months in colder climate areas, such as the northeastern and midwestern U.S. and in Canada. In warmer climate areas, such as the southwestern and southeastern U.S., utility infrastructure services activity continues year round.</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Centuri completed the acquisition of Drum Parent LLC (“Drum”), including Drum’s most significant operating subsidiary, Riggs Distler, in August 2021, thereby expanding Centuri’s electric infrastructure services footprint in the northeast and mid-Atlantic regions of the U.S. See </w:t>
      </w:r>
      <w:r>
        <w:rPr>
          <w:rFonts w:ascii="Times New Roman" w:cs="Times New Roman" w:eastAsia="Times New Roman" w:hAnsi="Times New Roman"/>
          <w:sz w:val="18"/>
          <w:szCs w:val="18"/>
          <w:b w:val="1"/>
          <w:bCs w:val="1"/>
          <w:color w:val="auto"/>
        </w:rPr>
        <w:t>Note 8 -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Acquisitions </w:t>
      </w:r>
      <w:r>
        <w:rPr>
          <w:rFonts w:ascii="Times New Roman" w:cs="Times New Roman" w:eastAsia="Times New Roman" w:hAnsi="Times New Roman"/>
          <w:sz w:val="18"/>
          <w:szCs w:val="18"/>
          <w:color w:val="auto"/>
        </w:rPr>
        <w:t>for more information.</w:t>
      </w:r>
    </w:p>
    <w:p>
      <w:pPr>
        <w:spacing w:after="0" w:line="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March 2022, the Company announced that its Board of Directors (the “Board”) had determined to separate Centuri from the Company and authorized management to complete the separation within nine to twelve months. Initially it was contemplated that the Centuri separation would take the form of a spin-off. Then, in April 2022, as a result of interest in the Company well in excess of an earlier tender offer to other shareholders by an activist stockholder (affiliates of Carl C. Icahn), the Board authorized the review of a full range of strategic alternatives to maximize stockholder value. As part of this process, a strategic transactions committee of the Board (the “Strategic Transactions Committee”), consisting entirely of independent directors, began evaluating a sale of the Company, as well as a range of alternatives, including, but not limited to, a separate sale of its business units and/or pursuing the spin-off of Centuri (collectively, the “Strategic Review”). On August 3, 2022, the Company announced that the Board had unanimously determined that the best path forward to maximize value for all stockholders is to (i) focus on its strategic plan while concluding the strategic review process for Southwest Gas Holdings, Inc. and Southwest Gas Corporation; (ii) continue to review strategic alternatives for MountainWest; and (iii) continue to review strategic alternatives for Centuri, including a sale or spin-off of Centuri, among others.</w:t>
      </w:r>
    </w:p>
    <w:p>
      <w:pPr>
        <w:spacing w:after="0" w:line="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May 6, 2022, the Company entered into a Cooperation Agreement (the “Cooperation Agreement”) with Carl C. Icahn and the persons and entities referenced therein (collectively, the “Icahn Group”). In accordance with the Cooperation Agreement, among other things, John P. Hester, then President and Chief Executive Officer of the Company and Southwest, retired from his positions with the Company and Southwest and resigned from the Board. Karen S. Haller, the Company’s former Executive Vice President/Chief Legal and Administrative Officer, was appointed President and Chief Executive Officer of the Company and Chief Executive Officer of Southwest, and was appointed as a member of the Board effective immediately following the completion of the Company’s 2022 annual meeting of stockholders (the “2022 Annual Meeting”). Justin L. Brown, formerly Southwest’s Senior Vice President/General Counsel, was appointed as President of Southwest.</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pursuant to the Cooperation Agreement, the Company agreed to appoint three new directors, Andrew W. Evans, H. Russell Frisby, Jr., and Henry P. Linginfelter (collectively, the “Initial Icahn Designees”), to the Board, which became effective immediately following the 2022 Annual Meeting. Also pursuant to the Cooperation Agreement, on May 27, 2022, the Icahn group informed the Company that it would cause Mr. Frisby to resign from the Board and requested that Andrew J. Teno be appointed to the Board to fill the vacancy created by Mr. Frisby’s resignation. As a result, on May 27, Mr. Frisby resigned from</w:t>
      </w:r>
    </w:p>
    <w:p>
      <w:pPr>
        <w:spacing w:after="0" w:line="200" w:lineRule="exact"/>
        <w:rPr>
          <w:sz w:val="20"/>
          <w:szCs w:val="20"/>
          <w:color w:val="auto"/>
        </w:rPr>
      </w:pPr>
    </w:p>
    <w:p>
      <w:pPr>
        <w:spacing w:after="0" w:line="2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13" w:name="page14"/>
    <w:bookmarkEnd w:id="13"/>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30, 2022</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Board, effective immediately, and the Board appointed Mr. Teno to fill the vacancy created by Mr. Frisby’s resignation, effective immediately. The Icahn Group’s ability to designate directors to the Board is subject to certain ownership thresholds. Consistent with the terms of the Cooperation Agreement and pursuant to the terms of that certain Letter Agreement, dated as of August 3, 2022 (the “Letter Agreement” and together with the Cooperation Agreement, the “Initial Cooperation Agreement”), by and between the Company and the Icahn Group, the Company agreed to extend the date by which the Icahn Group was permitted to appoint a director other than Mr. Frisby to replace Mr. Cárdenas on the Board. On August 9, 2022, in accordance with the terms of the Initial Cooperation Agreement, Ruby Sharma was appointed to the Board to replace Mr. Cárdenas.</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Initial Cooperation Agreement required the Board to expand the Strategic Transactions Committee from three directors to six directors, comprised of the existing members of the Strategic Transactions Committee in addition to the three Initial Icahn Designees. Also, as the Icahn Group has the ability to designate at least three members of the Board, such individuals are to be included on the Strategic Transactions Committee. If the Icahn Group may only designate two members of the Board, then both would serve on the Strategic Transactions Committee.</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On May 9, 2022, the Company also entered into Amendment No. 1 to the Rights Agreement dated October 10, 2021 (the “Original Rights Agreement” and as amended, the “Amended Rights Agreement”), to increase the triggering percentage from 10% to 24.9% pursuant to the terms of the Initial Cooperation Agreement and permit the subsequent consummation of the Offer. The Amended Rights Agreement expired on October 9, 2022. See details in the Company’s and Southwest’s Annual Report on Form 10-K for the fiscal year ended December 31, 2021 (the “2021 Form 10-K”) regarding the Original Rights Agreement, as well as </w:t>
      </w:r>
      <w:r>
        <w:rPr>
          <w:rFonts w:ascii="Times New Roman" w:cs="Times New Roman" w:eastAsia="Times New Roman" w:hAnsi="Times New Roman"/>
          <w:sz w:val="18"/>
          <w:szCs w:val="18"/>
          <w:b w:val="1"/>
          <w:bCs w:val="1"/>
          <w:color w:val="auto"/>
        </w:rPr>
        <w:t>Note 4 – Common Stock</w:t>
      </w:r>
      <w:r>
        <w:rPr>
          <w:rFonts w:ascii="Times New Roman" w:cs="Times New Roman" w:eastAsia="Times New Roman" w:hAnsi="Times New Roman"/>
          <w:sz w:val="18"/>
          <w:szCs w:val="18"/>
          <w:color w:val="auto"/>
        </w:rPr>
        <w:t xml:space="preserve"> in this current report on Form 10-Q.</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 earlier civil suit (initiated in November 2021) by Icahn entities against the Company and certain directors and officers of the Company was subject to a stipulation of dismissal as part of the Initial Cooperation Agreement. The Initial Cooperation Agreement also provided for the reimbursement by the Company of certain out-of-pocket third-party expenses, including certain legal fees, incurred by the Icahn Group.</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On October 24, 2022, the Company and the Icahn Group entered into an Amended and Restated Cooperation Agreement (the “Amended Cooperation Agreement”), which amended, restated, superseded, and replaced in its entirety the Initial Cooperation Agreement. Please see </w:t>
      </w:r>
      <w:r>
        <w:rPr>
          <w:rFonts w:ascii="Times New Roman" w:cs="Times New Roman" w:eastAsia="Times New Roman" w:hAnsi="Times New Roman"/>
          <w:sz w:val="18"/>
          <w:szCs w:val="18"/>
          <w:b w:val="1"/>
          <w:bCs w:val="1"/>
          <w:color w:val="auto"/>
        </w:rPr>
        <w:t>Note 9 - Subsequent Events</w:t>
      </w:r>
      <w:r>
        <w:rPr>
          <w:rFonts w:ascii="Times New Roman" w:cs="Times New Roman" w:eastAsia="Times New Roman" w:hAnsi="Times New Roman"/>
          <w:sz w:val="18"/>
          <w:szCs w:val="18"/>
          <w:color w:val="auto"/>
        </w:rPr>
        <w:t xml:space="preserve"> for additional information about the Amended Cooperation Agreement.</w:t>
      </w:r>
    </w:p>
    <w:p>
      <w:pPr>
        <w:spacing w:after="0" w:line="6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Basis of Presentation. </w:t>
      </w:r>
      <w:r>
        <w:rPr>
          <w:rFonts w:ascii="Times New Roman" w:cs="Times New Roman" w:eastAsia="Times New Roman" w:hAnsi="Times New Roman"/>
          <w:sz w:val="18"/>
          <w:szCs w:val="18"/>
          <w:color w:val="auto"/>
        </w:rPr>
        <w:t>The condensed consolidated financial statements of Southwest Gas Holdings, Inc. and subsidiaries and Southwest (with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subsidiaries) included herein have been prepared pursuant to the rules and regulations of the Securities and Exchange Commission (the “SEC”). The year-end 2021 condensed balance sheet data was derived from audited financial statements. Certain information and footnote disclosures normally included in financial statements prepared in accordance with U.S. generally accepted accounting principles (“U.S. GAAP”) have been condensed or omitted pursuant to such rules and regulations. No substantive change has occurred with regard to the Company’s business segments on the whole during the recently completed quarter.</w:t>
      </w:r>
    </w:p>
    <w:p>
      <w:pPr>
        <w:spacing w:after="0" w:line="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preparation of the condensed consolidated financial statements requires management to make estimates and assumptions that affect the reported amounts of assets and liabilities and disclosure of contingent assets and liabilities as of the date of the financial statements, and the reported amounts of revenues and expenses during the reporting period. Actual results could differ from those estimates. In the opinion of management, all adjustments, consisting of normal recurring items and estimates necessary for a fair depiction of results for the interim periods, have been made.</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condensed consolidated financial statements should be read in conjunction with the consolidated financial statements and notes thereto included in the 2021 Annual Report to Stockholders, which is incorporated by reference into the 2021 Form 10-K.</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Other Property and Investments. </w:t>
      </w:r>
      <w:r>
        <w:rPr>
          <w:rFonts w:ascii="Times New Roman" w:cs="Times New Roman" w:eastAsia="Times New Roman" w:hAnsi="Times New Roman"/>
          <w:sz w:val="18"/>
          <w:szCs w:val="18"/>
          <w:color w:val="auto"/>
        </w:rPr>
        <w:t>Other property and investments on Southwest’s and the Company’s Condensed Consolidated Balance Sheets includes: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1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September 30, 2022</w:t>
            </w:r>
          </w:p>
        </w:tc>
        <w:tc>
          <w:tcPr>
            <w:tcW w:w="200" w:type="dxa"/>
            <w:vAlign w:val="bottom"/>
          </w:tcPr>
          <w:p>
            <w:pPr>
              <w:spacing w:after="0"/>
              <w:rPr>
                <w:sz w:val="20"/>
                <w:szCs w:val="20"/>
                <w:color w:val="auto"/>
              </w:rPr>
            </w:pPr>
          </w:p>
        </w:tc>
        <w:tc>
          <w:tcPr>
            <w:tcW w:w="18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December 31, 2021</w:t>
            </w:r>
          </w:p>
        </w:tc>
        <w:tc>
          <w:tcPr>
            <w:tcW w:w="0" w:type="dxa"/>
            <w:vAlign w:val="bottom"/>
          </w:tcPr>
          <w:p>
            <w:pPr>
              <w:spacing w:after="0"/>
              <w:rPr>
                <w:sz w:val="1"/>
                <w:szCs w:val="1"/>
                <w:color w:val="auto"/>
              </w:rPr>
            </w:pPr>
          </w:p>
        </w:tc>
      </w:tr>
      <w:tr>
        <w:trPr>
          <w:trHeight w:val="223"/>
        </w:trPr>
        <w:tc>
          <w:tcPr>
            <w:tcW w:w="5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surrender value of COLI policies</w:t>
            </w:r>
          </w:p>
        </w:tc>
        <w:tc>
          <w:tcPr>
            <w:tcW w:w="17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141,705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property</w:t>
            </w:r>
          </w:p>
        </w:tc>
        <w:tc>
          <w:tcPr>
            <w:tcW w:w="17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Southwest Gas Corporation</w:t>
            </w:r>
          </w:p>
        </w:tc>
        <w:tc>
          <w:tcPr>
            <w:tcW w:w="17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145,561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Non-regulated property, equipment, and intangibles</w:t>
            </w:r>
          </w:p>
        </w:tc>
        <w:tc>
          <w:tcPr>
            <w:tcW w:w="1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1,704,354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1,616,392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Non-regulated accumulated provision for depreciation and amortization</w:t>
            </w:r>
          </w:p>
        </w:tc>
        <w:tc>
          <w:tcPr>
            <w:tcW w:w="17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(595,393)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(512,343)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property and investments</w:t>
            </w:r>
          </w:p>
        </w:tc>
        <w:tc>
          <w:tcPr>
            <w:tcW w:w="17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56,812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3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Southwest Gas Holdings, Inc.</w:t>
            </w:r>
          </w:p>
        </w:tc>
        <w:tc>
          <w:tcPr>
            <w:tcW w:w="17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1,311,334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1,316,479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CCEEFF"/>
            </w:tcBorders>
            <w:vMerge w:val="restart"/>
          </w:tcPr>
          <w:p>
            <w:pPr>
              <w:jc w:val="right"/>
              <w:ind w:right="1350"/>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4"/>
        </w:trPr>
        <w:tc>
          <w:tcPr>
            <w:tcW w:w="5360" w:type="dxa"/>
            <w:vAlign w:val="bottom"/>
          </w:tcPr>
          <w:p>
            <w:pPr>
              <w:spacing w:after="0"/>
              <w:rPr>
                <w:sz w:val="24"/>
                <w:szCs w:val="24"/>
                <w:color w:val="auto"/>
              </w:rPr>
            </w:pPr>
          </w:p>
        </w:tc>
        <w:tc>
          <w:tcPr>
            <w:tcW w:w="17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360" w:type="dxa"/>
            <w:vAlign w:val="bottom"/>
            <w:tcBorders>
              <w:bottom w:val="single" w:sz="8" w:color="9A9A9A"/>
            </w:tcBorders>
          </w:tcPr>
          <w:p>
            <w:pPr>
              <w:spacing w:after="0"/>
              <w:rPr>
                <w:sz w:val="17"/>
                <w:szCs w:val="17"/>
                <w:color w:val="auto"/>
              </w:rPr>
            </w:pPr>
          </w:p>
        </w:tc>
        <w:tc>
          <w:tcPr>
            <w:tcW w:w="1780" w:type="dxa"/>
            <w:vAlign w:val="bottom"/>
            <w:tcBorders>
              <w:bottom w:val="single" w:sz="8" w:color="9A9A9A"/>
            </w:tcBorders>
          </w:tcPr>
          <w:p>
            <w:pPr>
              <w:spacing w:after="0"/>
              <w:rPr>
                <w:sz w:val="17"/>
                <w:szCs w:val="17"/>
                <w:color w:val="auto"/>
              </w:rPr>
            </w:pPr>
          </w:p>
        </w:tc>
        <w:tc>
          <w:tcPr>
            <w:tcW w:w="180" w:type="dxa"/>
            <w:vAlign w:val="bottom"/>
            <w:tcBorders>
              <w:bottom w:val="single" w:sz="8" w:color="9A9A9A"/>
            </w:tcBorders>
          </w:tcPr>
          <w:p>
            <w:pPr>
              <w:spacing w:after="0"/>
              <w:rPr>
                <w:sz w:val="17"/>
                <w:szCs w:val="17"/>
                <w:color w:val="auto"/>
              </w:rPr>
            </w:pPr>
          </w:p>
        </w:tc>
        <w:tc>
          <w:tcPr>
            <w:tcW w:w="18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200" w:type="dxa"/>
            <w:vAlign w:val="bottom"/>
            <w:tcBorders>
              <w:bottom w:val="single" w:sz="8" w:color="9A9A9A"/>
            </w:tcBorders>
          </w:tcPr>
          <w:p>
            <w:pPr>
              <w:spacing w:after="0"/>
              <w:rPr>
                <w:sz w:val="17"/>
                <w:szCs w:val="17"/>
                <w:color w:val="auto"/>
              </w:rPr>
            </w:pPr>
          </w:p>
        </w:tc>
        <w:tc>
          <w:tcPr>
            <w:tcW w:w="180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14" w:name="page15"/>
    <w:bookmarkEnd w:id="14"/>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30, 2022</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Included in the table above are the net cash surrender values of company-owned life insurance (“COLI”) policies. These life insurance policies on members of management and other key employees are used by Southwest to indemnify itself against the loss of talent, expertise, and knowledge, as well as to provide indirect funding for certain nonqualified benefit plans. The term non-regulated in regard to assets and related balances in the table above is in reference to the non-rate regulated operations of Centuri, and to a more limited extent, certain assets of MountainWest.</w:t>
      </w:r>
    </w:p>
    <w:p>
      <w:pPr>
        <w:spacing w:after="0" w:line="7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color w:val="auto"/>
        </w:rPr>
        <w:t>Cash and cash equivalents of the Company include $56 million and $20 million of money market fund investments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2022 and December 31, 2021, respectively. The money market fund investments for Southwest were insignificant at both balance sheet dates. These investments fall within Level 2 of the fair value hierarchy, due to the asset valuation methods used by money market funds.</w:t>
      </w:r>
    </w:p>
    <w:p>
      <w:pPr>
        <w:spacing w:after="0" w:line="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Noncash investing activities for the Company and Southwest include capital expenditures that were not yet paid, thereby remaining in accounts payable, the amounts related to which declined by approximately $4.8 million and $11.6 million during the nine months ended September 30, 2022, respectively, and increased $16.1 million and $9.4 million during the twelve months ended September 30, 2022, respectively.</w:t>
      </w:r>
    </w:p>
    <w:p>
      <w:pPr>
        <w:spacing w:after="0" w:line="6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Accounts Receivable, net of allowances. </w:t>
      </w:r>
      <w:r>
        <w:rPr>
          <w:rFonts w:ascii="Times New Roman" w:cs="Times New Roman" w:eastAsia="Times New Roman" w:hAnsi="Times New Roman"/>
          <w:sz w:val="18"/>
          <w:szCs w:val="18"/>
          <w:color w:val="auto"/>
        </w:rPr>
        <w:t>Following an earlier moratorium on account disconnections amidst the COVID-19 environment, account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collection efforts resumed in 2021 in all jurisdictions in which Southwest operates. Ultimately, some accounts may not be collected, and if collection is unsuccessful, such accounts are written off. Estimates as to collectibility are made on an ongoing basis. However, </w:t>
      </w:r>
      <w:r>
        <w:rPr>
          <w:rFonts w:ascii="Times New Roman" w:cs="Times New Roman" w:eastAsia="Times New Roman" w:hAnsi="Times New Roman"/>
          <w:sz w:val="18"/>
          <w:szCs w:val="18"/>
          <w:color w:val="212529"/>
        </w:rPr>
        <w:t>Southwest continues to actively work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with customers experiencing financial hardship by means of flexible payment options and partnering with assistance agencies. The cost of gas included in customer rates also influences account balances at each reporting date.</w:t>
      </w:r>
    </w:p>
    <w:p>
      <w:pPr>
        <w:spacing w:after="0" w:line="7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Deferred Purchased Gas Costs. </w:t>
      </w:r>
      <w:r>
        <w:rPr>
          <w:rFonts w:ascii="Times New Roman" w:cs="Times New Roman" w:eastAsia="Times New Roman" w:hAnsi="Times New Roman"/>
          <w:sz w:val="18"/>
          <w:szCs w:val="18"/>
          <w:color w:val="auto"/>
        </w:rPr>
        <w:t>The various regulatory commissions have established procedures to enable the rate-regulated companies to adjust billing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rates for changes in the cost of natural gas purchased. The difference between the current cost of gas purchased and the cost of gas recovered in billed rates is deferred. Generally, these deferred amounts are recovered or refunded within one year.</w:t>
      </w:r>
    </w:p>
    <w:p>
      <w:pPr>
        <w:spacing w:after="0" w:line="6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Prepaid and other current assets. </w:t>
      </w:r>
      <w:r>
        <w:rPr>
          <w:rFonts w:ascii="Times New Roman" w:cs="Times New Roman" w:eastAsia="Times New Roman" w:hAnsi="Times New Roman"/>
          <w:sz w:val="18"/>
          <w:szCs w:val="18"/>
          <w:color w:val="auto"/>
        </w:rPr>
        <w:t>Prepaid and other current assets for Southwest include, among other things, materials and operating supplies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$76.5 million at September 30, 2022 and $62.9 million at December 31, 2021 (carried at weighted average cost). For the Company, there were materials and operating supplies of $80.8 million and $67.4 million at September 30, 2022 and December 31, 2021, respectively, which included amounts for MountainWest. Also included in the balance for both Southwest and the Company was $15.5 million and $51.6 million as of September 30, 2022 and December 31, 2021, respectively, in accrued purchased gas cost.</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Goodwill. </w:t>
      </w:r>
      <w:r>
        <w:rPr>
          <w:rFonts w:ascii="Times New Roman" w:cs="Times New Roman" w:eastAsia="Times New Roman" w:hAnsi="Times New Roman"/>
          <w:sz w:val="18"/>
          <w:szCs w:val="18"/>
          <w:color w:val="auto"/>
        </w:rPr>
        <w:t>Goodwill is assessed as of October 1</w:t>
      </w:r>
      <w:r>
        <w:rPr>
          <w:rFonts w:ascii="Times New Roman" w:cs="Times New Roman" w:eastAsia="Times New Roman" w:hAnsi="Times New Roman"/>
          <w:sz w:val="16"/>
          <w:szCs w:val="16"/>
          <w:color w:val="auto"/>
        </w:rPr>
        <w:t>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year for impairment, or more frequently, if circumstances indicate it may be more likely than not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fair value of a reporting unit is less than its carrying value. The Company’s reporting units for goodwill are its operating segments, which are also its reportable segments. The acquisition of MountainWest resulted in a new reportable segment, which was assessed for impairment for the first time in 2022. Management considered whether the results of strategic initiatives in 2022 indicated it was more likely than not that the fair value of the Company’s reporting units were less than their carrying amounts. Through management’s assessments, no impairment was deemed to have occurred. However, there can be no assurances that future assessments of goodwill will not result in an impairment, and various factors, including changes in the business, strategic initiatives, economic conditions, governmental monetary policies, interest rates, or others, on their own or in combination with each other, could result in the fair value of reporting units being lower than their carrying values. Goodwill in the Natural Gas Distribution operations of Southwest, and across all operations of the Company, is included in their respective Condensed Consolidated Balance Sheets as follows: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Natural Gas</w:t>
            </w:r>
          </w:p>
        </w:tc>
        <w:tc>
          <w:tcPr>
            <w:tcW w:w="14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Utility</w:t>
            </w:r>
          </w:p>
        </w:tc>
        <w:tc>
          <w:tcPr>
            <w:tcW w:w="160" w:type="dxa"/>
            <w:vAlign w:val="bottom"/>
          </w:tcPr>
          <w:p>
            <w:pPr>
              <w:spacing w:after="0"/>
              <w:rPr>
                <w:sz w:val="18"/>
                <w:szCs w:val="18"/>
                <w:color w:val="auto"/>
              </w:rPr>
            </w:pPr>
          </w:p>
        </w:tc>
        <w:tc>
          <w:tcPr>
            <w:tcW w:w="12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color w:val="auto"/>
              </w:rPr>
              <w:t>Pipeline and</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5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color w:val="auto"/>
                <w:w w:val="99"/>
              </w:rPr>
              <w:t>Infrastructure</w:t>
            </w:r>
          </w:p>
        </w:tc>
        <w:tc>
          <w:tcPr>
            <w:tcW w:w="16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160" w:type="dxa"/>
            <w:vAlign w:val="bottom"/>
          </w:tcPr>
          <w:p>
            <w:pPr>
              <w:spacing w:after="0"/>
              <w:rPr>
                <w:sz w:val="21"/>
                <w:szCs w:val="21"/>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Distribution</w:t>
            </w:r>
          </w:p>
        </w:tc>
        <w:tc>
          <w:tcPr>
            <w:tcW w:w="140" w:type="dxa"/>
            <w:vAlign w:val="bottom"/>
          </w:tcPr>
          <w:p>
            <w:pPr>
              <w:spacing w:after="0"/>
              <w:rPr>
                <w:sz w:val="21"/>
                <w:szCs w:val="21"/>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Services</w:t>
            </w:r>
          </w:p>
        </w:tc>
        <w:tc>
          <w:tcPr>
            <w:tcW w:w="160" w:type="dxa"/>
            <w:vAlign w:val="bottom"/>
          </w:tcPr>
          <w:p>
            <w:pPr>
              <w:spacing w:after="0"/>
              <w:rPr>
                <w:sz w:val="21"/>
                <w:szCs w:val="21"/>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Storage</w:t>
            </w:r>
          </w:p>
        </w:tc>
        <w:tc>
          <w:tcPr>
            <w:tcW w:w="1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Total Company</w:t>
            </w:r>
          </w:p>
        </w:tc>
        <w:tc>
          <w:tcPr>
            <w:tcW w:w="0" w:type="dxa"/>
            <w:vAlign w:val="bottom"/>
          </w:tcPr>
          <w:p>
            <w:pPr>
              <w:spacing w:after="0"/>
              <w:rPr>
                <w:sz w:val="1"/>
                <w:szCs w:val="1"/>
                <w:color w:val="auto"/>
              </w:rPr>
            </w:pPr>
          </w:p>
        </w:tc>
      </w:tr>
      <w:tr>
        <w:trPr>
          <w:trHeight w:val="223"/>
        </w:trPr>
        <w:tc>
          <w:tcPr>
            <w:tcW w:w="5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2021</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785,058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986,179</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1,781,332</w:t>
            </w:r>
          </w:p>
        </w:tc>
        <w:tc>
          <w:tcPr>
            <w:tcW w:w="0" w:type="dxa"/>
            <w:vAlign w:val="bottom"/>
          </w:tcPr>
          <w:p>
            <w:pPr>
              <w:spacing w:after="0"/>
              <w:rPr>
                <w:sz w:val="1"/>
                <w:szCs w:val="1"/>
                <w:color w:val="auto"/>
              </w:rPr>
            </w:pPr>
          </w:p>
        </w:tc>
      </w:tr>
      <w:tr>
        <w:trPr>
          <w:trHeight w:val="229"/>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Measurement-period adjustments from Riggs Distler acquisition (a)</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(1,924)</w:t>
            </w:r>
          </w:p>
        </w:tc>
        <w:tc>
          <w:tcPr>
            <w:tcW w:w="0" w:type="dxa"/>
            <w:vAlign w:val="bottom"/>
          </w:tcPr>
          <w:p>
            <w:pPr>
              <w:spacing w:after="0"/>
              <w:rPr>
                <w:sz w:val="1"/>
                <w:szCs w:val="1"/>
                <w:color w:val="auto"/>
              </w:rPr>
            </w:pPr>
          </w:p>
        </w:tc>
      </w:tr>
      <w:tr>
        <w:trPr>
          <w:trHeight w:val="230"/>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Measurement-period adjustments from MountainWest acquisition (a)</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(28,177)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(28,177)</w:t>
            </w:r>
          </w:p>
        </w:tc>
        <w:tc>
          <w:tcPr>
            <w:tcW w:w="0" w:type="dxa"/>
            <w:vAlign w:val="bottom"/>
          </w:tcPr>
          <w:p>
            <w:pPr>
              <w:spacing w:after="0"/>
              <w:rPr>
                <w:sz w:val="1"/>
                <w:szCs w:val="1"/>
                <w:color w:val="auto"/>
              </w:rPr>
            </w:pPr>
          </w:p>
        </w:tc>
      </w:tr>
      <w:tr>
        <w:trPr>
          <w:trHeight w:val="230"/>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(8,264)</w:t>
            </w:r>
          </w:p>
        </w:tc>
        <w:tc>
          <w:tcPr>
            <w:tcW w:w="0" w:type="dxa"/>
            <w:vAlign w:val="bottom"/>
          </w:tcPr>
          <w:p>
            <w:pPr>
              <w:spacing w:after="0"/>
              <w:rPr>
                <w:sz w:val="1"/>
                <w:szCs w:val="1"/>
                <w:color w:val="auto"/>
              </w:rPr>
            </w:pPr>
          </w:p>
        </w:tc>
      </w:tr>
      <w:tr>
        <w:trPr>
          <w:trHeight w:val="248"/>
        </w:trPr>
        <w:tc>
          <w:tcPr>
            <w:tcW w:w="5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30, 2022</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774,870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958,002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1,742,967</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5" w:lineRule="exact"/>
        <w:rPr>
          <w:sz w:val="20"/>
          <w:szCs w:val="20"/>
          <w:color w:val="auto"/>
        </w:rPr>
      </w:pPr>
    </w:p>
    <w:p>
      <w:pPr>
        <w:ind w:left="400" w:hanging="230"/>
        <w:spacing w:after="0"/>
        <w:tabs>
          <w:tab w:leader="none" w:pos="4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See </w:t>
      </w:r>
      <w:r>
        <w:rPr>
          <w:rFonts w:ascii="Times New Roman" w:cs="Times New Roman" w:eastAsia="Times New Roman" w:hAnsi="Times New Roman"/>
          <w:sz w:val="16"/>
          <w:szCs w:val="16"/>
          <w:b w:val="1"/>
          <w:bCs w:val="1"/>
          <w:color w:val="auto"/>
        </w:rPr>
        <w:t>Note 8 - Business Acquisitions</w:t>
      </w:r>
      <w:r>
        <w:rPr>
          <w:rFonts w:ascii="Times New Roman" w:cs="Times New Roman" w:eastAsia="Times New Roman" w:hAnsi="Times New Roman"/>
          <w:sz w:val="16"/>
          <w:szCs w:val="16"/>
          <w:color w:val="auto"/>
        </w:rPr>
        <w:t xml:space="preserve"> for details regarding measurement-period adjustments.</w:t>
      </w:r>
    </w:p>
    <w:p>
      <w:pPr>
        <w:spacing w:after="0" w:line="200" w:lineRule="exact"/>
        <w:rPr>
          <w:rFonts w:ascii="Times New Roman" w:cs="Times New Roman" w:eastAsia="Times New Roman" w:hAnsi="Times New Roman"/>
          <w:sz w:val="16"/>
          <w:szCs w:val="16"/>
          <w:color w:val="auto"/>
        </w:rPr>
      </w:pPr>
    </w:p>
    <w:p>
      <w:pPr>
        <w:spacing w:after="0" w:line="315" w:lineRule="exact"/>
        <w:rPr>
          <w:rFonts w:ascii="Times New Roman" w:cs="Times New Roman" w:eastAsia="Times New Roman" w:hAnsi="Times New Roman"/>
          <w:sz w:val="16"/>
          <w:szCs w:val="16"/>
          <w:color w:val="auto"/>
        </w:rPr>
      </w:pPr>
    </w:p>
    <w:p>
      <w:pPr>
        <w:ind w:left="55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15" w:name="page16"/>
    <w:bookmarkEnd w:id="15"/>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30, 2022</w:t>
            </w:r>
          </w:p>
        </w:tc>
      </w:tr>
    </w:tbl>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Other Current Liabilities</w:t>
      </w:r>
      <w:r>
        <w:rPr>
          <w:rFonts w:ascii="Times New Roman" w:cs="Times New Roman" w:eastAsia="Times New Roman" w:hAnsi="Times New Roman"/>
          <w:sz w:val="18"/>
          <w:szCs w:val="18"/>
          <w:color w:val="auto"/>
        </w:rPr>
        <w:t>. Management recognizes in its balance sheets various liabilities that are expected to be settled through future cash payment within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next twelve months, including amounts payable under regulatory mechanisms, customary accrued expenses for employee compensation and benefits, declared but unpaid dividends, and miscellaneous other accrued liabilities. Other current liabilities for the Company include $41.6 million and $36 million of dividends declared as of September 30, 2022 and December 31, 2021, respectively.</w:t>
      </w:r>
    </w:p>
    <w:p>
      <w:pPr>
        <w:spacing w:after="0" w:line="7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Income (Deductions). </w:t>
      </w:r>
      <w:r>
        <w:rPr>
          <w:rFonts w:ascii="Times New Roman" w:cs="Times New Roman" w:eastAsia="Times New Roman" w:hAnsi="Times New Roman"/>
          <w:sz w:val="18"/>
          <w:szCs w:val="18"/>
          <w:color w:val="auto"/>
        </w:rPr>
        <w:t>The following table provides the composition of significant items included in Other income (deductions) in Southwest’s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Company’s Condensed Consolidated Statements of Income:</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20" w:type="dxa"/>
            <w:vAlign w:val="bottom"/>
            <w:gridSpan w:val="5"/>
          </w:tcPr>
          <w:p>
            <w:pPr>
              <w:jc w:val="center"/>
              <w:ind w:right="300"/>
              <w:spacing w:after="0"/>
              <w:rPr>
                <w:sz w:val="20"/>
                <w:szCs w:val="20"/>
                <w:color w:val="auto"/>
              </w:rPr>
            </w:pPr>
            <w:r>
              <w:rPr>
                <w:rFonts w:ascii="Times New Roman" w:cs="Times New Roman" w:eastAsia="Times New Roman" w:hAnsi="Times New Roman"/>
                <w:sz w:val="16"/>
                <w:szCs w:val="16"/>
                <w:color w:val="auto"/>
              </w:rPr>
              <w:t>Three Months Ended</w:t>
            </w:r>
          </w:p>
        </w:tc>
        <w:tc>
          <w:tcPr>
            <w:tcW w:w="180" w:type="dxa"/>
            <w:vAlign w:val="bottom"/>
          </w:tcPr>
          <w:p>
            <w:pPr>
              <w:spacing w:after="0"/>
              <w:rPr>
                <w:sz w:val="16"/>
                <w:szCs w:val="16"/>
                <w:color w:val="auto"/>
              </w:rPr>
            </w:pPr>
          </w:p>
        </w:tc>
        <w:tc>
          <w:tcPr>
            <w:tcW w:w="1800" w:type="dxa"/>
            <w:vAlign w:val="bottom"/>
            <w:gridSpan w:val="5"/>
          </w:tcPr>
          <w:p>
            <w:pPr>
              <w:jc w:val="center"/>
              <w:ind w:right="300"/>
              <w:spacing w:after="0"/>
              <w:rPr>
                <w:sz w:val="20"/>
                <w:szCs w:val="20"/>
                <w:color w:val="auto"/>
              </w:rPr>
            </w:pPr>
            <w:r>
              <w:rPr>
                <w:rFonts w:ascii="Times New Roman" w:cs="Times New Roman" w:eastAsia="Times New Roman" w:hAnsi="Times New Roman"/>
                <w:sz w:val="16"/>
                <w:szCs w:val="16"/>
                <w:color w:val="auto"/>
              </w:rPr>
              <w:t>Nine Months Ended</w:t>
            </w:r>
          </w:p>
        </w:tc>
        <w:tc>
          <w:tcPr>
            <w:tcW w:w="200" w:type="dxa"/>
            <w:vAlign w:val="bottom"/>
          </w:tcPr>
          <w:p>
            <w:pPr>
              <w:spacing w:after="0"/>
              <w:rPr>
                <w:sz w:val="16"/>
                <w:szCs w:val="16"/>
                <w:color w:val="auto"/>
              </w:rPr>
            </w:pPr>
          </w:p>
        </w:tc>
        <w:tc>
          <w:tcPr>
            <w:tcW w:w="1820" w:type="dxa"/>
            <w:vAlign w:val="bottom"/>
            <w:gridSpan w:val="4"/>
          </w:tcPr>
          <w:p>
            <w:pPr>
              <w:jc w:val="right"/>
              <w:ind w:right="199"/>
              <w:spacing w:after="0"/>
              <w:rPr>
                <w:sz w:val="20"/>
                <w:szCs w:val="20"/>
                <w:color w:val="auto"/>
              </w:rPr>
            </w:pPr>
            <w:r>
              <w:rPr>
                <w:rFonts w:ascii="Times New Roman" w:cs="Times New Roman" w:eastAsia="Times New Roman" w:hAnsi="Times New Roman"/>
                <w:sz w:val="16"/>
                <w:szCs w:val="16"/>
                <w:color w:val="auto"/>
              </w:rPr>
              <w:t>Twelve Months Ended</w:t>
            </w:r>
          </w:p>
        </w:tc>
      </w:tr>
      <w:tr>
        <w:trPr>
          <w:trHeight w:val="213"/>
        </w:trPr>
        <w:tc>
          <w:tcPr>
            <w:tcW w:w="5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gridSpan w:val="5"/>
          </w:tcPr>
          <w:p>
            <w:pPr>
              <w:jc w:val="center"/>
              <w:ind w:right="320"/>
              <w:spacing w:after="0"/>
              <w:rPr>
                <w:sz w:val="20"/>
                <w:szCs w:val="20"/>
                <w:color w:val="auto"/>
              </w:rPr>
            </w:pPr>
            <w:r>
              <w:rPr>
                <w:rFonts w:ascii="Times New Roman" w:cs="Times New Roman" w:eastAsia="Times New Roman" w:hAnsi="Times New Roman"/>
                <w:sz w:val="16"/>
                <w:szCs w:val="16"/>
                <w:color w:val="auto"/>
              </w:rPr>
              <w:t>September 30,</w:t>
            </w:r>
          </w:p>
        </w:tc>
        <w:tc>
          <w:tcPr>
            <w:tcW w:w="180" w:type="dxa"/>
            <w:vAlign w:val="bottom"/>
          </w:tcPr>
          <w:p>
            <w:pPr>
              <w:spacing w:after="0"/>
              <w:rPr>
                <w:sz w:val="18"/>
                <w:szCs w:val="18"/>
                <w:color w:val="auto"/>
              </w:rPr>
            </w:pPr>
          </w:p>
        </w:tc>
        <w:tc>
          <w:tcPr>
            <w:tcW w:w="1800" w:type="dxa"/>
            <w:vAlign w:val="bottom"/>
            <w:gridSpan w:val="5"/>
          </w:tcPr>
          <w:p>
            <w:pPr>
              <w:jc w:val="center"/>
              <w:ind w:right="300"/>
              <w:spacing w:after="0"/>
              <w:rPr>
                <w:sz w:val="20"/>
                <w:szCs w:val="20"/>
                <w:color w:val="auto"/>
              </w:rPr>
            </w:pPr>
            <w:r>
              <w:rPr>
                <w:rFonts w:ascii="Times New Roman" w:cs="Times New Roman" w:eastAsia="Times New Roman" w:hAnsi="Times New Roman"/>
                <w:sz w:val="16"/>
                <w:szCs w:val="16"/>
                <w:color w:val="auto"/>
              </w:rPr>
              <w:t>September 30,</w:t>
            </w:r>
          </w:p>
        </w:tc>
        <w:tc>
          <w:tcPr>
            <w:tcW w:w="200" w:type="dxa"/>
            <w:vAlign w:val="bottom"/>
          </w:tcPr>
          <w:p>
            <w:pPr>
              <w:spacing w:after="0"/>
              <w:rPr>
                <w:sz w:val="18"/>
                <w:szCs w:val="18"/>
                <w:color w:val="auto"/>
              </w:rPr>
            </w:pPr>
          </w:p>
        </w:tc>
        <w:tc>
          <w:tcPr>
            <w:tcW w:w="1820" w:type="dxa"/>
            <w:vAlign w:val="bottom"/>
            <w:gridSpan w:val="4"/>
          </w:tcPr>
          <w:p>
            <w:pPr>
              <w:jc w:val="right"/>
              <w:ind w:right="459"/>
              <w:spacing w:after="0"/>
              <w:rPr>
                <w:sz w:val="20"/>
                <w:szCs w:val="20"/>
                <w:color w:val="auto"/>
              </w:rPr>
            </w:pPr>
            <w:r>
              <w:rPr>
                <w:rFonts w:ascii="Times New Roman" w:cs="Times New Roman" w:eastAsia="Times New Roman" w:hAnsi="Times New Roman"/>
                <w:sz w:val="16"/>
                <w:szCs w:val="16"/>
                <w:color w:val="auto"/>
              </w:rPr>
              <w:t>September 30,</w:t>
            </w:r>
          </w:p>
        </w:tc>
      </w:tr>
      <w:tr>
        <w:trPr>
          <w:trHeight w:val="304"/>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(Thousands of dollars)</w:t>
            </w:r>
          </w:p>
        </w:tc>
        <w:tc>
          <w:tcPr>
            <w:tcW w:w="18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2022</w:t>
            </w:r>
          </w:p>
        </w:tc>
        <w:tc>
          <w:tcPr>
            <w:tcW w:w="120" w:type="dxa"/>
            <w:vAlign w:val="bottom"/>
            <w:tcBorders>
              <w:top w:val="single" w:sz="8" w:color="auto"/>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2021</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2022</w:t>
            </w:r>
          </w:p>
        </w:tc>
        <w:tc>
          <w:tcPr>
            <w:tcW w:w="100" w:type="dxa"/>
            <w:vAlign w:val="bottom"/>
            <w:tcBorders>
              <w:top w:val="single" w:sz="8" w:color="auto"/>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2021</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2022</w:t>
            </w:r>
          </w:p>
        </w:tc>
        <w:tc>
          <w:tcPr>
            <w:tcW w:w="100" w:type="dxa"/>
            <w:vAlign w:val="bottom"/>
            <w:tcBorders>
              <w:top w:val="single" w:sz="8" w:color="auto"/>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2021</w:t>
            </w:r>
          </w:p>
        </w:tc>
      </w:tr>
      <w:tr>
        <w:trPr>
          <w:trHeight w:val="19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Southwest Gas Corporation:</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13"/>
        </w:trPr>
        <w:tc>
          <w:tcPr>
            <w:tcW w:w="5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Change in COLI policies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(8,700)</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5,800</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(5,700)</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14,000</w:t>
            </w:r>
          </w:p>
        </w:tc>
      </w:tr>
      <w:tr>
        <w:trPr>
          <w:trHeight w:val="219"/>
        </w:trPr>
        <w:tc>
          <w:tcPr>
            <w:tcW w:w="5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 income</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10,355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12,156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4,113</w:t>
            </w:r>
          </w:p>
        </w:tc>
      </w:tr>
      <w:tr>
        <w:trPr>
          <w:trHeight w:val="213"/>
        </w:trPr>
        <w:tc>
          <w:tcPr>
            <w:tcW w:w="5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Equity AFUDC</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1,311</w:t>
            </w:r>
          </w:p>
        </w:tc>
      </w:tr>
      <w:tr>
        <w:trPr>
          <w:trHeight w:val="219"/>
        </w:trPr>
        <w:tc>
          <w:tcPr>
            <w:tcW w:w="5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components of net periodic benefit cost</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(15,522)</w:t>
            </w:r>
          </w:p>
        </w:tc>
      </w:tr>
      <w:tr>
        <w:trPr>
          <w:trHeight w:val="213"/>
        </w:trPr>
        <w:tc>
          <w:tcPr>
            <w:tcW w:w="52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Miscellaneous income and (expense)</w:t>
            </w: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(1,081)</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(2,146)</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(3,498)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(4,447)</w:t>
            </w:r>
          </w:p>
        </w:tc>
      </w:tr>
      <w:tr>
        <w:trPr>
          <w:trHeight w:val="212"/>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Southwest Gas Corporation - total other income (deductions)</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w:t>
            </w:r>
          </w:p>
        </w:tc>
      </w:tr>
      <w:tr>
        <w:trPr>
          <w:trHeight w:val="213"/>
        </w:trPr>
        <w:tc>
          <w:tcPr>
            <w:tcW w:w="5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Centuri, MountainWest, and Southwest Gas Holdings, Inc.:</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9"/>
        </w:trPr>
        <w:tc>
          <w:tcPr>
            <w:tcW w:w="5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Foreign transaction gain (loss)</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13"/>
        </w:trPr>
        <w:tc>
          <w:tcPr>
            <w:tcW w:w="5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Equity AFUDC</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5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Equity in earnings of unconsolidated investments</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w:t>
            </w:r>
          </w:p>
        </w:tc>
      </w:tr>
      <w:tr>
        <w:trPr>
          <w:trHeight w:val="213"/>
        </w:trPr>
        <w:tc>
          <w:tcPr>
            <w:tcW w:w="52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Miscellaneous income and (expense)</w:t>
            </w: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(773)</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1,115</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687</w:t>
            </w:r>
          </w:p>
        </w:tc>
      </w:tr>
      <w:tr>
        <w:trPr>
          <w:trHeight w:val="237"/>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Southwest Gas Holdings, Inc. - total other income (deductions)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Included in the table above is the change in cash surrender values of COLI policies (including net death benefits recognized). Current tax regulations provide for tax-free treatment of life insurance (death benefit) proceeds. Therefore, changes in the cash surrender values of COLI policies, as they progress towards the ultimate death benefits, are also recorded without tax consequences. Interest income primarily relates to Southwest’s regulatory asset balances, including its deferred purchased gas cost mechanisms. Refer also to the discussion of </w:t>
      </w:r>
      <w:r>
        <w:rPr>
          <w:rFonts w:ascii="Times New Roman" w:cs="Times New Roman" w:eastAsia="Times New Roman" w:hAnsi="Times New Roman"/>
          <w:sz w:val="18"/>
          <w:szCs w:val="18"/>
          <w:i w:val="1"/>
          <w:iCs w:val="1"/>
          <w:color w:val="auto"/>
        </w:rPr>
        <w:t>Other Property and Investments</w:t>
      </w:r>
      <w:r>
        <w:rPr>
          <w:rFonts w:ascii="Times New Roman" w:cs="Times New Roman" w:eastAsia="Times New Roman" w:hAnsi="Times New Roman"/>
          <w:sz w:val="18"/>
          <w:szCs w:val="18"/>
          <w:color w:val="auto"/>
        </w:rPr>
        <w:t xml:space="preserve"> above and to </w:t>
      </w:r>
      <w:r>
        <w:rPr>
          <w:rFonts w:ascii="Times New Roman" w:cs="Times New Roman" w:eastAsia="Times New Roman" w:hAnsi="Times New Roman"/>
          <w:sz w:val="18"/>
          <w:szCs w:val="18"/>
          <w:b w:val="1"/>
          <w:bCs w:val="1"/>
          <w:color w:val="auto"/>
        </w:rPr>
        <w:t>Note 2 – Components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of Net Periodic Benefit Cost</w:t>
      </w:r>
      <w:r>
        <w:rPr>
          <w:rFonts w:ascii="Times New Roman" w:cs="Times New Roman" w:eastAsia="Times New Roman" w:hAnsi="Times New Roman"/>
          <w:sz w:val="18"/>
          <w:szCs w:val="18"/>
          <w:color w:val="auto"/>
        </w:rPr>
        <w:t>.</w:t>
      </w:r>
    </w:p>
    <w:p>
      <w:pPr>
        <w:spacing w:after="0" w:line="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Redeemable Noncontrolling Interests. </w:t>
      </w:r>
      <w:r>
        <w:rPr>
          <w:rFonts w:ascii="Times New Roman" w:cs="Times New Roman" w:eastAsia="Times New Roman" w:hAnsi="Times New Roman"/>
          <w:sz w:val="18"/>
          <w:szCs w:val="18"/>
          <w:color w:val="auto"/>
        </w:rPr>
        <w:t>In connection with the acquisition of Linetec in November 2018, the previous owner retained a 20% equity interest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that entity, the reduction of which is subject to certain rights based on the passage of time or upon the occurrence of certain triggering events. Effective January 2022, the Company, through Centuri, had the right, but not the obligation, to purchase at fair value (subject to a floor) a portion of the interest held by the previous owner, and in incremental amounts each year thereafter. In March 2022, the parties agreed to a partial redemption based on these provisions, and as a result, Centuri paid $39.6 million to the previous owner of Linetec for a 5% equity interest in Linetec, thereby reducing the balance continuing to be redeemable to 15% under the terms of the original agreement. In order to fund the redemption, Southwest Gas Holdings, Inc. contributed capital to Centuri.</w:t>
      </w:r>
    </w:p>
    <w:p>
      <w:pPr>
        <w:spacing w:after="0" w:line="7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members of Riggs Distler management have a 1.42% interest in Drum, which is redeemable, subject to certain rights based on the passage of time or upon the occurrence of certain triggering events.</w:t>
      </w:r>
    </w:p>
    <w:p>
      <w:pPr>
        <w:spacing w:after="0" w:line="200" w:lineRule="exact"/>
        <w:rPr>
          <w:sz w:val="20"/>
          <w:szCs w:val="20"/>
          <w:color w:val="auto"/>
        </w:rPr>
      </w:pPr>
    </w:p>
    <w:p>
      <w:pPr>
        <w:spacing w:after="0" w:line="2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16" w:name="page17"/>
    <w:bookmarkEnd w:id="16"/>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30, 2022</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Significant changes in the value of the redeemable noncontrolling interests, above a floor determined at the establishment date, are recognized as they occur, and the carrying value is adjusted as necessary at each reporting date. The fair value is estimated using a market approach that utilizes certain financial metrics from guideline public companies of similar industry and operating characteristics. Based on the fair value model employed, the estimated redemption value of the Linetec redeemable noncontrolling interest decreased by approximately $45 million during the nine months ended September 30, 2022. Adjustment to the redemption value also impacts retained earnings, as reflected in the Company’s Condensed Consolidated Statement of Equity, but does not impact net income. The following depicts changes to the balances of the redeemable noncontrolling interests: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300" w:type="dxa"/>
            <w:vAlign w:val="bottom"/>
          </w:tcPr>
          <w:p>
            <w:pPr>
              <w:spacing w:after="0"/>
              <w:rPr>
                <w:sz w:val="20"/>
                <w:szCs w:val="20"/>
                <w:color w:val="auto"/>
              </w:rPr>
            </w:pPr>
          </w:p>
        </w:tc>
        <w:tc>
          <w:tcPr>
            <w:tcW w:w="1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Linetec</w:t>
            </w:r>
          </w:p>
        </w:tc>
        <w:tc>
          <w:tcPr>
            <w:tcW w:w="340" w:type="dxa"/>
            <w:vAlign w:val="bottom"/>
          </w:tcPr>
          <w:p>
            <w:pPr>
              <w:spacing w:after="0"/>
              <w:rPr>
                <w:sz w:val="20"/>
                <w:szCs w:val="20"/>
                <w:color w:val="auto"/>
              </w:rPr>
            </w:pPr>
          </w:p>
        </w:tc>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Drum</w:t>
            </w:r>
          </w:p>
        </w:tc>
        <w:tc>
          <w:tcPr>
            <w:tcW w:w="340" w:type="dxa"/>
            <w:vAlign w:val="bottom"/>
          </w:tcPr>
          <w:p>
            <w:pPr>
              <w:spacing w:after="0"/>
              <w:rPr>
                <w:sz w:val="20"/>
                <w:szCs w:val="20"/>
                <w:color w:val="auto"/>
              </w:rPr>
            </w:pPr>
          </w:p>
        </w:tc>
        <w:tc>
          <w:tcPr>
            <w:tcW w:w="12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Total</w:t>
            </w:r>
          </w:p>
        </w:tc>
      </w:tr>
      <w:tr>
        <w:trPr>
          <w:trHeight w:val="223"/>
        </w:trPr>
        <w:tc>
          <w:tcPr>
            <w:tcW w:w="6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2021</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184,148</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12,569</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196,717</w:t>
            </w:r>
          </w:p>
        </w:tc>
      </w:tr>
      <w:tr>
        <w:trPr>
          <w:trHeight w:val="230"/>
        </w:trPr>
        <w:tc>
          <w:tcPr>
            <w:tcW w:w="6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(loss) attributable to redeemable noncontrolling interests</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2,557</w:t>
            </w:r>
          </w:p>
        </w:tc>
      </w:tr>
      <w:tr>
        <w:trPr>
          <w:trHeight w:val="229"/>
        </w:trPr>
        <w:tc>
          <w:tcPr>
            <w:tcW w:w="6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Redemption value adjustments</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(44,933)</w:t>
            </w:r>
          </w:p>
        </w:tc>
      </w:tr>
      <w:tr>
        <w:trPr>
          <w:trHeight w:val="229"/>
        </w:trPr>
        <w:tc>
          <w:tcPr>
            <w:tcW w:w="6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Redemption of equity interest from noncontrolling party</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(39,649)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(39,649)</w:t>
            </w:r>
          </w:p>
        </w:tc>
      </w:tr>
      <w:tr>
        <w:trPr>
          <w:trHeight w:val="248"/>
        </w:trPr>
        <w:tc>
          <w:tcPr>
            <w:tcW w:w="6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September 30, 2022</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114,692</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Earnings Per Share. </w:t>
      </w:r>
      <w:r>
        <w:rPr>
          <w:rFonts w:ascii="Times New Roman" w:cs="Times New Roman" w:eastAsia="Times New Roman" w:hAnsi="Times New Roman"/>
          <w:sz w:val="18"/>
          <w:szCs w:val="18"/>
          <w:color w:val="auto"/>
        </w:rPr>
        <w:t>Basic earnings per share (“EPS”) in each period of this report were calculated by dividing net income attributable to Southwest Gas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Holdings, Inc. by the weighted-average number of shares during those periods. Diluted EPS includes additional weighted-average common stock equivalents (performance shares and restricted stock units). Unless otherwise noted, the term “Earnings Per Share” refers to Basic EPS. A reconciliation of the denominator used in Basic and Diluted EPS calculations is shown in the following table: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20" w:type="dxa"/>
            <w:vAlign w:val="bottom"/>
          </w:tcPr>
          <w:p>
            <w:pPr>
              <w:spacing w:after="0"/>
              <w:rPr>
                <w:sz w:val="17"/>
                <w:szCs w:val="17"/>
                <w:color w:val="auto"/>
              </w:rPr>
            </w:pPr>
          </w:p>
        </w:tc>
        <w:tc>
          <w:tcPr>
            <w:tcW w:w="250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254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color w:val="auto"/>
              </w:rPr>
              <w:t>Nine Months Ended</w:t>
            </w:r>
          </w:p>
        </w:tc>
        <w:tc>
          <w:tcPr>
            <w:tcW w:w="238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Twelve Months Ended</w:t>
            </w:r>
          </w:p>
        </w:tc>
      </w:tr>
      <w:tr>
        <w:trPr>
          <w:trHeight w:val="237"/>
        </w:trPr>
        <w:tc>
          <w:tcPr>
            <w:tcW w:w="3820" w:type="dxa"/>
            <w:vAlign w:val="bottom"/>
          </w:tcPr>
          <w:p>
            <w:pPr>
              <w:spacing w:after="0"/>
              <w:rPr>
                <w:sz w:val="20"/>
                <w:szCs w:val="20"/>
                <w:color w:val="auto"/>
              </w:rPr>
            </w:pPr>
          </w:p>
        </w:tc>
        <w:tc>
          <w:tcPr>
            <w:tcW w:w="250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w w:val="99"/>
              </w:rPr>
              <w:t>September 30,</w:t>
            </w:r>
          </w:p>
        </w:tc>
        <w:tc>
          <w:tcPr>
            <w:tcW w:w="25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w w:val="99"/>
              </w:rPr>
              <w:t>September 30,</w:t>
            </w:r>
          </w:p>
        </w:tc>
        <w:tc>
          <w:tcPr>
            <w:tcW w:w="2380" w:type="dxa"/>
            <w:vAlign w:val="bottom"/>
            <w:gridSpan w:val="3"/>
          </w:tcPr>
          <w:p>
            <w:pPr>
              <w:jc w:val="right"/>
              <w:ind w:right="590"/>
              <w:spacing w:after="0"/>
              <w:rPr>
                <w:sz w:val="20"/>
                <w:szCs w:val="20"/>
                <w:color w:val="auto"/>
              </w:rPr>
            </w:pPr>
            <w:r>
              <w:rPr>
                <w:rFonts w:ascii="Times New Roman" w:cs="Times New Roman" w:eastAsia="Times New Roman" w:hAnsi="Times New Roman"/>
                <w:sz w:val="18"/>
                <w:szCs w:val="18"/>
                <w:color w:val="auto"/>
              </w:rPr>
              <w:t>September 30,</w:t>
            </w:r>
          </w:p>
        </w:tc>
      </w:tr>
      <w:tr>
        <w:trPr>
          <w:trHeight w:val="229"/>
        </w:trPr>
        <w:tc>
          <w:tcPr>
            <w:tcW w:w="3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top w:val="single" w:sz="8" w:color="auto"/>
              <w:bottom w:val="single" w:sz="8" w:color="CCEEFF"/>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CCEEFF"/>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Borders>
              <w:bottom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basic shares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67,157</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59,688</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65,004</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58,639</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63,905</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58,209</w:t>
            </w:r>
          </w:p>
        </w:tc>
      </w:tr>
      <w:tr>
        <w:trPr>
          <w:trHeight w:val="230"/>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3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Restricted stock units (1)</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2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23"/>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diluted shares</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67,325</w:t>
            </w:r>
          </w:p>
        </w:tc>
        <w:tc>
          <w:tcPr>
            <w:tcW w:w="12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59,816</w:t>
            </w:r>
          </w:p>
        </w:tc>
        <w:tc>
          <w:tcPr>
            <w:tcW w:w="10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65,148</w:t>
            </w:r>
          </w:p>
        </w:tc>
        <w:tc>
          <w:tcPr>
            <w:tcW w:w="10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58,742</w:t>
            </w:r>
          </w:p>
        </w:tc>
        <w:tc>
          <w:tcPr>
            <w:tcW w:w="12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64,051</w:t>
            </w:r>
          </w:p>
        </w:tc>
        <w:tc>
          <w:tcPr>
            <w:tcW w:w="10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58,312</w:t>
            </w:r>
          </w:p>
        </w:tc>
      </w:tr>
      <w:tr>
        <w:trPr>
          <w:trHeight w:val="20"/>
        </w:trPr>
        <w:tc>
          <w:tcPr>
            <w:tcW w:w="38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jc w:val="both"/>
        <w:ind w:left="180" w:hanging="10"/>
        <w:spacing w:after="0" w:line="263" w:lineRule="auto"/>
        <w:tabs>
          <w:tab w:leader="none" w:pos="43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securities included 156,000 and 115,000 performance shares during the three months ending September 30, 2022 and 2021, 135,000 and 95,000 performance shares during the nine months ending September 30, 2022 and 2021, and 135,000 and 93,000 performance shares during the twelve months ending September 30, 2022 and 2021, respectively, the total of which was derived by assuming that target performance will be achieved during the relevant performance period.</w:t>
      </w:r>
    </w:p>
    <w:p>
      <w:pPr>
        <w:spacing w:after="0" w:line="7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Contingencies. </w:t>
      </w:r>
      <w:r>
        <w:rPr>
          <w:rFonts w:ascii="Times New Roman" w:cs="Times New Roman" w:eastAsia="Times New Roman" w:hAnsi="Times New Roman"/>
          <w:sz w:val="18"/>
          <w:szCs w:val="18"/>
          <w:color w:val="auto"/>
        </w:rPr>
        <w:t>Southwest maintains liability insurance for various risks associated with the operation of its natural gas pipelines and facilities.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connection with these liability insurance policies, Southwest is responsible for an initial deductible or self-insured retention amount per incident, after which the insurance carriers would be responsible for amounts up to the policy limits. For the policy year August 2022 to July 2023, these liability insurance policies require Southwest to be responsible for the first $1 million (self-insured retention) of each incident plus the first $4 million in aggregate claims above its self-insured retention in the policy year. In August 2021, a natural gas pipe operated by Southwest was involved in an explosion that injured four individuals and damaged property. The explosion was caused by a leak in the pipe, and is under investigation. Individuals that were injured have each brought legal claims against Southwest and other parties. If Southwest is deemed fully or partially responsible, Southwest estimates its net exposure could be equal to the self-insured retention of $5 million (the maximum noted above). In 2021, pursuant to Accounting Standards Codification 450,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Southwest recorded a $5 million liability related to this incident reflecting the maximum noted above; an estimate of actual loss greater than this exposure (to be covered by insurance) cannot be estimated as of the date these financial statements are issued.</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contingencies are also recognized where appropriate, if claims are brought, or expected to be brought, against the Company or Southwest, where management expects it may settle (or be required to settle) claims in cash, or in some cases, by means of insurance indemnification. For instance, the balance of such reserves was updated in the second quarter of 2022 for $6.2 million related to a contract dispute. The amount was paid in the third quarter of 2022 and the matter is now closed.</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described above, the November 2021 civil suit filed by the Icahn Group against the Company and certain officers and directors was subject to a stipulation of dismissal with prejudice in May 2022, pursuant to the terms of the Initial Cooperation Agreement.</w:t>
      </w:r>
    </w:p>
    <w:p>
      <w:pPr>
        <w:spacing w:after="0" w:line="200" w:lineRule="exact"/>
        <w:rPr>
          <w:sz w:val="20"/>
          <w:szCs w:val="20"/>
          <w:color w:val="auto"/>
        </w:rPr>
      </w:pPr>
    </w:p>
    <w:p>
      <w:pPr>
        <w:spacing w:after="0" w:line="2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17" w:name="page18"/>
    <w:bookmarkEnd w:id="17"/>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30, 2022</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November 18, 2021, the City Pension Fund for Firefighters and Police Officers in the City of Miami Beach (“City Pension Fund”) commenced a putative class action lawsuit in the Court of Chancery for the State of Delaware on behalf of a putative class of persons who purchased the Company’s stock. The complaint was later amended on November 30, 2021. The amended complaint named the Company and the individual members of the Board as defendants. The complaint sought to assert breach of fiduciary duty claims, alleging that the Board’s recommendation that stockholders reject Icahn’s Offer to purchase shares of the Company’s common stock omitted material information about the Company’s financial analysis; and sought to have the Board approve Icahn’s slate of nominees as “continuing directors” under certain of the Company’s debt instruments. In March 2022, the City Pension Fund filed a motion for summary judgment on its claim; however, in April 2022, the City Pension Fund filed a notice of withdrawal of its motion for summary judgment. The Company believes that the claims lack merit and intends to vigorously defend against them.</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Standards Updates.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Accounting pronouncements effective or adopted in 2022:</w:t>
      </w:r>
    </w:p>
    <w:p>
      <w:pPr>
        <w:spacing w:after="0" w:line="1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March 2020, the Financial Accounting Standards Board (the “FASB”) issued ASU 2020-04 “Reference Rate Reform (Topic 848): Facilitation of the Effects of Reference Rate Reform on Financial Reporting.” The update provides optional guidance for a limited time to ease the potential burden in accounting for, or recognizing the effects of, reference rate reform on financial reporting, including when modifying a contract (during the eligibility period covered by the update to Topic 848) to replace a reference rate affected by such reform. The update applies only to contracts and hedging relationships that reference the London Interbank Offered Rate (“LIBOR”) or another rate expected to be discontinued due to reference rate reform. The guidance was eligible to be applied upon issuance on March 12, 2020, and can generally be applied through December 31, 2022, and while a proposal by the FASB has occurred to extend the optional guidance to the full tenor of LIBOR expiration dates occurring after 2022, to date, no such update has been made effective. Management will monitor the impacts this update might have on the Company’s and Southwest’s consolidated financial statements and disclosures, and will reflect such appropriately, in the event that the optional guidance is elected. Management will also monitor further FASB action, if any, in regard to the full tenor of LIBOR expiration dates. See also LIBOR discussion in </w:t>
      </w:r>
      <w:r>
        <w:rPr>
          <w:rFonts w:ascii="Times New Roman" w:cs="Times New Roman" w:eastAsia="Times New Roman" w:hAnsi="Times New Roman"/>
          <w:sz w:val="18"/>
          <w:szCs w:val="18"/>
          <w:b w:val="1"/>
          <w:bCs w:val="1"/>
          <w:color w:val="auto"/>
        </w:rPr>
        <w:t>Note 5 – Debt</w:t>
      </w:r>
      <w:r>
        <w:rPr>
          <w:rFonts w:ascii="Times New Roman" w:cs="Times New Roman" w:eastAsia="Times New Roman" w:hAnsi="Times New Roman"/>
          <w:sz w:val="18"/>
          <w:szCs w:val="18"/>
          <w:color w:val="auto"/>
        </w:rPr>
        <w:t>.</w:t>
      </w:r>
    </w:p>
    <w:p>
      <w:pPr>
        <w:spacing w:after="0" w:line="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August 2020, the FASB issued ASU 2020-06 “Debt—Debt with Conversion and Other Options (Subtopic 470-20) and Derivatives and Hedging— Contracts in Entity’s Own Equity (Subtopic 815-40): Accounting for Convertible Instruments and Contracts in an Entity’s Own Equity.” The update, amongst other amendments, improves the guidance related to the disclosures and earnings-per-share for convertible instruments and contracts in an entity’s own equity. The Company and Southwest adopted the update in the first quarter of 2022, the impact of which was not material to the consolidated financial statements of the Company or Southwest.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18" w:name="page19"/>
    <w:bookmarkEnd w:id="18"/>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30, 2022</w:t>
            </w:r>
          </w:p>
        </w:tc>
      </w:tr>
    </w:tbl>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Components of Net Periodic Benefit Cost</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Southwest has a noncontributory qualified retirement plan with defined benefits covering substantially all employees and a separate unfunded supplemental retirement plan (“SERP”), which is limited to officers. Southwest also provides postretirement benefits other than pensions (“PBOP”) to its qualified retirees for health care, dental, and life insurance. The defined benefit qualified retirement plan, SERP, and PBOP are not available to Southwest employees hired on or after January 1, 2022. Employees hired in 2022 or later periods are eligible for enhanced defined contributions as part of the Southwest 401(k) plan, rather than participating in the defined benefit retirement plan.</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service cost component of net periodic benefit costs included in the table below is a component of an overhead loading process associated with the cost of labor. The overhead process ultimately results in allocation of service cost to the same accounts to which productive labor is charged. As a result, service costs become components of various accounts, primarily operations and maintenance expense, net regulated operations plant, and deferred charges and other assets for both the Company and Southwest. The other components of net periodic benefit cost are reflected in Other income (deductions) on the Condensed Consolidated Statements of Income of each entity.</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5"/>
          </w:tcPr>
          <w:p>
            <w:pPr>
              <w:jc w:val="center"/>
              <w:ind w:right="300"/>
              <w:spacing w:after="0"/>
              <w:rPr>
                <w:sz w:val="20"/>
                <w:szCs w:val="20"/>
                <w:color w:val="auto"/>
              </w:rPr>
            </w:pPr>
            <w:r>
              <w:rPr>
                <w:rFonts w:ascii="Times New Roman" w:cs="Times New Roman" w:eastAsia="Times New Roman" w:hAnsi="Times New Roman"/>
                <w:sz w:val="18"/>
                <w:szCs w:val="18"/>
                <w:color w:val="auto"/>
              </w:rPr>
              <w:t>Qualified Retirement Plan</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r>
      <w:tr>
        <w:trPr>
          <w:trHeight w:val="223"/>
        </w:trPr>
        <w:tc>
          <w:tcPr>
            <w:tcW w:w="36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gridSpan w:val="5"/>
          </w:tcPr>
          <w:p>
            <w:pPr>
              <w:jc w:val="center"/>
              <w:ind w:right="320"/>
              <w:spacing w:after="0"/>
              <w:rPr>
                <w:sz w:val="20"/>
                <w:szCs w:val="20"/>
                <w:color w:val="auto"/>
              </w:rPr>
            </w:pPr>
            <w:r>
              <w:rPr>
                <w:rFonts w:ascii="Times New Roman" w:cs="Times New Roman" w:eastAsia="Times New Roman" w:hAnsi="Times New Roman"/>
                <w:sz w:val="18"/>
                <w:szCs w:val="18"/>
                <w:color w:val="auto"/>
                <w:w w:val="99"/>
              </w:rPr>
              <w:t>September 30,</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r>
      <w:tr>
        <w:trPr>
          <w:trHeight w:val="223"/>
        </w:trPr>
        <w:tc>
          <w:tcPr>
            <w:tcW w:w="3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00" w:type="dxa"/>
            <w:vAlign w:val="bottom"/>
            <w:gridSpan w:val="5"/>
          </w:tcPr>
          <w:p>
            <w:pPr>
              <w:ind w:left="460"/>
              <w:spacing w:after="0"/>
              <w:rPr>
                <w:sz w:val="20"/>
                <w:szCs w:val="20"/>
                <w:color w:val="auto"/>
              </w:rPr>
            </w:pPr>
            <w:r>
              <w:rPr>
                <w:rFonts w:ascii="Times New Roman" w:cs="Times New Roman" w:eastAsia="Times New Roman" w:hAnsi="Times New Roman"/>
                <w:sz w:val="18"/>
                <w:szCs w:val="18"/>
                <w:color w:val="auto"/>
              </w:rPr>
              <w:t>Three Months</w:t>
            </w:r>
          </w:p>
        </w:tc>
        <w:tc>
          <w:tcPr>
            <w:tcW w:w="200" w:type="dxa"/>
            <w:vAlign w:val="bottom"/>
          </w:tcPr>
          <w:p>
            <w:pPr>
              <w:spacing w:after="0"/>
              <w:rPr>
                <w:sz w:val="19"/>
                <w:szCs w:val="19"/>
                <w:color w:val="auto"/>
              </w:rPr>
            </w:pPr>
          </w:p>
        </w:tc>
        <w:tc>
          <w:tcPr>
            <w:tcW w:w="236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color w:val="auto"/>
                <w:w w:val="99"/>
              </w:rPr>
              <w:t>Nine Months</w:t>
            </w:r>
          </w:p>
        </w:tc>
        <w:tc>
          <w:tcPr>
            <w:tcW w:w="260" w:type="dxa"/>
            <w:vAlign w:val="bottom"/>
          </w:tcPr>
          <w:p>
            <w:pPr>
              <w:spacing w:after="0"/>
              <w:rPr>
                <w:sz w:val="19"/>
                <w:szCs w:val="19"/>
                <w:color w:val="auto"/>
              </w:rPr>
            </w:pPr>
          </w:p>
        </w:tc>
        <w:tc>
          <w:tcPr>
            <w:tcW w:w="2200" w:type="dxa"/>
            <w:vAlign w:val="bottom"/>
            <w:gridSpan w:val="4"/>
          </w:tcPr>
          <w:p>
            <w:pPr>
              <w:jc w:val="right"/>
              <w:ind w:right="570"/>
              <w:spacing w:after="0"/>
              <w:rPr>
                <w:sz w:val="20"/>
                <w:szCs w:val="20"/>
                <w:color w:val="auto"/>
              </w:rPr>
            </w:pPr>
            <w:r>
              <w:rPr>
                <w:rFonts w:ascii="Times New Roman" w:cs="Times New Roman" w:eastAsia="Times New Roman" w:hAnsi="Times New Roman"/>
                <w:sz w:val="18"/>
                <w:szCs w:val="18"/>
                <w:color w:val="auto"/>
              </w:rPr>
              <w:t>Twelve Months</w:t>
            </w:r>
          </w:p>
        </w:tc>
      </w:tr>
      <w:tr>
        <w:trPr>
          <w:trHeight w:val="223"/>
        </w:trPr>
        <w:tc>
          <w:tcPr>
            <w:tcW w:w="366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2021</w:t>
            </w:r>
          </w:p>
        </w:tc>
      </w:tr>
      <w:tr>
        <w:trPr>
          <w:trHeight w:val="209"/>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9"/>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11,028</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10,289</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33,084</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30,869</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43,374</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39,443</w:t>
            </w:r>
          </w:p>
        </w:tc>
      </w:tr>
      <w:tr>
        <w:trPr>
          <w:trHeight w:val="230"/>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33,753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30,324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43,861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41,714</w:t>
            </w:r>
          </w:p>
        </w:tc>
      </w:tr>
      <w:tr>
        <w:trPr>
          <w:trHeight w:val="229"/>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(19,978)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(18,088)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(59,934)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(54,264)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(78,022)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(70,588)</w:t>
            </w:r>
          </w:p>
        </w:tc>
      </w:tr>
      <w:tr>
        <w:trPr>
          <w:trHeight w:val="229"/>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net actuarial loss</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8,117</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24,351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31,467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34,839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40,473</w:t>
            </w:r>
          </w:p>
        </w:tc>
      </w:tr>
      <w:tr>
        <w:trPr>
          <w:trHeight w:val="223"/>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10,418</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12,798</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31,254</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38,396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44,052</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51,042</w:t>
            </w:r>
          </w:p>
        </w:tc>
      </w:tr>
      <w:tr>
        <w:trPr>
          <w:trHeight w:val="21"/>
        </w:trPr>
        <w:tc>
          <w:tcPr>
            <w:tcW w:w="3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412"/>
        </w:trPr>
        <w:tc>
          <w:tcPr>
            <w:tcW w:w="36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3"/>
          </w:tcPr>
          <w:p>
            <w:pPr>
              <w:jc w:val="center"/>
              <w:ind w:left="610"/>
              <w:spacing w:after="0"/>
              <w:rPr>
                <w:sz w:val="20"/>
                <w:szCs w:val="20"/>
                <w:color w:val="auto"/>
              </w:rPr>
            </w:pPr>
            <w:r>
              <w:rPr>
                <w:rFonts w:ascii="Times New Roman" w:cs="Times New Roman" w:eastAsia="Times New Roman" w:hAnsi="Times New Roman"/>
                <w:sz w:val="18"/>
                <w:szCs w:val="18"/>
                <w:color w:val="auto"/>
                <w:w w:val="97"/>
              </w:rPr>
              <w:t>SERP</w:t>
            </w: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r>
        <w:trPr>
          <w:trHeight w:val="223"/>
        </w:trPr>
        <w:tc>
          <w:tcPr>
            <w:tcW w:w="36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gridSpan w:val="5"/>
          </w:tcPr>
          <w:p>
            <w:pPr>
              <w:jc w:val="center"/>
              <w:ind w:right="320"/>
              <w:spacing w:after="0"/>
              <w:rPr>
                <w:sz w:val="20"/>
                <w:szCs w:val="20"/>
                <w:color w:val="auto"/>
              </w:rPr>
            </w:pPr>
            <w:r>
              <w:rPr>
                <w:rFonts w:ascii="Times New Roman" w:cs="Times New Roman" w:eastAsia="Times New Roman" w:hAnsi="Times New Roman"/>
                <w:sz w:val="18"/>
                <w:szCs w:val="18"/>
                <w:color w:val="auto"/>
                <w:w w:val="99"/>
              </w:rPr>
              <w:t>September 30,</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r>
      <w:tr>
        <w:trPr>
          <w:trHeight w:val="223"/>
        </w:trPr>
        <w:tc>
          <w:tcPr>
            <w:tcW w:w="3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00" w:type="dxa"/>
            <w:vAlign w:val="bottom"/>
            <w:gridSpan w:val="5"/>
          </w:tcPr>
          <w:p>
            <w:pPr>
              <w:ind w:left="460"/>
              <w:spacing w:after="0"/>
              <w:rPr>
                <w:sz w:val="20"/>
                <w:szCs w:val="20"/>
                <w:color w:val="auto"/>
              </w:rPr>
            </w:pPr>
            <w:r>
              <w:rPr>
                <w:rFonts w:ascii="Times New Roman" w:cs="Times New Roman" w:eastAsia="Times New Roman" w:hAnsi="Times New Roman"/>
                <w:sz w:val="18"/>
                <w:szCs w:val="18"/>
                <w:color w:val="auto"/>
              </w:rPr>
              <w:t>Three Months</w:t>
            </w:r>
          </w:p>
        </w:tc>
        <w:tc>
          <w:tcPr>
            <w:tcW w:w="200" w:type="dxa"/>
            <w:vAlign w:val="bottom"/>
          </w:tcPr>
          <w:p>
            <w:pPr>
              <w:spacing w:after="0"/>
              <w:rPr>
                <w:sz w:val="19"/>
                <w:szCs w:val="19"/>
                <w:color w:val="auto"/>
              </w:rPr>
            </w:pPr>
          </w:p>
        </w:tc>
        <w:tc>
          <w:tcPr>
            <w:tcW w:w="236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color w:val="auto"/>
                <w:w w:val="99"/>
              </w:rPr>
              <w:t>Nine Months</w:t>
            </w:r>
          </w:p>
        </w:tc>
        <w:tc>
          <w:tcPr>
            <w:tcW w:w="260" w:type="dxa"/>
            <w:vAlign w:val="bottom"/>
          </w:tcPr>
          <w:p>
            <w:pPr>
              <w:spacing w:after="0"/>
              <w:rPr>
                <w:sz w:val="19"/>
                <w:szCs w:val="19"/>
                <w:color w:val="auto"/>
              </w:rPr>
            </w:pPr>
          </w:p>
        </w:tc>
        <w:tc>
          <w:tcPr>
            <w:tcW w:w="2200" w:type="dxa"/>
            <w:vAlign w:val="bottom"/>
            <w:gridSpan w:val="4"/>
          </w:tcPr>
          <w:p>
            <w:pPr>
              <w:jc w:val="right"/>
              <w:ind w:right="570"/>
              <w:spacing w:after="0"/>
              <w:rPr>
                <w:sz w:val="20"/>
                <w:szCs w:val="20"/>
                <w:color w:val="auto"/>
              </w:rPr>
            </w:pPr>
            <w:r>
              <w:rPr>
                <w:rFonts w:ascii="Times New Roman" w:cs="Times New Roman" w:eastAsia="Times New Roman" w:hAnsi="Times New Roman"/>
                <w:sz w:val="18"/>
                <w:szCs w:val="18"/>
                <w:color w:val="auto"/>
              </w:rPr>
              <w:t>Twelve Months</w:t>
            </w:r>
          </w:p>
        </w:tc>
      </w:tr>
      <w:tr>
        <w:trPr>
          <w:trHeight w:val="223"/>
        </w:trPr>
        <w:tc>
          <w:tcPr>
            <w:tcW w:w="366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2021</w:t>
            </w:r>
          </w:p>
        </w:tc>
      </w:tr>
      <w:tr>
        <w:trPr>
          <w:trHeight w:val="210"/>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30"/>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w:t>
            </w:r>
          </w:p>
        </w:tc>
      </w:tr>
      <w:tr>
        <w:trPr>
          <w:trHeight w:val="230"/>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w:t>
            </w:r>
          </w:p>
        </w:tc>
      </w:tr>
      <w:tr>
        <w:trPr>
          <w:trHeight w:val="229"/>
        </w:trPr>
        <w:tc>
          <w:tcPr>
            <w:tcW w:w="3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Amortization of net actuarial loss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2,433</w:t>
            </w:r>
          </w:p>
        </w:tc>
      </w:tr>
      <w:tr>
        <w:trPr>
          <w:trHeight w:val="248"/>
        </w:trPr>
        <w:tc>
          <w:tcPr>
            <w:tcW w:w="3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4,398</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393"/>
        </w:trPr>
        <w:tc>
          <w:tcPr>
            <w:tcW w:w="36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3"/>
          </w:tcPr>
          <w:p>
            <w:pPr>
              <w:jc w:val="center"/>
              <w:ind w:left="610"/>
              <w:spacing w:after="0"/>
              <w:rPr>
                <w:sz w:val="20"/>
                <w:szCs w:val="20"/>
                <w:color w:val="auto"/>
              </w:rPr>
            </w:pPr>
            <w:r>
              <w:rPr>
                <w:rFonts w:ascii="Times New Roman" w:cs="Times New Roman" w:eastAsia="Times New Roman" w:hAnsi="Times New Roman"/>
                <w:sz w:val="18"/>
                <w:szCs w:val="18"/>
                <w:color w:val="auto"/>
              </w:rPr>
              <w:t>PBOP</w:t>
            </w: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r>
        <w:trPr>
          <w:trHeight w:val="223"/>
        </w:trPr>
        <w:tc>
          <w:tcPr>
            <w:tcW w:w="36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gridSpan w:val="5"/>
          </w:tcPr>
          <w:p>
            <w:pPr>
              <w:jc w:val="center"/>
              <w:ind w:right="320"/>
              <w:spacing w:after="0"/>
              <w:rPr>
                <w:sz w:val="20"/>
                <w:szCs w:val="20"/>
                <w:color w:val="auto"/>
              </w:rPr>
            </w:pPr>
            <w:r>
              <w:rPr>
                <w:rFonts w:ascii="Times New Roman" w:cs="Times New Roman" w:eastAsia="Times New Roman" w:hAnsi="Times New Roman"/>
                <w:sz w:val="18"/>
                <w:szCs w:val="18"/>
                <w:color w:val="auto"/>
                <w:w w:val="99"/>
              </w:rPr>
              <w:t>September 30,</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r>
      <w:tr>
        <w:trPr>
          <w:trHeight w:val="223"/>
        </w:trPr>
        <w:tc>
          <w:tcPr>
            <w:tcW w:w="3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00" w:type="dxa"/>
            <w:vAlign w:val="bottom"/>
            <w:gridSpan w:val="5"/>
          </w:tcPr>
          <w:p>
            <w:pPr>
              <w:ind w:left="460"/>
              <w:spacing w:after="0"/>
              <w:rPr>
                <w:sz w:val="20"/>
                <w:szCs w:val="20"/>
                <w:color w:val="auto"/>
              </w:rPr>
            </w:pPr>
            <w:r>
              <w:rPr>
                <w:rFonts w:ascii="Times New Roman" w:cs="Times New Roman" w:eastAsia="Times New Roman" w:hAnsi="Times New Roman"/>
                <w:sz w:val="18"/>
                <w:szCs w:val="18"/>
                <w:color w:val="auto"/>
              </w:rPr>
              <w:t>Three Months</w:t>
            </w:r>
          </w:p>
        </w:tc>
        <w:tc>
          <w:tcPr>
            <w:tcW w:w="200" w:type="dxa"/>
            <w:vAlign w:val="bottom"/>
          </w:tcPr>
          <w:p>
            <w:pPr>
              <w:spacing w:after="0"/>
              <w:rPr>
                <w:sz w:val="19"/>
                <w:szCs w:val="19"/>
                <w:color w:val="auto"/>
              </w:rPr>
            </w:pPr>
          </w:p>
        </w:tc>
        <w:tc>
          <w:tcPr>
            <w:tcW w:w="236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color w:val="auto"/>
                <w:w w:val="99"/>
              </w:rPr>
              <w:t>Nine Months</w:t>
            </w:r>
          </w:p>
        </w:tc>
        <w:tc>
          <w:tcPr>
            <w:tcW w:w="260" w:type="dxa"/>
            <w:vAlign w:val="bottom"/>
          </w:tcPr>
          <w:p>
            <w:pPr>
              <w:spacing w:after="0"/>
              <w:rPr>
                <w:sz w:val="19"/>
                <w:szCs w:val="19"/>
                <w:color w:val="auto"/>
              </w:rPr>
            </w:pPr>
          </w:p>
        </w:tc>
        <w:tc>
          <w:tcPr>
            <w:tcW w:w="2200" w:type="dxa"/>
            <w:vAlign w:val="bottom"/>
            <w:gridSpan w:val="4"/>
          </w:tcPr>
          <w:p>
            <w:pPr>
              <w:jc w:val="right"/>
              <w:ind w:right="570"/>
              <w:spacing w:after="0"/>
              <w:rPr>
                <w:sz w:val="20"/>
                <w:szCs w:val="20"/>
                <w:color w:val="auto"/>
              </w:rPr>
            </w:pPr>
            <w:r>
              <w:rPr>
                <w:rFonts w:ascii="Times New Roman" w:cs="Times New Roman" w:eastAsia="Times New Roman" w:hAnsi="Times New Roman"/>
                <w:sz w:val="18"/>
                <w:szCs w:val="18"/>
                <w:color w:val="auto"/>
              </w:rPr>
              <w:t>Twelve Months</w:t>
            </w:r>
          </w:p>
        </w:tc>
      </w:tr>
      <w:tr>
        <w:trPr>
          <w:trHeight w:val="223"/>
        </w:trPr>
        <w:tc>
          <w:tcPr>
            <w:tcW w:w="366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2021</w:t>
            </w:r>
          </w:p>
        </w:tc>
      </w:tr>
      <w:tr>
        <w:trPr>
          <w:trHeight w:val="210"/>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30"/>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1,877</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1,664</w:t>
            </w:r>
          </w:p>
        </w:tc>
      </w:tr>
      <w:tr>
        <w:trPr>
          <w:trHeight w:val="229"/>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w:t>
            </w:r>
          </w:p>
        </w:tc>
      </w:tr>
      <w:tr>
        <w:trPr>
          <w:trHeight w:val="230"/>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(3,282)</w:t>
            </w:r>
          </w:p>
        </w:tc>
      </w:tr>
      <w:tr>
        <w:trPr>
          <w:trHeight w:val="230"/>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costs</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w:t>
            </w:r>
          </w:p>
        </w:tc>
      </w:tr>
      <w:tr>
        <w:trPr>
          <w:trHeight w:val="223"/>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1,203</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1,680</w:t>
            </w:r>
          </w:p>
        </w:tc>
      </w:tr>
      <w:tr>
        <w:trPr>
          <w:trHeight w:val="20"/>
        </w:trPr>
        <w:tc>
          <w:tcPr>
            <w:tcW w:w="3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19" w:name="page20"/>
    <w:bookmarkEnd w:id="19"/>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30, 2022</w:t>
            </w:r>
          </w:p>
        </w:tc>
      </w:tr>
    </w:tbl>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Revenue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information about the Company’s revenues is presented by segment. Southwest encompasses the natural gas distribution segment, Centuri encompasses the utility infrastructure services segment, and MountainWest encompasses the pipeline and storage segment. Certain disclosures, where materially consistent with those provided most recently in the 2021 Form 10-K, are not repeated below.</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Natural Gas Distribution Segment</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Southwest’s operating revenues included on the Condensed Consolidated Statements of Income of both the Company and Southwest include revenue from contracts with customers, which is shown below, disaggregated by customer type, in addition to other categories of revenue: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20" w:type="dxa"/>
            <w:vAlign w:val="bottom"/>
            <w:gridSpan w:val="5"/>
          </w:tcPr>
          <w:p>
            <w:pPr>
              <w:jc w:val="center"/>
              <w:ind w:right="360"/>
              <w:spacing w:after="0"/>
              <w:rPr>
                <w:sz w:val="20"/>
                <w:szCs w:val="20"/>
                <w:color w:val="auto"/>
              </w:rPr>
            </w:pPr>
            <w:r>
              <w:rPr>
                <w:rFonts w:ascii="Times New Roman" w:cs="Times New Roman" w:eastAsia="Times New Roman" w:hAnsi="Times New Roman"/>
                <w:sz w:val="16"/>
                <w:szCs w:val="16"/>
                <w:color w:val="auto"/>
              </w:rPr>
              <w:t>Three Months Ended</w:t>
            </w:r>
          </w:p>
        </w:tc>
        <w:tc>
          <w:tcPr>
            <w:tcW w:w="200" w:type="dxa"/>
            <w:vAlign w:val="bottom"/>
          </w:tcPr>
          <w:p>
            <w:pPr>
              <w:spacing w:after="0"/>
              <w:rPr>
                <w:sz w:val="16"/>
                <w:szCs w:val="16"/>
                <w:color w:val="auto"/>
              </w:rPr>
            </w:pPr>
          </w:p>
        </w:tc>
        <w:tc>
          <w:tcPr>
            <w:tcW w:w="2140" w:type="dxa"/>
            <w:vAlign w:val="bottom"/>
            <w:gridSpan w:val="5"/>
          </w:tcPr>
          <w:p>
            <w:pPr>
              <w:jc w:val="center"/>
              <w:ind w:right="320"/>
              <w:spacing w:after="0"/>
              <w:rPr>
                <w:sz w:val="20"/>
                <w:szCs w:val="20"/>
                <w:color w:val="auto"/>
              </w:rPr>
            </w:pPr>
            <w:r>
              <w:rPr>
                <w:rFonts w:ascii="Times New Roman" w:cs="Times New Roman" w:eastAsia="Times New Roman" w:hAnsi="Times New Roman"/>
                <w:sz w:val="16"/>
                <w:szCs w:val="16"/>
                <w:color w:val="auto"/>
              </w:rPr>
              <w:t>Nine Months Ended</w:t>
            </w:r>
          </w:p>
        </w:tc>
        <w:tc>
          <w:tcPr>
            <w:tcW w:w="220" w:type="dxa"/>
            <w:vAlign w:val="bottom"/>
          </w:tcPr>
          <w:p>
            <w:pPr>
              <w:spacing w:after="0"/>
              <w:rPr>
                <w:sz w:val="16"/>
                <w:szCs w:val="16"/>
                <w:color w:val="auto"/>
              </w:rPr>
            </w:pPr>
          </w:p>
        </w:tc>
        <w:tc>
          <w:tcPr>
            <w:tcW w:w="2000" w:type="dxa"/>
            <w:vAlign w:val="bottom"/>
            <w:gridSpan w:val="4"/>
          </w:tcPr>
          <w:p>
            <w:pPr>
              <w:jc w:val="right"/>
              <w:ind w:right="299"/>
              <w:spacing w:after="0"/>
              <w:rPr>
                <w:sz w:val="20"/>
                <w:szCs w:val="20"/>
                <w:color w:val="auto"/>
              </w:rPr>
            </w:pPr>
            <w:r>
              <w:rPr>
                <w:rFonts w:ascii="Times New Roman" w:cs="Times New Roman" w:eastAsia="Times New Roman" w:hAnsi="Times New Roman"/>
                <w:sz w:val="16"/>
                <w:szCs w:val="16"/>
                <w:color w:val="auto"/>
              </w:rPr>
              <w:t>Twelve Months Ended</w:t>
            </w:r>
          </w:p>
        </w:tc>
      </w:tr>
      <w:tr>
        <w:trPr>
          <w:trHeight w:val="210"/>
        </w:trPr>
        <w:tc>
          <w:tcPr>
            <w:tcW w:w="4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20" w:type="dxa"/>
            <w:vAlign w:val="bottom"/>
            <w:gridSpan w:val="5"/>
          </w:tcPr>
          <w:p>
            <w:pPr>
              <w:jc w:val="center"/>
              <w:ind w:right="380"/>
              <w:spacing w:after="0"/>
              <w:rPr>
                <w:sz w:val="20"/>
                <w:szCs w:val="20"/>
                <w:color w:val="auto"/>
              </w:rPr>
            </w:pPr>
            <w:r>
              <w:rPr>
                <w:rFonts w:ascii="Times New Roman" w:cs="Times New Roman" w:eastAsia="Times New Roman" w:hAnsi="Times New Roman"/>
                <w:sz w:val="16"/>
                <w:szCs w:val="16"/>
                <w:color w:val="auto"/>
              </w:rPr>
              <w:t>September 30,</w:t>
            </w:r>
          </w:p>
        </w:tc>
        <w:tc>
          <w:tcPr>
            <w:tcW w:w="200" w:type="dxa"/>
            <w:vAlign w:val="bottom"/>
          </w:tcPr>
          <w:p>
            <w:pPr>
              <w:spacing w:after="0"/>
              <w:rPr>
                <w:sz w:val="18"/>
                <w:szCs w:val="18"/>
                <w:color w:val="auto"/>
              </w:rPr>
            </w:pPr>
          </w:p>
        </w:tc>
        <w:tc>
          <w:tcPr>
            <w:tcW w:w="2140" w:type="dxa"/>
            <w:vAlign w:val="bottom"/>
            <w:gridSpan w:val="5"/>
          </w:tcPr>
          <w:p>
            <w:pPr>
              <w:jc w:val="center"/>
              <w:ind w:right="320"/>
              <w:spacing w:after="0"/>
              <w:rPr>
                <w:sz w:val="20"/>
                <w:szCs w:val="20"/>
                <w:color w:val="auto"/>
              </w:rPr>
            </w:pPr>
            <w:r>
              <w:rPr>
                <w:rFonts w:ascii="Times New Roman" w:cs="Times New Roman" w:eastAsia="Times New Roman" w:hAnsi="Times New Roman"/>
                <w:sz w:val="16"/>
                <w:szCs w:val="16"/>
                <w:color w:val="auto"/>
              </w:rPr>
              <w:t>September 30,</w:t>
            </w:r>
          </w:p>
        </w:tc>
        <w:tc>
          <w:tcPr>
            <w:tcW w:w="220" w:type="dxa"/>
            <w:vAlign w:val="bottom"/>
          </w:tcPr>
          <w:p>
            <w:pPr>
              <w:spacing w:after="0"/>
              <w:rPr>
                <w:sz w:val="18"/>
                <w:szCs w:val="18"/>
                <w:color w:val="auto"/>
              </w:rPr>
            </w:pPr>
          </w:p>
        </w:tc>
        <w:tc>
          <w:tcPr>
            <w:tcW w:w="2000" w:type="dxa"/>
            <w:vAlign w:val="bottom"/>
            <w:gridSpan w:val="4"/>
          </w:tcPr>
          <w:p>
            <w:pPr>
              <w:jc w:val="right"/>
              <w:ind w:right="559"/>
              <w:spacing w:after="0"/>
              <w:rPr>
                <w:sz w:val="20"/>
                <w:szCs w:val="20"/>
                <w:color w:val="auto"/>
              </w:rPr>
            </w:pPr>
            <w:r>
              <w:rPr>
                <w:rFonts w:ascii="Times New Roman" w:cs="Times New Roman" w:eastAsia="Times New Roman" w:hAnsi="Times New Roman"/>
                <w:sz w:val="16"/>
                <w:szCs w:val="16"/>
                <w:color w:val="auto"/>
              </w:rPr>
              <w:t>September 30,</w:t>
            </w:r>
          </w:p>
        </w:tc>
      </w:tr>
      <w:tr>
        <w:trPr>
          <w:trHeight w:val="212"/>
        </w:trPr>
        <w:tc>
          <w:tcPr>
            <w:tcW w:w="4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(Thousands of dollars)</w:t>
            </w:r>
          </w:p>
        </w:tc>
        <w:tc>
          <w:tcPr>
            <w:tcW w:w="2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2022</w:t>
            </w:r>
          </w:p>
        </w:tc>
        <w:tc>
          <w:tcPr>
            <w:tcW w:w="14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2021</w:t>
            </w:r>
          </w:p>
        </w:tc>
        <w:tc>
          <w:tcPr>
            <w:tcW w:w="1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2022</w:t>
            </w:r>
          </w:p>
        </w:tc>
        <w:tc>
          <w:tcPr>
            <w:tcW w:w="14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2021</w:t>
            </w:r>
          </w:p>
        </w:tc>
        <w:tc>
          <w:tcPr>
            <w:tcW w:w="1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2022</w:t>
            </w:r>
          </w:p>
        </w:tc>
        <w:tc>
          <w:tcPr>
            <w:tcW w:w="14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2021</w:t>
            </w:r>
          </w:p>
        </w:tc>
      </w:tr>
      <w:tr>
        <w:trPr>
          <w:trHeight w:val="212"/>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170,196</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147,326</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913,355</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743,791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1,205,176</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1,011,450</w:t>
            </w:r>
          </w:p>
        </w:tc>
      </w:tr>
      <w:tr>
        <w:trPr>
          <w:trHeight w:val="213"/>
        </w:trPr>
        <w:tc>
          <w:tcPr>
            <w:tcW w:w="4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Small commercial</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61,780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48,283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264,494</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185,774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348,934</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248,193</w:t>
            </w:r>
          </w:p>
        </w:tc>
      </w:tr>
      <w:tr>
        <w:trPr>
          <w:trHeight w:val="21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Large commercial</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19,590</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14,199</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60,740</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40,030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78,081</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52,075</w:t>
            </w:r>
          </w:p>
        </w:tc>
      </w:tr>
      <w:tr>
        <w:trPr>
          <w:trHeight w:val="213"/>
        </w:trPr>
        <w:tc>
          <w:tcPr>
            <w:tcW w:w="4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Industrial/other</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13,319</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9,608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34,064</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30,352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46,025</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37,505</w:t>
            </w:r>
          </w:p>
        </w:tc>
      </w:tr>
      <w:tr>
        <w:trPr>
          <w:trHeight w:val="21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Transportation</w:t>
            </w: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22,936</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21,884</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74,034</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68,217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98,057</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91,151</w:t>
            </w:r>
          </w:p>
        </w:tc>
      </w:tr>
      <w:tr>
        <w:trPr>
          <w:trHeight w:val="207"/>
        </w:trPr>
        <w:tc>
          <w:tcPr>
            <w:tcW w:w="43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Revenue from contracts with customers</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287,821</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241,300</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1,346,687</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1,068,164</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1,776,273</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1,440,374</w:t>
            </w:r>
          </w:p>
        </w:tc>
      </w:tr>
      <w:tr>
        <w:trPr>
          <w:trHeight w:val="21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Alternative revenue program revenues (deferrals)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13,609</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12,569</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1,132</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19,648</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(2,740)</w:t>
            </w:r>
          </w:p>
        </w:tc>
      </w:tr>
      <w:tr>
        <w:trPr>
          <w:trHeight w:val="213"/>
        </w:trPr>
        <w:tc>
          <w:tcPr>
            <w:tcW w:w="4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revenues (1)</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2,514</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1,979</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10,606</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7,747</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13,718</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7,432</w:t>
            </w:r>
          </w:p>
        </w:tc>
      </w:tr>
      <w:tr>
        <w:trPr>
          <w:trHeight w:val="237"/>
        </w:trPr>
        <w:tc>
          <w:tcPr>
            <w:tcW w:w="43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Regulated operations revenues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303,944</w:t>
            </w:r>
          </w:p>
        </w:tc>
        <w:tc>
          <w:tcPr>
            <w:tcW w:w="1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255,848</w:t>
            </w:r>
          </w:p>
        </w:tc>
        <w:tc>
          <w:tcPr>
            <w:tcW w:w="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1,358,425</w:t>
            </w:r>
          </w:p>
        </w:tc>
        <w:tc>
          <w:tcPr>
            <w:tcW w:w="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1,070,576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1,809,639</w:t>
            </w: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1,445,066</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left="180" w:hanging="10"/>
        <w:spacing w:after="0" w:line="263" w:lineRule="auto"/>
        <w:tabs>
          <w:tab w:leader="none" w:pos="409"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include late fees and other miscellaneous revenues, and may also include the impact of certain regulatory mechanisms, such as cost-of-service components in customer rates expected to be returned to customers in future periods. Also includes the impacts of a temporary moratorium on late fees and disconnection for nonpayment during the COVID-19 pandemic.</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Utility Infrastructure Services Segment</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tables display Centuri’s revenue, reflected as Utility infrastructure services revenues on the Condensed Consolidated Statements of Income of the Company, representing revenue from contracts with customers disaggregated by service and contract types: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80" w:type="dxa"/>
            <w:vAlign w:val="bottom"/>
            <w:gridSpan w:val="5"/>
          </w:tcPr>
          <w:p>
            <w:pPr>
              <w:jc w:val="center"/>
              <w:ind w:right="340"/>
              <w:spacing w:after="0"/>
              <w:rPr>
                <w:sz w:val="20"/>
                <w:szCs w:val="20"/>
                <w:color w:val="auto"/>
              </w:rPr>
            </w:pPr>
            <w:r>
              <w:rPr>
                <w:rFonts w:ascii="Times New Roman" w:cs="Times New Roman" w:eastAsia="Times New Roman" w:hAnsi="Times New Roman"/>
                <w:sz w:val="16"/>
                <w:szCs w:val="16"/>
                <w:color w:val="auto"/>
              </w:rPr>
              <w:t>Three Months Ended</w:t>
            </w:r>
          </w:p>
        </w:tc>
        <w:tc>
          <w:tcPr>
            <w:tcW w:w="240" w:type="dxa"/>
            <w:vAlign w:val="bottom"/>
          </w:tcPr>
          <w:p>
            <w:pPr>
              <w:spacing w:after="0"/>
              <w:rPr>
                <w:sz w:val="16"/>
                <w:szCs w:val="16"/>
                <w:color w:val="auto"/>
              </w:rPr>
            </w:pPr>
          </w:p>
        </w:tc>
        <w:tc>
          <w:tcPr>
            <w:tcW w:w="2200" w:type="dxa"/>
            <w:vAlign w:val="bottom"/>
            <w:gridSpan w:val="5"/>
          </w:tcPr>
          <w:p>
            <w:pPr>
              <w:jc w:val="center"/>
              <w:ind w:right="340"/>
              <w:spacing w:after="0"/>
              <w:rPr>
                <w:sz w:val="20"/>
                <w:szCs w:val="20"/>
                <w:color w:val="auto"/>
              </w:rPr>
            </w:pPr>
            <w:r>
              <w:rPr>
                <w:rFonts w:ascii="Times New Roman" w:cs="Times New Roman" w:eastAsia="Times New Roman" w:hAnsi="Times New Roman"/>
                <w:sz w:val="16"/>
                <w:szCs w:val="16"/>
                <w:color w:val="auto"/>
              </w:rPr>
              <w:t>Nine Months Ended</w:t>
            </w:r>
          </w:p>
        </w:tc>
        <w:tc>
          <w:tcPr>
            <w:tcW w:w="260" w:type="dxa"/>
            <w:vAlign w:val="bottom"/>
          </w:tcPr>
          <w:p>
            <w:pPr>
              <w:spacing w:after="0"/>
              <w:rPr>
                <w:sz w:val="16"/>
                <w:szCs w:val="16"/>
                <w:color w:val="auto"/>
              </w:rPr>
            </w:pPr>
          </w:p>
        </w:tc>
        <w:tc>
          <w:tcPr>
            <w:tcW w:w="2080" w:type="dxa"/>
            <w:vAlign w:val="bottom"/>
            <w:gridSpan w:val="4"/>
          </w:tcPr>
          <w:p>
            <w:pPr>
              <w:jc w:val="right"/>
              <w:ind w:right="359"/>
              <w:spacing w:after="0"/>
              <w:rPr>
                <w:sz w:val="20"/>
                <w:szCs w:val="20"/>
                <w:color w:val="auto"/>
              </w:rPr>
            </w:pPr>
            <w:r>
              <w:rPr>
                <w:rFonts w:ascii="Times New Roman" w:cs="Times New Roman" w:eastAsia="Times New Roman" w:hAnsi="Times New Roman"/>
                <w:sz w:val="16"/>
                <w:szCs w:val="16"/>
                <w:color w:val="auto"/>
              </w:rPr>
              <w:t>Twelve Months Ended</w:t>
            </w:r>
          </w:p>
        </w:tc>
      </w:tr>
      <w:tr>
        <w:trPr>
          <w:trHeight w:val="210"/>
        </w:trPr>
        <w:tc>
          <w:tcPr>
            <w:tcW w:w="4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80" w:type="dxa"/>
            <w:vAlign w:val="bottom"/>
            <w:gridSpan w:val="5"/>
          </w:tcPr>
          <w:p>
            <w:pPr>
              <w:jc w:val="center"/>
              <w:ind w:right="340"/>
              <w:spacing w:after="0"/>
              <w:rPr>
                <w:sz w:val="20"/>
                <w:szCs w:val="20"/>
                <w:color w:val="auto"/>
              </w:rPr>
            </w:pPr>
            <w:r>
              <w:rPr>
                <w:rFonts w:ascii="Times New Roman" w:cs="Times New Roman" w:eastAsia="Times New Roman" w:hAnsi="Times New Roman"/>
                <w:sz w:val="16"/>
                <w:szCs w:val="16"/>
                <w:color w:val="auto"/>
                <w:w w:val="99"/>
              </w:rPr>
              <w:t>September 30,</w:t>
            </w:r>
          </w:p>
        </w:tc>
        <w:tc>
          <w:tcPr>
            <w:tcW w:w="240" w:type="dxa"/>
            <w:vAlign w:val="bottom"/>
          </w:tcPr>
          <w:p>
            <w:pPr>
              <w:spacing w:after="0"/>
              <w:rPr>
                <w:sz w:val="18"/>
                <w:szCs w:val="18"/>
                <w:color w:val="auto"/>
              </w:rPr>
            </w:pPr>
          </w:p>
        </w:tc>
        <w:tc>
          <w:tcPr>
            <w:tcW w:w="2200" w:type="dxa"/>
            <w:vAlign w:val="bottom"/>
            <w:gridSpan w:val="5"/>
          </w:tcPr>
          <w:p>
            <w:pPr>
              <w:jc w:val="center"/>
              <w:ind w:right="340"/>
              <w:spacing w:after="0"/>
              <w:rPr>
                <w:sz w:val="20"/>
                <w:szCs w:val="20"/>
                <w:color w:val="auto"/>
              </w:rPr>
            </w:pPr>
            <w:r>
              <w:rPr>
                <w:rFonts w:ascii="Times New Roman" w:cs="Times New Roman" w:eastAsia="Times New Roman" w:hAnsi="Times New Roman"/>
                <w:sz w:val="16"/>
                <w:szCs w:val="16"/>
                <w:color w:val="auto"/>
              </w:rPr>
              <w:t>September 30,</w:t>
            </w:r>
          </w:p>
        </w:tc>
        <w:tc>
          <w:tcPr>
            <w:tcW w:w="260" w:type="dxa"/>
            <w:vAlign w:val="bottom"/>
          </w:tcPr>
          <w:p>
            <w:pPr>
              <w:spacing w:after="0"/>
              <w:rPr>
                <w:sz w:val="18"/>
                <w:szCs w:val="18"/>
                <w:color w:val="auto"/>
              </w:rPr>
            </w:pPr>
          </w:p>
        </w:tc>
        <w:tc>
          <w:tcPr>
            <w:tcW w:w="2080" w:type="dxa"/>
            <w:vAlign w:val="bottom"/>
            <w:gridSpan w:val="4"/>
          </w:tcPr>
          <w:p>
            <w:pPr>
              <w:jc w:val="right"/>
              <w:ind w:right="619"/>
              <w:spacing w:after="0"/>
              <w:rPr>
                <w:sz w:val="20"/>
                <w:szCs w:val="20"/>
                <w:color w:val="auto"/>
              </w:rPr>
            </w:pPr>
            <w:r>
              <w:rPr>
                <w:rFonts w:ascii="Times New Roman" w:cs="Times New Roman" w:eastAsia="Times New Roman" w:hAnsi="Times New Roman"/>
                <w:sz w:val="16"/>
                <w:szCs w:val="16"/>
                <w:color w:val="auto"/>
              </w:rPr>
              <w:t>September 30,</w:t>
            </w:r>
          </w:p>
        </w:tc>
      </w:tr>
      <w:tr>
        <w:trPr>
          <w:trHeight w:val="212"/>
        </w:trPr>
        <w:tc>
          <w:tcPr>
            <w:tcW w:w="4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(Thousands of dollars)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2022</w:t>
            </w:r>
          </w:p>
        </w:tc>
        <w:tc>
          <w:tcPr>
            <w:tcW w:w="8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2021</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2021</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2021</w:t>
            </w:r>
          </w:p>
        </w:tc>
      </w:tr>
      <w:tr>
        <w:trPr>
          <w:trHeight w:val="19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 Types: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13"/>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Gas infrastructure services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467,751</w:t>
            </w:r>
          </w:p>
        </w:tc>
        <w:tc>
          <w:tcPr>
            <w:tcW w:w="8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393,122</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1,147,302</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961,836</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1,487,806</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1,287,552</w:t>
            </w:r>
          </w:p>
        </w:tc>
      </w:tr>
      <w:tr>
        <w:trPr>
          <w:trHeight w:val="21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Electric power infrastructure services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189,209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155,456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550,926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347,061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729,067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475,895</w:t>
            </w:r>
          </w:p>
        </w:tc>
      </w:tr>
      <w:tr>
        <w:trPr>
          <w:trHeight w:val="213"/>
        </w:trPr>
        <w:tc>
          <w:tcPr>
            <w:tcW w:w="4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101,506</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84,270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290,205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216,551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404,773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301,591</w:t>
            </w:r>
          </w:p>
        </w:tc>
      </w:tr>
      <w:tr>
        <w:trPr>
          <w:trHeight w:val="237"/>
        </w:trPr>
        <w:tc>
          <w:tcPr>
            <w:tcW w:w="40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Utility infrastructure services revenues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758,466</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632,848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1,988,433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1,525,448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2,621,646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2,065,038</w:t>
            </w: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4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10"/>
        </w:trPr>
        <w:tc>
          <w:tcPr>
            <w:tcW w:w="60" w:type="dxa"/>
            <w:vAlign w:val="bottom"/>
          </w:tcPr>
          <w:p>
            <w:pPr>
              <w:spacing w:after="0"/>
              <w:rPr>
                <w:sz w:val="18"/>
                <w:szCs w:val="18"/>
                <w:color w:val="auto"/>
              </w:rPr>
            </w:pPr>
          </w:p>
        </w:tc>
        <w:tc>
          <w:tcPr>
            <w:tcW w:w="29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SOUTHWEST GAS CORPORATION</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September 30, 2022</w:t>
            </w:r>
          </w:p>
        </w:tc>
      </w:tr>
      <w:tr>
        <w:trPr>
          <w:trHeight w:val="858"/>
        </w:trPr>
        <w:tc>
          <w:tcPr>
            <w:tcW w:w="6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20" w:type="dxa"/>
            <w:vAlign w:val="bottom"/>
            <w:gridSpan w:val="5"/>
          </w:tcPr>
          <w:p>
            <w:pPr>
              <w:jc w:val="center"/>
              <w:ind w:right="340"/>
              <w:spacing w:after="0"/>
              <w:rPr>
                <w:sz w:val="20"/>
                <w:szCs w:val="20"/>
                <w:color w:val="auto"/>
              </w:rPr>
            </w:pPr>
            <w:r>
              <w:rPr>
                <w:rFonts w:ascii="Times New Roman" w:cs="Times New Roman" w:eastAsia="Times New Roman" w:hAnsi="Times New Roman"/>
                <w:sz w:val="16"/>
                <w:szCs w:val="16"/>
                <w:color w:val="auto"/>
              </w:rPr>
              <w:t>Three Months Ended</w:t>
            </w:r>
          </w:p>
        </w:tc>
        <w:tc>
          <w:tcPr>
            <w:tcW w:w="260" w:type="dxa"/>
            <w:vAlign w:val="bottom"/>
          </w:tcPr>
          <w:p>
            <w:pPr>
              <w:spacing w:after="0"/>
              <w:rPr>
                <w:sz w:val="24"/>
                <w:szCs w:val="24"/>
                <w:color w:val="auto"/>
              </w:rPr>
            </w:pPr>
          </w:p>
        </w:tc>
        <w:tc>
          <w:tcPr>
            <w:tcW w:w="2180" w:type="dxa"/>
            <w:vAlign w:val="bottom"/>
            <w:gridSpan w:val="5"/>
          </w:tcPr>
          <w:p>
            <w:pPr>
              <w:jc w:val="center"/>
              <w:ind w:right="360"/>
              <w:spacing w:after="0"/>
              <w:rPr>
                <w:sz w:val="20"/>
                <w:szCs w:val="20"/>
                <w:color w:val="auto"/>
              </w:rPr>
            </w:pPr>
            <w:r>
              <w:rPr>
                <w:rFonts w:ascii="Times New Roman" w:cs="Times New Roman" w:eastAsia="Times New Roman" w:hAnsi="Times New Roman"/>
                <w:sz w:val="16"/>
                <w:szCs w:val="16"/>
                <w:color w:val="auto"/>
              </w:rPr>
              <w:t>Nine Months Ended</w:t>
            </w:r>
          </w:p>
        </w:tc>
        <w:tc>
          <w:tcPr>
            <w:tcW w:w="240" w:type="dxa"/>
            <w:vAlign w:val="bottom"/>
          </w:tcPr>
          <w:p>
            <w:pPr>
              <w:spacing w:after="0"/>
              <w:rPr>
                <w:sz w:val="24"/>
                <w:szCs w:val="24"/>
                <w:color w:val="auto"/>
              </w:rPr>
            </w:pPr>
          </w:p>
        </w:tc>
        <w:tc>
          <w:tcPr>
            <w:tcW w:w="2080" w:type="dxa"/>
            <w:vAlign w:val="bottom"/>
            <w:gridSpan w:val="4"/>
          </w:tcPr>
          <w:p>
            <w:pPr>
              <w:jc w:val="right"/>
              <w:ind w:right="338"/>
              <w:spacing w:after="0"/>
              <w:rPr>
                <w:sz w:val="20"/>
                <w:szCs w:val="20"/>
                <w:color w:val="auto"/>
              </w:rPr>
            </w:pPr>
            <w:r>
              <w:rPr>
                <w:rFonts w:ascii="Times New Roman" w:cs="Times New Roman" w:eastAsia="Times New Roman" w:hAnsi="Times New Roman"/>
                <w:sz w:val="16"/>
                <w:szCs w:val="16"/>
                <w:color w:val="auto"/>
              </w:rPr>
              <w:t>Twelve Months Ended</w:t>
            </w:r>
          </w:p>
        </w:tc>
      </w:tr>
      <w:tr>
        <w:trPr>
          <w:trHeight w:val="210"/>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20" w:type="dxa"/>
            <w:vAlign w:val="bottom"/>
            <w:gridSpan w:val="5"/>
          </w:tcPr>
          <w:p>
            <w:pPr>
              <w:jc w:val="center"/>
              <w:ind w:right="340"/>
              <w:spacing w:after="0"/>
              <w:rPr>
                <w:sz w:val="20"/>
                <w:szCs w:val="20"/>
                <w:color w:val="auto"/>
              </w:rPr>
            </w:pPr>
            <w:r>
              <w:rPr>
                <w:rFonts w:ascii="Times New Roman" w:cs="Times New Roman" w:eastAsia="Times New Roman" w:hAnsi="Times New Roman"/>
                <w:sz w:val="16"/>
                <w:szCs w:val="16"/>
                <w:color w:val="auto"/>
              </w:rPr>
              <w:t>September 30,</w:t>
            </w:r>
          </w:p>
        </w:tc>
        <w:tc>
          <w:tcPr>
            <w:tcW w:w="260" w:type="dxa"/>
            <w:vAlign w:val="bottom"/>
          </w:tcPr>
          <w:p>
            <w:pPr>
              <w:spacing w:after="0"/>
              <w:rPr>
                <w:sz w:val="18"/>
                <w:szCs w:val="18"/>
                <w:color w:val="auto"/>
              </w:rPr>
            </w:pPr>
          </w:p>
        </w:tc>
        <w:tc>
          <w:tcPr>
            <w:tcW w:w="2180" w:type="dxa"/>
            <w:vAlign w:val="bottom"/>
            <w:gridSpan w:val="5"/>
          </w:tcPr>
          <w:p>
            <w:pPr>
              <w:jc w:val="center"/>
              <w:ind w:right="360"/>
              <w:spacing w:after="0"/>
              <w:rPr>
                <w:sz w:val="20"/>
                <w:szCs w:val="20"/>
                <w:color w:val="auto"/>
              </w:rPr>
            </w:pPr>
            <w:r>
              <w:rPr>
                <w:rFonts w:ascii="Times New Roman" w:cs="Times New Roman" w:eastAsia="Times New Roman" w:hAnsi="Times New Roman"/>
                <w:sz w:val="16"/>
                <w:szCs w:val="16"/>
                <w:color w:val="auto"/>
              </w:rPr>
              <w:t>September 30,</w:t>
            </w:r>
          </w:p>
        </w:tc>
        <w:tc>
          <w:tcPr>
            <w:tcW w:w="240" w:type="dxa"/>
            <w:vAlign w:val="bottom"/>
          </w:tcPr>
          <w:p>
            <w:pPr>
              <w:spacing w:after="0"/>
              <w:rPr>
                <w:sz w:val="18"/>
                <w:szCs w:val="18"/>
                <w:color w:val="auto"/>
              </w:rPr>
            </w:pPr>
          </w:p>
        </w:tc>
        <w:tc>
          <w:tcPr>
            <w:tcW w:w="2080" w:type="dxa"/>
            <w:vAlign w:val="bottom"/>
            <w:gridSpan w:val="4"/>
          </w:tcPr>
          <w:p>
            <w:pPr>
              <w:jc w:val="right"/>
              <w:ind w:right="618"/>
              <w:spacing w:after="0"/>
              <w:rPr>
                <w:sz w:val="20"/>
                <w:szCs w:val="20"/>
                <w:color w:val="auto"/>
              </w:rPr>
            </w:pPr>
            <w:r>
              <w:rPr>
                <w:rFonts w:ascii="Times New Roman" w:cs="Times New Roman" w:eastAsia="Times New Roman" w:hAnsi="Times New Roman"/>
                <w:sz w:val="16"/>
                <w:szCs w:val="16"/>
                <w:color w:val="auto"/>
              </w:rPr>
              <w:t>September 30,</w:t>
            </w:r>
          </w:p>
        </w:tc>
      </w:tr>
      <w:tr>
        <w:trPr>
          <w:trHeight w:val="212"/>
        </w:trPr>
        <w:tc>
          <w:tcPr>
            <w:tcW w:w="412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6"/>
                <w:szCs w:val="16"/>
                <w:color w:val="auto"/>
              </w:rPr>
              <w:t>(Thousands of dollars)</w:t>
            </w:r>
          </w:p>
        </w:tc>
        <w:tc>
          <w:tcPr>
            <w:tcW w:w="2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2021</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2021</w:t>
            </w:r>
          </w:p>
        </w:tc>
        <w:tc>
          <w:tcPr>
            <w:tcW w:w="1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98"/>
              <w:spacing w:after="0"/>
              <w:rPr>
                <w:sz w:val="20"/>
                <w:szCs w:val="20"/>
                <w:color w:val="auto"/>
              </w:rPr>
            </w:pPr>
            <w:r>
              <w:rPr>
                <w:rFonts w:ascii="Times New Roman" w:cs="Times New Roman" w:eastAsia="Times New Roman" w:hAnsi="Times New Roman"/>
                <w:sz w:val="16"/>
                <w:szCs w:val="16"/>
                <w:color w:val="auto"/>
              </w:rPr>
              <w:t>2022</w:t>
            </w:r>
          </w:p>
        </w:tc>
        <w:tc>
          <w:tcPr>
            <w:tcW w:w="120" w:type="dxa"/>
            <w:vAlign w:val="bottom"/>
            <w:tcBorders>
              <w:top w:val="single" w:sz="8" w:color="auto"/>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18"/>
              <w:spacing w:after="0"/>
              <w:rPr>
                <w:sz w:val="20"/>
                <w:szCs w:val="20"/>
                <w:color w:val="auto"/>
              </w:rPr>
            </w:pPr>
            <w:r>
              <w:rPr>
                <w:rFonts w:ascii="Times New Roman" w:cs="Times New Roman" w:eastAsia="Times New Roman" w:hAnsi="Times New Roman"/>
                <w:sz w:val="16"/>
                <w:szCs w:val="16"/>
                <w:color w:val="auto"/>
              </w:rPr>
              <w:t>2021</w:t>
            </w:r>
          </w:p>
        </w:tc>
      </w:tr>
      <w:tr>
        <w:trPr>
          <w:trHeight w:val="199"/>
        </w:trPr>
        <w:tc>
          <w:tcPr>
            <w:tcW w:w="41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Contract Types:</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13"/>
        </w:trPr>
        <w:tc>
          <w:tcPr>
            <w:tcW w:w="41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Master services agreement</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637,582</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467,869</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1,700,416</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1,160,199</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2,193,195</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1,573,247</w:t>
            </w:r>
          </w:p>
        </w:tc>
      </w:tr>
      <w:tr>
        <w:trPr>
          <w:trHeight w:val="216"/>
        </w:trPr>
        <w:tc>
          <w:tcPr>
            <w:tcW w:w="41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Bid contract</w:t>
            </w: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120,884</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164,979</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288,017</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365,249</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428,451</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491,791</w:t>
            </w:r>
          </w:p>
        </w:tc>
      </w:tr>
      <w:tr>
        <w:trPr>
          <w:trHeight w:val="212"/>
        </w:trPr>
        <w:tc>
          <w:tcPr>
            <w:tcW w:w="60" w:type="dxa"/>
            <w:vAlign w:val="bottom"/>
          </w:tcPr>
          <w:p>
            <w:pPr>
              <w:spacing w:after="0"/>
              <w:rPr>
                <w:sz w:val="18"/>
                <w:szCs w:val="18"/>
                <w:color w:val="auto"/>
              </w:rPr>
            </w:pPr>
          </w:p>
        </w:tc>
        <w:tc>
          <w:tcPr>
            <w:tcW w:w="406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Total Utility infrastructure services revenues</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758,466</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632,848</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1,988,433</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1,525,448</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2,621,646</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2,065,038</w:t>
            </w:r>
          </w:p>
        </w:tc>
      </w:tr>
      <w:tr>
        <w:trPr>
          <w:trHeight w:val="20"/>
        </w:trPr>
        <w:tc>
          <w:tcPr>
            <w:tcW w:w="6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23"/>
        </w:trPr>
        <w:tc>
          <w:tcPr>
            <w:tcW w:w="60" w:type="dxa"/>
            <w:vAlign w:val="bottom"/>
            <w:shd w:val="clear" w:color="auto" w:fill="CCEEFF"/>
          </w:tcPr>
          <w:p>
            <w:pPr>
              <w:spacing w:after="0"/>
              <w:rPr>
                <w:sz w:val="19"/>
                <w:szCs w:val="19"/>
                <w:color w:val="auto"/>
              </w:rPr>
            </w:pPr>
          </w:p>
        </w:tc>
        <w:tc>
          <w:tcPr>
            <w:tcW w:w="2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3"/>
        </w:trPr>
        <w:tc>
          <w:tcPr>
            <w:tcW w:w="41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Unit price contracts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453,718</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406,404</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1,178,168</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1,002,779</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1,544,471</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1,373,746</w:t>
            </w:r>
          </w:p>
        </w:tc>
      </w:tr>
      <w:tr>
        <w:trPr>
          <w:trHeight w:val="219"/>
        </w:trPr>
        <w:tc>
          <w:tcPr>
            <w:tcW w:w="41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Fixed price contracts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117,983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64,632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333,313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149,681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451,374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197,447</w:t>
            </w:r>
          </w:p>
        </w:tc>
      </w:tr>
      <w:tr>
        <w:trPr>
          <w:trHeight w:val="213"/>
        </w:trPr>
        <w:tc>
          <w:tcPr>
            <w:tcW w:w="412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6"/>
                <w:szCs w:val="16"/>
                <w:color w:val="auto"/>
              </w:rPr>
              <w:t>Time and materials contracts</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186,765</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161,812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476,952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372,988</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625,801</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493,845</w:t>
            </w:r>
          </w:p>
        </w:tc>
      </w:tr>
      <w:tr>
        <w:trPr>
          <w:trHeight w:val="237"/>
        </w:trPr>
        <w:tc>
          <w:tcPr>
            <w:tcW w:w="60" w:type="dxa"/>
            <w:vAlign w:val="bottom"/>
            <w:tcBorders>
              <w:bottom w:val="single" w:sz="8" w:color="CCEEFF"/>
            </w:tcBorders>
            <w:shd w:val="clear" w:color="auto" w:fill="CCEEFF"/>
          </w:tcPr>
          <w:p>
            <w:pPr>
              <w:spacing w:after="0"/>
              <w:rPr>
                <w:sz w:val="20"/>
                <w:szCs w:val="20"/>
                <w:color w:val="auto"/>
              </w:rPr>
            </w:pPr>
          </w:p>
        </w:tc>
        <w:tc>
          <w:tcPr>
            <w:tcW w:w="4060" w:type="dxa"/>
            <w:vAlign w:val="bottom"/>
            <w:tcBorders>
              <w:bottom w:val="single" w:sz="8" w:color="CCEEFF"/>
            </w:tcBorders>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Total Utility infrastructure services revenues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758,466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632,848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1,988,433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1,525,448</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2,621,646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2,065,038</w:t>
            </w:r>
          </w:p>
        </w:tc>
      </w:tr>
      <w:tr>
        <w:trPr>
          <w:trHeight w:val="20"/>
        </w:trPr>
        <w:tc>
          <w:tcPr>
            <w:tcW w:w="6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table provides information about contracts receivable and revenue earned on contracts in progress in excess of billings (contract assets), both of which are included within Accounts receivable, net of allowances, as well as amounts billed in excess of revenue earned on contracts (contract liabilities), which are included in Other current liabilities as of September 30, 2022 and December 31, 2021 on the Company’s Condensed Consolidated Balance Sheets: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180" w:type="dxa"/>
            <w:vAlign w:val="bottom"/>
          </w:tcPr>
          <w:p>
            <w:pPr>
              <w:spacing w:after="0"/>
              <w:rPr>
                <w:sz w:val="20"/>
                <w:szCs w:val="20"/>
                <w:color w:val="auto"/>
              </w:rPr>
            </w:pPr>
          </w:p>
        </w:tc>
        <w:tc>
          <w:tcPr>
            <w:tcW w:w="19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September 30, 2022</w:t>
            </w:r>
          </w:p>
        </w:tc>
        <w:tc>
          <w:tcPr>
            <w:tcW w:w="200" w:type="dxa"/>
            <w:vAlign w:val="bottom"/>
          </w:tcPr>
          <w:p>
            <w:pPr>
              <w:spacing w:after="0"/>
              <w:rPr>
                <w:sz w:val="20"/>
                <w:szCs w:val="20"/>
                <w:color w:val="auto"/>
              </w:rPr>
            </w:pPr>
          </w:p>
        </w:tc>
        <w:tc>
          <w:tcPr>
            <w:tcW w:w="18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December 31, 2021</w:t>
            </w:r>
          </w:p>
        </w:tc>
      </w:tr>
      <w:tr>
        <w:trPr>
          <w:trHeight w:val="223"/>
        </w:trPr>
        <w:tc>
          <w:tcPr>
            <w:tcW w:w="7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Contracts receivable, net</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398,345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296,005</w:t>
            </w:r>
          </w:p>
        </w:tc>
      </w:tr>
      <w:tr>
        <w:trPr>
          <w:trHeight w:val="229"/>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earned on contracts in progress in excess of billings</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253,966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214,774</w:t>
            </w:r>
          </w:p>
        </w:tc>
      </w:tr>
      <w:tr>
        <w:trPr>
          <w:trHeight w:val="230"/>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billed in excess of revenue earned on contracts</w:t>
            </w: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31,877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11,860</w:t>
            </w:r>
          </w:p>
        </w:tc>
      </w:tr>
    </w:tbl>
    <w:p>
      <w:pPr>
        <w:spacing w:after="0" w:line="1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revenue earned on contracts in progress in excess of billings (contract asset) primarily relates to Centuri’s right to consideration for work completed but not billed and/or approved for billing at the reporting date. These contract assets are transferred to contracts receivable when the rights become unconditional. The amounts billed in excess of revenue earned (contract liability) primarily relate to the advance consideration received from customers for which work has not yet been completed. The change in this contract liability balance from December 31, 2021 to September 30, 2022 is due to increases in cash received, net of revenue recognized, from contracts that commenced during the period, offset by revenue recognized of approximately $11.9 million that was included in this balance as of January 1, 2022, after which time it became earned and the balance was reduced.</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contracts that have an original duration of one year or less, Centuri uses the practical expedient applicable to such contracts and does not consider/compute an interest component based on the time value of money. Furthermore, because of the short duration of these contracts, Centuri has not disclosed the transaction price for the remaining performance obligations as of the end of each reporting period or when the Company expects to recognize the revenue.</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September 30, 2022, Centuri had 61 fixed price contracts with an original duration of more than one year. The aggregate amount of the transaction price allocated to the unsatisfied performance obligations of these contracts as of September 30, 2022 was $430.3 million. Centuri expects to recognize the remaining performance obligations over approximately the next 2.7 years; however, the timing of that recognition is largely within the control of the customer, including when the necessary materials required to complete the work are provided by the customer.</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Utility infrastructure services contracts receivable consists of the following: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1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September 30, 2022</w:t>
            </w:r>
          </w:p>
        </w:tc>
        <w:tc>
          <w:tcPr>
            <w:tcW w:w="300" w:type="dxa"/>
            <w:vAlign w:val="bottom"/>
          </w:tcPr>
          <w:p>
            <w:pPr>
              <w:spacing w:after="0"/>
              <w:rPr>
                <w:sz w:val="20"/>
                <w:szCs w:val="20"/>
                <w:color w:val="auto"/>
              </w:rPr>
            </w:pPr>
          </w:p>
        </w:tc>
        <w:tc>
          <w:tcPr>
            <w:tcW w:w="21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December 31, 2021</w:t>
            </w:r>
          </w:p>
        </w:tc>
        <w:tc>
          <w:tcPr>
            <w:tcW w:w="0" w:type="dxa"/>
            <w:vAlign w:val="bottom"/>
          </w:tcPr>
          <w:p>
            <w:pPr>
              <w:spacing w:after="0"/>
              <w:rPr>
                <w:sz w:val="1"/>
                <w:szCs w:val="1"/>
                <w:color w:val="auto"/>
              </w:rPr>
            </w:pPr>
          </w:p>
        </w:tc>
      </w:tr>
      <w:tr>
        <w:trPr>
          <w:trHeight w:val="223"/>
        </w:trPr>
        <w:tc>
          <w:tcPr>
            <w:tcW w:w="4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Billed on completed contracts and contracts in progress</w:t>
            </w:r>
          </w:p>
        </w:tc>
        <w:tc>
          <w:tcPr>
            <w:tcW w:w="15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400,831</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292,770</w:t>
            </w:r>
          </w:p>
        </w:tc>
        <w:tc>
          <w:tcPr>
            <w:tcW w:w="0" w:type="dxa"/>
            <w:vAlign w:val="bottom"/>
          </w:tcPr>
          <w:p>
            <w:pPr>
              <w:spacing w:after="0"/>
              <w:rPr>
                <w:sz w:val="1"/>
                <w:szCs w:val="1"/>
                <w:color w:val="auto"/>
              </w:rPr>
            </w:pPr>
          </w:p>
        </w:tc>
      </w:tr>
      <w:tr>
        <w:trPr>
          <w:trHeight w:val="230"/>
        </w:trPr>
        <w:tc>
          <w:tcPr>
            <w:tcW w:w="4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receivables</w:t>
            </w:r>
          </w:p>
        </w:tc>
        <w:tc>
          <w:tcPr>
            <w:tcW w:w="15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3,492</w:t>
            </w:r>
          </w:p>
        </w:tc>
        <w:tc>
          <w:tcPr>
            <w:tcW w:w="0" w:type="dxa"/>
            <w:vAlign w:val="bottom"/>
          </w:tcPr>
          <w:p>
            <w:pPr>
              <w:spacing w:after="0"/>
              <w:rPr>
                <w:sz w:val="1"/>
                <w:szCs w:val="1"/>
                <w:color w:val="auto"/>
              </w:rPr>
            </w:pPr>
          </w:p>
        </w:tc>
      </w:tr>
      <w:tr>
        <w:trPr>
          <w:trHeight w:val="223"/>
        </w:trPr>
        <w:tc>
          <w:tcPr>
            <w:tcW w:w="4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Contracts receivable, gross</w:t>
            </w:r>
          </w:p>
        </w:tc>
        <w:tc>
          <w:tcPr>
            <w:tcW w:w="15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402,716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296,262</w:t>
            </w:r>
          </w:p>
        </w:tc>
        <w:tc>
          <w:tcPr>
            <w:tcW w:w="0" w:type="dxa"/>
            <w:vAlign w:val="bottom"/>
          </w:tcPr>
          <w:p>
            <w:pPr>
              <w:spacing w:after="0"/>
              <w:rPr>
                <w:sz w:val="1"/>
                <w:szCs w:val="1"/>
                <w:color w:val="auto"/>
              </w:rPr>
            </w:pPr>
          </w:p>
        </w:tc>
      </w:tr>
      <w:tr>
        <w:trPr>
          <w:trHeight w:val="230"/>
        </w:trPr>
        <w:tc>
          <w:tcPr>
            <w:tcW w:w="4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5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248"/>
        </w:trPr>
        <w:tc>
          <w:tcPr>
            <w:tcW w:w="47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Contracts receivable, net</w:t>
            </w:r>
          </w:p>
        </w:tc>
        <w:tc>
          <w:tcPr>
            <w:tcW w:w="15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398,345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296,005</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CCEEFF"/>
            </w:tcBorders>
            <w:vMerge w:val="restart"/>
          </w:tcPr>
          <w:p>
            <w:pPr>
              <w:jc w:val="right"/>
              <w:ind w:right="510"/>
              <w:spacing w:after="0"/>
              <w:rPr>
                <w:sz w:val="20"/>
                <w:szCs w:val="20"/>
                <w:color w:val="auto"/>
              </w:rPr>
            </w:pPr>
            <w:r>
              <w:rPr>
                <w:rFonts w:ascii="Times New Roman" w:cs="Times New Roman" w:eastAsia="Times New Roman" w:hAnsi="Times New Roman"/>
                <w:sz w:val="18"/>
                <w:szCs w:val="18"/>
                <w:color w:val="auto"/>
              </w:rPr>
              <w:t>21</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4"/>
        </w:trPr>
        <w:tc>
          <w:tcPr>
            <w:tcW w:w="4760" w:type="dxa"/>
            <w:vAlign w:val="bottom"/>
          </w:tcPr>
          <w:p>
            <w:pPr>
              <w:spacing w:after="0"/>
              <w:rPr>
                <w:sz w:val="24"/>
                <w:szCs w:val="24"/>
                <w:color w:val="auto"/>
              </w:rPr>
            </w:pPr>
          </w:p>
        </w:tc>
        <w:tc>
          <w:tcPr>
            <w:tcW w:w="15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760" w:type="dxa"/>
            <w:vAlign w:val="bottom"/>
            <w:tcBorders>
              <w:bottom w:val="single" w:sz="8" w:color="9A9A9A"/>
            </w:tcBorders>
          </w:tcPr>
          <w:p>
            <w:pPr>
              <w:spacing w:after="0"/>
              <w:rPr>
                <w:sz w:val="18"/>
                <w:szCs w:val="18"/>
                <w:color w:val="auto"/>
              </w:rPr>
            </w:pPr>
          </w:p>
        </w:tc>
        <w:tc>
          <w:tcPr>
            <w:tcW w:w="154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212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21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21" w:name="page22"/>
    <w:bookmarkEnd w:id="21"/>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30, 2022</w:t>
            </w:r>
          </w:p>
        </w:tc>
      </w:tr>
    </w:tbl>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Pipeline and Storage Segment:</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MountainWest derives revenue on the basis of services rendered, commodities delivered, or contracts settled and includes amounts yet to be billed to customers. MountainWest generates revenue and earnings from annual reservation payments under firm peaking storage and firm transportation contracts. Straight-fixed-variable rate designs are used to allow for recovery of substantially all fixed costs in demand or reservation charges, thereby reducing the earnings impact of volume changes on gas transportation and storage operations.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MountainWest receives upfront payment for certain storage services it provides to customers, which are considered to be contract liabilities. These payments are amortized to revenue over the term of the contract.</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primary types of sales and service activities reported as revenue from contracts with customers are FERC-regulated gas transportation and storage services, and to a lesser extent, natural gas liquid (“NGL”) revenues consisting primarily of NGL processing services, and other revenue (including natural gas sales, and services related to gathering and processing activities, as well as miscellaneous service revenue).</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Transportation and storage contracts are primarily stand-ready service contracts that include fixed reservation and variable usage fees. Fixed fees are recognized ratably over the life of the contract as the stand-ready performance obligations are satisfied, while variable usage fees are recognized when MountainWest has a right to consideration from a customer in an amount that corresponds directly with the value to the customer of the performance obligation completed to date. Substantially all of MountainWest’s revenues are derived from performance obligations satisfied over time, rather than recognized at a single point in time. Payment for most sales and services varies by contract type, but is typically due within a month of billing.</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MountainWest typically receives or retains NGLs and natural gas from customers when providing natural gas processing, transportation, or storage services. MountainWest records the fair value of NGLs received as service revenue recognized over time and recognizes revenue from the subsequent sale of the NGLs to customers upon delivery. MountainWest typically retains some natural gas under certain transportation service arrangements, intended to facilitate performance of the service and allow for natural losses that occur. As the intent of the retention amount is to enable fulfillment of the contract rather than to provide compensation for services, the fuel allowance is not included in revenue.</w:t>
      </w:r>
    </w:p>
    <w:p>
      <w:pPr>
        <w:spacing w:after="0" w:line="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MountainWest Regulated operations revenues on the Condensed Consolidated Statements of Income of the Company include revenue from contracts with customers, which is shown below, disaggregated by categories of sales and service activities.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320" w:type="dxa"/>
            <w:vAlign w:val="bottom"/>
          </w:tcPr>
          <w:p>
            <w:pPr>
              <w:spacing w:after="0"/>
              <w:rPr>
                <w:sz w:val="18"/>
                <w:szCs w:val="18"/>
                <w:color w:val="auto"/>
              </w:rPr>
            </w:pPr>
          </w:p>
        </w:tc>
        <w:tc>
          <w:tcPr>
            <w:tcW w:w="21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34"/>
        </w:trPr>
        <w:tc>
          <w:tcPr>
            <w:tcW w:w="63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September 30,</w:t>
            </w:r>
          </w:p>
        </w:tc>
        <w:tc>
          <w:tcPr>
            <w:tcW w:w="32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September 30,</w:t>
            </w:r>
          </w:p>
        </w:tc>
      </w:tr>
      <w:tr>
        <w:trPr>
          <w:trHeight w:val="223"/>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280" w:type="dxa"/>
            <w:vAlign w:val="bottom"/>
            <w:tcBorders>
              <w:bottom w:val="single" w:sz="8" w:color="auto"/>
            </w:tcBorders>
            <w:shd w:val="clear" w:color="auto" w:fill="CCEEFF"/>
          </w:tcPr>
          <w:p>
            <w:pPr>
              <w:spacing w:after="0"/>
              <w:rPr>
                <w:sz w:val="19"/>
                <w:szCs w:val="19"/>
                <w:color w:val="auto"/>
              </w:rPr>
            </w:pPr>
          </w:p>
        </w:tc>
        <w:tc>
          <w:tcPr>
            <w:tcW w:w="2540" w:type="dxa"/>
            <w:vAlign w:val="bottom"/>
            <w:tcBorders>
              <w:bottom w:val="single" w:sz="8" w:color="auto"/>
            </w:tcBorders>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2022</w:t>
            </w:r>
          </w:p>
        </w:tc>
        <w:tc>
          <w:tcPr>
            <w:tcW w:w="2100" w:type="dxa"/>
            <w:vAlign w:val="bottom"/>
            <w:tcBorders>
              <w:bottom w:val="single" w:sz="8" w:color="auto"/>
            </w:tcBorders>
            <w:shd w:val="clear" w:color="auto" w:fill="CCEEFF"/>
          </w:tcPr>
          <w:p>
            <w:pPr>
              <w:spacing w:after="0"/>
              <w:rPr>
                <w:sz w:val="19"/>
                <w:szCs w:val="19"/>
                <w:color w:val="auto"/>
              </w:rPr>
            </w:pPr>
          </w:p>
        </w:tc>
      </w:tr>
      <w:tr>
        <w:trPr>
          <w:trHeight w:val="223"/>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Regulated gas transportation and storage revenues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59,283</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179,046</w:t>
            </w:r>
          </w:p>
        </w:tc>
      </w:tr>
      <w:tr>
        <w:trPr>
          <w:trHeight w:val="23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NGL revenues</w:t>
            </w:r>
          </w:p>
        </w:tc>
        <w:tc>
          <w:tcPr>
            <w:tcW w:w="28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4,838</w:t>
            </w:r>
          </w:p>
        </w:tc>
      </w:tr>
      <w:tr>
        <w:trPr>
          <w:trHeight w:val="230"/>
        </w:trPr>
        <w:tc>
          <w:tcPr>
            <w:tcW w:w="6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revenues</w:t>
            </w:r>
          </w:p>
        </w:tc>
        <w:tc>
          <w:tcPr>
            <w:tcW w:w="28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8,244</w:t>
            </w:r>
          </w:p>
        </w:tc>
      </w:tr>
      <w:tr>
        <w:trPr>
          <w:trHeight w:val="223"/>
        </w:trPr>
        <w:tc>
          <w:tcPr>
            <w:tcW w:w="6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Revenue from contracts with customers</w:t>
            </w:r>
          </w:p>
        </w:tc>
        <w:tc>
          <w:tcPr>
            <w:tcW w:w="28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63,137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192,128</w:t>
            </w:r>
          </w:p>
        </w:tc>
      </w:tr>
      <w:tr>
        <w:trPr>
          <w:trHeight w:val="230"/>
        </w:trPr>
        <w:tc>
          <w:tcPr>
            <w:tcW w:w="6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revenues</w:t>
            </w:r>
          </w:p>
        </w:tc>
        <w:tc>
          <w:tcPr>
            <w:tcW w:w="28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48"/>
        </w:trPr>
        <w:tc>
          <w:tcPr>
            <w:tcW w:w="63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Regulated operations revenues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63,178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192,259</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MountainWest has certain multi-year contracts with fixed-price performance obligations that were unsatisfied (or partially unsatisfied) at the end of the reporting period, whereby revenue will be earned over time as MountainWest stands ready to provide service. These amounts are not material to the Company’s financial statements overall. MountainWest also has certain contract liabilities related to consideration received from customers with an obligation to transfer goods or services subsequent to the balance sheet date, amounts for which are generally consistent between December 31, 2021 and September 30, 2022 and are not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22" w:name="page23"/>
    <w:bookmarkEnd w:id="22"/>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30, 2022</w:t>
            </w:r>
          </w:p>
        </w:tc>
      </w:tr>
    </w:tbl>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Common Stock</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Shares of the Company’s common stock are publicly traded on the New York Stock Exchange, under the ticker symbol “SWX.” Share-based compensation related to Southwest and Centuri is based on stock awards to be issued in shares of Southwest Gas Holdings, Inc.</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8, 2021, the Company entered into a Sales Agency Agreement between the Company and BNY Mellon Capital Markets, LLC and J.P. Morgan Securities LLC (the “Equity Shelf Program”) for the offer and sale of up to $500 million of common stock from time to time in an at-the-market offering program. The shares are issued pursuant to the Company’s automatic shelf registration statement on Form S-3 (File No. 333-251074), or “the Universal Shelf.” There was no activity under the Equity Shelf Program during the quarter ended September 30, 2022. The following table provides the life-to-date activity under that program through September 30, 2022:</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proceeds</w:t>
            </w: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158,180,343</w:t>
            </w:r>
          </w:p>
        </w:tc>
        <w:tc>
          <w:tcPr>
            <w:tcW w:w="0" w:type="dxa"/>
            <w:vAlign w:val="bottom"/>
          </w:tcPr>
          <w:p>
            <w:pPr>
              <w:spacing w:after="0"/>
              <w:rPr>
                <w:sz w:val="1"/>
                <w:szCs w:val="1"/>
                <w:color w:val="auto"/>
              </w:rPr>
            </w:pPr>
          </w:p>
        </w:tc>
      </w:tr>
      <w:tr>
        <w:trPr>
          <w:trHeight w:val="229"/>
        </w:trPr>
        <w:tc>
          <w:tcPr>
            <w:tcW w:w="9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agent commissions</w:t>
            </w:r>
          </w:p>
        </w:tc>
        <w:tc>
          <w:tcPr>
            <w:tcW w:w="6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(1,581,803)</w:t>
            </w:r>
          </w:p>
        </w:tc>
        <w:tc>
          <w:tcPr>
            <w:tcW w:w="0" w:type="dxa"/>
            <w:vAlign w:val="bottom"/>
          </w:tcPr>
          <w:p>
            <w:pPr>
              <w:spacing w:after="0"/>
              <w:rPr>
                <w:sz w:val="1"/>
                <w:szCs w:val="1"/>
                <w:color w:val="auto"/>
              </w:rPr>
            </w:pPr>
          </w:p>
        </w:tc>
      </w:tr>
      <w:tr>
        <w:trPr>
          <w:trHeight w:val="248"/>
        </w:trPr>
        <w:tc>
          <w:tcPr>
            <w:tcW w:w="9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proceeds</w:t>
            </w: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156,598,540</w:t>
            </w:r>
          </w:p>
        </w:tc>
        <w:tc>
          <w:tcPr>
            <w:tcW w:w="0" w:type="dxa"/>
            <w:vAlign w:val="bottom"/>
          </w:tcPr>
          <w:p>
            <w:pPr>
              <w:spacing w:after="0"/>
              <w:rPr>
                <w:sz w:val="1"/>
                <w:szCs w:val="1"/>
                <w:color w:val="auto"/>
              </w:rPr>
            </w:pPr>
          </w:p>
        </w:tc>
      </w:tr>
      <w:tr>
        <w:trPr>
          <w:trHeight w:val="20"/>
        </w:trPr>
        <w:tc>
          <w:tcPr>
            <w:tcW w:w="91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Number of shares sold</w:t>
            </w: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120" w:type="dxa"/>
            <w:vAlign w:val="bottom"/>
            <w:vMerge w:val="continue"/>
          </w:tcPr>
          <w:p>
            <w:pPr>
              <w:spacing w:after="0"/>
              <w:rPr>
                <w:sz w:val="17"/>
                <w:szCs w:val="17"/>
                <w:color w:val="auto"/>
              </w:rPr>
            </w:pPr>
          </w:p>
        </w:tc>
        <w:tc>
          <w:tcPr>
            <w:tcW w:w="620" w:type="dxa"/>
            <w:vAlign w:val="bottom"/>
          </w:tcPr>
          <w:p>
            <w:pPr>
              <w:spacing w:after="0"/>
              <w:rPr>
                <w:sz w:val="17"/>
                <w:szCs w:val="17"/>
                <w:color w:val="auto"/>
              </w:rPr>
            </w:pPr>
          </w:p>
        </w:tc>
        <w:tc>
          <w:tcPr>
            <w:tcW w:w="15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2,302,407</w:t>
            </w:r>
          </w:p>
        </w:tc>
        <w:tc>
          <w:tcPr>
            <w:tcW w:w="0" w:type="dxa"/>
            <w:vAlign w:val="bottom"/>
          </w:tcPr>
          <w:p>
            <w:pPr>
              <w:spacing w:after="0"/>
              <w:rPr>
                <w:sz w:val="1"/>
                <w:szCs w:val="1"/>
                <w:color w:val="auto"/>
              </w:rPr>
            </w:pPr>
          </w:p>
        </w:tc>
      </w:tr>
      <w:tr>
        <w:trPr>
          <w:trHeight w:val="230"/>
        </w:trPr>
        <w:tc>
          <w:tcPr>
            <w:tcW w:w="9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price per share</w:t>
            </w: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68.70</w:t>
            </w: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2022, the Company had approximately $341.8 million in common stock available for sale under the program.</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March 2022, the Company issued, through a separate prospectus supplement under the Universal Shelf, an aggregate of 6.325 million shares of common stock, in an underwritten public offering price of $74.00 per share, resulting in proceeds to the Company of $452.3 million, net of an underwriters’ discount of $15.8 million. The Company used the net proceeds to repay a portion of the outstanding borrowings under the 364-day term loan credit agreement that was used to initially fund the MountainWest acquisition.</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2022, the Company issued approximately 216,000 shares of common stock through the Restricted Stock/Unit Plan and Omnibus Incentive Plan.</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Additionally, during the nine months ended September 30, 2022, the Company issued 100,000 shares of common stock through the Dividend Reinvestment and Stock Purchase Plan, raising approximately $7.8 million.</w:t>
      </w:r>
    </w:p>
    <w:p>
      <w:pPr>
        <w:spacing w:after="0" w:line="5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In connection with the entry into the Initial Cooperation Agreement (see </w:t>
      </w:r>
      <w:r>
        <w:rPr>
          <w:rFonts w:ascii="Times New Roman" w:cs="Times New Roman" w:eastAsia="Times New Roman" w:hAnsi="Times New Roman"/>
          <w:sz w:val="18"/>
          <w:szCs w:val="18"/>
          <w:b w:val="1"/>
          <w:bCs w:val="1"/>
          <w:color w:val="auto"/>
        </w:rPr>
        <w:t>Note 1 – Background, Organization, and Summary of Significant 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Policies</w:t>
      </w:r>
      <w:r>
        <w:rPr>
          <w:rFonts w:ascii="Times New Roman" w:cs="Times New Roman" w:eastAsia="Times New Roman" w:hAnsi="Times New Roman"/>
          <w:sz w:val="18"/>
          <w:szCs w:val="18"/>
          <w:color w:val="auto"/>
        </w:rPr>
        <w:t>), the Company entered into the Amended Rights Agreement to increase the beneficial ownership percentage included in the definition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“Acquiring Person” from 10% to 24.9% and to delete the concept of a “Passive Institutional Investor” to permit the Icahn Group to consummate the Offer. The Amended Rights Agreement expired on October 9, 2022.</w:t>
      </w:r>
    </w:p>
    <w:p>
      <w:pPr>
        <w:spacing w:after="0" w:line="200" w:lineRule="exact"/>
        <w:rPr>
          <w:sz w:val="20"/>
          <w:szCs w:val="20"/>
          <w:color w:val="auto"/>
        </w:rPr>
      </w:pPr>
    </w:p>
    <w:p>
      <w:pPr>
        <w:spacing w:after="0" w:line="2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23" w:name="page24"/>
    <w:bookmarkEnd w:id="23"/>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30, 2022</w:t>
            </w:r>
          </w:p>
        </w:tc>
      </w:tr>
    </w:tbl>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Debt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Long-Term Debt</w:t>
      </w:r>
    </w:p>
    <w:p>
      <w:pPr>
        <w:spacing w:after="0" w:line="1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Long-term debt is recognized in the Company’s and Southwest’s Condensed Consolidated Balance Sheets generally at the carrying value of the obligations outstanding. Details surrounding the fair value and individual carrying values of instruments are provided in the table that follows.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20" w:type="dxa"/>
            <w:vAlign w:val="bottom"/>
            <w:gridSpan w:val="5"/>
          </w:tcPr>
          <w:p>
            <w:pPr>
              <w:ind w:left="300"/>
              <w:spacing w:after="0"/>
              <w:rPr>
                <w:sz w:val="20"/>
                <w:szCs w:val="20"/>
                <w:color w:val="auto"/>
              </w:rPr>
            </w:pPr>
            <w:r>
              <w:rPr>
                <w:rFonts w:ascii="Times New Roman" w:cs="Times New Roman" w:eastAsia="Times New Roman" w:hAnsi="Times New Roman"/>
                <w:sz w:val="18"/>
                <w:szCs w:val="18"/>
                <w:color w:val="auto"/>
              </w:rPr>
              <w:t>September 30, 2022</w:t>
            </w:r>
          </w:p>
        </w:tc>
        <w:tc>
          <w:tcPr>
            <w:tcW w:w="180" w:type="dxa"/>
            <w:vAlign w:val="bottom"/>
          </w:tcPr>
          <w:p>
            <w:pPr>
              <w:spacing w:after="0"/>
              <w:rPr>
                <w:sz w:val="20"/>
                <w:szCs w:val="20"/>
                <w:color w:val="auto"/>
              </w:rPr>
            </w:pPr>
          </w:p>
        </w:tc>
        <w:tc>
          <w:tcPr>
            <w:tcW w:w="2200" w:type="dxa"/>
            <w:vAlign w:val="bottom"/>
            <w:gridSpan w:val="4"/>
          </w:tcPr>
          <w:p>
            <w:pPr>
              <w:jc w:val="right"/>
              <w:ind w:right="390"/>
              <w:spacing w:after="0"/>
              <w:rPr>
                <w:sz w:val="20"/>
                <w:szCs w:val="20"/>
                <w:color w:val="auto"/>
              </w:rPr>
            </w:pPr>
            <w:r>
              <w:rPr>
                <w:rFonts w:ascii="Times New Roman" w:cs="Times New Roman" w:eastAsia="Times New Roman" w:hAnsi="Times New Roman"/>
                <w:sz w:val="18"/>
                <w:szCs w:val="18"/>
                <w:color w:val="auto"/>
              </w:rPr>
              <w:t>December 31, 2021</w:t>
            </w:r>
          </w:p>
        </w:tc>
      </w:tr>
      <w:tr>
        <w:trPr>
          <w:trHeight w:val="169"/>
        </w:trPr>
        <w:tc>
          <w:tcPr>
            <w:tcW w:w="636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ind w:right="170"/>
              <w:spacing w:after="0" w:line="169" w:lineRule="exact"/>
              <w:rPr>
                <w:sz w:val="20"/>
                <w:szCs w:val="20"/>
                <w:color w:val="auto"/>
              </w:rPr>
            </w:pPr>
            <w:r>
              <w:rPr>
                <w:rFonts w:ascii="Times New Roman" w:cs="Times New Roman" w:eastAsia="Times New Roman" w:hAnsi="Times New Roman"/>
                <w:sz w:val="18"/>
                <w:szCs w:val="18"/>
                <w:color w:val="auto"/>
              </w:rPr>
              <w:t>Carrying</w:t>
            </w:r>
          </w:p>
        </w:tc>
        <w:tc>
          <w:tcPr>
            <w:tcW w:w="1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center"/>
              <w:ind w:right="130"/>
              <w:spacing w:after="0" w:line="169" w:lineRule="exact"/>
              <w:rPr>
                <w:sz w:val="20"/>
                <w:szCs w:val="20"/>
                <w:color w:val="auto"/>
              </w:rPr>
            </w:pPr>
            <w:r>
              <w:rPr>
                <w:rFonts w:ascii="Times New Roman" w:cs="Times New Roman" w:eastAsia="Times New Roman" w:hAnsi="Times New Roman"/>
                <w:sz w:val="18"/>
                <w:szCs w:val="18"/>
                <w:color w:val="auto"/>
                <w:w w:val="96"/>
              </w:rPr>
              <w:t>Fair</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ind w:right="150"/>
              <w:spacing w:after="0" w:line="169" w:lineRule="exact"/>
              <w:rPr>
                <w:sz w:val="20"/>
                <w:szCs w:val="20"/>
                <w:color w:val="auto"/>
              </w:rPr>
            </w:pPr>
            <w:r>
              <w:rPr>
                <w:rFonts w:ascii="Times New Roman" w:cs="Times New Roman" w:eastAsia="Times New Roman" w:hAnsi="Times New Roman"/>
                <w:sz w:val="18"/>
                <w:szCs w:val="18"/>
                <w:color w:val="auto"/>
              </w:rPr>
              <w:t>Carrying</w:t>
            </w:r>
          </w:p>
        </w:tc>
        <w:tc>
          <w:tcPr>
            <w:tcW w:w="10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ind w:right="330"/>
              <w:spacing w:after="0" w:line="169" w:lineRule="exact"/>
              <w:rPr>
                <w:sz w:val="20"/>
                <w:szCs w:val="20"/>
                <w:color w:val="auto"/>
              </w:rPr>
            </w:pPr>
            <w:r>
              <w:rPr>
                <w:rFonts w:ascii="Times New Roman" w:cs="Times New Roman" w:eastAsia="Times New Roman" w:hAnsi="Times New Roman"/>
                <w:sz w:val="18"/>
                <w:szCs w:val="18"/>
                <w:color w:val="auto"/>
              </w:rPr>
              <w:t>Fair</w:t>
            </w:r>
          </w:p>
        </w:tc>
      </w:tr>
      <w:tr>
        <w:trPr>
          <w:trHeight w:val="239"/>
        </w:trPr>
        <w:tc>
          <w:tcPr>
            <w:tcW w:w="6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Amount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2"/>
              </w:rPr>
              <w:t>Value</w:t>
            </w:r>
          </w:p>
        </w:tc>
        <w:tc>
          <w:tcPr>
            <w:tcW w:w="180" w:type="dxa"/>
            <w:vAlign w:val="bottom"/>
          </w:tcPr>
          <w:p>
            <w:pPr>
              <w:spacing w:after="0"/>
              <w:rPr>
                <w:sz w:val="20"/>
                <w:szCs w:val="20"/>
                <w:color w:val="auto"/>
              </w:rPr>
            </w:pPr>
          </w:p>
        </w:tc>
        <w:tc>
          <w:tcPr>
            <w:tcW w:w="9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Amount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Value</w:t>
            </w:r>
          </w:p>
        </w:tc>
      </w:tr>
      <w:tr>
        <w:trPr>
          <w:trHeight w:val="214"/>
        </w:trPr>
        <w:tc>
          <w:tcPr>
            <w:tcW w:w="6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Southwest Gas Corporation:</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Debentures:</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Notes, 6.1%, due 2041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113,398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166,380</w:t>
            </w:r>
          </w:p>
        </w:tc>
      </w:tr>
      <w:tr>
        <w:trPr>
          <w:trHeight w:val="229"/>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Notes, 4.05%, due 2032</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506,346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Notes, 3.875%, due 2022</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250,603</w:t>
            </w:r>
          </w:p>
        </w:tc>
      </w:tr>
      <w:tr>
        <w:trPr>
          <w:trHeight w:val="230"/>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Notes, 4.875%, due 2043</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202,383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307,538</w:t>
            </w:r>
          </w:p>
        </w:tc>
      </w:tr>
      <w:tr>
        <w:trPr>
          <w:trHeight w:val="229"/>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Notes, 3.8%, due 2046</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203,559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329,055</w:t>
            </w:r>
          </w:p>
        </w:tc>
      </w:tr>
      <w:tr>
        <w:trPr>
          <w:trHeight w:val="230"/>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Notes, 3.7%, due 2028</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267,903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325,191</w:t>
            </w:r>
          </w:p>
        </w:tc>
      </w:tr>
      <w:tr>
        <w:trPr>
          <w:trHeight w:val="229"/>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Notes, 4.15%, due 2049</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213,972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342,030</w:t>
            </w:r>
          </w:p>
        </w:tc>
      </w:tr>
      <w:tr>
        <w:trPr>
          <w:trHeight w:val="229"/>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Notes, 2.2%, due 2030</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340,763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440,838</w:t>
            </w:r>
          </w:p>
        </w:tc>
      </w:tr>
      <w:tr>
        <w:trPr>
          <w:trHeight w:val="230"/>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Notes, 3.18%, due 2051</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182,976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292,116</w:t>
            </w:r>
          </w:p>
        </w:tc>
      </w:tr>
      <w:tr>
        <w:trPr>
          <w:trHeight w:val="229"/>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8% Series, due 2026</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92,623</w:t>
            </w:r>
          </w:p>
        </w:tc>
      </w:tr>
      <w:tr>
        <w:trPr>
          <w:trHeight w:val="229"/>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Medium-term notes, 7.78% series, due 2022</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25,122</w:t>
            </w:r>
          </w:p>
        </w:tc>
      </w:tr>
      <w:tr>
        <w:trPr>
          <w:trHeight w:val="230"/>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Medium-term notes, 7.92% series, due 2027</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31,555</w:t>
            </w:r>
          </w:p>
        </w:tc>
      </w:tr>
      <w:tr>
        <w:trPr>
          <w:trHeight w:val="229"/>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Medium-term notes, 6.76% series, due 2027</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8,949</w:t>
            </w:r>
          </w:p>
        </w:tc>
      </w:tr>
      <w:tr>
        <w:trPr>
          <w:trHeight w:val="230"/>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Unamortized discount and debt issuance costs</w:t>
            </w: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(26,701)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3"/>
        </w:trPr>
        <w:tc>
          <w:tcPr>
            <w:tcW w:w="63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2,705,799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2,387,541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credit facility and commercial paper</w:t>
            </w: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138,000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130,000</w:t>
            </w:r>
          </w:p>
        </w:tc>
      </w:tr>
      <w:tr>
        <w:trPr>
          <w:trHeight w:val="21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Industrial development revenue bonds:</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Tax-exempt Series A, due 2028</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r>
      <w:tr>
        <w:trPr>
          <w:trHeight w:val="230"/>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2003 Series A, due 2038</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r>
      <w:tr>
        <w:trPr>
          <w:trHeight w:val="229"/>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2008 Series A, due 2038</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r>
      <w:tr>
        <w:trPr>
          <w:trHeight w:val="230"/>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2009 Series A, due 2039</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r>
      <w:tr>
        <w:trPr>
          <w:trHeight w:val="230"/>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Unamortized discount and debt issuance costs</w:t>
            </w: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3"/>
        </w:trPr>
        <w:tc>
          <w:tcPr>
            <w:tcW w:w="63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198,283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198,062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maturities</w:t>
            </w: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Southwest Gas Corporation total long-term debt, less current maturities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3,042,082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2,440,603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r>
      <w:tr>
        <w:trPr>
          <w:trHeight w:val="197"/>
        </w:trPr>
        <w:tc>
          <w:tcPr>
            <w:tcW w:w="63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Southwest Gas Holdings, Inc.:</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SWH term loan facility</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1,147,747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1,148,057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Centuri secured term loan facility</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1,008,550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977,033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1,117,138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1,117,841</w:t>
            </w: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Centuri secured revolving credit facility</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150,571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150,740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103,329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103,749</w:t>
            </w: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MountainWest unsecured senior notes, 3.53%, due in 2028</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101,843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102,078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102,078</w:t>
            </w: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MountainWest unsecured senior notes, 4.875%, due in 2041</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199,431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152,581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199,926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199,926</w:t>
            </w: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MountainWest unsecured senior notes, 3.91%, due in 2038</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147,812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103,398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147,735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147,735</w:t>
            </w: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debt obligations</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134,274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122,980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51,665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50,003</w:t>
            </w: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Unamortized discount and debt issuance costs</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(24,466)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current maturities</w:t>
            </w: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(41,485)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(22,324)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Southwest Gas Holdings, Inc. total long-term debt, less current maturities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5,865,591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4,115,684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24" w:name="page25"/>
    <w:bookmarkEnd w:id="24"/>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30, 2022</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Southwest has a $400 million credit facility that is scheduled to expire in April 2025. Southwest designates $150 million of associated capacity as long-term debt and the remaining $250 million for working capital purposes. Interest rates for the credit facility are calculated at either the Secured Overnight Financing Rate (“SOFR”) or an “alternate base rate,” plus in each case an applicable margin that is determined based on Southwest’s senior unsecured debt rating. At September 30, 2022, the applicable margin is 1.125% for loans bearing interest with reference to SOFR and 0.125% for loans bearing interest with reference to the alternative base rate. At September 30, 2022, $138 million was outstanding on the long-term portion of the facility (no borrowings were outstanding under the commercial paper program, discussed below). No borrowings were outstanding on the short-term portion of the facility.</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Southwest has a $50 million commercial paper program. Issuances under the commercial paper program are supported by Southwest’s revolving credit facility and, therefore, do not represent additional borrowing capacity under the credit facility. Borrowings under the commercial paper program, if any, are designated as long-term debt. Interest rates for the program are calculated at the then current commercial paper rate. At September 30, 2022, as noted above, no borrowings were outstanding under the commercial paper program.</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March 2022, Southwest issued $600 million aggregate principal amount of 4.05% Senior Notes at a discount of 0.65%. The notes will mature in March 2032. Southwest used the net proceeds to redeem the $250 million 3.875% notes due in April 2022 and to repay outstanding amounts under its credit facility, with the remaining net proceeds used for general corporate purposes.</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September 26, 2022 (the “Amendment Date”), Southwest Gas Holdings, Inc., entered into Amendment No. 1 (“Amended Credit Agreement”) to the 364-day Term Loan Credit Agreement (the “Credit Agreement”). The Credit Agreement initially provided for a $1.6 billion delayed-draw term loan (the “Term Loan Facility”) to primarily fund the acquisition of the equity interests in MountainWest. As of the Amendment Date, approximately $1.15 billion in aggregate principal was outstanding under the Term Loan Facility, the same as that which was outstanding as of September 30, 2022. The Amended Credit Agreement, among other things, (1) extends the maturity date of the Term Loan to December 30, 2023, making the outstanding borrowings long-term as of September 30, 2022, and (2) replaces London Interbank Offered Rate (“LIBOR”) interest rate benchmarks with SOFR interest rate benchmarks. As part of the Amended Credit Agreement, the Company paid a non-refundable upfront fee in an amount equal to 0.10% of the aggregate principal amount outstanding as of the Amendment Date, and will pay additional fees based on any principal balance outstanding as of March 31, 2023, June 30, 2023, and September 30, 2023 of 0.10%, 0.15%, and 0.20%, respectively.</w:t>
      </w:r>
    </w:p>
    <w:p>
      <w:pPr>
        <w:spacing w:after="0" w:line="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Centuri has a $1.545 billion secured revolving credit and term loan multi-currency facility. Amounts can be borrowed in either Canadian or U.S. dollars. The revolving credit facility matures on August 27, 2026 and the term loan facility matures on August 27, 2028. Interest rates for the revolving credit facility and term loan facility are based on either a “base rate,” LIBOR or CDOR, plus an applicable margin in either case. The capacity of the line of credit portion of the facility is $400 million; related amounts borrowed and repaid are available to be re-borrowed. The term loan portion of the facility has a limit of $1.145 billion. The obligations under the credit agreement are secured by present and future ownership interests in substantially all direct and indirect subsidiaries of Centuri, substantially all of the tangible and intangible personal property of each borrower, certain of their direct and indirect subsidiaries, and all products, profits, and proceeds of the foregoing. Centuri’s assets securing the facility at September 30, 2022 totaled $2.6 billion. At September 30, 2022, $1.159 billion in borrowings were outstanding under Centuri’s combined secured revolving credit and term loan facility. On November 4, 2022, Centuri amended the financial covenants of the revolving credit facility to increase the maximum total net leverage ratio during the period from December 31, 2022 through December 31, 2023. See </w:t>
      </w:r>
      <w:r>
        <w:rPr>
          <w:rFonts w:ascii="Times New Roman" w:cs="Times New Roman" w:eastAsia="Times New Roman" w:hAnsi="Times New Roman"/>
          <w:sz w:val="18"/>
          <w:szCs w:val="18"/>
          <w:b w:val="1"/>
          <w:bCs w:val="1"/>
          <w:color w:val="auto"/>
        </w:rPr>
        <w:t>Note 9 - Subsequent Events</w:t>
      </w:r>
      <w:r>
        <w:rPr>
          <w:rFonts w:ascii="Times New Roman" w:cs="Times New Roman" w:eastAsia="Times New Roman" w:hAnsi="Times New Roman"/>
          <w:sz w:val="18"/>
          <w:szCs w:val="18"/>
          <w:color w:val="auto"/>
        </w:rPr>
        <w:t xml:space="preserve"> for additional information about the amended credit facility.</w:t>
      </w:r>
    </w:p>
    <w:p>
      <w:pPr>
        <w:spacing w:after="0" w:line="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MountainWest has two private placement unsecured senior notes and a public unsecured senior note, with a combined carrying value of $449.1 million and aggregate principal amount of $430 million. The carrying value is higher than the principal balance as amounts outstanding were recorded at their fair values as of the December 31, 2021 acquisition date of the MountainWest entities.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Short-Term Debt</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Southwest Gas Holdings, Inc. has a $200 million credit facility that is scheduled to expire in December 2026 and is primarily used for short-term financing needs. Interest rates for the credit facility are calculated at either SOFR or the “alternate base rate” plus in each case an applicable margin. There was $156 million outstanding under this credit facility as of September 30, 2022.</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indicated above, under Southwest’s $400 million credit facility, no short-term borrowings were outstanding at September 30, 2022.</w:t>
      </w:r>
    </w:p>
    <w:p>
      <w:pPr>
        <w:spacing w:after="0" w:line="11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March 2022, Southwest amended its $250 million Term Loan (the “March 2021 Term Loan”), extending the maturity date to March 21, 2023 and replacing LIBOR interest rate benchmarks with SOFR interest rate benchmarks. The proceeds were</w:t>
      </w:r>
    </w:p>
    <w:p>
      <w:pPr>
        <w:spacing w:after="0" w:line="200" w:lineRule="exact"/>
        <w:rPr>
          <w:sz w:val="20"/>
          <w:szCs w:val="20"/>
          <w:color w:val="auto"/>
        </w:rPr>
      </w:pPr>
    </w:p>
    <w:p>
      <w:pPr>
        <w:spacing w:after="0" w:line="2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25" w:name="page26"/>
    <w:bookmarkEnd w:id="25"/>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30, 2022</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originally used to fund the increased cost of natural gas supply during the month of February 2021, caused by extreme weather conditions in the central U.S. There was $225 million outstanding under the March 2021 Term Loan as of September 30, 2022.</w:t>
      </w:r>
    </w:p>
    <w:p>
      <w:pPr>
        <w:spacing w:after="0" w:line="5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As disclosed in </w:t>
      </w:r>
      <w:r>
        <w:rPr>
          <w:rFonts w:ascii="Times New Roman" w:cs="Times New Roman" w:eastAsia="Times New Roman" w:hAnsi="Times New Roman"/>
          <w:sz w:val="18"/>
          <w:szCs w:val="18"/>
          <w:b w:val="1"/>
          <w:bCs w:val="1"/>
          <w:color w:val="auto"/>
        </w:rPr>
        <w:t>Note 1 – Background, Organization, and Summary of Significant Accounting Policies</w:t>
      </w:r>
      <w:r>
        <w:rPr>
          <w:rFonts w:ascii="Times New Roman" w:cs="Times New Roman" w:eastAsia="Times New Roman" w:hAnsi="Times New Roman"/>
          <w:sz w:val="18"/>
          <w:szCs w:val="18"/>
          <w:color w:val="auto"/>
        </w:rPr>
        <w:t>, the Company is exploring strategic alternatives, including a potential sale of MountainWest and/or Centuri. If MountainWest and/or Centuri is sold as part of the Strategic Review process, the proceeds will be used to repay the amounts borrowed to fund the acquisition. Otherwise, management intends to either issue long-term debt or equity securities to refinance the Term Loan Facility.</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believes that its refinancing plan is probable based on the Company’s ability to generate consistent cash flows, its current credit ratings, its relationships with its lenders and its prior history of successfully raising debt and equity necessary to fund its acquisitions and operations. As such, management has concluded that the Company can satisfy its obligations for at least the next twelve months from the issuance date of these financial statements.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ability to access capital markets or to otherwise obtain sufficient financing may be affected by future conditions. If the Company is unable to execute its plan to refinance debt obligations, the Company’s credit facility could be terminated, and amounts due under its revolver and other borrowing arrangements could be declared immediately due and payable.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LIBOR</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rates established at LIBOR were scheduled to be discontinued after 2021 as part of reference rate reform, while other LIBOR-based rates are scheduled to be discontinued after June 2023. As of September 30, 2022, the Company had $1.009 billion in outstanding borrowings under Centuri’s term loan facility. Southwest, MountainWest, and Southwest Gas Holdings, Inc. had no outstanding borrowings or variable rate debt agreements with reference to LIBOR as of September 30, 2022.</w:t>
      </w:r>
    </w:p>
    <w:p>
      <w:pPr>
        <w:spacing w:after="0" w:line="200" w:lineRule="exact"/>
        <w:rPr>
          <w:sz w:val="20"/>
          <w:szCs w:val="20"/>
          <w:color w:val="auto"/>
        </w:rPr>
      </w:pPr>
    </w:p>
    <w:p>
      <w:pPr>
        <w:spacing w:after="0" w:line="3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26" w:name="page27"/>
    <w:bookmarkEnd w:id="26"/>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30, 2022</w:t>
            </w:r>
          </w:p>
        </w:tc>
      </w:tr>
    </w:tbl>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Other Comprehensive Income and Accumulated Other Comprehensive Income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information presents the Company’s Other comprehensive income (loss), both before and after-tax impacts, within the Condensed Consolidated Statements of Comprehensive Income, which also impact Accumulated other comprehensive income (“AOCI”) in the Condensed Consolidated Balance Sheets and the Condensed Consolidated Statements of Equity.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Related Tax Effects Allocated to Each Component of Other Comprehensive Income (Loss)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320" w:type="dxa"/>
            <w:vAlign w:val="bottom"/>
            <w:gridSpan w:val="4"/>
          </w:tcPr>
          <w:p>
            <w:pPr>
              <w:ind w:left="80"/>
              <w:spacing w:after="0"/>
              <w:rPr>
                <w:sz w:val="20"/>
                <w:szCs w:val="20"/>
                <w:color w:val="auto"/>
              </w:rPr>
            </w:pPr>
            <w:r>
              <w:rPr>
                <w:rFonts w:ascii="Times New Roman" w:cs="Times New Roman" w:eastAsia="Times New Roman" w:hAnsi="Times New Roman"/>
                <w:sz w:val="14"/>
                <w:szCs w:val="14"/>
                <w:color w:val="auto"/>
              </w:rPr>
              <w:t>Three Months Ended</w:t>
            </w: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320" w:type="dxa"/>
            <w:vAlign w:val="bottom"/>
            <w:gridSpan w:val="4"/>
          </w:tcPr>
          <w:p>
            <w:pPr>
              <w:ind w:left="80"/>
              <w:spacing w:after="0"/>
              <w:rPr>
                <w:sz w:val="20"/>
                <w:szCs w:val="20"/>
                <w:color w:val="auto"/>
              </w:rPr>
            </w:pPr>
            <w:r>
              <w:rPr>
                <w:rFonts w:ascii="Times New Roman" w:cs="Times New Roman" w:eastAsia="Times New Roman" w:hAnsi="Times New Roman"/>
                <w:sz w:val="14"/>
                <w:szCs w:val="14"/>
                <w:color w:val="auto"/>
              </w:rPr>
              <w:t>Three Months Ended</w:t>
            </w: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rPr>
              <w:t>September 30, 2022</w:t>
            </w: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rPr>
              <w:t>September 30, 2021</w:t>
            </w: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center"/>
              <w:ind w:right="68"/>
              <w:spacing w:after="0" w:line="135" w:lineRule="exact"/>
              <w:rPr>
                <w:sz w:val="20"/>
                <w:szCs w:val="20"/>
                <w:color w:val="auto"/>
              </w:rPr>
            </w:pPr>
            <w:r>
              <w:rPr>
                <w:rFonts w:ascii="Times New Roman" w:cs="Times New Roman" w:eastAsia="Times New Roman" w:hAnsi="Times New Roman"/>
                <w:sz w:val="14"/>
                <w:szCs w:val="14"/>
                <w:color w:val="auto"/>
              </w:rPr>
              <w:t>Before-</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color w:val="auto"/>
              </w:rPr>
              <w:t>Tax</w:t>
            </w:r>
          </w:p>
        </w:tc>
        <w:tc>
          <w:tcPr>
            <w:tcW w:w="140" w:type="dxa"/>
            <w:vAlign w:val="bottom"/>
          </w:tcPr>
          <w:p>
            <w:pPr>
              <w:spacing w:after="0"/>
              <w:rPr>
                <w:sz w:val="11"/>
                <w:szCs w:val="11"/>
                <w:color w:val="auto"/>
              </w:rPr>
            </w:pPr>
          </w:p>
        </w:tc>
        <w:tc>
          <w:tcPr>
            <w:tcW w:w="700" w:type="dxa"/>
            <w:vAlign w:val="bottom"/>
          </w:tcPr>
          <w:p>
            <w:pPr>
              <w:jc w:val="center"/>
              <w:ind w:right="88"/>
              <w:spacing w:after="0" w:line="135" w:lineRule="exact"/>
              <w:rPr>
                <w:sz w:val="20"/>
                <w:szCs w:val="20"/>
                <w:color w:val="auto"/>
              </w:rPr>
            </w:pPr>
            <w:r>
              <w:rPr>
                <w:rFonts w:ascii="Times New Roman" w:cs="Times New Roman" w:eastAsia="Times New Roman" w:hAnsi="Times New Roman"/>
                <w:sz w:val="14"/>
                <w:szCs w:val="14"/>
                <w:color w:val="auto"/>
              </w:rPr>
              <w:t>Net-of-</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center"/>
              <w:ind w:right="28"/>
              <w:spacing w:after="0" w:line="135" w:lineRule="exact"/>
              <w:rPr>
                <w:sz w:val="20"/>
                <w:szCs w:val="20"/>
                <w:color w:val="auto"/>
              </w:rPr>
            </w:pPr>
            <w:r>
              <w:rPr>
                <w:rFonts w:ascii="Times New Roman" w:cs="Times New Roman" w:eastAsia="Times New Roman" w:hAnsi="Times New Roman"/>
                <w:sz w:val="14"/>
                <w:szCs w:val="14"/>
                <w:color w:val="auto"/>
              </w:rPr>
              <w:t>Before-</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color w:val="auto"/>
              </w:rPr>
              <w:t>Tax</w:t>
            </w:r>
          </w:p>
        </w:tc>
        <w:tc>
          <w:tcPr>
            <w:tcW w:w="140" w:type="dxa"/>
            <w:vAlign w:val="bottom"/>
          </w:tcPr>
          <w:p>
            <w:pPr>
              <w:spacing w:after="0"/>
              <w:rPr>
                <w:sz w:val="11"/>
                <w:szCs w:val="11"/>
                <w:color w:val="auto"/>
              </w:rPr>
            </w:pPr>
          </w:p>
        </w:tc>
        <w:tc>
          <w:tcPr>
            <w:tcW w:w="700" w:type="dxa"/>
            <w:vAlign w:val="bottom"/>
          </w:tcPr>
          <w:p>
            <w:pPr>
              <w:jc w:val="center"/>
              <w:ind w:right="48"/>
              <w:spacing w:after="0" w:line="135" w:lineRule="exact"/>
              <w:rPr>
                <w:sz w:val="20"/>
                <w:szCs w:val="20"/>
                <w:color w:val="auto"/>
              </w:rPr>
            </w:pPr>
            <w:r>
              <w:rPr>
                <w:rFonts w:ascii="Times New Roman" w:cs="Times New Roman" w:eastAsia="Times New Roman" w:hAnsi="Times New Roman"/>
                <w:sz w:val="14"/>
                <w:szCs w:val="14"/>
                <w:color w:val="auto"/>
              </w:rPr>
              <w:t>Net-of-</w:t>
            </w:r>
          </w:p>
        </w:tc>
        <w:tc>
          <w:tcPr>
            <w:tcW w:w="0" w:type="dxa"/>
            <w:vAlign w:val="bottom"/>
          </w:tcPr>
          <w:p>
            <w:pPr>
              <w:spacing w:after="0"/>
              <w:rPr>
                <w:sz w:val="1"/>
                <w:szCs w:val="1"/>
                <w:color w:val="auto"/>
              </w:rPr>
            </w:pPr>
          </w:p>
        </w:tc>
      </w:tr>
      <w:tr>
        <w:trPr>
          <w:trHeight w:val="139"/>
        </w:trPr>
        <w:tc>
          <w:tcPr>
            <w:tcW w:w="5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 of dollars)</w:t>
            </w:r>
          </w:p>
        </w:tc>
        <w:tc>
          <w:tcPr>
            <w:tcW w:w="120" w:type="dxa"/>
            <w:vAlign w:val="bottom"/>
          </w:tcPr>
          <w:p>
            <w:pPr>
              <w:spacing w:after="0"/>
              <w:rPr>
                <w:sz w:val="12"/>
                <w:szCs w:val="12"/>
                <w:color w:val="auto"/>
              </w:rPr>
            </w:pPr>
          </w:p>
        </w:tc>
        <w:tc>
          <w:tcPr>
            <w:tcW w:w="660" w:type="dxa"/>
            <w:vAlign w:val="bottom"/>
          </w:tcPr>
          <w:p>
            <w:pPr>
              <w:jc w:val="center"/>
              <w:ind w:right="48"/>
              <w:spacing w:after="0" w:line="139" w:lineRule="exact"/>
              <w:rPr>
                <w:sz w:val="20"/>
                <w:szCs w:val="20"/>
                <w:color w:val="auto"/>
              </w:rPr>
            </w:pPr>
            <w:r>
              <w:rPr>
                <w:rFonts w:ascii="Times New Roman" w:cs="Times New Roman" w:eastAsia="Times New Roman" w:hAnsi="Times New Roman"/>
                <w:sz w:val="14"/>
                <w:szCs w:val="14"/>
                <w:color w:val="auto"/>
              </w:rPr>
              <w:t>Tax</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40"/>
              <w:spacing w:after="0" w:line="139" w:lineRule="exact"/>
              <w:rPr>
                <w:sz w:val="20"/>
                <w:szCs w:val="20"/>
                <w:color w:val="auto"/>
              </w:rPr>
            </w:pPr>
            <w:r>
              <w:rPr>
                <w:rFonts w:ascii="Times New Roman" w:cs="Times New Roman" w:eastAsia="Times New Roman" w:hAnsi="Times New Roman"/>
                <w:sz w:val="14"/>
                <w:szCs w:val="14"/>
                <w:color w:val="auto"/>
              </w:rPr>
              <w:t>(Expense)</w:t>
            </w:r>
          </w:p>
        </w:tc>
        <w:tc>
          <w:tcPr>
            <w:tcW w:w="140" w:type="dxa"/>
            <w:vAlign w:val="bottom"/>
          </w:tcPr>
          <w:p>
            <w:pPr>
              <w:spacing w:after="0"/>
              <w:rPr>
                <w:sz w:val="12"/>
                <w:szCs w:val="12"/>
                <w:color w:val="auto"/>
              </w:rPr>
            </w:pPr>
          </w:p>
        </w:tc>
        <w:tc>
          <w:tcPr>
            <w:tcW w:w="800" w:type="dxa"/>
            <w:vAlign w:val="bottom"/>
            <w:gridSpan w:val="2"/>
          </w:tcPr>
          <w:p>
            <w:pPr>
              <w:jc w:val="center"/>
              <w:ind w:right="260"/>
              <w:spacing w:after="0" w:line="139" w:lineRule="exact"/>
              <w:rPr>
                <w:sz w:val="20"/>
                <w:szCs w:val="20"/>
                <w:color w:val="auto"/>
              </w:rPr>
            </w:pPr>
            <w:r>
              <w:rPr>
                <w:rFonts w:ascii="Times New Roman" w:cs="Times New Roman" w:eastAsia="Times New Roman" w:hAnsi="Times New Roman"/>
                <w:sz w:val="14"/>
                <w:szCs w:val="14"/>
                <w:color w:val="auto"/>
              </w:rPr>
              <w:t>Tax</w:t>
            </w:r>
          </w:p>
        </w:tc>
        <w:tc>
          <w:tcPr>
            <w:tcW w:w="120" w:type="dxa"/>
            <w:vAlign w:val="bottom"/>
          </w:tcPr>
          <w:p>
            <w:pPr>
              <w:spacing w:after="0"/>
              <w:rPr>
                <w:sz w:val="12"/>
                <w:szCs w:val="12"/>
                <w:color w:val="auto"/>
              </w:rPr>
            </w:pPr>
          </w:p>
        </w:tc>
        <w:tc>
          <w:tcPr>
            <w:tcW w:w="660" w:type="dxa"/>
            <w:vAlign w:val="bottom"/>
          </w:tcPr>
          <w:p>
            <w:pPr>
              <w:jc w:val="center"/>
              <w:ind w:right="48"/>
              <w:spacing w:after="0" w:line="139" w:lineRule="exact"/>
              <w:rPr>
                <w:sz w:val="20"/>
                <w:szCs w:val="20"/>
                <w:color w:val="auto"/>
              </w:rPr>
            </w:pPr>
            <w:r>
              <w:rPr>
                <w:rFonts w:ascii="Times New Roman" w:cs="Times New Roman" w:eastAsia="Times New Roman" w:hAnsi="Times New Roman"/>
                <w:sz w:val="14"/>
                <w:szCs w:val="14"/>
                <w:color w:val="auto"/>
              </w:rPr>
              <w:t>Tax</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220"/>
              <w:spacing w:after="0" w:line="139" w:lineRule="exact"/>
              <w:rPr>
                <w:sz w:val="20"/>
                <w:szCs w:val="20"/>
                <w:color w:val="auto"/>
              </w:rPr>
            </w:pPr>
            <w:r>
              <w:rPr>
                <w:rFonts w:ascii="Times New Roman" w:cs="Times New Roman" w:eastAsia="Times New Roman" w:hAnsi="Times New Roman"/>
                <w:sz w:val="14"/>
                <w:szCs w:val="14"/>
                <w:color w:val="auto"/>
              </w:rPr>
              <w:t>(Expense)</w:t>
            </w:r>
          </w:p>
        </w:tc>
        <w:tc>
          <w:tcPr>
            <w:tcW w:w="140" w:type="dxa"/>
            <w:vAlign w:val="bottom"/>
          </w:tcPr>
          <w:p>
            <w:pPr>
              <w:spacing w:after="0"/>
              <w:rPr>
                <w:sz w:val="12"/>
                <w:szCs w:val="12"/>
                <w:color w:val="auto"/>
              </w:rPr>
            </w:pPr>
          </w:p>
        </w:tc>
        <w:tc>
          <w:tcPr>
            <w:tcW w:w="700" w:type="dxa"/>
            <w:vAlign w:val="bottom"/>
          </w:tcPr>
          <w:p>
            <w:pPr>
              <w:jc w:val="center"/>
              <w:ind w:right="48"/>
              <w:spacing w:after="0" w:line="139" w:lineRule="exact"/>
              <w:rPr>
                <w:sz w:val="20"/>
                <w:szCs w:val="20"/>
                <w:color w:val="auto"/>
              </w:rPr>
            </w:pPr>
            <w:r>
              <w:rPr>
                <w:rFonts w:ascii="Times New Roman" w:cs="Times New Roman" w:eastAsia="Times New Roman" w:hAnsi="Times New Roman"/>
                <w:sz w:val="14"/>
                <w:szCs w:val="14"/>
                <w:color w:val="auto"/>
              </w:rPr>
              <w:t>Tax</w:t>
            </w:r>
          </w:p>
        </w:tc>
        <w:tc>
          <w:tcPr>
            <w:tcW w:w="0" w:type="dxa"/>
            <w:vAlign w:val="bottom"/>
          </w:tcPr>
          <w:p>
            <w:pPr>
              <w:spacing w:after="0"/>
              <w:rPr>
                <w:sz w:val="1"/>
                <w:szCs w:val="1"/>
                <w:color w:val="auto"/>
              </w:rPr>
            </w:pPr>
          </w:p>
        </w:tc>
      </w:tr>
      <w:tr>
        <w:trPr>
          <w:trHeight w:val="188"/>
        </w:trPr>
        <w:tc>
          <w:tcPr>
            <w:tcW w:w="52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Amount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or Benefit (1)</w:t>
            </w:r>
          </w:p>
        </w:tc>
        <w:tc>
          <w:tcPr>
            <w:tcW w:w="140" w:type="dxa"/>
            <w:vAlign w:val="bottom"/>
          </w:tcPr>
          <w:p>
            <w:pPr>
              <w:spacing w:after="0"/>
              <w:rPr>
                <w:sz w:val="16"/>
                <w:szCs w:val="16"/>
                <w:color w:val="auto"/>
              </w:rPr>
            </w:pP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Amount</w:t>
            </w:r>
          </w:p>
        </w:tc>
        <w:tc>
          <w:tcPr>
            <w:tcW w:w="120" w:type="dxa"/>
            <w:vAlign w:val="bottom"/>
          </w:tcPr>
          <w:p>
            <w:pPr>
              <w:spacing w:after="0"/>
              <w:rPr>
                <w:sz w:val="16"/>
                <w:szCs w:val="16"/>
                <w:color w:val="auto"/>
              </w:rPr>
            </w:pPr>
          </w:p>
        </w:tc>
        <w:tc>
          <w:tcPr>
            <w:tcW w:w="66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Amount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or Benefit (1)</w:t>
            </w:r>
          </w:p>
        </w:tc>
        <w:tc>
          <w:tcPr>
            <w:tcW w:w="140" w:type="dxa"/>
            <w:vAlign w:val="bottom"/>
          </w:tcPr>
          <w:p>
            <w:pPr>
              <w:spacing w:after="0"/>
              <w:rPr>
                <w:sz w:val="16"/>
                <w:szCs w:val="16"/>
                <w:color w:val="auto"/>
              </w:rPr>
            </w:pPr>
          </w:p>
        </w:tc>
        <w:tc>
          <w:tcPr>
            <w:tcW w:w="70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Amount</w:t>
            </w:r>
          </w:p>
        </w:tc>
        <w:tc>
          <w:tcPr>
            <w:tcW w:w="0" w:type="dxa"/>
            <w:vAlign w:val="bottom"/>
          </w:tcPr>
          <w:p>
            <w:pPr>
              <w:spacing w:after="0"/>
              <w:rPr>
                <w:sz w:val="1"/>
                <w:szCs w:val="1"/>
                <w:color w:val="auto"/>
              </w:rPr>
            </w:pPr>
          </w:p>
        </w:tc>
      </w:tr>
      <w:tr>
        <w:trPr>
          <w:trHeight w:val="23"/>
        </w:trPr>
        <w:tc>
          <w:tcPr>
            <w:tcW w:w="5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Defined benefit pension plans:</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52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Amortization of prior service cost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0" w:type="dxa"/>
            <w:vAlign w:val="bottom"/>
          </w:tcPr>
          <w:p>
            <w:pPr>
              <w:spacing w:after="0"/>
              <w:rPr>
                <w:sz w:val="1"/>
                <w:szCs w:val="1"/>
                <w:color w:val="auto"/>
              </w:rPr>
            </w:pPr>
          </w:p>
        </w:tc>
      </w:tr>
      <w:tr>
        <w:trPr>
          <w:trHeight w:val="210"/>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Amortization of net actuarial (gain)/loss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8,705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6,616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11,151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8,474</w:t>
            </w:r>
          </w:p>
        </w:tc>
        <w:tc>
          <w:tcPr>
            <w:tcW w:w="0" w:type="dxa"/>
            <w:vAlign w:val="bottom"/>
          </w:tcPr>
          <w:p>
            <w:pPr>
              <w:spacing w:after="0"/>
              <w:rPr>
                <w:sz w:val="1"/>
                <w:szCs w:val="1"/>
                <w:color w:val="auto"/>
              </w:rPr>
            </w:pPr>
          </w:p>
        </w:tc>
      </w:tr>
      <w:tr>
        <w:trPr>
          <w:trHeight w:val="196"/>
        </w:trPr>
        <w:tc>
          <w:tcPr>
            <w:tcW w:w="5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Regulatory adjustment</w:t>
            </w: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(7,268)</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1,744</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(5,524)</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(9,575)</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2,298</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(7,277)</w:t>
            </w:r>
          </w:p>
        </w:tc>
        <w:tc>
          <w:tcPr>
            <w:tcW w:w="0" w:type="dxa"/>
            <w:vAlign w:val="bottom"/>
          </w:tcPr>
          <w:p>
            <w:pPr>
              <w:spacing w:after="0"/>
              <w:rPr>
                <w:sz w:val="1"/>
                <w:szCs w:val="1"/>
                <w:color w:val="auto"/>
              </w:rPr>
            </w:pPr>
          </w:p>
        </w:tc>
      </w:tr>
      <w:tr>
        <w:trPr>
          <w:trHeight w:val="203"/>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Pension plans other comprehensive income (loss)</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1,380</w:t>
            </w:r>
          </w:p>
        </w:tc>
        <w:tc>
          <w:tcPr>
            <w:tcW w:w="0" w:type="dxa"/>
            <w:vAlign w:val="bottom"/>
          </w:tcPr>
          <w:p>
            <w:pPr>
              <w:spacing w:after="0"/>
              <w:rPr>
                <w:sz w:val="1"/>
                <w:szCs w:val="1"/>
                <w:color w:val="auto"/>
              </w:rPr>
            </w:pPr>
          </w:p>
        </w:tc>
      </w:tr>
      <w:tr>
        <w:trPr>
          <w:trHeight w:val="195"/>
        </w:trPr>
        <w:tc>
          <w:tcPr>
            <w:tcW w:w="5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FSIRS (designated hedging activities):</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Amounts reclassified into net income</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w:t>
            </w:r>
          </w:p>
        </w:tc>
        <w:tc>
          <w:tcPr>
            <w:tcW w:w="0" w:type="dxa"/>
            <w:vAlign w:val="bottom"/>
          </w:tcPr>
          <w:p>
            <w:pPr>
              <w:spacing w:after="0"/>
              <w:rPr>
                <w:sz w:val="1"/>
                <w:szCs w:val="1"/>
                <w:color w:val="auto"/>
              </w:rPr>
            </w:pPr>
          </w:p>
        </w:tc>
      </w:tr>
      <w:tr>
        <w:trPr>
          <w:trHeight w:val="189"/>
        </w:trPr>
        <w:tc>
          <w:tcPr>
            <w:tcW w:w="52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FSIRS other comprehensive income (loss)</w:t>
            </w:r>
          </w:p>
        </w:tc>
        <w:tc>
          <w:tcPr>
            <w:tcW w:w="12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544</w:t>
            </w:r>
          </w:p>
        </w:tc>
        <w:tc>
          <w:tcPr>
            <w:tcW w:w="12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413</w:t>
            </w:r>
          </w:p>
        </w:tc>
        <w:tc>
          <w:tcPr>
            <w:tcW w:w="0" w:type="dxa"/>
            <w:vAlign w:val="bottom"/>
          </w:tcPr>
          <w:p>
            <w:pPr>
              <w:spacing w:after="0"/>
              <w:rPr>
                <w:sz w:val="1"/>
                <w:szCs w:val="1"/>
                <w:color w:val="auto"/>
              </w:rPr>
            </w:pPr>
          </w:p>
        </w:tc>
      </w:tr>
      <w:tr>
        <w:trPr>
          <w:trHeight w:val="20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other comprehensive income (loss) - Southwest Gas Corporation</w:t>
            </w: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1,481</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1,126</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2,359</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(566)</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1,793</w:t>
            </w:r>
          </w:p>
        </w:tc>
        <w:tc>
          <w:tcPr>
            <w:tcW w:w="0" w:type="dxa"/>
            <w:vAlign w:val="bottom"/>
          </w:tcPr>
          <w:p>
            <w:pPr>
              <w:spacing w:after="0"/>
              <w:rPr>
                <w:sz w:val="1"/>
                <w:szCs w:val="1"/>
                <w:color w:val="auto"/>
              </w:rPr>
            </w:pPr>
          </w:p>
        </w:tc>
      </w:tr>
      <w:tr>
        <w:trPr>
          <w:trHeight w:val="175"/>
        </w:trPr>
        <w:tc>
          <w:tcPr>
            <w:tcW w:w="5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Translation adjustments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(5,830)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(5,830)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(2,056)</w:t>
            </w:r>
          </w:p>
        </w:tc>
        <w:tc>
          <w:tcPr>
            <w:tcW w:w="0" w:type="dxa"/>
            <w:vAlign w:val="bottom"/>
          </w:tcPr>
          <w:p>
            <w:pPr>
              <w:spacing w:after="0"/>
              <w:rPr>
                <w:sz w:val="1"/>
                <w:szCs w:val="1"/>
                <w:color w:val="auto"/>
              </w:rPr>
            </w:pPr>
          </w:p>
        </w:tc>
      </w:tr>
      <w:tr>
        <w:trPr>
          <w:trHeight w:val="190"/>
        </w:trPr>
        <w:tc>
          <w:tcPr>
            <w:tcW w:w="52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Foreign currency other comprehensive income (loss)</w:t>
            </w:r>
          </w:p>
        </w:tc>
        <w:tc>
          <w:tcPr>
            <w:tcW w:w="12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(5,830)</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(5,830)</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(2,056)</w:t>
            </w:r>
          </w:p>
        </w:tc>
        <w:tc>
          <w:tcPr>
            <w:tcW w:w="12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(2,056)</w:t>
            </w:r>
          </w:p>
        </w:tc>
        <w:tc>
          <w:tcPr>
            <w:tcW w:w="0" w:type="dxa"/>
            <w:vAlign w:val="bottom"/>
          </w:tcPr>
          <w:p>
            <w:pPr>
              <w:spacing w:after="0"/>
              <w:rPr>
                <w:sz w:val="1"/>
                <w:szCs w:val="1"/>
                <w:color w:val="auto"/>
              </w:rPr>
            </w:pPr>
          </w:p>
        </w:tc>
      </w:tr>
      <w:tr>
        <w:trPr>
          <w:trHeight w:val="228"/>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other comprehensive income (loss) - Southwest Gas Holdings, Inc.</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(4,349)</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(4,704)</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5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Nine Months Ended</w:t>
            </w: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Nine Months Ended</w:t>
            </w: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rPr>
              <w:t>September 30, 2022</w:t>
            </w: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rPr>
              <w:t>September 30, 2021</w:t>
            </w: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center"/>
              <w:ind w:right="68"/>
              <w:spacing w:after="0" w:line="135" w:lineRule="exact"/>
              <w:rPr>
                <w:sz w:val="20"/>
                <w:szCs w:val="20"/>
                <w:color w:val="auto"/>
              </w:rPr>
            </w:pPr>
            <w:r>
              <w:rPr>
                <w:rFonts w:ascii="Times New Roman" w:cs="Times New Roman" w:eastAsia="Times New Roman" w:hAnsi="Times New Roman"/>
                <w:sz w:val="14"/>
                <w:szCs w:val="14"/>
                <w:color w:val="auto"/>
              </w:rPr>
              <w:t>Before-</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color w:val="auto"/>
              </w:rPr>
              <w:t>Tax</w:t>
            </w:r>
          </w:p>
        </w:tc>
        <w:tc>
          <w:tcPr>
            <w:tcW w:w="140" w:type="dxa"/>
            <w:vAlign w:val="bottom"/>
          </w:tcPr>
          <w:p>
            <w:pPr>
              <w:spacing w:after="0"/>
              <w:rPr>
                <w:sz w:val="11"/>
                <w:szCs w:val="11"/>
                <w:color w:val="auto"/>
              </w:rPr>
            </w:pPr>
          </w:p>
        </w:tc>
        <w:tc>
          <w:tcPr>
            <w:tcW w:w="700" w:type="dxa"/>
            <w:vAlign w:val="bottom"/>
          </w:tcPr>
          <w:p>
            <w:pPr>
              <w:jc w:val="center"/>
              <w:ind w:right="88"/>
              <w:spacing w:after="0" w:line="135" w:lineRule="exact"/>
              <w:rPr>
                <w:sz w:val="20"/>
                <w:szCs w:val="20"/>
                <w:color w:val="auto"/>
              </w:rPr>
            </w:pPr>
            <w:r>
              <w:rPr>
                <w:rFonts w:ascii="Times New Roman" w:cs="Times New Roman" w:eastAsia="Times New Roman" w:hAnsi="Times New Roman"/>
                <w:sz w:val="14"/>
                <w:szCs w:val="14"/>
                <w:color w:val="auto"/>
              </w:rPr>
              <w:t>Net-of-</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center"/>
              <w:ind w:right="28"/>
              <w:spacing w:after="0" w:line="135" w:lineRule="exact"/>
              <w:rPr>
                <w:sz w:val="20"/>
                <w:szCs w:val="20"/>
                <w:color w:val="auto"/>
              </w:rPr>
            </w:pPr>
            <w:r>
              <w:rPr>
                <w:rFonts w:ascii="Times New Roman" w:cs="Times New Roman" w:eastAsia="Times New Roman" w:hAnsi="Times New Roman"/>
                <w:sz w:val="14"/>
                <w:szCs w:val="14"/>
                <w:color w:val="auto"/>
              </w:rPr>
              <w:t>Before-</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color w:val="auto"/>
              </w:rPr>
              <w:t>Tax</w:t>
            </w:r>
          </w:p>
        </w:tc>
        <w:tc>
          <w:tcPr>
            <w:tcW w:w="140" w:type="dxa"/>
            <w:vAlign w:val="bottom"/>
          </w:tcPr>
          <w:p>
            <w:pPr>
              <w:spacing w:after="0"/>
              <w:rPr>
                <w:sz w:val="11"/>
                <w:szCs w:val="11"/>
                <w:color w:val="auto"/>
              </w:rPr>
            </w:pPr>
          </w:p>
        </w:tc>
        <w:tc>
          <w:tcPr>
            <w:tcW w:w="700" w:type="dxa"/>
            <w:vAlign w:val="bottom"/>
          </w:tcPr>
          <w:p>
            <w:pPr>
              <w:jc w:val="center"/>
              <w:ind w:right="48"/>
              <w:spacing w:after="0" w:line="135" w:lineRule="exact"/>
              <w:rPr>
                <w:sz w:val="20"/>
                <w:szCs w:val="20"/>
                <w:color w:val="auto"/>
              </w:rPr>
            </w:pPr>
            <w:r>
              <w:rPr>
                <w:rFonts w:ascii="Times New Roman" w:cs="Times New Roman" w:eastAsia="Times New Roman" w:hAnsi="Times New Roman"/>
                <w:sz w:val="14"/>
                <w:szCs w:val="14"/>
                <w:color w:val="auto"/>
              </w:rPr>
              <w:t>Net-of-</w:t>
            </w:r>
          </w:p>
        </w:tc>
        <w:tc>
          <w:tcPr>
            <w:tcW w:w="0" w:type="dxa"/>
            <w:vAlign w:val="bottom"/>
          </w:tcPr>
          <w:p>
            <w:pPr>
              <w:spacing w:after="0"/>
              <w:rPr>
                <w:sz w:val="1"/>
                <w:szCs w:val="1"/>
                <w:color w:val="auto"/>
              </w:rPr>
            </w:pPr>
          </w:p>
        </w:tc>
      </w:tr>
      <w:tr>
        <w:trPr>
          <w:trHeight w:val="139"/>
        </w:trPr>
        <w:tc>
          <w:tcPr>
            <w:tcW w:w="5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 of dollars)</w:t>
            </w:r>
          </w:p>
        </w:tc>
        <w:tc>
          <w:tcPr>
            <w:tcW w:w="120" w:type="dxa"/>
            <w:vAlign w:val="bottom"/>
          </w:tcPr>
          <w:p>
            <w:pPr>
              <w:spacing w:after="0"/>
              <w:rPr>
                <w:sz w:val="12"/>
                <w:szCs w:val="12"/>
                <w:color w:val="auto"/>
              </w:rPr>
            </w:pPr>
          </w:p>
        </w:tc>
        <w:tc>
          <w:tcPr>
            <w:tcW w:w="660" w:type="dxa"/>
            <w:vAlign w:val="bottom"/>
          </w:tcPr>
          <w:p>
            <w:pPr>
              <w:jc w:val="center"/>
              <w:ind w:right="48"/>
              <w:spacing w:after="0" w:line="139" w:lineRule="exact"/>
              <w:rPr>
                <w:sz w:val="20"/>
                <w:szCs w:val="20"/>
                <w:color w:val="auto"/>
              </w:rPr>
            </w:pPr>
            <w:r>
              <w:rPr>
                <w:rFonts w:ascii="Times New Roman" w:cs="Times New Roman" w:eastAsia="Times New Roman" w:hAnsi="Times New Roman"/>
                <w:sz w:val="14"/>
                <w:szCs w:val="14"/>
                <w:color w:val="auto"/>
              </w:rPr>
              <w:t>Tax</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40"/>
              <w:spacing w:after="0" w:line="139" w:lineRule="exact"/>
              <w:rPr>
                <w:sz w:val="20"/>
                <w:szCs w:val="20"/>
                <w:color w:val="auto"/>
              </w:rPr>
            </w:pPr>
            <w:r>
              <w:rPr>
                <w:rFonts w:ascii="Times New Roman" w:cs="Times New Roman" w:eastAsia="Times New Roman" w:hAnsi="Times New Roman"/>
                <w:sz w:val="14"/>
                <w:szCs w:val="14"/>
                <w:color w:val="auto"/>
              </w:rPr>
              <w:t>(Expense)</w:t>
            </w:r>
          </w:p>
        </w:tc>
        <w:tc>
          <w:tcPr>
            <w:tcW w:w="140" w:type="dxa"/>
            <w:vAlign w:val="bottom"/>
          </w:tcPr>
          <w:p>
            <w:pPr>
              <w:spacing w:after="0"/>
              <w:rPr>
                <w:sz w:val="12"/>
                <w:szCs w:val="12"/>
                <w:color w:val="auto"/>
              </w:rPr>
            </w:pPr>
          </w:p>
        </w:tc>
        <w:tc>
          <w:tcPr>
            <w:tcW w:w="800" w:type="dxa"/>
            <w:vAlign w:val="bottom"/>
            <w:gridSpan w:val="2"/>
          </w:tcPr>
          <w:p>
            <w:pPr>
              <w:jc w:val="center"/>
              <w:ind w:right="260"/>
              <w:spacing w:after="0" w:line="139" w:lineRule="exact"/>
              <w:rPr>
                <w:sz w:val="20"/>
                <w:szCs w:val="20"/>
                <w:color w:val="auto"/>
              </w:rPr>
            </w:pPr>
            <w:r>
              <w:rPr>
                <w:rFonts w:ascii="Times New Roman" w:cs="Times New Roman" w:eastAsia="Times New Roman" w:hAnsi="Times New Roman"/>
                <w:sz w:val="14"/>
                <w:szCs w:val="14"/>
                <w:color w:val="auto"/>
              </w:rPr>
              <w:t>Tax</w:t>
            </w:r>
          </w:p>
        </w:tc>
        <w:tc>
          <w:tcPr>
            <w:tcW w:w="120" w:type="dxa"/>
            <w:vAlign w:val="bottom"/>
          </w:tcPr>
          <w:p>
            <w:pPr>
              <w:spacing w:after="0"/>
              <w:rPr>
                <w:sz w:val="12"/>
                <w:szCs w:val="12"/>
                <w:color w:val="auto"/>
              </w:rPr>
            </w:pPr>
          </w:p>
        </w:tc>
        <w:tc>
          <w:tcPr>
            <w:tcW w:w="660" w:type="dxa"/>
            <w:vAlign w:val="bottom"/>
          </w:tcPr>
          <w:p>
            <w:pPr>
              <w:jc w:val="center"/>
              <w:ind w:right="48"/>
              <w:spacing w:after="0" w:line="139" w:lineRule="exact"/>
              <w:rPr>
                <w:sz w:val="20"/>
                <w:szCs w:val="20"/>
                <w:color w:val="auto"/>
              </w:rPr>
            </w:pPr>
            <w:r>
              <w:rPr>
                <w:rFonts w:ascii="Times New Roman" w:cs="Times New Roman" w:eastAsia="Times New Roman" w:hAnsi="Times New Roman"/>
                <w:sz w:val="14"/>
                <w:szCs w:val="14"/>
                <w:color w:val="auto"/>
              </w:rPr>
              <w:t>Tax</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220"/>
              <w:spacing w:after="0" w:line="139" w:lineRule="exact"/>
              <w:rPr>
                <w:sz w:val="20"/>
                <w:szCs w:val="20"/>
                <w:color w:val="auto"/>
              </w:rPr>
            </w:pPr>
            <w:r>
              <w:rPr>
                <w:rFonts w:ascii="Times New Roman" w:cs="Times New Roman" w:eastAsia="Times New Roman" w:hAnsi="Times New Roman"/>
                <w:sz w:val="14"/>
                <w:szCs w:val="14"/>
                <w:color w:val="auto"/>
              </w:rPr>
              <w:t>(Expense)</w:t>
            </w:r>
          </w:p>
        </w:tc>
        <w:tc>
          <w:tcPr>
            <w:tcW w:w="140" w:type="dxa"/>
            <w:vAlign w:val="bottom"/>
          </w:tcPr>
          <w:p>
            <w:pPr>
              <w:spacing w:after="0"/>
              <w:rPr>
                <w:sz w:val="12"/>
                <w:szCs w:val="12"/>
                <w:color w:val="auto"/>
              </w:rPr>
            </w:pPr>
          </w:p>
        </w:tc>
        <w:tc>
          <w:tcPr>
            <w:tcW w:w="700" w:type="dxa"/>
            <w:vAlign w:val="bottom"/>
          </w:tcPr>
          <w:p>
            <w:pPr>
              <w:jc w:val="center"/>
              <w:ind w:right="48"/>
              <w:spacing w:after="0" w:line="139" w:lineRule="exact"/>
              <w:rPr>
                <w:sz w:val="20"/>
                <w:szCs w:val="20"/>
                <w:color w:val="auto"/>
              </w:rPr>
            </w:pPr>
            <w:r>
              <w:rPr>
                <w:rFonts w:ascii="Times New Roman" w:cs="Times New Roman" w:eastAsia="Times New Roman" w:hAnsi="Times New Roman"/>
                <w:sz w:val="14"/>
                <w:szCs w:val="14"/>
                <w:color w:val="auto"/>
              </w:rPr>
              <w:t>Tax</w:t>
            </w:r>
          </w:p>
        </w:tc>
        <w:tc>
          <w:tcPr>
            <w:tcW w:w="0" w:type="dxa"/>
            <w:vAlign w:val="bottom"/>
          </w:tcPr>
          <w:p>
            <w:pPr>
              <w:spacing w:after="0"/>
              <w:rPr>
                <w:sz w:val="1"/>
                <w:szCs w:val="1"/>
                <w:color w:val="auto"/>
              </w:rPr>
            </w:pPr>
          </w:p>
        </w:tc>
      </w:tr>
      <w:tr>
        <w:trPr>
          <w:trHeight w:val="188"/>
        </w:trPr>
        <w:tc>
          <w:tcPr>
            <w:tcW w:w="52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Amount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or Benefit (1)</w:t>
            </w:r>
          </w:p>
        </w:tc>
        <w:tc>
          <w:tcPr>
            <w:tcW w:w="140" w:type="dxa"/>
            <w:vAlign w:val="bottom"/>
          </w:tcPr>
          <w:p>
            <w:pPr>
              <w:spacing w:after="0"/>
              <w:rPr>
                <w:sz w:val="16"/>
                <w:szCs w:val="16"/>
                <w:color w:val="auto"/>
              </w:rPr>
            </w:pP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Amount</w:t>
            </w:r>
          </w:p>
        </w:tc>
        <w:tc>
          <w:tcPr>
            <w:tcW w:w="120" w:type="dxa"/>
            <w:vAlign w:val="bottom"/>
          </w:tcPr>
          <w:p>
            <w:pPr>
              <w:spacing w:after="0"/>
              <w:rPr>
                <w:sz w:val="16"/>
                <w:szCs w:val="16"/>
                <w:color w:val="auto"/>
              </w:rPr>
            </w:pPr>
          </w:p>
        </w:tc>
        <w:tc>
          <w:tcPr>
            <w:tcW w:w="66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Amount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or Benefit (1)</w:t>
            </w:r>
          </w:p>
        </w:tc>
        <w:tc>
          <w:tcPr>
            <w:tcW w:w="140" w:type="dxa"/>
            <w:vAlign w:val="bottom"/>
          </w:tcPr>
          <w:p>
            <w:pPr>
              <w:spacing w:after="0"/>
              <w:rPr>
                <w:sz w:val="16"/>
                <w:szCs w:val="16"/>
                <w:color w:val="auto"/>
              </w:rPr>
            </w:pPr>
          </w:p>
        </w:tc>
        <w:tc>
          <w:tcPr>
            <w:tcW w:w="70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Amount</w:t>
            </w:r>
          </w:p>
        </w:tc>
        <w:tc>
          <w:tcPr>
            <w:tcW w:w="0" w:type="dxa"/>
            <w:vAlign w:val="bottom"/>
          </w:tcPr>
          <w:p>
            <w:pPr>
              <w:spacing w:after="0"/>
              <w:rPr>
                <w:sz w:val="1"/>
                <w:szCs w:val="1"/>
                <w:color w:val="auto"/>
              </w:rPr>
            </w:pPr>
          </w:p>
        </w:tc>
      </w:tr>
      <w:tr>
        <w:trPr>
          <w:trHeight w:val="23"/>
        </w:trPr>
        <w:tc>
          <w:tcPr>
            <w:tcW w:w="5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Defined benefit pension plans:</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52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Amortization of prior service cost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719</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547</w:t>
            </w:r>
          </w:p>
        </w:tc>
        <w:tc>
          <w:tcPr>
            <w:tcW w:w="0" w:type="dxa"/>
            <w:vAlign w:val="bottom"/>
          </w:tcPr>
          <w:p>
            <w:pPr>
              <w:spacing w:after="0"/>
              <w:rPr>
                <w:sz w:val="1"/>
                <w:szCs w:val="1"/>
                <w:color w:val="auto"/>
              </w:rPr>
            </w:pPr>
          </w:p>
        </w:tc>
      </w:tr>
      <w:tr>
        <w:trPr>
          <w:trHeight w:val="210"/>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Amortization of net actuarial (gain)/loss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26,114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(6,267)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19,847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33,448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(8,028)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25,420</w:t>
            </w:r>
          </w:p>
        </w:tc>
        <w:tc>
          <w:tcPr>
            <w:tcW w:w="0" w:type="dxa"/>
            <w:vAlign w:val="bottom"/>
          </w:tcPr>
          <w:p>
            <w:pPr>
              <w:spacing w:after="0"/>
              <w:rPr>
                <w:sz w:val="1"/>
                <w:szCs w:val="1"/>
                <w:color w:val="auto"/>
              </w:rPr>
            </w:pPr>
          </w:p>
        </w:tc>
      </w:tr>
      <w:tr>
        <w:trPr>
          <w:trHeight w:val="196"/>
        </w:trPr>
        <w:tc>
          <w:tcPr>
            <w:tcW w:w="5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Regulatory adjustment</w:t>
            </w: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(21,804)</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5,233</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(16,571)</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(28,725)</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6,894</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(21,831)</w:t>
            </w:r>
          </w:p>
        </w:tc>
        <w:tc>
          <w:tcPr>
            <w:tcW w:w="0" w:type="dxa"/>
            <w:vAlign w:val="bottom"/>
          </w:tcPr>
          <w:p>
            <w:pPr>
              <w:spacing w:after="0"/>
              <w:rPr>
                <w:sz w:val="1"/>
                <w:szCs w:val="1"/>
                <w:color w:val="auto"/>
              </w:rPr>
            </w:pPr>
          </w:p>
        </w:tc>
      </w:tr>
      <w:tr>
        <w:trPr>
          <w:trHeight w:val="203"/>
        </w:trPr>
        <w:tc>
          <w:tcPr>
            <w:tcW w:w="5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Pension plans other comprehensive income (loss)</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5,442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4,136</w:t>
            </w:r>
          </w:p>
        </w:tc>
        <w:tc>
          <w:tcPr>
            <w:tcW w:w="0" w:type="dxa"/>
            <w:vAlign w:val="bottom"/>
          </w:tcPr>
          <w:p>
            <w:pPr>
              <w:spacing w:after="0"/>
              <w:rPr>
                <w:sz w:val="1"/>
                <w:szCs w:val="1"/>
                <w:color w:val="auto"/>
              </w:rPr>
            </w:pPr>
          </w:p>
        </w:tc>
      </w:tr>
      <w:tr>
        <w:trPr>
          <w:trHeight w:val="195"/>
        </w:trPr>
        <w:tc>
          <w:tcPr>
            <w:tcW w:w="5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FSIRS (designated hedging activities):</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Amounts reclassified into net income</w:t>
            </w: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1,632</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1,240</w:t>
            </w:r>
          </w:p>
        </w:tc>
        <w:tc>
          <w:tcPr>
            <w:tcW w:w="0" w:type="dxa"/>
            <w:vAlign w:val="bottom"/>
          </w:tcPr>
          <w:p>
            <w:pPr>
              <w:spacing w:after="0"/>
              <w:rPr>
                <w:sz w:val="1"/>
                <w:szCs w:val="1"/>
                <w:color w:val="auto"/>
              </w:rPr>
            </w:pPr>
          </w:p>
        </w:tc>
      </w:tr>
      <w:tr>
        <w:trPr>
          <w:trHeight w:val="190"/>
        </w:trPr>
        <w:tc>
          <w:tcPr>
            <w:tcW w:w="52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FSIRS other comprehensive income (loss)</w:t>
            </w: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545</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416</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1,632</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1,240</w:t>
            </w:r>
          </w:p>
        </w:tc>
        <w:tc>
          <w:tcPr>
            <w:tcW w:w="0" w:type="dxa"/>
            <w:vAlign w:val="bottom"/>
          </w:tcPr>
          <w:p>
            <w:pPr>
              <w:spacing w:after="0"/>
              <w:rPr>
                <w:sz w:val="1"/>
                <w:szCs w:val="1"/>
                <w:color w:val="auto"/>
              </w:rPr>
            </w:pPr>
          </w:p>
        </w:tc>
      </w:tr>
      <w:tr>
        <w:trPr>
          <w:trHeight w:val="20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other comprehensive income (loss) - Southwest Gas Corporation</w:t>
            </w: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4,987</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(1,195)</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3,792</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7,074</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(1,698)</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5,376</w:t>
            </w:r>
          </w:p>
        </w:tc>
        <w:tc>
          <w:tcPr>
            <w:tcW w:w="0" w:type="dxa"/>
            <w:vAlign w:val="bottom"/>
          </w:tcPr>
          <w:p>
            <w:pPr>
              <w:spacing w:after="0"/>
              <w:rPr>
                <w:sz w:val="1"/>
                <w:szCs w:val="1"/>
                <w:color w:val="auto"/>
              </w:rPr>
            </w:pPr>
          </w:p>
        </w:tc>
      </w:tr>
      <w:tr>
        <w:trPr>
          <w:trHeight w:val="175"/>
        </w:trPr>
        <w:tc>
          <w:tcPr>
            <w:tcW w:w="5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Translation adjustments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(7,263)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(7,263)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w:t>
            </w:r>
          </w:p>
        </w:tc>
        <w:tc>
          <w:tcPr>
            <w:tcW w:w="0" w:type="dxa"/>
            <w:vAlign w:val="bottom"/>
          </w:tcPr>
          <w:p>
            <w:pPr>
              <w:spacing w:after="0"/>
              <w:rPr>
                <w:sz w:val="1"/>
                <w:szCs w:val="1"/>
                <w:color w:val="auto"/>
              </w:rPr>
            </w:pPr>
          </w:p>
        </w:tc>
      </w:tr>
      <w:tr>
        <w:trPr>
          <w:trHeight w:val="190"/>
        </w:trPr>
        <w:tc>
          <w:tcPr>
            <w:tcW w:w="52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Foreign currency other comprehensive income (loss)</w:t>
            </w:r>
          </w:p>
        </w:tc>
        <w:tc>
          <w:tcPr>
            <w:tcW w:w="12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(7,263)</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(7,263)</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(324)</w:t>
            </w:r>
          </w:p>
        </w:tc>
        <w:tc>
          <w:tcPr>
            <w:tcW w:w="12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(324)</w:t>
            </w:r>
          </w:p>
        </w:tc>
        <w:tc>
          <w:tcPr>
            <w:tcW w:w="0" w:type="dxa"/>
            <w:vAlign w:val="bottom"/>
          </w:tcPr>
          <w:p>
            <w:pPr>
              <w:spacing w:after="0"/>
              <w:rPr>
                <w:sz w:val="1"/>
                <w:szCs w:val="1"/>
                <w:color w:val="auto"/>
              </w:rPr>
            </w:pPr>
          </w:p>
        </w:tc>
      </w:tr>
      <w:tr>
        <w:trPr>
          <w:trHeight w:val="221"/>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other comprehensive income (loss) - Southwest Gas Holdings, Inc.</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(2,276)</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(1,195)</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(3,471)</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6,750</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(1,698)</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5,052</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5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Form 10-Q</w:t>
            </w: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29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SOUTHWEST GAS CORPORATION</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5"/>
          </w:tcPr>
          <w:p>
            <w:pPr>
              <w:jc w:val="center"/>
              <w:ind w:left="347"/>
              <w:spacing w:after="0"/>
              <w:rPr>
                <w:sz w:val="20"/>
                <w:szCs w:val="20"/>
                <w:color w:val="auto"/>
              </w:rPr>
            </w:pPr>
            <w:r>
              <w:rPr>
                <w:rFonts w:ascii="Times New Roman" w:cs="Times New Roman" w:eastAsia="Times New Roman" w:hAnsi="Times New Roman"/>
                <w:sz w:val="18"/>
                <w:szCs w:val="18"/>
                <w:color w:val="auto"/>
                <w:w w:val="99"/>
              </w:rPr>
              <w:t>September 30, 2022</w:t>
            </w:r>
          </w:p>
        </w:tc>
        <w:tc>
          <w:tcPr>
            <w:tcW w:w="0" w:type="dxa"/>
            <w:vAlign w:val="bottom"/>
          </w:tcPr>
          <w:p>
            <w:pPr>
              <w:spacing w:after="0"/>
              <w:rPr>
                <w:sz w:val="1"/>
                <w:szCs w:val="1"/>
                <w:color w:val="auto"/>
              </w:rPr>
            </w:pPr>
          </w:p>
        </w:tc>
      </w:tr>
      <w:tr>
        <w:trPr>
          <w:trHeight w:val="835"/>
        </w:trPr>
        <w:tc>
          <w:tcPr>
            <w:tcW w:w="6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20" w:type="dxa"/>
            <w:vAlign w:val="bottom"/>
            <w:gridSpan w:val="4"/>
          </w:tcPr>
          <w:p>
            <w:pPr>
              <w:jc w:val="center"/>
              <w:spacing w:after="0"/>
              <w:rPr>
                <w:sz w:val="20"/>
                <w:szCs w:val="20"/>
                <w:color w:val="auto"/>
              </w:rPr>
            </w:pPr>
            <w:r>
              <w:rPr>
                <w:rFonts w:ascii="Times New Roman" w:cs="Times New Roman" w:eastAsia="Times New Roman" w:hAnsi="Times New Roman"/>
                <w:sz w:val="14"/>
                <w:szCs w:val="14"/>
                <w:color w:val="auto"/>
              </w:rPr>
              <w:t>Twelve Months Ended</w:t>
            </w: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2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color w:val="auto"/>
              </w:rPr>
              <w:t>Twelve Months Ended</w:t>
            </w: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6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color w:val="auto"/>
              </w:rPr>
              <w:t>September 30, 2022</w:t>
            </w: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color w:val="auto"/>
              </w:rPr>
              <w:t>September 30, 2021</w:t>
            </w: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6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center"/>
              <w:ind w:right="48"/>
              <w:spacing w:after="0" w:line="138" w:lineRule="exact"/>
              <w:rPr>
                <w:sz w:val="20"/>
                <w:szCs w:val="20"/>
                <w:color w:val="auto"/>
              </w:rPr>
            </w:pPr>
            <w:r>
              <w:rPr>
                <w:rFonts w:ascii="Times New Roman" w:cs="Times New Roman" w:eastAsia="Times New Roman" w:hAnsi="Times New Roman"/>
                <w:sz w:val="14"/>
                <w:szCs w:val="14"/>
                <w:color w:val="auto"/>
              </w:rPr>
              <w:t>Before-</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jc w:val="center"/>
              <w:ind w:right="220"/>
              <w:spacing w:after="0" w:line="138" w:lineRule="exact"/>
              <w:rPr>
                <w:sz w:val="20"/>
                <w:szCs w:val="20"/>
                <w:color w:val="auto"/>
              </w:rPr>
            </w:pPr>
            <w:r>
              <w:rPr>
                <w:rFonts w:ascii="Times New Roman" w:cs="Times New Roman" w:eastAsia="Times New Roman" w:hAnsi="Times New Roman"/>
                <w:sz w:val="14"/>
                <w:szCs w:val="14"/>
                <w:color w:val="auto"/>
              </w:rPr>
              <w:t>Tax</w:t>
            </w:r>
          </w:p>
        </w:tc>
        <w:tc>
          <w:tcPr>
            <w:tcW w:w="140" w:type="dxa"/>
            <w:vAlign w:val="bottom"/>
          </w:tcPr>
          <w:p>
            <w:pPr>
              <w:spacing w:after="0"/>
              <w:rPr>
                <w:sz w:val="11"/>
                <w:szCs w:val="11"/>
                <w:color w:val="auto"/>
              </w:rPr>
            </w:pPr>
          </w:p>
        </w:tc>
        <w:tc>
          <w:tcPr>
            <w:tcW w:w="680" w:type="dxa"/>
            <w:vAlign w:val="bottom"/>
          </w:tcPr>
          <w:p>
            <w:pPr>
              <w:jc w:val="center"/>
              <w:ind w:right="68"/>
              <w:spacing w:after="0" w:line="138" w:lineRule="exact"/>
              <w:rPr>
                <w:sz w:val="20"/>
                <w:szCs w:val="20"/>
                <w:color w:val="auto"/>
              </w:rPr>
            </w:pPr>
            <w:r>
              <w:rPr>
                <w:rFonts w:ascii="Times New Roman" w:cs="Times New Roman" w:eastAsia="Times New Roman" w:hAnsi="Times New Roman"/>
                <w:sz w:val="14"/>
                <w:szCs w:val="14"/>
                <w:color w:val="auto"/>
              </w:rPr>
              <w:t>Net-of-</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jc w:val="center"/>
              <w:ind w:right="108"/>
              <w:spacing w:after="0" w:line="138" w:lineRule="exact"/>
              <w:rPr>
                <w:sz w:val="20"/>
                <w:szCs w:val="20"/>
                <w:color w:val="auto"/>
              </w:rPr>
            </w:pPr>
            <w:r>
              <w:rPr>
                <w:rFonts w:ascii="Times New Roman" w:cs="Times New Roman" w:eastAsia="Times New Roman" w:hAnsi="Times New Roman"/>
                <w:sz w:val="14"/>
                <w:szCs w:val="14"/>
                <w:color w:val="auto"/>
                <w:w w:val="98"/>
              </w:rPr>
              <w:t>Before-</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jc w:val="center"/>
              <w:ind w:right="240"/>
              <w:spacing w:after="0" w:line="138" w:lineRule="exact"/>
              <w:rPr>
                <w:sz w:val="20"/>
                <w:szCs w:val="20"/>
                <w:color w:val="auto"/>
              </w:rPr>
            </w:pPr>
            <w:r>
              <w:rPr>
                <w:rFonts w:ascii="Times New Roman" w:cs="Times New Roman" w:eastAsia="Times New Roman" w:hAnsi="Times New Roman"/>
                <w:sz w:val="14"/>
                <w:szCs w:val="14"/>
                <w:color w:val="auto"/>
                <w:w w:val="91"/>
              </w:rPr>
              <w:t>Tax</w:t>
            </w:r>
          </w:p>
        </w:tc>
        <w:tc>
          <w:tcPr>
            <w:tcW w:w="140" w:type="dxa"/>
            <w:vAlign w:val="bottom"/>
          </w:tcPr>
          <w:p>
            <w:pPr>
              <w:spacing w:after="0"/>
              <w:rPr>
                <w:sz w:val="11"/>
                <w:szCs w:val="11"/>
                <w:color w:val="auto"/>
              </w:rPr>
            </w:pPr>
          </w:p>
        </w:tc>
        <w:tc>
          <w:tcPr>
            <w:tcW w:w="660" w:type="dxa"/>
            <w:vAlign w:val="bottom"/>
          </w:tcPr>
          <w:p>
            <w:pPr>
              <w:jc w:val="center"/>
              <w:ind w:right="88"/>
              <w:spacing w:after="0" w:line="138" w:lineRule="exact"/>
              <w:rPr>
                <w:sz w:val="20"/>
                <w:szCs w:val="20"/>
                <w:color w:val="auto"/>
              </w:rPr>
            </w:pPr>
            <w:r>
              <w:rPr>
                <w:rFonts w:ascii="Times New Roman" w:cs="Times New Roman" w:eastAsia="Times New Roman" w:hAnsi="Times New Roman"/>
                <w:sz w:val="14"/>
                <w:szCs w:val="14"/>
                <w:color w:val="auto"/>
              </w:rPr>
              <w:t>Net-of-</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520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 of dollars)</w:t>
            </w:r>
          </w:p>
        </w:tc>
        <w:tc>
          <w:tcPr>
            <w:tcW w:w="120" w:type="dxa"/>
            <w:vAlign w:val="bottom"/>
          </w:tcPr>
          <w:p>
            <w:pPr>
              <w:spacing w:after="0"/>
              <w:rPr>
                <w:sz w:val="12"/>
                <w:szCs w:val="12"/>
                <w:color w:val="auto"/>
              </w:rPr>
            </w:pPr>
          </w:p>
        </w:tc>
        <w:tc>
          <w:tcPr>
            <w:tcW w:w="680" w:type="dxa"/>
            <w:vAlign w:val="bottom"/>
          </w:tcPr>
          <w:p>
            <w:pPr>
              <w:jc w:val="center"/>
              <w:ind w:right="48"/>
              <w:spacing w:after="0" w:line="145" w:lineRule="exact"/>
              <w:rPr>
                <w:sz w:val="20"/>
                <w:szCs w:val="20"/>
                <w:color w:val="auto"/>
              </w:rPr>
            </w:pPr>
            <w:r>
              <w:rPr>
                <w:rFonts w:ascii="Times New Roman" w:cs="Times New Roman" w:eastAsia="Times New Roman" w:hAnsi="Times New Roman"/>
                <w:sz w:val="14"/>
                <w:szCs w:val="14"/>
                <w:color w:val="auto"/>
                <w:w w:val="91"/>
              </w:rPr>
              <w:t>Tax</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220"/>
              <w:spacing w:after="0" w:line="145" w:lineRule="exact"/>
              <w:rPr>
                <w:sz w:val="20"/>
                <w:szCs w:val="20"/>
                <w:color w:val="auto"/>
              </w:rPr>
            </w:pPr>
            <w:r>
              <w:rPr>
                <w:rFonts w:ascii="Times New Roman" w:cs="Times New Roman" w:eastAsia="Times New Roman" w:hAnsi="Times New Roman"/>
                <w:sz w:val="14"/>
                <w:szCs w:val="14"/>
                <w:color w:val="auto"/>
              </w:rPr>
              <w:t>(Expense)</w:t>
            </w:r>
          </w:p>
        </w:tc>
        <w:tc>
          <w:tcPr>
            <w:tcW w:w="140" w:type="dxa"/>
            <w:vAlign w:val="bottom"/>
          </w:tcPr>
          <w:p>
            <w:pPr>
              <w:spacing w:after="0"/>
              <w:rPr>
                <w:sz w:val="12"/>
                <w:szCs w:val="12"/>
                <w:color w:val="auto"/>
              </w:rPr>
            </w:pPr>
          </w:p>
        </w:tc>
        <w:tc>
          <w:tcPr>
            <w:tcW w:w="78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color w:val="auto"/>
              </w:rPr>
              <w:t>Tax</w:t>
            </w:r>
          </w:p>
        </w:tc>
        <w:tc>
          <w:tcPr>
            <w:tcW w:w="140" w:type="dxa"/>
            <w:vAlign w:val="bottom"/>
          </w:tcPr>
          <w:p>
            <w:pPr>
              <w:spacing w:after="0"/>
              <w:rPr>
                <w:sz w:val="12"/>
                <w:szCs w:val="12"/>
                <w:color w:val="auto"/>
              </w:rPr>
            </w:pPr>
          </w:p>
        </w:tc>
        <w:tc>
          <w:tcPr>
            <w:tcW w:w="680" w:type="dxa"/>
            <w:vAlign w:val="bottom"/>
          </w:tcPr>
          <w:p>
            <w:pPr>
              <w:jc w:val="center"/>
              <w:ind w:right="68"/>
              <w:spacing w:after="0" w:line="145" w:lineRule="exact"/>
              <w:rPr>
                <w:sz w:val="20"/>
                <w:szCs w:val="20"/>
                <w:color w:val="auto"/>
              </w:rPr>
            </w:pPr>
            <w:r>
              <w:rPr>
                <w:rFonts w:ascii="Times New Roman" w:cs="Times New Roman" w:eastAsia="Times New Roman" w:hAnsi="Times New Roman"/>
                <w:sz w:val="14"/>
                <w:szCs w:val="14"/>
                <w:color w:val="auto"/>
              </w:rPr>
              <w:t>Tax</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color w:val="auto"/>
              </w:rPr>
              <w:t>(Expense)</w:t>
            </w:r>
          </w:p>
        </w:tc>
        <w:tc>
          <w:tcPr>
            <w:tcW w:w="140" w:type="dxa"/>
            <w:vAlign w:val="bottom"/>
          </w:tcPr>
          <w:p>
            <w:pPr>
              <w:spacing w:after="0"/>
              <w:rPr>
                <w:sz w:val="12"/>
                <w:szCs w:val="12"/>
                <w:color w:val="auto"/>
              </w:rPr>
            </w:pPr>
          </w:p>
        </w:tc>
        <w:tc>
          <w:tcPr>
            <w:tcW w:w="680" w:type="dxa"/>
            <w:vAlign w:val="bottom"/>
            <w:gridSpan w:val="2"/>
          </w:tcPr>
          <w:p>
            <w:pPr>
              <w:jc w:val="center"/>
              <w:ind w:right="180"/>
              <w:spacing w:after="0" w:line="145" w:lineRule="exact"/>
              <w:rPr>
                <w:sz w:val="20"/>
                <w:szCs w:val="20"/>
                <w:color w:val="auto"/>
              </w:rPr>
            </w:pPr>
            <w:r>
              <w:rPr>
                <w:rFonts w:ascii="Times New Roman" w:cs="Times New Roman" w:eastAsia="Times New Roman" w:hAnsi="Times New Roman"/>
                <w:sz w:val="14"/>
                <w:szCs w:val="14"/>
                <w:color w:val="auto"/>
              </w:rPr>
              <w:t>Tax</w:t>
            </w:r>
          </w:p>
        </w:tc>
        <w:tc>
          <w:tcPr>
            <w:tcW w:w="0" w:type="dxa"/>
            <w:vAlign w:val="bottom"/>
          </w:tcPr>
          <w:p>
            <w:pPr>
              <w:spacing w:after="0"/>
              <w:rPr>
                <w:sz w:val="1"/>
                <w:szCs w:val="1"/>
                <w:color w:val="auto"/>
              </w:rPr>
            </w:pPr>
          </w:p>
        </w:tc>
      </w:tr>
      <w:tr>
        <w:trPr>
          <w:trHeight w:val="196"/>
        </w:trPr>
        <w:tc>
          <w:tcPr>
            <w:tcW w:w="5200" w:type="dxa"/>
            <w:vAlign w:val="bottom"/>
            <w:gridSpan w:val="4"/>
            <w:vMerge w:val="continue"/>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Amount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or Benefit (1)</w:t>
            </w:r>
          </w:p>
        </w:tc>
        <w:tc>
          <w:tcPr>
            <w:tcW w:w="140" w:type="dxa"/>
            <w:vAlign w:val="bottom"/>
          </w:tcPr>
          <w:p>
            <w:pPr>
              <w:spacing w:after="0"/>
              <w:rPr>
                <w:sz w:val="17"/>
                <w:szCs w:val="17"/>
                <w:color w:val="auto"/>
              </w:rPr>
            </w:pPr>
          </w:p>
        </w:tc>
        <w:tc>
          <w:tcPr>
            <w:tcW w:w="7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Amount</w:t>
            </w:r>
          </w:p>
        </w:tc>
        <w:tc>
          <w:tcPr>
            <w:tcW w:w="140" w:type="dxa"/>
            <w:vAlign w:val="bottom"/>
          </w:tcPr>
          <w:p>
            <w:pPr>
              <w:spacing w:after="0"/>
              <w:rPr>
                <w:sz w:val="17"/>
                <w:szCs w:val="17"/>
                <w:color w:val="auto"/>
              </w:rPr>
            </w:pPr>
          </w:p>
        </w:tc>
        <w:tc>
          <w:tcPr>
            <w:tcW w:w="68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Amount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or Benefit (1)</w:t>
            </w:r>
          </w:p>
        </w:tc>
        <w:tc>
          <w:tcPr>
            <w:tcW w:w="140" w:type="dxa"/>
            <w:vAlign w:val="bottom"/>
          </w:tcPr>
          <w:p>
            <w:pPr>
              <w:spacing w:after="0"/>
              <w:rPr>
                <w:sz w:val="17"/>
                <w:szCs w:val="17"/>
                <w:color w:val="auto"/>
              </w:rPr>
            </w:pPr>
          </w:p>
        </w:tc>
        <w:tc>
          <w:tcPr>
            <w:tcW w:w="6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Amount</w:t>
            </w:r>
          </w:p>
        </w:tc>
        <w:tc>
          <w:tcPr>
            <w:tcW w:w="0" w:type="dxa"/>
            <w:vAlign w:val="bottom"/>
          </w:tcPr>
          <w:p>
            <w:pPr>
              <w:spacing w:after="0"/>
              <w:rPr>
                <w:sz w:val="1"/>
                <w:szCs w:val="1"/>
                <w:color w:val="auto"/>
              </w:rPr>
            </w:pPr>
          </w:p>
        </w:tc>
      </w:tr>
      <w:tr>
        <w:trPr>
          <w:trHeight w:val="189"/>
        </w:trPr>
        <w:tc>
          <w:tcPr>
            <w:tcW w:w="5200" w:type="dxa"/>
            <w:vAlign w:val="bottom"/>
            <w:tcBorders>
              <w:top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Defined benefit pension plans:</w:t>
            </w:r>
          </w:p>
        </w:tc>
        <w:tc>
          <w:tcPr>
            <w:tcW w:w="12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0" w:type="dxa"/>
            <w:vAlign w:val="bottom"/>
          </w:tcPr>
          <w:p>
            <w:pPr>
              <w:spacing w:after="0"/>
              <w:rPr>
                <w:sz w:val="16"/>
                <w:szCs w:val="16"/>
                <w:color w:val="auto"/>
              </w:rPr>
            </w:pPr>
          </w:p>
        </w:tc>
        <w:tc>
          <w:tcPr>
            <w:tcW w:w="514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Net actuarial gain/(loss)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59,176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(14,202)</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44,974</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(57,539)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13,809</w:t>
            </w:r>
          </w:p>
        </w:tc>
        <w:tc>
          <w:tcPr>
            <w:tcW w:w="100" w:type="dxa"/>
            <w:vAlign w:val="bottom"/>
          </w:tcPr>
          <w:p>
            <w:pPr>
              <w:spacing w:after="0"/>
              <w:rPr>
                <w:sz w:val="16"/>
                <w:szCs w:val="16"/>
                <w:color w:val="auto"/>
              </w:rPr>
            </w:pPr>
          </w:p>
        </w:tc>
        <w:tc>
          <w:tcPr>
            <w:tcW w:w="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(43,730)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0" w:type="dxa"/>
            <w:vAlign w:val="bottom"/>
            <w:shd w:val="clear" w:color="auto" w:fill="CCEEFF"/>
          </w:tcPr>
          <w:p>
            <w:pPr>
              <w:spacing w:after="0"/>
              <w:rPr>
                <w:sz w:val="18"/>
                <w:szCs w:val="18"/>
                <w:color w:val="auto"/>
              </w:rPr>
            </w:pPr>
          </w:p>
        </w:tc>
        <w:tc>
          <w:tcPr>
            <w:tcW w:w="514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Amortization of prior service cost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0" w:type="dxa"/>
            <w:vAlign w:val="bottom"/>
          </w:tcPr>
          <w:p>
            <w:pPr>
              <w:spacing w:after="0"/>
              <w:rPr>
                <w:sz w:val="16"/>
                <w:szCs w:val="16"/>
                <w:color w:val="auto"/>
              </w:rPr>
            </w:pPr>
          </w:p>
        </w:tc>
        <w:tc>
          <w:tcPr>
            <w:tcW w:w="514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Amortization of net actuarial (gain)/loss</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37,263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(8,942)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28,321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42,906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(10,298)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32,608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0" w:type="dxa"/>
            <w:vAlign w:val="bottom"/>
            <w:shd w:val="clear" w:color="auto" w:fill="CCEEFF"/>
          </w:tcPr>
          <w:p>
            <w:pPr>
              <w:spacing w:after="0"/>
              <w:rPr>
                <w:sz w:val="18"/>
                <w:szCs w:val="18"/>
                <w:color w:val="auto"/>
              </w:rPr>
            </w:pPr>
          </w:p>
        </w:tc>
        <w:tc>
          <w:tcPr>
            <w:tcW w:w="514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Regulatory adjustment</w:t>
            </w: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(81,273)</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19,506</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(61,767)</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3,894</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(935)</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514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Pension plans other comprehensive income (loss)</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15,538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11,810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(9,732)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(7,397)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2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FSIRS (designated hedging activities):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0" w:type="dxa"/>
            <w:vAlign w:val="bottom"/>
            <w:tcBorders>
              <w:bottom w:val="single" w:sz="8" w:color="CCEEFF"/>
            </w:tcBorders>
          </w:tcPr>
          <w:p>
            <w:pPr>
              <w:spacing w:after="0"/>
              <w:rPr>
                <w:sz w:val="17"/>
                <w:szCs w:val="17"/>
                <w:color w:val="auto"/>
              </w:rPr>
            </w:pPr>
          </w:p>
        </w:tc>
        <w:tc>
          <w:tcPr>
            <w:tcW w:w="5140" w:type="dxa"/>
            <w:vAlign w:val="bottom"/>
            <w:tcBorders>
              <w:bottom w:val="single" w:sz="8" w:color="CCEEFF"/>
            </w:tcBorders>
            <w:gridSpan w:val="3"/>
          </w:tcPr>
          <w:p>
            <w:pPr>
              <w:ind w:left="80"/>
              <w:spacing w:after="0"/>
              <w:rPr>
                <w:sz w:val="20"/>
                <w:szCs w:val="20"/>
                <w:color w:val="auto"/>
              </w:rPr>
            </w:pPr>
            <w:r>
              <w:rPr>
                <w:rFonts w:ascii="Times New Roman" w:cs="Times New Roman" w:eastAsia="Times New Roman" w:hAnsi="Times New Roman"/>
                <w:sz w:val="14"/>
                <w:szCs w:val="14"/>
                <w:color w:val="auto"/>
              </w:rPr>
              <w:t>Amounts reclassified into net income</w:t>
            </w: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1,087</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(259)</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828</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2,176</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(523)</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 w:type="dxa"/>
            <w:vAlign w:val="bottom"/>
            <w:shd w:val="clear" w:color="auto" w:fill="CCEEFF"/>
          </w:tcPr>
          <w:p>
            <w:pPr>
              <w:spacing w:after="0"/>
              <w:rPr>
                <w:sz w:val="17"/>
                <w:szCs w:val="17"/>
                <w:color w:val="auto"/>
              </w:rPr>
            </w:pPr>
          </w:p>
        </w:tc>
        <w:tc>
          <w:tcPr>
            <w:tcW w:w="51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FSIRS other comprehensive income (loss)</w:t>
            </w: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1,087</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828</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2,176</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(523)</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520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4"/>
                <w:szCs w:val="14"/>
                <w:color w:val="auto"/>
              </w:rPr>
              <w:t>Total other comprehensive income (loss) - Southwest Gas Corporation</w:t>
            </w: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16,625</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(3,987)</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12,638</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(7,556)</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1,812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(5,744)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2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14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Translation adjustments</w:t>
            </w: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(6,919)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(6,919)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0" w:type="dxa"/>
            <w:vAlign w:val="bottom"/>
            <w:tcBorders>
              <w:top w:val="single" w:sz="8" w:color="CCEEFF"/>
            </w:tcBorders>
            <w:shd w:val="clear" w:color="auto" w:fill="CCEEFF"/>
          </w:tcPr>
          <w:p>
            <w:pPr>
              <w:spacing w:after="0"/>
              <w:rPr>
                <w:sz w:val="17"/>
                <w:szCs w:val="17"/>
                <w:color w:val="auto"/>
              </w:rPr>
            </w:pPr>
          </w:p>
        </w:tc>
        <w:tc>
          <w:tcPr>
            <w:tcW w:w="5140" w:type="dxa"/>
            <w:vAlign w:val="bottom"/>
            <w:tcBorders>
              <w:top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Foreign currency other comprehensive income (loss)</w:t>
            </w: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(6,919)</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(6,919)</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2,576</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520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Total other comprehensive income (loss) - Southwest Gas Holdings, Inc.</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9,706</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(3,987)</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5,719</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(4,980)</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1,812</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(3,168)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jc w:val="both"/>
        <w:ind w:left="180" w:hanging="10"/>
        <w:spacing w:after="0" w:line="263" w:lineRule="auto"/>
        <w:tabs>
          <w:tab w:leader="none" w:pos="666"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Tax amounts are calculated using a 24% rate. The Company has elected to indefinitely reinvest, in Canada, the earnings of Centuri’s Canadian subsidiaries, thus precluding deferred taxes on such earnings. As a result of this assertion, and no repatriation of earnings anticipated, the Company is not recognizing a tax effect or presenting a tax expense or benefit for currency translation adjustments reported in Other comprehensive income (loss).</w:t>
      </w:r>
    </w:p>
    <w:p>
      <w:pPr>
        <w:spacing w:after="0" w:line="7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represents a rollforward of AOCI, presented on the Company’s Condensed Consolidated Balance Sheets and its Condensed Consolidated Statements of Equity:</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20" w:type="dxa"/>
            <w:vAlign w:val="bottom"/>
            <w:gridSpan w:val="6"/>
          </w:tcPr>
          <w:p>
            <w:pPr>
              <w:jc w:val="right"/>
              <w:spacing w:after="0"/>
              <w:rPr>
                <w:sz w:val="20"/>
                <w:szCs w:val="20"/>
                <w:color w:val="auto"/>
              </w:rPr>
            </w:pPr>
            <w:r>
              <w:rPr>
                <w:rFonts w:ascii="Times New Roman" w:cs="Times New Roman" w:eastAsia="Times New Roman" w:hAnsi="Times New Roman"/>
                <w:sz w:val="14"/>
                <w:szCs w:val="14"/>
                <w:color w:val="auto"/>
              </w:rPr>
              <w:t>Defined Benefit Plans</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FSIRS</w:t>
            </w: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gridSpan w:val="6"/>
          </w:tcPr>
          <w:p>
            <w:pPr>
              <w:jc w:val="center"/>
              <w:ind w:left="288"/>
              <w:spacing w:after="0"/>
              <w:rPr>
                <w:sz w:val="20"/>
                <w:szCs w:val="20"/>
                <w:color w:val="auto"/>
              </w:rPr>
            </w:pPr>
            <w:r>
              <w:rPr>
                <w:rFonts w:ascii="Times New Roman" w:cs="Times New Roman" w:eastAsia="Times New Roman" w:hAnsi="Times New Roman"/>
                <w:sz w:val="14"/>
                <w:szCs w:val="14"/>
                <w:color w:val="auto"/>
              </w:rPr>
              <w:t>Foreign Currency Items</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6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2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center"/>
              <w:ind w:right="220"/>
              <w:spacing w:after="0" w:line="133" w:lineRule="exact"/>
              <w:rPr>
                <w:sz w:val="20"/>
                <w:szCs w:val="20"/>
                <w:color w:val="auto"/>
              </w:rPr>
            </w:pPr>
            <w:r>
              <w:rPr>
                <w:rFonts w:ascii="Times New Roman" w:cs="Times New Roman" w:eastAsia="Times New Roman" w:hAnsi="Times New Roman"/>
                <w:sz w:val="14"/>
                <w:szCs w:val="14"/>
                <w:color w:val="auto"/>
                <w:w w:val="91"/>
              </w:rPr>
              <w:t>Tax</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Before-</w:t>
            </w:r>
          </w:p>
        </w:tc>
        <w:tc>
          <w:tcPr>
            <w:tcW w:w="100" w:type="dxa"/>
            <w:vAlign w:val="bottom"/>
          </w:tcPr>
          <w:p>
            <w:pPr>
              <w:spacing w:after="0"/>
              <w:rPr>
                <w:sz w:val="11"/>
                <w:szCs w:val="11"/>
                <w:color w:val="auto"/>
              </w:rPr>
            </w:pPr>
          </w:p>
        </w:tc>
        <w:tc>
          <w:tcPr>
            <w:tcW w:w="900" w:type="dxa"/>
            <w:vAlign w:val="bottom"/>
            <w:gridSpan w:val="2"/>
          </w:tcPr>
          <w:p>
            <w:pPr>
              <w:jc w:val="center"/>
              <w:ind w:right="220"/>
              <w:spacing w:after="0" w:line="133" w:lineRule="exact"/>
              <w:rPr>
                <w:sz w:val="20"/>
                <w:szCs w:val="20"/>
                <w:color w:val="auto"/>
              </w:rPr>
            </w:pPr>
            <w:r>
              <w:rPr>
                <w:rFonts w:ascii="Times New Roman" w:cs="Times New Roman" w:eastAsia="Times New Roman" w:hAnsi="Times New Roman"/>
                <w:sz w:val="14"/>
                <w:szCs w:val="14"/>
                <w:color w:val="auto"/>
                <w:w w:val="91"/>
              </w:rPr>
              <w:t>Tax</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Before-</w:t>
            </w:r>
          </w:p>
        </w:tc>
        <w:tc>
          <w:tcPr>
            <w:tcW w:w="100" w:type="dxa"/>
            <w:vAlign w:val="bottom"/>
          </w:tcPr>
          <w:p>
            <w:pPr>
              <w:spacing w:after="0"/>
              <w:rPr>
                <w:sz w:val="11"/>
                <w:szCs w:val="11"/>
                <w:color w:val="auto"/>
              </w:rPr>
            </w:pPr>
          </w:p>
        </w:tc>
        <w:tc>
          <w:tcPr>
            <w:tcW w:w="820" w:type="dxa"/>
            <w:vAlign w:val="bottom"/>
            <w:gridSpan w:val="2"/>
          </w:tcPr>
          <w:p>
            <w:pPr>
              <w:jc w:val="center"/>
              <w:ind w:right="200"/>
              <w:spacing w:after="0" w:line="133" w:lineRule="exact"/>
              <w:rPr>
                <w:sz w:val="20"/>
                <w:szCs w:val="20"/>
                <w:color w:val="auto"/>
              </w:rPr>
            </w:pPr>
            <w:r>
              <w:rPr>
                <w:rFonts w:ascii="Times New Roman" w:cs="Times New Roman" w:eastAsia="Times New Roman" w:hAnsi="Times New Roman"/>
                <w:sz w:val="14"/>
                <w:szCs w:val="14"/>
                <w:color w:val="auto"/>
              </w:rPr>
              <w:t>Tax</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 of dollars)</w:t>
            </w:r>
          </w:p>
        </w:tc>
        <w:tc>
          <w:tcPr>
            <w:tcW w:w="82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Before-Tax</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rPr>
              <w:t>(Expense)</w:t>
            </w:r>
          </w:p>
        </w:tc>
        <w:tc>
          <w:tcPr>
            <w:tcW w:w="80" w:type="dxa"/>
            <w:vAlign w:val="bottom"/>
          </w:tcPr>
          <w:p>
            <w:pPr>
              <w:spacing w:after="0"/>
              <w:rPr>
                <w:sz w:val="12"/>
                <w:szCs w:val="12"/>
                <w:color w:val="auto"/>
              </w:rPr>
            </w:pPr>
          </w:p>
        </w:tc>
        <w:tc>
          <w:tcPr>
            <w:tcW w:w="6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w w:val="99"/>
              </w:rPr>
              <w:t>After-Tax</w:t>
            </w:r>
          </w:p>
        </w:tc>
        <w:tc>
          <w:tcPr>
            <w:tcW w:w="10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rPr>
              <w:t>(Expense)</w:t>
            </w:r>
          </w:p>
        </w:tc>
        <w:tc>
          <w:tcPr>
            <w:tcW w:w="6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After-Tax</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(Expense)</w:t>
            </w:r>
          </w:p>
        </w:tc>
        <w:tc>
          <w:tcPr>
            <w:tcW w:w="70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After-Tax</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AOCI</w:t>
            </w:r>
          </w:p>
        </w:tc>
        <w:tc>
          <w:tcPr>
            <w:tcW w:w="0" w:type="dxa"/>
            <w:vAlign w:val="bottom"/>
          </w:tcPr>
          <w:p>
            <w:pPr>
              <w:spacing w:after="0"/>
              <w:rPr>
                <w:sz w:val="1"/>
                <w:szCs w:val="1"/>
                <w:color w:val="auto"/>
              </w:rPr>
            </w:pPr>
          </w:p>
        </w:tc>
      </w:tr>
      <w:tr>
        <w:trPr>
          <w:trHeight w:val="193"/>
        </w:trPr>
        <w:tc>
          <w:tcPr>
            <w:tcW w:w="2680" w:type="dxa"/>
            <w:vAlign w:val="bottom"/>
            <w:tcBorders>
              <w:bottom w:val="single" w:sz="8" w:color="CCEEFF"/>
            </w:tcBorders>
            <w:vMerge w:val="continue"/>
          </w:tcPr>
          <w:p>
            <w:pPr>
              <w:spacing w:after="0"/>
              <w:rPr>
                <w:sz w:val="16"/>
                <w:szCs w:val="16"/>
                <w:color w:val="auto"/>
              </w:rPr>
            </w:pPr>
          </w:p>
        </w:tc>
        <w:tc>
          <w:tcPr>
            <w:tcW w:w="82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color w:val="auto"/>
              </w:rPr>
              <w:t>Benefit (4)</w:t>
            </w: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Tax</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color w:val="auto"/>
              </w:rPr>
              <w:t>Benefit (4)</w:t>
            </w:r>
          </w:p>
        </w:tc>
        <w:tc>
          <w:tcPr>
            <w:tcW w:w="12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Tax</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color w:val="auto"/>
              </w:rPr>
              <w:t>Benefit</w:t>
            </w:r>
          </w:p>
        </w:tc>
        <w:tc>
          <w:tcPr>
            <w:tcW w:w="10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2680" w:type="dxa"/>
            <w:vAlign w:val="bottom"/>
            <w:shd w:val="clear" w:color="auto" w:fill="CCEEFF"/>
          </w:tcPr>
          <w:p>
            <w:pPr>
              <w:ind w:left="20"/>
              <w:spacing w:after="0" w:line="125" w:lineRule="exact"/>
              <w:rPr>
                <w:sz w:val="20"/>
                <w:szCs w:val="20"/>
                <w:color w:val="auto"/>
              </w:rPr>
            </w:pPr>
            <w:r>
              <w:rPr>
                <w:rFonts w:ascii="Times New Roman" w:cs="Times New Roman" w:eastAsia="Times New Roman" w:hAnsi="Times New Roman"/>
                <w:sz w:val="14"/>
                <w:szCs w:val="14"/>
                <w:color w:val="auto"/>
              </w:rPr>
              <w:t>Beginning Balance AOCI</w:t>
            </w:r>
          </w:p>
        </w:tc>
        <w:tc>
          <w:tcPr>
            <w:tcW w:w="2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(61,182)</w:t>
            </w:r>
          </w:p>
        </w:tc>
        <w:tc>
          <w:tcPr>
            <w:tcW w:w="10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14,685</w:t>
            </w:r>
          </w:p>
        </w:tc>
        <w:tc>
          <w:tcPr>
            <w:tcW w:w="100" w:type="dxa"/>
            <w:vAlign w:val="bottom"/>
            <w:shd w:val="clear" w:color="auto" w:fill="CCEEFF"/>
          </w:tcPr>
          <w:p>
            <w:pPr>
              <w:spacing w:after="0"/>
              <w:rPr>
                <w:sz w:val="10"/>
                <w:szCs w:val="10"/>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(46,497)</w:t>
            </w:r>
          </w:p>
        </w:tc>
        <w:tc>
          <w:tcPr>
            <w:tcW w:w="10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w:t>
            </w:r>
          </w:p>
        </w:tc>
        <w:tc>
          <w:tcPr>
            <w:tcW w:w="10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20" w:type="dxa"/>
            <w:vAlign w:val="bottom"/>
            <w:shd w:val="clear" w:color="auto" w:fill="CCEEFF"/>
          </w:tcPr>
          <w:p>
            <w:pPr>
              <w:spacing w:after="0"/>
              <w:rPr>
                <w:sz w:val="10"/>
                <w:szCs w:val="10"/>
                <w:color w:val="auto"/>
              </w:rPr>
            </w:pPr>
          </w:p>
        </w:tc>
        <w:tc>
          <w:tcPr>
            <w:tcW w:w="2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w:t>
            </w:r>
          </w:p>
        </w:tc>
        <w:tc>
          <w:tcPr>
            <w:tcW w:w="10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10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10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(46,761)</w:t>
            </w:r>
          </w:p>
        </w:tc>
        <w:tc>
          <w:tcPr>
            <w:tcW w:w="0" w:type="dxa"/>
            <w:vAlign w:val="bottom"/>
          </w:tcPr>
          <w:p>
            <w:pPr>
              <w:spacing w:after="0"/>
              <w:rPr>
                <w:sz w:val="1"/>
                <w:szCs w:val="1"/>
                <w:color w:val="auto"/>
              </w:rPr>
            </w:pPr>
          </w:p>
        </w:tc>
      </w:tr>
      <w:tr>
        <w:trPr>
          <w:trHeight w:val="198"/>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December 31, 2021</w:t>
            </w:r>
          </w:p>
        </w:tc>
        <w:tc>
          <w:tcPr>
            <w:tcW w:w="200" w:type="dxa"/>
            <w:vAlign w:val="bottom"/>
            <w:vMerge w:val="continue"/>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4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4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Translation adjustments</w:t>
            </w:r>
          </w:p>
        </w:tc>
        <w:tc>
          <w:tcPr>
            <w:tcW w:w="20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(7,263)</w:t>
            </w:r>
          </w:p>
        </w:tc>
        <w:tc>
          <w:tcPr>
            <w:tcW w:w="10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(7,263)</w:t>
            </w: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(7,263)</w:t>
            </w:r>
          </w:p>
        </w:tc>
        <w:tc>
          <w:tcPr>
            <w:tcW w:w="0" w:type="dxa"/>
            <w:vAlign w:val="bottom"/>
          </w:tcPr>
          <w:p>
            <w:pPr>
              <w:spacing w:after="0"/>
              <w:rPr>
                <w:sz w:val="1"/>
                <w:szCs w:val="1"/>
                <w:color w:val="auto"/>
              </w:rPr>
            </w:pPr>
          </w:p>
        </w:tc>
      </w:tr>
      <w:tr>
        <w:trPr>
          <w:trHeight w:val="166"/>
        </w:trPr>
        <w:tc>
          <w:tcPr>
            <w:tcW w:w="2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26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before reclassifications</w:t>
            </w:r>
          </w:p>
        </w:tc>
        <w:tc>
          <w:tcPr>
            <w:tcW w:w="2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(7,263)</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(7,263)</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(7,263)</w:t>
            </w:r>
          </w:p>
        </w:tc>
        <w:tc>
          <w:tcPr>
            <w:tcW w:w="0" w:type="dxa"/>
            <w:vAlign w:val="bottom"/>
          </w:tcPr>
          <w:p>
            <w:pPr>
              <w:spacing w:after="0"/>
              <w:rPr>
                <w:sz w:val="1"/>
                <w:szCs w:val="1"/>
                <w:color w:val="auto"/>
              </w:rPr>
            </w:pPr>
          </w:p>
        </w:tc>
      </w:tr>
      <w:tr>
        <w:trPr>
          <w:trHeight w:val="206"/>
        </w:trPr>
        <w:tc>
          <w:tcPr>
            <w:tcW w:w="2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FSIRS amount reclassified from AOCI (1)</w:t>
            </w:r>
          </w:p>
        </w:tc>
        <w:tc>
          <w:tcPr>
            <w:tcW w:w="20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2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w:t>
            </w:r>
          </w:p>
        </w:tc>
        <w:tc>
          <w:tcPr>
            <w:tcW w:w="0" w:type="dxa"/>
            <w:vAlign w:val="bottom"/>
          </w:tcPr>
          <w:p>
            <w:pPr>
              <w:spacing w:after="0"/>
              <w:rPr>
                <w:sz w:val="1"/>
                <w:szCs w:val="1"/>
                <w:color w:val="auto"/>
              </w:rPr>
            </w:pPr>
          </w:p>
        </w:tc>
      </w:tr>
      <w:tr>
        <w:trPr>
          <w:trHeight w:val="23"/>
        </w:trPr>
        <w:tc>
          <w:tcPr>
            <w:tcW w:w="2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Amortization of prior service cost (2)</w:t>
            </w: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95"/>
        </w:trPr>
        <w:tc>
          <w:tcPr>
            <w:tcW w:w="2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Amortization of net actuarial loss (2)</w:t>
            </w:r>
          </w:p>
        </w:tc>
        <w:tc>
          <w:tcPr>
            <w:tcW w:w="2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26,114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(6,267)</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19,847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19,847</w:t>
            </w:r>
          </w:p>
        </w:tc>
        <w:tc>
          <w:tcPr>
            <w:tcW w:w="0" w:type="dxa"/>
            <w:vAlign w:val="bottom"/>
          </w:tcPr>
          <w:p>
            <w:pPr>
              <w:spacing w:after="0"/>
              <w:rPr>
                <w:sz w:val="1"/>
                <w:szCs w:val="1"/>
                <w:color w:val="auto"/>
              </w:rPr>
            </w:pPr>
          </w:p>
        </w:tc>
      </w:tr>
      <w:tr>
        <w:trPr>
          <w:trHeight w:val="210"/>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Regulatory adjustment (3)</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(21,804)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5,233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(16,571)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(16,571)</w:t>
            </w:r>
          </w:p>
        </w:tc>
        <w:tc>
          <w:tcPr>
            <w:tcW w:w="0" w:type="dxa"/>
            <w:vAlign w:val="bottom"/>
          </w:tcPr>
          <w:p>
            <w:pPr>
              <w:spacing w:after="0"/>
              <w:rPr>
                <w:sz w:val="1"/>
                <w:szCs w:val="1"/>
                <w:color w:val="auto"/>
              </w:rPr>
            </w:pPr>
          </w:p>
        </w:tc>
      </w:tr>
      <w:tr>
        <w:trPr>
          <w:trHeight w:val="160"/>
        </w:trPr>
        <w:tc>
          <w:tcPr>
            <w:tcW w:w="2680" w:type="dxa"/>
            <w:vAlign w:val="bottom"/>
          </w:tcPr>
          <w:p>
            <w:pPr>
              <w:ind w:left="20"/>
              <w:spacing w:after="0" w:line="160" w:lineRule="exact"/>
              <w:rPr>
                <w:sz w:val="20"/>
                <w:szCs w:val="20"/>
                <w:color w:val="auto"/>
              </w:rPr>
            </w:pPr>
            <w:r>
              <w:rPr>
                <w:rFonts w:ascii="Times New Roman" w:cs="Times New Roman" w:eastAsia="Times New Roman" w:hAnsi="Times New Roman"/>
                <w:sz w:val="14"/>
                <w:szCs w:val="14"/>
                <w:color w:val="auto"/>
              </w:rPr>
              <w:t>Net current period other comprehensive</w:t>
            </w:r>
          </w:p>
        </w:tc>
        <w:tc>
          <w:tcPr>
            <w:tcW w:w="2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income (loss) attributable to Southwest</w:t>
            </w: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Gas Holdings, Inc.</w:t>
            </w:r>
          </w:p>
        </w:tc>
        <w:tc>
          <w:tcPr>
            <w:tcW w:w="2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(1,066)</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(7,263)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(7,263)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(3,471)</w:t>
            </w:r>
          </w:p>
        </w:tc>
        <w:tc>
          <w:tcPr>
            <w:tcW w:w="0" w:type="dxa"/>
            <w:vAlign w:val="bottom"/>
          </w:tcPr>
          <w:p>
            <w:pPr>
              <w:spacing w:after="0"/>
              <w:rPr>
                <w:sz w:val="1"/>
                <w:szCs w:val="1"/>
                <w:color w:val="auto"/>
              </w:rPr>
            </w:pPr>
          </w:p>
        </w:tc>
      </w:tr>
      <w:tr>
        <w:trPr>
          <w:trHeight w:val="23"/>
        </w:trPr>
        <w:tc>
          <w:tcPr>
            <w:tcW w:w="26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2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Ending Balance AOCI September 30, 2022</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(56,740)</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13,619</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(43,121)</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(7,111)</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(7,111)</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(50,232)</w:t>
            </w:r>
          </w:p>
        </w:tc>
        <w:tc>
          <w:tcPr>
            <w:tcW w:w="0" w:type="dxa"/>
            <w:vAlign w:val="bottom"/>
          </w:tcPr>
          <w:p>
            <w:pPr>
              <w:spacing w:after="0"/>
              <w:rPr>
                <w:sz w:val="1"/>
                <w:szCs w:val="1"/>
                <w:color w:val="auto"/>
              </w:rPr>
            </w:pPr>
          </w:p>
        </w:tc>
      </w:tr>
      <w:tr>
        <w:trPr>
          <w:trHeight w:val="20"/>
        </w:trPr>
        <w:tc>
          <w:tcPr>
            <w:tcW w:w="2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1" w:lineRule="exact"/>
        <w:rPr>
          <w:sz w:val="20"/>
          <w:szCs w:val="20"/>
          <w:color w:val="auto"/>
        </w:rPr>
      </w:pPr>
    </w:p>
    <w:p>
      <w:pPr>
        <w:ind w:left="660" w:hanging="490"/>
        <w:spacing w:after="0"/>
        <w:tabs>
          <w:tab w:leader="none" w:pos="6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FSIRS reclassification amount is included in Net interest deductions on the Company’s Condensed Consolidated Statements of Income.</w:t>
      </w:r>
    </w:p>
    <w:p>
      <w:pPr>
        <w:spacing w:after="0" w:line="26" w:lineRule="exact"/>
        <w:rPr>
          <w:rFonts w:ascii="Times New Roman" w:cs="Times New Roman" w:eastAsia="Times New Roman" w:hAnsi="Times New Roman"/>
          <w:sz w:val="16"/>
          <w:szCs w:val="16"/>
          <w:color w:val="auto"/>
        </w:rPr>
      </w:pPr>
    </w:p>
    <w:p>
      <w:pPr>
        <w:ind w:left="180" w:right="20" w:hanging="10"/>
        <w:spacing w:after="0" w:line="253" w:lineRule="auto"/>
        <w:tabs>
          <w:tab w:leader="none" w:pos="666"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These AOCI components are included in the computation of net periodic benefit cost (see </w:t>
      </w:r>
      <w:r>
        <w:rPr>
          <w:rFonts w:ascii="Times New Roman" w:cs="Times New Roman" w:eastAsia="Times New Roman" w:hAnsi="Times New Roman"/>
          <w:sz w:val="16"/>
          <w:szCs w:val="16"/>
          <w:b w:val="1"/>
          <w:bCs w:val="1"/>
          <w:color w:val="auto"/>
        </w:rPr>
        <w:t>Note 2 – Components of Net Periodic Benefit Cost</w:t>
      </w:r>
      <w:r>
        <w:rPr>
          <w:rFonts w:ascii="Times New Roman" w:cs="Times New Roman" w:eastAsia="Times New Roman" w:hAnsi="Times New Roman"/>
          <w:sz w:val="16"/>
          <w:szCs w:val="16"/>
          <w:color w:val="auto"/>
        </w:rPr>
        <w:t xml:space="preserve"> for additional details).</w:t>
      </w:r>
    </w:p>
    <w:p>
      <w:pPr>
        <w:ind w:left="180" w:right="20" w:hanging="10"/>
        <w:spacing w:after="0" w:line="255" w:lineRule="auto"/>
        <w:tabs>
          <w:tab w:leader="none" w:pos="666"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regulatory adjustment represents the portion of the activity above that is expected to be recovered through rates in the future (the related regulatory asset is included in Deferred charges and other assets on the Company’s Condensed Consolidated Balance Sheets).</w:t>
      </w:r>
    </w:p>
    <w:p>
      <w:pPr>
        <w:ind w:left="660" w:hanging="490"/>
        <w:spacing w:after="0"/>
        <w:tabs>
          <w:tab w:leader="none" w:pos="6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Tax amounts are calculated using a 24%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28" w:name="page29"/>
    <w:bookmarkEnd w:id="28"/>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30, 2022</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a rollforward of AOCI, presented on Southwest’s Condensed Consolidated Balance Sheets: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80" w:type="dxa"/>
            <w:vAlign w:val="bottom"/>
            <w:gridSpan w:val="6"/>
          </w:tcPr>
          <w:p>
            <w:pPr>
              <w:jc w:val="center"/>
              <w:ind w:left="608"/>
              <w:spacing w:after="0"/>
              <w:rPr>
                <w:sz w:val="20"/>
                <w:szCs w:val="20"/>
                <w:color w:val="auto"/>
              </w:rPr>
            </w:pPr>
            <w:r>
              <w:rPr>
                <w:rFonts w:ascii="Times New Roman" w:cs="Times New Roman" w:eastAsia="Times New Roman" w:hAnsi="Times New Roman"/>
                <w:sz w:val="14"/>
                <w:szCs w:val="14"/>
                <w:color w:val="auto"/>
              </w:rPr>
              <w:t>Defined Benefit Plans</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FSIRS</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jc w:val="center"/>
              <w:ind w:right="220"/>
              <w:spacing w:after="0" w:line="129" w:lineRule="exact"/>
              <w:rPr>
                <w:sz w:val="20"/>
                <w:szCs w:val="20"/>
                <w:color w:val="auto"/>
              </w:rPr>
            </w:pPr>
            <w:r>
              <w:rPr>
                <w:rFonts w:ascii="Times New Roman" w:cs="Times New Roman" w:eastAsia="Times New Roman" w:hAnsi="Times New Roman"/>
                <w:sz w:val="14"/>
                <w:szCs w:val="14"/>
                <w:color w:val="auto"/>
                <w:w w:val="91"/>
              </w:rPr>
              <w:t>Tax</w:t>
            </w: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color w:val="auto"/>
                <w:w w:val="91"/>
              </w:rPr>
              <w:t>Tax</w:t>
            </w: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 of dollars)</w:t>
            </w:r>
          </w:p>
        </w:tc>
        <w:tc>
          <w:tcPr>
            <w:tcW w:w="140" w:type="dxa"/>
            <w:vAlign w:val="bottom"/>
          </w:tcPr>
          <w:p>
            <w:pPr>
              <w:spacing w:after="0"/>
              <w:rPr>
                <w:sz w:val="12"/>
                <w:szCs w:val="12"/>
                <w:color w:val="auto"/>
              </w:rPr>
            </w:pPr>
          </w:p>
        </w:tc>
        <w:tc>
          <w:tcPr>
            <w:tcW w:w="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Before-Tax</w:t>
            </w:r>
          </w:p>
        </w:tc>
        <w:tc>
          <w:tcPr>
            <w:tcW w:w="140" w:type="dxa"/>
            <w:vAlign w:val="bottom"/>
          </w:tcPr>
          <w:p>
            <w:pPr>
              <w:spacing w:after="0"/>
              <w:rPr>
                <w:sz w:val="12"/>
                <w:szCs w:val="12"/>
                <w:color w:val="auto"/>
              </w:rPr>
            </w:pPr>
          </w:p>
        </w:tc>
        <w:tc>
          <w:tcPr>
            <w:tcW w:w="940" w:type="dxa"/>
            <w:vAlign w:val="bottom"/>
            <w:gridSpan w:val="2"/>
          </w:tcPr>
          <w:p>
            <w:pPr>
              <w:jc w:val="center"/>
              <w:ind w:right="220"/>
              <w:spacing w:after="0" w:line="139" w:lineRule="exact"/>
              <w:rPr>
                <w:sz w:val="20"/>
                <w:szCs w:val="20"/>
                <w:color w:val="auto"/>
              </w:rPr>
            </w:pPr>
            <w:r>
              <w:rPr>
                <w:rFonts w:ascii="Times New Roman" w:cs="Times New Roman" w:eastAsia="Times New Roman" w:hAnsi="Times New Roman"/>
                <w:sz w:val="14"/>
                <w:szCs w:val="14"/>
                <w:color w:val="auto"/>
              </w:rPr>
              <w:t>(Expense)</w:t>
            </w:r>
          </w:p>
        </w:tc>
        <w:tc>
          <w:tcPr>
            <w:tcW w:w="160" w:type="dxa"/>
            <w:vAlign w:val="bottom"/>
          </w:tcPr>
          <w:p>
            <w:pPr>
              <w:spacing w:after="0"/>
              <w:rPr>
                <w:sz w:val="12"/>
                <w:szCs w:val="12"/>
                <w:color w:val="auto"/>
              </w:rPr>
            </w:pPr>
          </w:p>
        </w:tc>
        <w:tc>
          <w:tcPr>
            <w:tcW w:w="9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After-Tax</w:t>
            </w:r>
          </w:p>
        </w:tc>
        <w:tc>
          <w:tcPr>
            <w:tcW w:w="140" w:type="dxa"/>
            <w:vAlign w:val="bottom"/>
          </w:tcPr>
          <w:p>
            <w:pPr>
              <w:spacing w:after="0"/>
              <w:rPr>
                <w:sz w:val="12"/>
                <w:szCs w:val="12"/>
                <w:color w:val="auto"/>
              </w:rPr>
            </w:pPr>
          </w:p>
        </w:tc>
        <w:tc>
          <w:tcPr>
            <w:tcW w:w="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Before-Tax</w:t>
            </w:r>
          </w:p>
        </w:tc>
        <w:tc>
          <w:tcPr>
            <w:tcW w:w="140" w:type="dxa"/>
            <w:vAlign w:val="bottom"/>
          </w:tcPr>
          <w:p>
            <w:pPr>
              <w:spacing w:after="0"/>
              <w:rPr>
                <w:sz w:val="12"/>
                <w:szCs w:val="12"/>
                <w:color w:val="auto"/>
              </w:rPr>
            </w:pPr>
          </w:p>
        </w:tc>
        <w:tc>
          <w:tcPr>
            <w:tcW w:w="960" w:type="dxa"/>
            <w:vAlign w:val="bottom"/>
            <w:gridSpan w:val="2"/>
          </w:tcPr>
          <w:p>
            <w:pPr>
              <w:jc w:val="center"/>
              <w:ind w:right="240"/>
              <w:spacing w:after="0" w:line="139" w:lineRule="exact"/>
              <w:rPr>
                <w:sz w:val="20"/>
                <w:szCs w:val="20"/>
                <w:color w:val="auto"/>
              </w:rPr>
            </w:pPr>
            <w:r>
              <w:rPr>
                <w:rFonts w:ascii="Times New Roman" w:cs="Times New Roman" w:eastAsia="Times New Roman" w:hAnsi="Times New Roman"/>
                <w:sz w:val="14"/>
                <w:szCs w:val="14"/>
                <w:color w:val="auto"/>
              </w:rPr>
              <w:t>(Expense)</w:t>
            </w:r>
          </w:p>
        </w:tc>
        <w:tc>
          <w:tcPr>
            <w:tcW w:w="140" w:type="dxa"/>
            <w:vAlign w:val="bottom"/>
          </w:tcPr>
          <w:p>
            <w:pPr>
              <w:spacing w:after="0"/>
              <w:rPr>
                <w:sz w:val="12"/>
                <w:szCs w:val="12"/>
                <w:color w:val="auto"/>
              </w:rPr>
            </w:pPr>
          </w:p>
        </w:tc>
        <w:tc>
          <w:tcPr>
            <w:tcW w:w="9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After-Tax</w:t>
            </w:r>
          </w:p>
        </w:tc>
        <w:tc>
          <w:tcPr>
            <w:tcW w:w="200" w:type="dxa"/>
            <w:vAlign w:val="bottom"/>
          </w:tcPr>
          <w:p>
            <w:pPr>
              <w:spacing w:after="0"/>
              <w:rPr>
                <w:sz w:val="12"/>
                <w:szCs w:val="12"/>
                <w:color w:val="auto"/>
              </w:rPr>
            </w:pPr>
          </w:p>
        </w:tc>
        <w:tc>
          <w:tcPr>
            <w:tcW w:w="78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color w:val="auto"/>
              </w:rPr>
              <w:t>AOCI</w:t>
            </w:r>
          </w:p>
        </w:tc>
        <w:tc>
          <w:tcPr>
            <w:tcW w:w="0" w:type="dxa"/>
            <w:vAlign w:val="bottom"/>
          </w:tcPr>
          <w:p>
            <w:pPr>
              <w:spacing w:after="0"/>
              <w:rPr>
                <w:sz w:val="1"/>
                <w:szCs w:val="1"/>
                <w:color w:val="auto"/>
              </w:rPr>
            </w:pPr>
          </w:p>
        </w:tc>
      </w:tr>
      <w:tr>
        <w:trPr>
          <w:trHeight w:val="188"/>
        </w:trPr>
        <w:tc>
          <w:tcPr>
            <w:tcW w:w="37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Benefit (8)</w:t>
            </w:r>
          </w:p>
        </w:tc>
        <w:tc>
          <w:tcPr>
            <w:tcW w:w="1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Benefit (8)</w:t>
            </w:r>
          </w:p>
        </w:tc>
        <w:tc>
          <w:tcPr>
            <w:tcW w:w="14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Beginning Balance AOCI December 31, 2021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(61,182)</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14,685</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(46,497)</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129</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(46,913)</w:t>
            </w:r>
          </w:p>
        </w:tc>
        <w:tc>
          <w:tcPr>
            <w:tcW w:w="0" w:type="dxa"/>
            <w:vAlign w:val="bottom"/>
          </w:tcPr>
          <w:p>
            <w:pPr>
              <w:spacing w:after="0"/>
              <w:rPr>
                <w:sz w:val="1"/>
                <w:szCs w:val="1"/>
                <w:color w:val="auto"/>
              </w:rPr>
            </w:pPr>
          </w:p>
        </w:tc>
      </w:tr>
      <w:tr>
        <w:trPr>
          <w:trHeight w:val="189"/>
        </w:trPr>
        <w:tc>
          <w:tcPr>
            <w:tcW w:w="3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FSIRS amount reclassified from AOCI (5)</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416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w:t>
            </w:r>
          </w:p>
        </w:tc>
        <w:tc>
          <w:tcPr>
            <w:tcW w:w="0" w:type="dxa"/>
            <w:vAlign w:val="bottom"/>
          </w:tcPr>
          <w:p>
            <w:pPr>
              <w:spacing w:after="0"/>
              <w:rPr>
                <w:sz w:val="1"/>
                <w:szCs w:val="1"/>
                <w:color w:val="auto"/>
              </w:rPr>
            </w:pPr>
          </w:p>
        </w:tc>
      </w:tr>
      <w:tr>
        <w:trPr>
          <w:trHeight w:val="21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Amortization of prior service cost (6)</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95"/>
        </w:trPr>
        <w:tc>
          <w:tcPr>
            <w:tcW w:w="3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Amortization of net actuarial loss (6)</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26,114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(6,267)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19,847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19,847</w:t>
            </w:r>
          </w:p>
        </w:tc>
        <w:tc>
          <w:tcPr>
            <w:tcW w:w="0" w:type="dxa"/>
            <w:vAlign w:val="bottom"/>
          </w:tcPr>
          <w:p>
            <w:pPr>
              <w:spacing w:after="0"/>
              <w:rPr>
                <w:sz w:val="1"/>
                <w:szCs w:val="1"/>
                <w:color w:val="auto"/>
              </w:rPr>
            </w:pPr>
          </w:p>
        </w:tc>
      </w:tr>
      <w:tr>
        <w:trPr>
          <w:trHeight w:val="21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Regulatory adjustment (7)</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(21,804)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5,233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(16,571)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(16,571)</w:t>
            </w:r>
          </w:p>
        </w:tc>
        <w:tc>
          <w:tcPr>
            <w:tcW w:w="0" w:type="dxa"/>
            <w:vAlign w:val="bottom"/>
          </w:tcPr>
          <w:p>
            <w:pPr>
              <w:spacing w:after="0"/>
              <w:rPr>
                <w:sz w:val="1"/>
                <w:szCs w:val="1"/>
                <w:color w:val="auto"/>
              </w:rPr>
            </w:pPr>
          </w:p>
        </w:tc>
      </w:tr>
      <w:tr>
        <w:trPr>
          <w:trHeight w:val="146"/>
        </w:trPr>
        <w:tc>
          <w:tcPr>
            <w:tcW w:w="3700" w:type="dxa"/>
            <w:vAlign w:val="bottom"/>
          </w:tcPr>
          <w:p>
            <w:pPr>
              <w:ind w:left="20"/>
              <w:spacing w:after="0" w:line="147" w:lineRule="exact"/>
              <w:rPr>
                <w:sz w:val="20"/>
                <w:szCs w:val="20"/>
                <w:color w:val="auto"/>
              </w:rPr>
            </w:pPr>
            <w:r>
              <w:rPr>
                <w:rFonts w:ascii="Times New Roman" w:cs="Times New Roman" w:eastAsia="Times New Roman" w:hAnsi="Times New Roman"/>
                <w:sz w:val="14"/>
                <w:szCs w:val="14"/>
                <w:color w:val="auto"/>
              </w:rPr>
              <w:t>Net current period other comprehensive income attributable</w:t>
            </w:r>
          </w:p>
        </w:tc>
        <w:tc>
          <w:tcPr>
            <w:tcW w:w="1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37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 Southwest Gas Corporation</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416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3,792</w:t>
            </w:r>
          </w:p>
        </w:tc>
        <w:tc>
          <w:tcPr>
            <w:tcW w:w="0" w:type="dxa"/>
            <w:vAlign w:val="bottom"/>
          </w:tcPr>
          <w:p>
            <w:pPr>
              <w:spacing w:after="0"/>
              <w:rPr>
                <w:sz w:val="1"/>
                <w:szCs w:val="1"/>
                <w:color w:val="auto"/>
              </w:rPr>
            </w:pPr>
          </w:p>
        </w:tc>
      </w:tr>
      <w:tr>
        <w:trPr>
          <w:trHeight w:val="23"/>
        </w:trPr>
        <w:tc>
          <w:tcPr>
            <w:tcW w:w="3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3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Ending Balance AOCI September 30, 2022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(56,740)</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13,619</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(43,121)</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(43,121)</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520" w:hanging="350"/>
        <w:spacing w:after="0"/>
        <w:tabs>
          <w:tab w:leader="none" w:pos="52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FSIRS reclassification amount is included in Net interest deductions on Southwest’s Condensed Consolidated Statements of Income.</w:t>
      </w:r>
    </w:p>
    <w:p>
      <w:pPr>
        <w:spacing w:after="0" w:line="26" w:lineRule="exact"/>
        <w:rPr>
          <w:rFonts w:ascii="Times New Roman" w:cs="Times New Roman" w:eastAsia="Times New Roman" w:hAnsi="Times New Roman"/>
          <w:sz w:val="16"/>
          <w:szCs w:val="16"/>
          <w:color w:val="auto"/>
        </w:rPr>
      </w:pPr>
    </w:p>
    <w:p>
      <w:pPr>
        <w:ind w:left="180" w:right="20" w:hanging="10"/>
        <w:spacing w:after="0" w:line="253" w:lineRule="auto"/>
        <w:tabs>
          <w:tab w:leader="none" w:pos="666"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These AOCI components are included in the computation of net periodic benefit cost (see </w:t>
      </w:r>
      <w:r>
        <w:rPr>
          <w:rFonts w:ascii="Times New Roman" w:cs="Times New Roman" w:eastAsia="Times New Roman" w:hAnsi="Times New Roman"/>
          <w:sz w:val="16"/>
          <w:szCs w:val="16"/>
          <w:b w:val="1"/>
          <w:bCs w:val="1"/>
          <w:color w:val="auto"/>
        </w:rPr>
        <w:t>Note 2 – Components of Net Periodic Benefit Cost</w:t>
      </w:r>
      <w:r>
        <w:rPr>
          <w:rFonts w:ascii="Times New Roman" w:cs="Times New Roman" w:eastAsia="Times New Roman" w:hAnsi="Times New Roman"/>
          <w:sz w:val="16"/>
          <w:szCs w:val="16"/>
          <w:color w:val="auto"/>
        </w:rPr>
        <w:t xml:space="preserve"> for additional details).</w:t>
      </w:r>
    </w:p>
    <w:p>
      <w:pPr>
        <w:ind w:left="180" w:right="20" w:hanging="10"/>
        <w:spacing w:after="0" w:line="255" w:lineRule="auto"/>
        <w:tabs>
          <w:tab w:leader="none" w:pos="666"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regulatory adjustment represents the portion of the activity above that is expected to be recovered through rates in the future (the related regulatory asset is included in Deferred charges and other assets on Southwest’s Condensed Consolidated Balance Sheets).</w:t>
      </w:r>
    </w:p>
    <w:p>
      <w:pPr>
        <w:ind w:left="660" w:hanging="490"/>
        <w:spacing w:after="0"/>
        <w:tabs>
          <w:tab w:leader="none" w:pos="6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Tax amounts are calculated using a 24% rate.</w:t>
      </w:r>
    </w:p>
    <w:p>
      <w:pPr>
        <w:spacing w:after="0" w:line="10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represents amounts (before income tax impacts) included in AOCI (in the tables above), that have not yet been recognized in net periodic benefit cost: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200" w:type="dxa"/>
            <w:vAlign w:val="bottom"/>
          </w:tcPr>
          <w:p>
            <w:pPr>
              <w:spacing w:after="0"/>
              <w:rPr>
                <w:sz w:val="20"/>
                <w:szCs w:val="20"/>
                <w:color w:val="auto"/>
              </w:rPr>
            </w:pPr>
          </w:p>
        </w:tc>
        <w:tc>
          <w:tcPr>
            <w:tcW w:w="19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September 30, 2022</w:t>
            </w:r>
          </w:p>
        </w:tc>
        <w:tc>
          <w:tcPr>
            <w:tcW w:w="200" w:type="dxa"/>
            <w:vAlign w:val="bottom"/>
          </w:tcPr>
          <w:p>
            <w:pPr>
              <w:spacing w:after="0"/>
              <w:rPr>
                <w:sz w:val="20"/>
                <w:szCs w:val="20"/>
                <w:color w:val="auto"/>
              </w:rPr>
            </w:pPr>
          </w:p>
        </w:tc>
        <w:tc>
          <w:tcPr>
            <w:tcW w:w="18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December 31, 2021</w:t>
            </w:r>
          </w:p>
        </w:tc>
      </w:tr>
      <w:tr>
        <w:trPr>
          <w:trHeight w:val="223"/>
        </w:trPr>
        <w:tc>
          <w:tcPr>
            <w:tcW w:w="7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actuarial loss</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(372,896)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(399,010)</w:t>
            </w:r>
          </w:p>
        </w:tc>
      </w:tr>
      <w:tr>
        <w:trPr>
          <w:trHeight w:val="230"/>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Prior service cost</w:t>
            </w: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(1,528)</w:t>
            </w:r>
          </w:p>
        </w:tc>
      </w:tr>
      <w:tr>
        <w:trPr>
          <w:trHeight w:val="22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amount recognized in regulatory assets</w:t>
            </w:r>
          </w:p>
        </w:tc>
        <w:tc>
          <w:tcPr>
            <w:tcW w:w="20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317,552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339,356</w:t>
            </w:r>
          </w:p>
        </w:tc>
      </w:tr>
      <w:tr>
        <w:trPr>
          <w:trHeight w:val="223"/>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Recognized in AOCI</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(56,740)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(61,182)</w:t>
            </w:r>
          </w:p>
        </w:tc>
      </w:tr>
      <w:tr>
        <w:trPr>
          <w:trHeight w:val="20"/>
        </w:trPr>
        <w:tc>
          <w:tcPr>
            <w:tcW w:w="7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Segment Information</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a result of the MountainWest acquisition on December 31, 2021, management updated its segment reporting from the historical presentation of two reportable segments to three reportable segments, with MountainWest presented as the pipeline and storage segment. Southwest comprises the natural gas distribution segment and Centuri comprises the utility infrastructure services segment.</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Centuri accounts for services provided to Southwest at contractual prices. Accounts receivable for these services, which are not eliminated during consolidation, are presented in the table below:</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180" w:type="dxa"/>
            <w:vAlign w:val="bottom"/>
          </w:tcPr>
          <w:p>
            <w:pPr>
              <w:spacing w:after="0"/>
              <w:rPr>
                <w:sz w:val="20"/>
                <w:szCs w:val="20"/>
                <w:color w:val="auto"/>
              </w:rPr>
            </w:pPr>
          </w:p>
        </w:tc>
        <w:tc>
          <w:tcPr>
            <w:tcW w:w="19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September 30, 2022</w:t>
            </w:r>
          </w:p>
        </w:tc>
        <w:tc>
          <w:tcPr>
            <w:tcW w:w="200" w:type="dxa"/>
            <w:vAlign w:val="bottom"/>
          </w:tcPr>
          <w:p>
            <w:pPr>
              <w:spacing w:after="0"/>
              <w:rPr>
                <w:sz w:val="20"/>
                <w:szCs w:val="20"/>
                <w:color w:val="auto"/>
              </w:rPr>
            </w:pPr>
          </w:p>
        </w:tc>
        <w:tc>
          <w:tcPr>
            <w:tcW w:w="18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December 31, 2021</w:t>
            </w:r>
          </w:p>
        </w:tc>
      </w:tr>
      <w:tr>
        <w:trPr>
          <w:trHeight w:val="248"/>
        </w:trPr>
        <w:tc>
          <w:tcPr>
            <w:tcW w:w="7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Centuri accounts receivable for services provided to Southwest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15,166</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29" w:name="page30"/>
    <w:bookmarkEnd w:id="29"/>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30, 2022</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order to reconcile (below) to net income (loss) as disclosed in the Condensed Consolidated Statements of Income, an Other column is included associated with impacts of corporate and administrative activities related to Southwest Gas Holdings, Inc. The financial information pertaining to the natural gas distribution, utility infrastructure services, and pipeline and storage segments are as follows: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8"/>
                <w:szCs w:val="18"/>
                <w:color w:val="auto"/>
                <w:w w:val="99"/>
              </w:rPr>
              <w:t>Natural Gas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7"/>
              </w:rPr>
              <w:t>Utility</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color w:val="auto"/>
              </w:rPr>
              <w:t>Pipeline and</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3"/>
          </w:tcPr>
          <w:p>
            <w:pPr>
              <w:jc w:val="center"/>
              <w:ind w:right="280"/>
              <w:spacing w:after="0" w:line="176" w:lineRule="exact"/>
              <w:rPr>
                <w:sz w:val="20"/>
                <w:szCs w:val="20"/>
                <w:color w:val="auto"/>
              </w:rPr>
            </w:pPr>
            <w:r>
              <w:rPr>
                <w:rFonts w:ascii="Times New Roman" w:cs="Times New Roman" w:eastAsia="Times New Roman" w:hAnsi="Times New Roman"/>
                <w:sz w:val="18"/>
                <w:szCs w:val="18"/>
                <w:color w:val="auto"/>
                <w:w w:val="99"/>
              </w:rPr>
              <w:t>Infrastructure</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160" w:type="dxa"/>
            <w:vAlign w:val="bottom"/>
          </w:tcPr>
          <w:p>
            <w:pPr>
              <w:spacing w:after="0"/>
              <w:rPr>
                <w:sz w:val="21"/>
                <w:szCs w:val="21"/>
                <w:color w:val="auto"/>
              </w:rPr>
            </w:pPr>
          </w:p>
        </w:tc>
        <w:tc>
          <w:tcPr>
            <w:tcW w:w="134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rPr>
              <w:t>Distribution</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rPr>
              <w:t>Services</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Storage</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09"/>
        </w:trPr>
        <w:tc>
          <w:tcPr>
            <w:tcW w:w="37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Three Months Ended September 30, 2022</w:t>
            </w:r>
          </w:p>
        </w:tc>
        <w:tc>
          <w:tcPr>
            <w:tcW w:w="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303,944</w:t>
            </w:r>
          </w:p>
        </w:tc>
        <w:tc>
          <w:tcPr>
            <w:tcW w:w="100" w:type="dxa"/>
            <w:vAlign w:val="bottom"/>
          </w:tcPr>
          <w:p>
            <w:pPr>
              <w:spacing w:after="0"/>
              <w:rPr>
                <w:sz w:val="19"/>
                <w:szCs w:val="19"/>
                <w:color w:val="auto"/>
              </w:rPr>
            </w:pP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721,910</w:t>
            </w:r>
          </w:p>
        </w:tc>
        <w:tc>
          <w:tcPr>
            <w:tcW w:w="120" w:type="dxa"/>
            <w:vAlign w:val="bottom"/>
          </w:tcPr>
          <w:p>
            <w:pPr>
              <w:spacing w:after="0"/>
              <w:rPr>
                <w:sz w:val="19"/>
                <w:szCs w:val="19"/>
                <w:color w:val="auto"/>
              </w:rPr>
            </w:pP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63,178</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6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1,089,032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Intersegment revenues</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36,556</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36,556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6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303,944</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758,466</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63,178</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top w:val="single" w:sz="8" w:color="auto"/>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1,125,588</w:t>
            </w:r>
          </w:p>
        </w:tc>
        <w:tc>
          <w:tcPr>
            <w:tcW w:w="2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36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3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net income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(22,199)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(12,309)</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3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Three Months Ended September 30, 2021</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255,848</w:t>
            </w:r>
          </w:p>
        </w:tc>
        <w:tc>
          <w:tcPr>
            <w:tcW w:w="100" w:type="dxa"/>
            <w:vAlign w:val="bottom"/>
          </w:tcPr>
          <w:p>
            <w:pPr>
              <w:spacing w:after="0"/>
              <w:rPr>
                <w:sz w:val="19"/>
                <w:szCs w:val="19"/>
                <w:color w:val="auto"/>
              </w:rPr>
            </w:pP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606,006</w:t>
            </w:r>
          </w:p>
        </w:tc>
        <w:tc>
          <w:tcPr>
            <w:tcW w:w="120" w:type="dxa"/>
            <w:vAlign w:val="bottom"/>
          </w:tcPr>
          <w:p>
            <w:pPr>
              <w:spacing w:after="0"/>
              <w:rPr>
                <w:sz w:val="19"/>
                <w:szCs w:val="19"/>
                <w:color w:val="auto"/>
              </w:rPr>
            </w:pP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6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861,854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Intersegment revenues</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26,842</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26,842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6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255,848</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632,848</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top w:val="single" w:sz="8" w:color="auto"/>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888,696</w:t>
            </w:r>
          </w:p>
        </w:tc>
        <w:tc>
          <w:tcPr>
            <w:tcW w:w="2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36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3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net income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(11,576)</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3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8"/>
                <w:szCs w:val="18"/>
                <w:color w:val="auto"/>
                <w:w w:val="99"/>
              </w:rPr>
              <w:t>Natural Gas</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7"/>
              </w:rPr>
              <w:t>Utility</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color w:val="auto"/>
              </w:rPr>
              <w:t>Pipeline and</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3"/>
          </w:tcPr>
          <w:p>
            <w:pPr>
              <w:jc w:val="center"/>
              <w:ind w:right="280"/>
              <w:spacing w:after="0" w:line="176" w:lineRule="exact"/>
              <w:rPr>
                <w:sz w:val="20"/>
                <w:szCs w:val="20"/>
                <w:color w:val="auto"/>
              </w:rPr>
            </w:pPr>
            <w:r>
              <w:rPr>
                <w:rFonts w:ascii="Times New Roman" w:cs="Times New Roman" w:eastAsia="Times New Roman" w:hAnsi="Times New Roman"/>
                <w:sz w:val="18"/>
                <w:szCs w:val="18"/>
                <w:color w:val="auto"/>
                <w:w w:val="99"/>
              </w:rPr>
              <w:t>Infrastructure</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Operations</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rPr>
              <w:t>Services</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Storage</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10"/>
        </w:trPr>
        <w:tc>
          <w:tcPr>
            <w:tcW w:w="37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Nine Months Ended September 30, 2022</w:t>
            </w:r>
          </w:p>
        </w:tc>
        <w:tc>
          <w:tcPr>
            <w:tcW w:w="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1,358,425</w:t>
            </w:r>
          </w:p>
        </w:tc>
        <w:tc>
          <w:tcPr>
            <w:tcW w:w="100" w:type="dxa"/>
            <w:vAlign w:val="bottom"/>
          </w:tcPr>
          <w:p>
            <w:pPr>
              <w:spacing w:after="0"/>
              <w:rPr>
                <w:sz w:val="19"/>
                <w:szCs w:val="19"/>
                <w:color w:val="auto"/>
              </w:rPr>
            </w:pP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1,889,573</w:t>
            </w:r>
          </w:p>
        </w:tc>
        <w:tc>
          <w:tcPr>
            <w:tcW w:w="120" w:type="dxa"/>
            <w:vAlign w:val="bottom"/>
          </w:tcPr>
          <w:p>
            <w:pPr>
              <w:spacing w:after="0"/>
              <w:rPr>
                <w:sz w:val="19"/>
                <w:szCs w:val="19"/>
                <w:color w:val="auto"/>
              </w:rPr>
            </w:pP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192,259</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6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3,440,257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Intersegment revenues</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98,860</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98,860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6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1,358,425</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1,988,433</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192,259</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top w:val="single" w:sz="8" w:color="auto"/>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3,539,117</w:t>
            </w:r>
          </w:p>
        </w:tc>
        <w:tc>
          <w:tcPr>
            <w:tcW w:w="2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36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3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net income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44,326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(49,962)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77,294</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3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Nine Months Ended September 30, 2021</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1,070,576</w:t>
            </w:r>
          </w:p>
        </w:tc>
        <w:tc>
          <w:tcPr>
            <w:tcW w:w="100" w:type="dxa"/>
            <w:vAlign w:val="bottom"/>
          </w:tcPr>
          <w:p>
            <w:pPr>
              <w:spacing w:after="0"/>
              <w:rPr>
                <w:sz w:val="19"/>
                <w:szCs w:val="19"/>
                <w:color w:val="auto"/>
              </w:rPr>
            </w:pP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1,450,719</w:t>
            </w:r>
          </w:p>
        </w:tc>
        <w:tc>
          <w:tcPr>
            <w:tcW w:w="120" w:type="dxa"/>
            <w:vAlign w:val="bottom"/>
          </w:tcPr>
          <w:p>
            <w:pPr>
              <w:spacing w:after="0"/>
              <w:rPr>
                <w:sz w:val="19"/>
                <w:szCs w:val="19"/>
                <w:color w:val="auto"/>
              </w:rPr>
            </w:pP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6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2,521,295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Intersegment revenues</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74,729</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74,729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6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1,070,576</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1,525,448</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top w:val="single" w:sz="8" w:color="auto"/>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2,596,024</w:t>
            </w:r>
          </w:p>
        </w:tc>
        <w:tc>
          <w:tcPr>
            <w:tcW w:w="2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36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3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net income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32,797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130,836</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3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40" w:type="dxa"/>
            <w:vAlign w:val="bottom"/>
          </w:tcPr>
          <w:p>
            <w:pPr>
              <w:spacing w:after="0"/>
              <w:rPr>
                <w:sz w:val="23"/>
                <w:szCs w:val="23"/>
                <w:color w:val="auto"/>
              </w:rPr>
            </w:pPr>
          </w:p>
        </w:tc>
        <w:tc>
          <w:tcPr>
            <w:tcW w:w="36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Natural Gas</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Utility</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8"/>
                <w:szCs w:val="18"/>
                <w:color w:val="auto"/>
              </w:rPr>
              <w:t>Pipeline and</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36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center"/>
              <w:ind w:right="120"/>
              <w:spacing w:after="0" w:line="181" w:lineRule="exact"/>
              <w:rPr>
                <w:sz w:val="20"/>
                <w:szCs w:val="20"/>
                <w:color w:val="auto"/>
              </w:rPr>
            </w:pPr>
            <w:r>
              <w:rPr>
                <w:rFonts w:ascii="Times New Roman" w:cs="Times New Roman" w:eastAsia="Times New Roman" w:hAnsi="Times New Roman"/>
                <w:sz w:val="18"/>
                <w:szCs w:val="18"/>
                <w:color w:val="auto"/>
                <w:w w:val="99"/>
              </w:rPr>
              <w:t>Infrastructure</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3"/>
            <w:vMerge w:val="restart"/>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68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Distribution</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Services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Storage</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3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Twelve Months Ended September 30, 2022</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1,809,639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2,495,169</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192,259</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4,497,067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Intersegment revenues</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126,477</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1,809,639</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2,621,646</w:t>
            </w:r>
          </w:p>
        </w:tc>
        <w:tc>
          <w:tcPr>
            <w:tcW w:w="2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192,259</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4,623,544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0" w:type="dxa"/>
            <w:vAlign w:val="bottom"/>
          </w:tcPr>
          <w:p>
            <w:pPr>
              <w:spacing w:after="0"/>
              <w:rPr>
                <w:sz w:val="21"/>
                <w:szCs w:val="21"/>
                <w:color w:val="auto"/>
              </w:rPr>
            </w:pPr>
          </w:p>
        </w:tc>
        <w:tc>
          <w:tcPr>
            <w:tcW w:w="3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net income (loss)</w:t>
            </w: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171,881</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3,223</w:t>
            </w: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44,326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(72,193)</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147,237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Twelve Months Ended September 30, 2021</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1,445,066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1,957,667</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3,402,733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Intersegment revenues</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107,371</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1,445,066</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2,065,038</w:t>
            </w:r>
          </w:p>
        </w:tc>
        <w:tc>
          <w:tcPr>
            <w:tcW w:w="2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3,510,104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0" w:type="dxa"/>
            <w:vAlign w:val="bottom"/>
          </w:tcPr>
          <w:p>
            <w:pPr>
              <w:spacing w:after="0"/>
              <w:rPr>
                <w:sz w:val="21"/>
                <w:szCs w:val="21"/>
                <w:color w:val="auto"/>
              </w:rPr>
            </w:pPr>
          </w:p>
        </w:tc>
        <w:tc>
          <w:tcPr>
            <w:tcW w:w="3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net income (loss)</w:t>
            </w: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182,134</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56,723</w:t>
            </w: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(4,477)</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234,380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4"/>
        </w:trPr>
        <w:tc>
          <w:tcPr>
            <w:tcW w:w="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w w:val="99"/>
              </w:rPr>
              <w:t>30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0" w:type="dxa"/>
            <w:vAlign w:val="bottom"/>
            <w:tcBorders>
              <w:bottom w:val="single" w:sz="8" w:color="9A9A9A"/>
            </w:tcBorders>
          </w:tcPr>
          <w:p>
            <w:pPr>
              <w:spacing w:after="0"/>
              <w:rPr>
                <w:sz w:val="18"/>
                <w:szCs w:val="18"/>
                <w:color w:val="auto"/>
              </w:rPr>
            </w:pPr>
          </w:p>
        </w:tc>
        <w:tc>
          <w:tcPr>
            <w:tcW w:w="368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30" w:name="page31"/>
    <w:bookmarkEnd w:id="30"/>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30, 2022</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corporate and administrative activities for Southwest Gas Holdings, Inc. in the three-, nine-, and twelve-month periods ended September 30, 2022 include expenses incurred related to shareholder activism and related settlement activities, expenses incurred in conducting the Strategic Review, and expenses and financing costs for the MountainWest acquisition.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Business Acquisitions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August 2021, the Company, through its subsidiaries, led principally by Centuri, completed the acquisition of Drum, including its primary subsidiary, Riggs Distler. In November 2021, certain members of Riggs Distler management acquired a 1.42% interest in Drum. See the Company’s 2021 Form 10-K for additional information about this acquisition.</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Assets acquired and liabilities assumed in the transaction were recorded at their acquisition date fair values. Transaction costs associated with the acquisition were expensed as incurred. The Company’s allocation of the purchase price was based on an evaluation of the appropriate fair values and represented management’s best estimate based on available data (including market data, data regarding customers of the acquired businesses, terms of acquisition-related agreements, analysis of historical and projected results, and other types of data). The analysis included consideration of types of intangibles that were acquired, including customer relationships, trade name, and backlog. Certain payments were estimated as of the acquisition date and were adjusted when amounts were finalized.</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final estimated fair values of assets acquired and liabilities assumed as of August 27, 2021, and as updated through August 27, 2022, are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Measurement Period</w:t>
            </w:r>
          </w:p>
        </w:tc>
        <w:tc>
          <w:tcPr>
            <w:tcW w:w="140" w:type="dxa"/>
            <w:vAlign w:val="bottom"/>
          </w:tcPr>
          <w:p>
            <w:pPr>
              <w:spacing w:after="0"/>
              <w:rPr>
                <w:sz w:val="17"/>
                <w:szCs w:val="17"/>
                <w:color w:val="auto"/>
              </w:rPr>
            </w:pPr>
          </w:p>
        </w:tc>
        <w:tc>
          <w:tcPr>
            <w:tcW w:w="16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Revised Acquisition</w:t>
            </w:r>
          </w:p>
        </w:tc>
      </w:tr>
      <w:tr>
        <w:trPr>
          <w:trHeight w:val="243"/>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(Millions of dollars)</w:t>
            </w:r>
          </w:p>
        </w:tc>
        <w:tc>
          <w:tcPr>
            <w:tcW w:w="180" w:type="dxa"/>
            <w:vAlign w:val="bottom"/>
          </w:tcPr>
          <w:p>
            <w:pPr>
              <w:spacing w:after="0"/>
              <w:rPr>
                <w:sz w:val="21"/>
                <w:szCs w:val="21"/>
                <w:color w:val="auto"/>
              </w:rPr>
            </w:pPr>
          </w:p>
        </w:tc>
        <w:tc>
          <w:tcPr>
            <w:tcW w:w="1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Acquisition Date</w:t>
            </w:r>
          </w:p>
        </w:tc>
        <w:tc>
          <w:tcPr>
            <w:tcW w:w="140" w:type="dxa"/>
            <w:vAlign w:val="bottom"/>
          </w:tcPr>
          <w:p>
            <w:pPr>
              <w:spacing w:after="0"/>
              <w:rPr>
                <w:sz w:val="21"/>
                <w:szCs w:val="21"/>
                <w:color w:val="auto"/>
              </w:rPr>
            </w:pPr>
          </w:p>
        </w:tc>
        <w:tc>
          <w:tcPr>
            <w:tcW w:w="1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Adjustments</w:t>
            </w:r>
          </w:p>
        </w:tc>
        <w:tc>
          <w:tcPr>
            <w:tcW w:w="140" w:type="dxa"/>
            <w:vAlign w:val="bottom"/>
          </w:tcPr>
          <w:p>
            <w:pPr>
              <w:spacing w:after="0"/>
              <w:rPr>
                <w:sz w:val="21"/>
                <w:szCs w:val="21"/>
                <w:color w:val="auto"/>
              </w:rPr>
            </w:pPr>
          </w:p>
        </w:tc>
        <w:tc>
          <w:tcPr>
            <w:tcW w:w="162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Date</w:t>
            </w:r>
          </w:p>
        </w:tc>
      </w:tr>
      <w:tr>
        <w:trPr>
          <w:trHeight w:val="223"/>
        </w:trPr>
        <w:tc>
          <w:tcPr>
            <w:tcW w:w="5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9"/>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r>
      <w:tr>
        <w:trPr>
          <w:trHeight w:val="22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r>
      <w:tr>
        <w:trPr>
          <w:trHeight w:val="230"/>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taxes receivable, net</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2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 of use assets under operating leases</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3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w:t>
            </w:r>
          </w:p>
        </w:tc>
      </w:tr>
      <w:tr>
        <w:trPr>
          <w:trHeight w:val="229"/>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303.5</w:t>
            </w:r>
          </w:p>
        </w:tc>
      </w:tr>
      <w:tr>
        <w:trPr>
          <w:trHeight w:val="23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447.6</w:t>
            </w:r>
          </w:p>
        </w:tc>
      </w:tr>
      <w:tr>
        <w:trPr>
          <w:trHeight w:val="223"/>
        </w:trPr>
        <w:tc>
          <w:tcPr>
            <w:tcW w:w="5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assets acquired</w:t>
            </w: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1,018.4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987.4</w:t>
            </w:r>
          </w:p>
        </w:tc>
      </w:tr>
      <w:tr>
        <w:trPr>
          <w:trHeight w:val="237"/>
        </w:trPr>
        <w:tc>
          <w:tcPr>
            <w:tcW w:w="5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r>
      <w:tr>
        <w:trPr>
          <w:trHeight w:val="230"/>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and other payables</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w:t>
            </w:r>
          </w:p>
        </w:tc>
      </w:tr>
      <w:tr>
        <w:trPr>
          <w:trHeight w:val="22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obligations</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r>
      <w:tr>
        <w:trPr>
          <w:trHeight w:val="230"/>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3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2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r>
      <w:tr>
        <w:trPr>
          <w:trHeight w:val="223"/>
        </w:trPr>
        <w:tc>
          <w:tcPr>
            <w:tcW w:w="5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liabilities assumed and noncontrolling interest</w:t>
            </w: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163.3</w:t>
            </w:r>
          </w:p>
        </w:tc>
      </w:tr>
      <w:tr>
        <w:trPr>
          <w:trHeight w:val="248"/>
        </w:trPr>
        <w:tc>
          <w:tcPr>
            <w:tcW w:w="5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assets acquired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824.1</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incurred and expensed acquisition costs of $14 million, included in Utility infrastructure services expenses in the Company’s Condensed Consolidated Statement of Income for the twelve months ended September 30, 2022. No acquisition-related costs were incurred during the three and nine months ended September 30, 2022, and no significant impacts to earnings resulted from the measurement-period adjustments reflected above.</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December 2021, Southwest Gas Holdings, Inc. completed the acquisition of Dominion Energy Questar Pipeline, LLC and related entities (subsequently rebranded as “MountainWest”), which resulted in MountainWest becoming a wholly owned subsidiary of the Company. See the Company’s 2021 Form 10-K for additional information about this acquisition.</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Assets acquired and liabilities assumed in the transaction were recorded at their acquisition date fair values. Transaction costs associated with the acquisition were expensed as incurred. The majority of the operations acquired are subject to FERC rate-regulation and therefore are accounted for pursuant to ASC 980, </w:t>
      </w:r>
      <w:r>
        <w:rPr>
          <w:rFonts w:ascii="Times New Roman" w:cs="Times New Roman" w:eastAsia="Times New Roman" w:hAnsi="Times New Roman"/>
          <w:sz w:val="18"/>
          <w:szCs w:val="18"/>
          <w:i w:val="1"/>
          <w:iCs w:val="1"/>
          <w:color w:val="auto"/>
        </w:rPr>
        <w:t>Regulated Operations</w:t>
      </w:r>
      <w:r>
        <w:rPr>
          <w:rFonts w:ascii="Times New Roman" w:cs="Times New Roman" w:eastAsia="Times New Roman" w:hAnsi="Times New Roman"/>
          <w:sz w:val="18"/>
          <w:szCs w:val="18"/>
          <w:color w:val="auto"/>
        </w:rPr>
        <w:t>. The fair values of MountainWest’s assets and liabilities, subject to rate making and cost recovery provisions, provide revenues derived from costs of service, including a return on investment of assets and liabilities included in rate base. Accordingly, the carrying values of such assets</w:t>
      </w:r>
    </w:p>
    <w:p>
      <w:pPr>
        <w:spacing w:after="0" w:line="200" w:lineRule="exact"/>
        <w:rPr>
          <w:sz w:val="20"/>
          <w:szCs w:val="20"/>
          <w:color w:val="auto"/>
        </w:rPr>
      </w:pPr>
    </w:p>
    <w:p>
      <w:pPr>
        <w:spacing w:after="0" w:line="2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31" w:name="page32"/>
    <w:bookmarkEnd w:id="31"/>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30, 2022</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and liabilities were deemed to approximate their fair values. The fair value of the MountainWest assets and liabilities assumed that are not subject to the rate-regulation provisions discussed above include a 50% equity method investment, non-regulated property, plant and equipment, and long-term debt assumed; related fair values were determined using a market approach, income approach, or cost approach, as appropriate. Amounts related to post-closing payments and deferred taxes were estimated as of the acquisition date and adjusted when determined during the period ended September 30, 2022. No other measurement period adjustments occurred during the period. However, the final purchase accounting has not yet been completed and further refinements may occur.</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estimated fair values of assets acquired and liabilities assumed as of December 31, 2021, as updated through September 30, 2022, are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rPr>
              <w:t>Measurement Period</w:t>
            </w:r>
          </w:p>
        </w:tc>
        <w:tc>
          <w:tcPr>
            <w:tcW w:w="120" w:type="dxa"/>
            <w:vAlign w:val="bottom"/>
          </w:tcPr>
          <w:p>
            <w:pPr>
              <w:spacing w:after="0"/>
              <w:rPr>
                <w:sz w:val="17"/>
                <w:szCs w:val="17"/>
                <w:color w:val="auto"/>
              </w:rPr>
            </w:pP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8"/>
              </w:rPr>
              <w:t>Revised Acquisition</w:t>
            </w:r>
          </w:p>
        </w:tc>
      </w:tr>
      <w:tr>
        <w:trPr>
          <w:trHeight w:val="243"/>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(Millions of dollars)</w:t>
            </w:r>
          </w:p>
        </w:tc>
        <w:tc>
          <w:tcPr>
            <w:tcW w:w="180" w:type="dxa"/>
            <w:vAlign w:val="bottom"/>
          </w:tcPr>
          <w:p>
            <w:pPr>
              <w:spacing w:after="0"/>
              <w:rPr>
                <w:sz w:val="21"/>
                <w:szCs w:val="21"/>
                <w:color w:val="auto"/>
              </w:rPr>
            </w:pPr>
          </w:p>
        </w:tc>
        <w:tc>
          <w:tcPr>
            <w:tcW w:w="16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Acquisition Date</w:t>
            </w:r>
          </w:p>
        </w:tc>
        <w:tc>
          <w:tcPr>
            <w:tcW w:w="260" w:type="dxa"/>
            <w:vAlign w:val="bottom"/>
          </w:tcPr>
          <w:p>
            <w:pPr>
              <w:spacing w:after="0"/>
              <w:rPr>
                <w:sz w:val="21"/>
                <w:szCs w:val="21"/>
                <w:color w:val="auto"/>
              </w:rPr>
            </w:pPr>
          </w:p>
        </w:tc>
        <w:tc>
          <w:tcPr>
            <w:tcW w:w="15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8"/>
              </w:rPr>
              <w:t>Adjustments</w:t>
            </w:r>
          </w:p>
        </w:tc>
        <w:tc>
          <w:tcPr>
            <w:tcW w:w="120" w:type="dxa"/>
            <w:vAlign w:val="bottom"/>
          </w:tcPr>
          <w:p>
            <w:pPr>
              <w:spacing w:after="0"/>
              <w:rPr>
                <w:sz w:val="21"/>
                <w:szCs w:val="21"/>
                <w:color w:val="auto"/>
              </w:rPr>
            </w:pPr>
          </w:p>
        </w:tc>
        <w:tc>
          <w:tcPr>
            <w:tcW w:w="15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Date</w:t>
            </w:r>
          </w:p>
        </w:tc>
      </w:tr>
      <w:tr>
        <w:trPr>
          <w:trHeight w:val="223"/>
        </w:trPr>
        <w:tc>
          <w:tcPr>
            <w:tcW w:w="5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Gas plant, net</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1,047.4</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1,047.4</w:t>
            </w:r>
          </w:p>
        </w:tc>
      </w:tr>
      <w:tr>
        <w:trPr>
          <w:trHeight w:val="229"/>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property and investments</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r>
      <w:tr>
        <w:trPr>
          <w:trHeight w:val="229"/>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230"/>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net of allowances</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r>
      <w:tr>
        <w:trPr>
          <w:trHeight w:val="229"/>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r>
      <w:tr>
        <w:trPr>
          <w:trHeight w:val="229"/>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charges and other assets</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r>
      <w:tr>
        <w:trPr>
          <w:trHeight w:val="230"/>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958.0</w:t>
            </w:r>
          </w:p>
        </w:tc>
      </w:tr>
      <w:tr>
        <w:trPr>
          <w:trHeight w:val="229"/>
        </w:trPr>
        <w:tc>
          <w:tcPr>
            <w:tcW w:w="5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w:t>
            </w:r>
          </w:p>
        </w:tc>
      </w:tr>
      <w:tr>
        <w:trPr>
          <w:trHeight w:val="223"/>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 acquired</w:t>
            </w: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2,203.0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2,198.6</w:t>
            </w:r>
          </w:p>
        </w:tc>
      </w:tr>
      <w:tr>
        <w:trPr>
          <w:trHeight w:val="237"/>
        </w:trPr>
        <w:tc>
          <w:tcPr>
            <w:tcW w:w="5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29"/>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449.7</w:t>
            </w:r>
          </w:p>
        </w:tc>
      </w:tr>
      <w:tr>
        <w:trPr>
          <w:trHeight w:val="229"/>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30"/>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purchased gas costs</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30"/>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deposits</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30"/>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general taxes</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30"/>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29"/>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30"/>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removal costs</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w:t>
            </w:r>
          </w:p>
        </w:tc>
      </w:tr>
      <w:tr>
        <w:trPr>
          <w:trHeight w:val="230"/>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deferred credits</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w:t>
            </w:r>
          </w:p>
        </w:tc>
      </w:tr>
      <w:tr>
        <w:trPr>
          <w:trHeight w:val="223"/>
        </w:trPr>
        <w:tc>
          <w:tcPr>
            <w:tcW w:w="5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18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627.4</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627.4</w:t>
            </w:r>
          </w:p>
        </w:tc>
      </w:tr>
      <w:tr>
        <w:trPr>
          <w:trHeight w:val="248"/>
        </w:trPr>
        <w:tc>
          <w:tcPr>
            <w:tcW w:w="5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assets acquired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1,571.2</w:t>
            </w: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Company incurred and expensed acquisition costs of $18.5 million for the twelve months ended September 30, 2022, which are included in Operations and maintenance expense on the Company’s Condensed Consolidated Statement of Income. No acquisition-related costs were incurred during the nine months ended September 30, 2022 and no impacts to earnings resulted from the measurement-period adjustments reflected above. The Company has a transition services agreement with the sellers for a period of up to twelve months from the acquisition date of December 31, 2021, to continue certain corporate and administrative functions for the entities acquired while MountainWest is established as an independent enterprise. The Company currently expects that a limited number of activities under the transition services agreement will be extended, and of those extended, certain will occur through the second quarter of 2023.</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Subsequent Events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October 24, 2022, the Company and the Icahn Group entered into the Amended Cooperation Agreement, which amended, restated, superseded, and replaced in its entirety the Initial Cooperation Agreement.</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accordance with the terms of the Amended Cooperation Agreement, the Company agreed with the Icahn Group, among other things, to nominate each of Andrew W. Evans, Henry P. Linginfelter, Ruby Sharma, and Andrew J. Teno (each, an “Icahn Designee” and, collectively, the “Icahn Designees”) for election at the Company’s 2023 annual meeting of stockholders (the “2023 Annual Meeting”). In addition, subject to qualifications set forth in the Amended Cooperation Agreement, the Amended Cooperation Agreement provides that the standstill restrictions on the Icahn Group will remain in effect until, and the Amended Cooperation Agreement will terminate upon, the later of (x) the conclusion of the 2023 Annual Meeting and (y) the earlier of</w:t>
      </w:r>
    </w:p>
    <w:p>
      <w:pPr>
        <w:spacing w:after="0" w:line="200" w:lineRule="exact"/>
        <w:rPr>
          <w:sz w:val="20"/>
          <w:szCs w:val="20"/>
          <w:color w:val="auto"/>
        </w:rPr>
      </w:pPr>
    </w:p>
    <w:p>
      <w:pPr>
        <w:spacing w:after="0" w:line="2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32" w:name="page33"/>
    <w:bookmarkEnd w:id="32"/>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30, 2022</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8"/>
        <w:spacing w:after="0" w:line="256" w:lineRule="auto"/>
        <w:tabs>
          <w:tab w:leader="none" w:pos="28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following the time at which Andrew J. Teno (or any Replacement Designee for Mr. Teno, as such term is defined in the Amended Cooperation Agreement) is no longer serving on the Board and (2) thirty (30) days prior to the expiration of the advance notice deadline for the submission of director nominees in connection with the Company’s 2024 Annual Meeting of Stockholders (as such term is defined in the Amended Cooperation Agreement); provided, however, that the Amended Cooperation Agreement will terminate automatically on the date on which the Board re-appoints as a director any former director of the Board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any person who was a director of the Board prior to the 2022 Annual Meeting, but was not a director of the Board immediately after the 2022 Annual Meeting), without the approval of a majority of the Icahn Designees.</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Pursuant to the terms of the Amended Cooperation Agreement, the Company further agreed with the Icahn Group (i) to maintain one-year terms and annual elections for all directors serving on the Board through the term of the Amended Cooperation Agreement, (ii) to establish the record date for the 2023 Annual Meeting for a time within thirty (30) days of March 21, 2023, and (iii) that in the event that the Strategic Transactions Committee approves any separation of the Company’s businesses into two or more independent, publicly traded companies (any such separation, a “Spinoff” and each such resulting independent, publicly traded company, a “SpinCo”) during the term of the Amended Cooperation Agreement and while Icahn Group owns a Net Long Position of a number of shares of Common Stock that is at least 50% of the Tender Offer Closing Amount (each such term, as defined in the Amended Cooperation Agreement), any such SpinCo will be organized in Delaware, any such SpinCo’s board of directors will be annually elected for one-year terms and the first meeting of stockholders for such SpinCo will be held no earlier than the nine-month anniversary of the consummation of the Spinoff and no later than the twelve-month anniversary of the Spinoff, subject to certain exceptions set forth in the Amended Cooperation Agreement.</w:t>
      </w:r>
    </w:p>
    <w:p>
      <w:pPr>
        <w:spacing w:after="0" w:line="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Additionally, on November 4, 2022, Centuri amended the financial covenants of its revolving credit facility to increase the maximum total net leverage ratio during the period from December 31, 2022 through December 31, 2023 (the “Credit Facility Amendment”). The Credit Facility Amendment also transitioned the interest rate benchmark for the revolving credit facility from LIBOR to SOFR. The applicable margin for the revolving credit facility now ranges from 1.0% to 2.5% for SOFR loans and from 0.0% to 1.5% for CDOR and “base rate” loans, depending on Centuri’s total net leverage ratio. Further, the Credit Facility Amendment increases a letter of credit sub-facility from $100 million to $125 million. The Credit Facility Amendment did not modify any terms of the term loan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33" w:name="page34"/>
    <w:bookmarkEnd w:id="33"/>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30, 2022</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Summary</w:t>
      </w:r>
    </w:p>
    <w:p>
      <w:pPr>
        <w:spacing w:after="0" w:line="113"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The items discussed in this Executive Summary are intended to provide an overview of the results of the Company’s and Southwest’s operations and are covered in greater detail in later sections of MD&amp;A.</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Summary Operating Results</w:t>
            </w: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51"/>
        </w:trPr>
        <w:tc>
          <w:tcPr>
            <w:tcW w:w="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color w:val="auto"/>
              </w:rPr>
              <w:t>Period Ended September 30,</w:t>
            </w: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40" w:type="dxa"/>
            <w:vAlign w:val="bottom"/>
            <w:gridSpan w:val="5"/>
          </w:tcPr>
          <w:p>
            <w:pPr>
              <w:ind w:left="400"/>
              <w:spacing w:after="0"/>
              <w:rPr>
                <w:sz w:val="20"/>
                <w:szCs w:val="20"/>
                <w:color w:val="auto"/>
              </w:rPr>
            </w:pPr>
            <w:r>
              <w:rPr>
                <w:rFonts w:ascii="Times New Roman" w:cs="Times New Roman" w:eastAsia="Times New Roman" w:hAnsi="Times New Roman"/>
                <w:sz w:val="18"/>
                <w:szCs w:val="18"/>
                <w:color w:val="auto"/>
              </w:rPr>
              <w:t>Three Months</w:t>
            </w:r>
          </w:p>
        </w:tc>
        <w:tc>
          <w:tcPr>
            <w:tcW w:w="140" w:type="dxa"/>
            <w:vAlign w:val="bottom"/>
          </w:tcPr>
          <w:p>
            <w:pPr>
              <w:spacing w:after="0"/>
              <w:rPr>
                <w:sz w:val="19"/>
                <w:szCs w:val="19"/>
                <w:color w:val="auto"/>
              </w:rPr>
            </w:pPr>
          </w:p>
        </w:tc>
        <w:tc>
          <w:tcPr>
            <w:tcW w:w="2280" w:type="dxa"/>
            <w:vAlign w:val="bottom"/>
            <w:gridSpan w:val="5"/>
          </w:tcPr>
          <w:p>
            <w:pPr>
              <w:ind w:left="540"/>
              <w:spacing w:after="0"/>
              <w:rPr>
                <w:sz w:val="20"/>
                <w:szCs w:val="20"/>
                <w:color w:val="auto"/>
              </w:rPr>
            </w:pPr>
            <w:r>
              <w:rPr>
                <w:rFonts w:ascii="Times New Roman" w:cs="Times New Roman" w:eastAsia="Times New Roman" w:hAnsi="Times New Roman"/>
                <w:sz w:val="18"/>
                <w:szCs w:val="18"/>
                <w:color w:val="auto"/>
              </w:rPr>
              <w:t>Nine Months</w:t>
            </w:r>
          </w:p>
        </w:tc>
        <w:tc>
          <w:tcPr>
            <w:tcW w:w="200" w:type="dxa"/>
            <w:vAlign w:val="bottom"/>
          </w:tcPr>
          <w:p>
            <w:pPr>
              <w:spacing w:after="0"/>
              <w:rPr>
                <w:sz w:val="19"/>
                <w:szCs w:val="19"/>
                <w:color w:val="auto"/>
              </w:rPr>
            </w:pPr>
          </w:p>
        </w:tc>
        <w:tc>
          <w:tcPr>
            <w:tcW w:w="218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color w:val="auto"/>
              </w:rPr>
              <w:t>Twelve Months</w:t>
            </w:r>
          </w:p>
        </w:tc>
      </w:tr>
      <w:tr>
        <w:trPr>
          <w:trHeight w:val="223"/>
        </w:trPr>
        <w:tc>
          <w:tcPr>
            <w:tcW w:w="20" w:type="dxa"/>
            <w:vAlign w:val="bottom"/>
            <w:tcBorders>
              <w:bottom w:val="single" w:sz="8" w:color="CCEEFF"/>
            </w:tcBorders>
          </w:tcPr>
          <w:p>
            <w:pPr>
              <w:spacing w:after="0"/>
              <w:rPr>
                <w:sz w:val="19"/>
                <w:szCs w:val="19"/>
                <w:color w:val="auto"/>
              </w:rPr>
            </w:pPr>
          </w:p>
        </w:tc>
        <w:tc>
          <w:tcPr>
            <w:tcW w:w="404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(In thousands, except per share amounts)</w:t>
            </w: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2021</w:t>
            </w:r>
          </w:p>
        </w:tc>
      </w:tr>
      <w:tr>
        <w:trPr>
          <w:trHeight w:val="190"/>
        </w:trPr>
        <w:tc>
          <w:tcPr>
            <w:tcW w:w="20" w:type="dxa"/>
            <w:vAlign w:val="bottom"/>
            <w:shd w:val="clear" w:color="auto" w:fill="CCEEFF"/>
          </w:tcPr>
          <w:p>
            <w:pPr>
              <w:spacing w:after="0"/>
              <w:rPr>
                <w:sz w:val="16"/>
                <w:szCs w:val="16"/>
                <w:color w:val="auto"/>
              </w:rPr>
            </w:pPr>
          </w:p>
        </w:tc>
        <w:tc>
          <w:tcPr>
            <w:tcW w:w="4040" w:type="dxa"/>
            <w:vAlign w:val="bottom"/>
            <w:gridSpan w:val="4"/>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Contribution to net income</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194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color w:val="auto"/>
              </w:rPr>
              <w:t>Natural gas distribution</w:t>
            </w:r>
          </w:p>
        </w:tc>
        <w:tc>
          <w:tcPr>
            <w:tcW w:w="2100" w:type="dxa"/>
            <w:vAlign w:val="bottom"/>
            <w:tcBorders>
              <w:top w:val="single" w:sz="8" w:color="CCEEFF"/>
            </w:tcBorders>
            <w:gridSpan w:val="2"/>
          </w:tcPr>
          <w:p>
            <w:pPr>
              <w:spacing w:after="0"/>
              <w:rPr>
                <w:sz w:val="19"/>
                <w:szCs w:val="19"/>
                <w:color w:val="auto"/>
              </w:rPr>
            </w:pPr>
          </w:p>
        </w:tc>
        <w:tc>
          <w:tcPr>
            <w:tcW w:w="240" w:type="dxa"/>
            <w:vAlign w:val="bottom"/>
            <w:tcBorders>
              <w:top w:val="single" w:sz="8" w:color="CCEEFF"/>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(22,199)</w:t>
            </w:r>
          </w:p>
        </w:tc>
        <w:tc>
          <w:tcPr>
            <w:tcW w:w="10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(27,544)</w:t>
            </w:r>
          </w:p>
        </w:tc>
        <w:tc>
          <w:tcPr>
            <w:tcW w:w="10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87,330</w:t>
            </w:r>
          </w:p>
        </w:tc>
        <w:tc>
          <w:tcPr>
            <w:tcW w:w="10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102,584</w:t>
            </w:r>
          </w:p>
        </w:tc>
        <w:tc>
          <w:tcPr>
            <w:tcW w:w="12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171,881</w:t>
            </w:r>
          </w:p>
        </w:tc>
        <w:tc>
          <w:tcPr>
            <w:tcW w:w="10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182,134</w:t>
            </w:r>
          </w:p>
        </w:tc>
      </w:tr>
      <w:tr>
        <w:trPr>
          <w:trHeight w:val="229"/>
        </w:trPr>
        <w:tc>
          <w:tcPr>
            <w:tcW w:w="20" w:type="dxa"/>
            <w:vAlign w:val="bottom"/>
            <w:shd w:val="clear" w:color="auto" w:fill="CCEEFF"/>
          </w:tcPr>
          <w:p>
            <w:pPr>
              <w:spacing w:after="0"/>
              <w:rPr>
                <w:sz w:val="19"/>
                <w:szCs w:val="19"/>
                <w:color w:val="auto"/>
              </w:rPr>
            </w:pPr>
          </w:p>
        </w:tc>
        <w:tc>
          <w:tcPr>
            <w:tcW w:w="404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Utility infrastructure services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32,797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56,723</w:t>
            </w:r>
          </w:p>
        </w:tc>
      </w:tr>
      <w:tr>
        <w:trPr>
          <w:trHeight w:val="230"/>
        </w:trPr>
        <w:tc>
          <w:tcPr>
            <w:tcW w:w="20" w:type="dxa"/>
            <w:vAlign w:val="bottom"/>
          </w:tcPr>
          <w:p>
            <w:pPr>
              <w:spacing w:after="0"/>
              <w:rPr>
                <w:sz w:val="19"/>
                <w:szCs w:val="19"/>
                <w:color w:val="auto"/>
              </w:rPr>
            </w:pPr>
          </w:p>
        </w:tc>
        <w:tc>
          <w:tcPr>
            <w:tcW w:w="404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Pipeline and storage</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44,326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44,326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shd w:val="clear" w:color="auto" w:fill="CCEEFF"/>
          </w:tcPr>
          <w:p>
            <w:pPr>
              <w:spacing w:after="0"/>
              <w:rPr>
                <w:sz w:val="19"/>
                <w:szCs w:val="19"/>
                <w:color w:val="auto"/>
              </w:rPr>
            </w:pPr>
          </w:p>
        </w:tc>
        <w:tc>
          <w:tcPr>
            <w:tcW w:w="404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Corporate and administrative</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(49,962)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(72,193)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(4,477)</w:t>
            </w:r>
          </w:p>
        </w:tc>
      </w:tr>
      <w:tr>
        <w:trPr>
          <w:trHeight w:val="223"/>
        </w:trPr>
        <w:tc>
          <w:tcPr>
            <w:tcW w:w="20" w:type="dxa"/>
            <w:vAlign w:val="bottom"/>
          </w:tcPr>
          <w:p>
            <w:pPr>
              <w:spacing w:after="0"/>
              <w:rPr>
                <w:sz w:val="19"/>
                <w:szCs w:val="19"/>
                <w:color w:val="auto"/>
              </w:rPr>
            </w:pPr>
          </w:p>
        </w:tc>
        <w:tc>
          <w:tcPr>
            <w:tcW w:w="4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(12,309)</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(11,576)</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77,294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130,836</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147,237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234,380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7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Weighted average common shares</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67,157</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59,688</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65,004</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58,639</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63,905</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58,209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7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77"/>
        </w:trPr>
        <w:tc>
          <w:tcPr>
            <w:tcW w:w="20" w:type="dxa"/>
            <w:vAlign w:val="bottom"/>
            <w:shd w:val="clear" w:color="auto" w:fill="CCEEFF"/>
          </w:tcPr>
          <w:p>
            <w:pPr>
              <w:spacing w:after="0"/>
              <w:rPr>
                <w:sz w:val="15"/>
                <w:szCs w:val="15"/>
                <w:color w:val="auto"/>
              </w:rPr>
            </w:pPr>
          </w:p>
        </w:tc>
        <w:tc>
          <w:tcPr>
            <w:tcW w:w="4040" w:type="dxa"/>
            <w:vAlign w:val="bottom"/>
            <w:gridSpan w:val="4"/>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Basic earnings (loss) per share</w:t>
            </w: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220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Consolidated</w:t>
            </w:r>
          </w:p>
        </w:tc>
        <w:tc>
          <w:tcPr>
            <w:tcW w:w="1840" w:type="dxa"/>
            <w:vAlign w:val="bottom"/>
            <w:tcBorders>
              <w:top w:val="single" w:sz="8" w:color="CCEEFF"/>
            </w:tcBorders>
          </w:tcPr>
          <w:p>
            <w:pPr>
              <w:spacing w:after="0"/>
              <w:rPr>
                <w:sz w:val="19"/>
                <w:szCs w:val="19"/>
                <w:color w:val="auto"/>
              </w:rPr>
            </w:pPr>
          </w:p>
        </w:tc>
        <w:tc>
          <w:tcPr>
            <w:tcW w:w="240" w:type="dxa"/>
            <w:vAlign w:val="bottom"/>
            <w:tcBorders>
              <w:top w:val="single" w:sz="8" w:color="CCEEFF"/>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CCEEFF"/>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00" w:type="dxa"/>
            <w:vAlign w:val="bottom"/>
            <w:tcBorders>
              <w:top w:val="single" w:sz="8" w:color="CCEEFF"/>
            </w:tcBorders>
          </w:tcPr>
          <w:p>
            <w:pPr>
              <w:spacing w:after="0"/>
              <w:rPr>
                <w:sz w:val="19"/>
                <w:szCs w:val="19"/>
                <w:color w:val="auto"/>
              </w:rPr>
            </w:pPr>
          </w:p>
        </w:tc>
        <w:tc>
          <w:tcPr>
            <w:tcW w:w="240" w:type="dxa"/>
            <w:vAlign w:val="bottom"/>
            <w:tcBorders>
              <w:top w:val="single" w:sz="8" w:color="CCEEFF"/>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CCEEFF"/>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00" w:type="dxa"/>
            <w:vAlign w:val="bottom"/>
            <w:tcBorders>
              <w:top w:val="single" w:sz="8" w:color="CCEEFF"/>
            </w:tcBorders>
          </w:tcPr>
          <w:p>
            <w:pPr>
              <w:spacing w:after="0"/>
              <w:rPr>
                <w:sz w:val="19"/>
                <w:szCs w:val="19"/>
                <w:color w:val="auto"/>
              </w:rPr>
            </w:pPr>
          </w:p>
        </w:tc>
        <w:tc>
          <w:tcPr>
            <w:tcW w:w="140" w:type="dxa"/>
            <w:vAlign w:val="bottom"/>
            <w:tcBorders>
              <w:top w:val="single" w:sz="8" w:color="CCEEFF"/>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CCEEFF"/>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Borders>
              <w:top w:val="single" w:sz="8" w:color="CCEEFF"/>
            </w:tcBorders>
          </w:tcPr>
          <w:p>
            <w:pPr>
              <w:spacing w:after="0"/>
              <w:rPr>
                <w:sz w:val="19"/>
                <w:szCs w:val="19"/>
                <w:color w:val="auto"/>
              </w:rPr>
            </w:pPr>
          </w:p>
        </w:tc>
        <w:tc>
          <w:tcPr>
            <w:tcW w:w="240" w:type="dxa"/>
            <w:vAlign w:val="bottom"/>
            <w:tcBorders>
              <w:top w:val="single" w:sz="8" w:color="CCEEFF"/>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CCEEFF"/>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20" w:type="dxa"/>
            <w:vAlign w:val="bottom"/>
            <w:tcBorders>
              <w:top w:val="single" w:sz="8" w:color="CCEEFF"/>
            </w:tcBorders>
          </w:tcPr>
          <w:p>
            <w:pPr>
              <w:spacing w:after="0"/>
              <w:rPr>
                <w:sz w:val="19"/>
                <w:szCs w:val="19"/>
                <w:color w:val="auto"/>
              </w:rPr>
            </w:pPr>
          </w:p>
        </w:tc>
        <w:tc>
          <w:tcPr>
            <w:tcW w:w="200" w:type="dxa"/>
            <w:vAlign w:val="bottom"/>
            <w:tcBorders>
              <w:top w:val="single" w:sz="8" w:color="CCEEFF"/>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CCEEFF"/>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Borders>
              <w:top w:val="single" w:sz="8" w:color="CCEEFF"/>
            </w:tcBorders>
          </w:tcPr>
          <w:p>
            <w:pPr>
              <w:spacing w:after="0"/>
              <w:rPr>
                <w:sz w:val="19"/>
                <w:szCs w:val="19"/>
                <w:color w:val="auto"/>
              </w:rPr>
            </w:pPr>
          </w:p>
        </w:tc>
        <w:tc>
          <w:tcPr>
            <w:tcW w:w="240" w:type="dxa"/>
            <w:vAlign w:val="bottom"/>
            <w:tcBorders>
              <w:top w:val="single" w:sz="8" w:color="CCEEFF"/>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CCEEFF"/>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7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189"/>
        </w:trPr>
        <w:tc>
          <w:tcPr>
            <w:tcW w:w="20" w:type="dxa"/>
            <w:vAlign w:val="bottom"/>
          </w:tcPr>
          <w:p>
            <w:pPr>
              <w:spacing w:after="0"/>
              <w:rPr>
                <w:sz w:val="16"/>
                <w:szCs w:val="16"/>
                <w:color w:val="auto"/>
              </w:rPr>
            </w:pPr>
          </w:p>
        </w:tc>
        <w:tc>
          <w:tcPr>
            <w:tcW w:w="404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color w:val="auto"/>
              </w:rPr>
              <w:t>Natural Gas Distribution</w:t>
            </w: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404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Reconciliation of Gross Margin to Operating Margin</w:t>
            </w: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43"/>
        </w:trPr>
        <w:tc>
          <w:tcPr>
            <w:tcW w:w="20" w:type="dxa"/>
            <w:vAlign w:val="bottom"/>
            <w:shd w:val="clear" w:color="auto" w:fill="CCEEFF"/>
          </w:tcPr>
          <w:p>
            <w:pPr>
              <w:spacing w:after="0"/>
              <w:rPr>
                <w:sz w:val="21"/>
                <w:szCs w:val="21"/>
                <w:color w:val="auto"/>
              </w:rPr>
            </w:pPr>
          </w:p>
        </w:tc>
        <w:tc>
          <w:tcPr>
            <w:tcW w:w="404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(Non-GAAP measure)</w:t>
            </w: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4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Utility Gross Margin</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58,021</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62,681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391,540</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392,190</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569,675</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566,065</w:t>
            </w:r>
          </w:p>
        </w:tc>
      </w:tr>
      <w:tr>
        <w:trPr>
          <w:trHeight w:val="230"/>
        </w:trPr>
        <w:tc>
          <w:tcPr>
            <w:tcW w:w="20" w:type="dxa"/>
            <w:vAlign w:val="bottom"/>
            <w:shd w:val="clear" w:color="auto" w:fill="CCEEFF"/>
          </w:tcPr>
          <w:p>
            <w:pPr>
              <w:spacing w:after="0"/>
              <w:rPr>
                <w:sz w:val="19"/>
                <w:szCs w:val="19"/>
                <w:color w:val="auto"/>
              </w:rPr>
            </w:pPr>
          </w:p>
        </w:tc>
        <w:tc>
          <w:tcPr>
            <w:tcW w:w="404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Plus: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175"/>
        </w:trPr>
        <w:tc>
          <w:tcPr>
            <w:tcW w:w="20" w:type="dxa"/>
            <w:vAlign w:val="bottom"/>
          </w:tcPr>
          <w:p>
            <w:pPr>
              <w:spacing w:after="0"/>
              <w:rPr>
                <w:sz w:val="15"/>
                <w:szCs w:val="15"/>
                <w:color w:val="auto"/>
              </w:rPr>
            </w:pPr>
          </w:p>
        </w:tc>
        <w:tc>
          <w:tcPr>
            <w:tcW w:w="4040" w:type="dxa"/>
            <w:vAlign w:val="bottom"/>
            <w:gridSpan w:val="4"/>
          </w:tcPr>
          <w:p>
            <w:pPr>
              <w:ind w:left="200"/>
              <w:spacing w:after="0" w:line="176" w:lineRule="exact"/>
              <w:rPr>
                <w:sz w:val="20"/>
                <w:szCs w:val="20"/>
                <w:color w:val="auto"/>
              </w:rPr>
            </w:pPr>
            <w:r>
              <w:rPr>
                <w:rFonts w:ascii="Times New Roman" w:cs="Times New Roman" w:eastAsia="Times New Roman" w:hAnsi="Times New Roman"/>
                <w:sz w:val="18"/>
                <w:szCs w:val="18"/>
                <w:color w:val="auto"/>
              </w:rPr>
              <w:t>Operations and maintenance (excluding Admin. &amp;</w:t>
            </w: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43"/>
        </w:trPr>
        <w:tc>
          <w:tcPr>
            <w:tcW w:w="20" w:type="dxa"/>
            <w:vAlign w:val="bottom"/>
          </w:tcPr>
          <w:p>
            <w:pPr>
              <w:spacing w:after="0"/>
              <w:rPr>
                <w:sz w:val="21"/>
                <w:szCs w:val="21"/>
                <w:color w:val="auto"/>
              </w:rPr>
            </w:pPr>
          </w:p>
        </w:tc>
        <w:tc>
          <w:tcPr>
            <w:tcW w:w="404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General) expense</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81,092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68,098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230,235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194,471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302,924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255,434</w:t>
            </w:r>
          </w:p>
        </w:tc>
      </w:tr>
      <w:tr>
        <w:trPr>
          <w:trHeight w:val="229"/>
        </w:trPr>
        <w:tc>
          <w:tcPr>
            <w:tcW w:w="20" w:type="dxa"/>
            <w:vAlign w:val="bottom"/>
            <w:shd w:val="clear" w:color="auto" w:fill="CCEEFF"/>
          </w:tcPr>
          <w:p>
            <w:pPr>
              <w:spacing w:after="0"/>
              <w:rPr>
                <w:sz w:val="19"/>
                <w:szCs w:val="19"/>
                <w:color w:val="auto"/>
              </w:rPr>
            </w:pPr>
          </w:p>
        </w:tc>
        <w:tc>
          <w:tcPr>
            <w:tcW w:w="404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64,390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61,359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192,434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187,688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258,144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249,118</w:t>
            </w:r>
          </w:p>
        </w:tc>
      </w:tr>
      <w:tr>
        <w:trPr>
          <w:trHeight w:val="223"/>
        </w:trPr>
        <w:tc>
          <w:tcPr>
            <w:tcW w:w="20" w:type="dxa"/>
            <w:vAlign w:val="bottom"/>
          </w:tcPr>
          <w:p>
            <w:pPr>
              <w:spacing w:after="0"/>
              <w:rPr>
                <w:sz w:val="19"/>
                <w:szCs w:val="19"/>
                <w:color w:val="auto"/>
              </w:rPr>
            </w:pPr>
          </w:p>
        </w:tc>
        <w:tc>
          <w:tcPr>
            <w:tcW w:w="4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Operating margin</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203,503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192,138</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814,209</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774,349</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1,130,743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1,070,617</w:t>
            </w:r>
          </w:p>
        </w:tc>
      </w:tr>
      <w:tr>
        <w:trPr>
          <w:trHeight w:val="21"/>
        </w:trPr>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3rd Quarter 2022 Overview</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Southwest Gas Holdings highlights include the following:</w:t>
      </w:r>
    </w:p>
    <w:p>
      <w:pPr>
        <w:spacing w:after="0" w:line="27" w:lineRule="exact"/>
        <w:rPr>
          <w:sz w:val="20"/>
          <w:szCs w:val="20"/>
          <w:color w:val="auto"/>
        </w:rPr>
      </w:pPr>
    </w:p>
    <w:p>
      <w:pPr>
        <w:ind w:left="660" w:hanging="328"/>
        <w:spacing w:after="0" w:line="250"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and administrative expenses include impact of interest on remaining $1.1 billion term loan ($12.7 million), and shareholder activism/settlement, as well as Strategic Review costs</w:t>
      </w: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Amended 364-day Term Loan Credit Agreement in connection with the MountainWest acquisition extending maturity date to December 2023</w:t>
      </w:r>
    </w:p>
    <w:p>
      <w:pPr>
        <w:spacing w:after="0" w:line="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Natural gas distribution highlights include the following:</w:t>
      </w:r>
    </w:p>
    <w:p>
      <w:pPr>
        <w:spacing w:after="0" w:line="27"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40,000 first-time meters sets occurred over the past 12 months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margin increased $11 million in the third quarter of 2022 compared to the prior year quarter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$193 million capital investment during the quarter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Operations and maintenance expense overall increased a modest 1.5%</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COLI results declined $1.5 million compared to the prior-year quarter</w:t>
      </w:r>
    </w:p>
    <w:p>
      <w:pPr>
        <w:spacing w:after="0" w:line="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Utility infrastructure services highlights include the following:</w:t>
      </w:r>
    </w:p>
    <w:p>
      <w:pPr>
        <w:spacing w:after="0" w:line="27"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revenues of $758 million in the third quarter of 2022, an increase of $126 million, or 20%, compared to the third quarter of 2021</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continued to be impacted by inflation, including higher fuel, subcontractor, and equipment rental costs</w:t>
      </w:r>
    </w:p>
    <w:p>
      <w:pPr>
        <w:spacing w:after="0" w:line="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Pipeline and storage highlights include the following:</w:t>
      </w:r>
    </w:p>
    <w:p>
      <w:pPr>
        <w:spacing w:after="0" w:line="27"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Recognized revenue of $63 million in the third quarter of 2022</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Contributed $12.3 million to consolidated net income, net of $5.7 million of stand-up and integration costs</w:t>
      </w:r>
    </w:p>
    <w:p>
      <w:pPr>
        <w:sectPr>
          <w:pgSz w:w="11900" w:h="16838" w:orient="portrait"/>
          <w:cols w:equalWidth="0" w:num="1">
            <w:col w:w="11240"/>
          </w:cols>
          <w:pgMar w:left="320" w:top="25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type w:val="continuous"/>
        </w:sectPr>
      </w:pPr>
    </w:p>
    <w:bookmarkStart w:id="34" w:name="page35"/>
    <w:bookmarkEnd w:id="34"/>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30, 2022</w:t>
            </w:r>
          </w:p>
        </w:tc>
      </w:tr>
    </w:tbl>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Southwest Gas Holdings, Inc. is a holding company that owns all of the shares of common stock of Southwest Gas Corporation (“Southwest” or the “natural gas distribution” segment), all of the shares of common stock of Centuri Group, Inc. (“Centuri,” or the “utility infrastructure services” segment), as well as all of the common stock of the recently formed MountainWest Pipelines Holding Company (“MountainWest,” or the “pipeline and storage” segment). Southwest Gas Holdings, Inc. and its subsidiaries are collectively referred to as the “Company.”</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completed the acquisition of Dominion Energy Questar Pipeline, LLC and related entities (“Questar Pipelines”) in December 2021. Following the acquisition, the Company formed MountainWest, which owns all of the membership interests of Questar Pipelines. In April 2022, the Company completed a general rebranding of the Questar Pipelines entities under the MountainWest name. The acquired operations further diversify the Company’s business including an essential Rocky Mountain energy hub with over 2,000 miles of highly contracted, FERC-regulated interstate natural gas pipelines providing transportation and underground storage services in Utah, Wyoming, and Colorado.</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October 2021, our Board of Directors (the “Board”) authorized and declared a dividend of one preferred stock purchase right for each share of common stock outstanding to stockholders of record at the close of business on October 21, 2021, in accordance with the terms and conditions set forth in the Rights Agreement. The Amended Rights Agreement expired on October 9, 2022, in accordance with its terms.</w:t>
      </w:r>
    </w:p>
    <w:p>
      <w:pPr>
        <w:spacing w:after="0" w:line="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March 2022, the Company announced that the Board had determined to separate Centuri from the Company and authorized management to complete the separation within nine to twelve months from the date of such announcement. In April 2022, as a result of interest in the Company well in excess of a tender offer to other of our stockholders by an activist stockholder (affiliates of Carl C. Icahn), the Board authorized the review of a full range of strategic alternatives intended to maximize stockholder value. As part of this process, a strategic transactions committee of the Board, consisting entirely of independent directors, would evaluate a sale of the Company, as well as a range of alternatives, including, but not limited to, a separate sale of its business units and/or pursuing the spin-off of Centuri (collectively, the “Strategic Review”). On August 3, 2022, the Company announced that the Board had unanimously determined that the best path forward to maximize value for all stockholders is to (i) focus on the strategic plan and while concluding the strategic review process for Southwest Gas Holdings, Inc. and Southwest Gas Corporation; (ii) continue to review strategic alternatives for MountainWest; and (iii) continue to review strategic alternatives for Centuri, including a sale or spin-off of Centuri, among others. There can be no assurances that the strategic alternatives considered will be executed or maximize value as intended. See “</w:t>
      </w:r>
      <w:r>
        <w:rPr>
          <w:rFonts w:ascii="Times New Roman" w:cs="Times New Roman" w:eastAsia="Times New Roman" w:hAnsi="Times New Roman"/>
          <w:sz w:val="18"/>
          <w:szCs w:val="18"/>
          <w:b w:val="1"/>
          <w:bCs w:val="1"/>
          <w:color w:val="auto"/>
        </w:rPr>
        <w:t>Item 1A - Risk Factors</w:t>
      </w:r>
      <w:r>
        <w:rPr>
          <w:rFonts w:ascii="Times New Roman" w:cs="Times New Roman" w:eastAsia="Times New Roman" w:hAnsi="Times New Roman"/>
          <w:sz w:val="18"/>
          <w:szCs w:val="18"/>
          <w:color w:val="auto"/>
        </w:rPr>
        <w:t>” included in the Company’s Quarterly Report on Form 10-Q filed May 10, 2022.</w:t>
      </w:r>
    </w:p>
    <w:p>
      <w:pPr>
        <w:spacing w:after="0" w:line="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As described in </w:t>
      </w:r>
      <w:r>
        <w:rPr>
          <w:rFonts w:ascii="Times New Roman" w:cs="Times New Roman" w:eastAsia="Times New Roman" w:hAnsi="Times New Roman"/>
          <w:sz w:val="18"/>
          <w:szCs w:val="18"/>
          <w:b w:val="1"/>
          <w:bCs w:val="1"/>
          <w:color w:val="auto"/>
        </w:rPr>
        <w:t>Note 1 – Background, Organization, and Summary of Significant Accounting Policies</w:t>
      </w:r>
      <w:r>
        <w:rPr>
          <w:rFonts w:ascii="Times New Roman" w:cs="Times New Roman" w:eastAsia="Times New Roman" w:hAnsi="Times New Roman"/>
          <w:sz w:val="18"/>
          <w:szCs w:val="18"/>
          <w:color w:val="auto"/>
        </w:rPr>
        <w:t xml:space="preserve">, on May 6, 2022, the Company entered into the Initial Cooperation Agreement with the Icahn Group. Pursuant to the Initial Cooperation Agreement, the Company, among other things, made certain previously disclosed changes to the Board of Directors and management team. On October 24, 2022, the Company and the Icahn Group entered into the Amended Cooperation Agreement, which amended, restated, superseded, and replaced in its entirety the Initial Cooperation Agreement. Under the Amended Cooperation Agreement, certain of the standstill provisions in the Initial Cooperation Agreement were extended, the Ichan Group’s governance rights were amended and the Company agreed to certain actions in connection with the 2023 Annual Meeting. Please see See </w:t>
      </w:r>
      <w:r>
        <w:rPr>
          <w:rFonts w:ascii="Times New Roman" w:cs="Times New Roman" w:eastAsia="Times New Roman" w:hAnsi="Times New Roman"/>
          <w:sz w:val="18"/>
          <w:szCs w:val="18"/>
          <w:b w:val="1"/>
          <w:bCs w:val="1"/>
          <w:color w:val="auto"/>
        </w:rPr>
        <w:t>Note 9 - Subsequent Events</w:t>
      </w:r>
      <w:r>
        <w:rPr>
          <w:rFonts w:ascii="Times New Roman" w:cs="Times New Roman" w:eastAsia="Times New Roman" w:hAnsi="Times New Roman"/>
          <w:sz w:val="18"/>
          <w:szCs w:val="18"/>
          <w:color w:val="auto"/>
        </w:rPr>
        <w:t xml:space="preserve"> for additional information about the Amended Cooperation Agreement.</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Southwest is engaged in the business of purchasing, distributing, and transporting natural gas for customers in portions of Arizona, Nevada, and California. Southwest is the largest distributor of natural gas in Arizona and Nevada, and distributes and transports natural gas for customers in portions of California. Additionally, through its subsidiaries, Southwest operates two regulated interstate pipelines serving portions of the northern territories of Nevada and California.</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As of September 30, 2022, Southwest had 2,180,000 residential, commercial, industrial, and other natural gas customers, of which 1,166,000 customers were located in Arizona, 810,000 in Nevada, and 204,000 in California. In January 2022, approximately 5,300 customers became part of Southwest’s gas distribution operations that were formerly served by Graham County Utilities (“GCU”). </w:t>
      </w:r>
      <w:r>
        <w:rPr>
          <w:rFonts w:ascii="Times New Roman" w:cs="Times New Roman" w:eastAsia="Times New Roman" w:hAnsi="Times New Roman"/>
          <w:sz w:val="18"/>
          <w:szCs w:val="18"/>
          <w:color w:val="212529"/>
        </w:rPr>
        <w:t>Over the past twelve months, first-time meter sets were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approximately 40,000, compared to 37,000 for the twelve months ended September 2021. </w:t>
      </w:r>
      <w:r>
        <w:rPr>
          <w:rFonts w:ascii="Times New Roman" w:cs="Times New Roman" w:eastAsia="Times New Roman" w:hAnsi="Times New Roman"/>
          <w:sz w:val="18"/>
          <w:szCs w:val="18"/>
          <w:color w:val="000000"/>
        </w:rPr>
        <w:t>Residential and small commercial customers represented over</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99% of the total customer base. During the twelve months ended September 30, 2022, 54% of operating margin (Regulated operations revenues less the net cost of gas sold) was earned in Arizona, 34% in Nevada, and 12% in California. During this same period, Southwest earned 85% of its operating margin from residential and small commercial customers, 4% from other sales customers, and 11% from transportation customers. These patterns are expected to remain materially consistent for the foreseeable future.</w:t>
      </w:r>
    </w:p>
    <w:p>
      <w:pPr>
        <w:spacing w:after="0" w:line="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Southwest recognizes operating revenues from the distribution and transportation of natural gas (and related services) to customers. Operating margin is a financial measure defined by management as Regulated operations revenues less the net cost</w:t>
      </w:r>
    </w:p>
    <w:p>
      <w:pPr>
        <w:spacing w:after="0" w:line="200" w:lineRule="exact"/>
        <w:rPr>
          <w:sz w:val="20"/>
          <w:szCs w:val="20"/>
          <w:color w:val="auto"/>
        </w:rPr>
      </w:pPr>
    </w:p>
    <w:p>
      <w:pPr>
        <w:spacing w:after="0" w:line="2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35" w:name="page36"/>
    <w:bookmarkEnd w:id="35"/>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30, 2022</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of gas sold. However, operating margin is not specifically defined in accounting principles generally accepted in the United States (“U.S. GAAP”). Thus, operating margin is considered a non-GAAP measure. Management uses this financial measure because Regulated operations revenues include the net cost of gas sold, which is a tracked cost that is passed through to customers without markup under purchased gas adjustment (“PGA”) mechanisms. Fluctuations in the net cost of gas sold impact revenues on a dollar-for-dollar basis, but do not impact operating margin or operating income. Therefore, management believes operating margin provides investors and other interested parties with useful and relevant information to analyze Southwest’s financial performance in a rate-regulated environment. The principal factors affecting changes in operating margin are general rate relief (including impacts of infrastructure trackers) and customer growth. Commission decisions on the amount and timing of relief may impact our earnings. Refer to the Summary Operating Results table below for a reconciliation of gross margin to operating margin, and refer to </w:t>
      </w:r>
      <w:r>
        <w:rPr>
          <w:rFonts w:ascii="Times New Roman" w:cs="Times New Roman" w:eastAsia="Times New Roman" w:hAnsi="Times New Roman"/>
          <w:sz w:val="18"/>
          <w:szCs w:val="18"/>
          <w:i w:val="1"/>
          <w:iCs w:val="1"/>
          <w:color w:val="auto"/>
        </w:rPr>
        <w:t>Rates and Regulatory Proceedings</w:t>
      </w:r>
      <w:r>
        <w:rPr>
          <w:rFonts w:ascii="Times New Roman" w:cs="Times New Roman" w:eastAsia="Times New Roman" w:hAnsi="Times New Roman"/>
          <w:sz w:val="18"/>
          <w:szCs w:val="18"/>
          <w:color w:val="auto"/>
        </w:rPr>
        <w:t xml:space="preserve"> in this Management’s Discussion and Analysis, for details of various rate proceedings.</w:t>
      </w:r>
    </w:p>
    <w:p>
      <w:pPr>
        <w:spacing w:after="0" w:line="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demand for natural gas is seasonal, with greater demand in the colder winter months and decreased demand in the warmer summer months. All of Southwest’s service territories have decoupled rate structures (alternative revenue programs), which are designed to eliminate the direct link between volumetric sales and revenue, thereby mitigating the impacts of unusual weather variability and conservation on operating margin, allowing Southwest to pursue energy efficiency initiatives.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Centuri is a strategic infrastructure services company that partners with regulated utilities to build and maintain the energy network that powers millions of homes and businesses across the United States (“U.S.”) and Canada. With an unwavering commitment to serve as long-term partners to customers and communities, Centuri’s employees enable regulated utilities to safely and reliably deliver natural gas and electricity, as well as achieve their goals for environmental sustainability. Centuri operates in 71 primary locations across 45 states and provinces in the U.S. and Canada. Centuri operates in the U.S., primarily as NPL, Neuco, Linetec, and Riggs Distler, and in Canada, primarily as NPL Canada.</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Utility infrastructure services activity can be impacted by changes in infrastructure replacement programs of utilities, weather, and local and federal regulation (including tax rates and incentives). Utilities continue to implement or modify system integrity management programs to enhance safety pursuant to federal and state mandates. These programs have resulted in multi-year utility system replacement projects throughout the U.S. Generally, Centuri revenues are lowest during the first quarter of the year due to less favorable winter weather conditions. Revenues typically improve as more favorable weather conditions occur during the summer and fall months. In cases of severe weather, such as following a regional storm, Centuri may be engaged to perform restoration activities related to above-ground utility infrastructure, and related results impacts are not solely within the control of management. In addition, in certain circumstances, such as with large bid contracts (especially those of a longer duration), or unit-price contracts with revenue caps, results may be impacted by differences between costs incurred and those anticipated when the work was originally bid. Work awarded, or failing to be awarded, by individual large customers can impact operating results.</w:t>
      </w:r>
    </w:p>
    <w:p>
      <w:pPr>
        <w:spacing w:after="0" w:line="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MountainWest is an interstate natural gas transmission pipeline company that provides transportation and underground storage services to customers in Utah, Wyoming, and Colorado. A substantial portion of its revenue results from reservation charges, but variable rates are also included as part of its primarily rate-regulated rate structures.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12529"/>
        </w:rPr>
        <w:t>While the novel coronavirus (“COVID-19”) pandemic has been ongoing since the first quarter of 2020, to date, there has not been a significant disruption in the Company’s supply chains, transportation network, or ability to serve customers. The extent to which COVID-19 may adversely impact the Company’s business depends on future developments; however, management does not currently expect impacts to be material to the Company’s liquidity or financial position overall.</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12529"/>
        </w:rPr>
        <w:t>All of our businesses may be impacted by economic conditions that impact businesses generally, such as inflationary impacts on goods and services consumed in the business, rising interest rates, labor markets and costs (including in regard to contracted or professional services), and the availability of those resources.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Management’s Discussion and Analysis (“MD&amp;A”) of Financial Condition and Results of Operations should be read in conjunction with the unaudited condensed consolidated financial statements and notes thereto included in this Quarterly Report on Form 10-Q and the audited financial statements and notes thereto, as well as the MD&amp;A included in the 2021 Annual Report to Stockholders, which is incorporated by reference into the 2021 Form 10-K, in addition to the Risk Factors included in these documents, and as updated from time to time.</w:t>
      </w:r>
    </w:p>
    <w:p>
      <w:pPr>
        <w:spacing w:after="0" w:line="200" w:lineRule="exact"/>
        <w:rPr>
          <w:sz w:val="20"/>
          <w:szCs w:val="20"/>
          <w:color w:val="auto"/>
        </w:rPr>
      </w:pPr>
    </w:p>
    <w:p>
      <w:pPr>
        <w:spacing w:after="0" w:line="2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36" w:name="page37"/>
    <w:bookmarkEnd w:id="36"/>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30, 2022</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Results of Natural Gas Distribution</w:t>
            </w: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91"/>
        </w:trPr>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Quarterly Analysis</w:t>
            </w: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18"/>
        </w:trPr>
        <w:tc>
          <w:tcPr>
            <w:tcW w:w="1380" w:type="dxa"/>
            <w:vAlign w:val="bottom"/>
            <w:tcBorders>
              <w:top w:val="single" w:sz="8" w:color="auto"/>
            </w:tcBorders>
          </w:tcPr>
          <w:p>
            <w:pPr>
              <w:spacing w:after="0"/>
              <w:rPr>
                <w:sz w:val="24"/>
                <w:szCs w:val="24"/>
                <w:color w:val="auto"/>
              </w:rPr>
            </w:pPr>
          </w:p>
        </w:tc>
        <w:tc>
          <w:tcPr>
            <w:tcW w:w="6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Three Months Ended</w:t>
            </w:r>
          </w:p>
        </w:tc>
        <w:tc>
          <w:tcPr>
            <w:tcW w:w="1120" w:type="dxa"/>
            <w:vAlign w:val="bottom"/>
          </w:tcPr>
          <w:p>
            <w:pPr>
              <w:spacing w:after="0"/>
              <w:rPr>
                <w:sz w:val="24"/>
                <w:szCs w:val="24"/>
                <w:color w:val="auto"/>
              </w:rPr>
            </w:pPr>
          </w:p>
        </w:tc>
      </w:tr>
      <w:tr>
        <w:trPr>
          <w:trHeight w:val="237"/>
        </w:trPr>
        <w:tc>
          <w:tcPr>
            <w:tcW w:w="1380" w:type="dxa"/>
            <w:vAlign w:val="bottom"/>
          </w:tcPr>
          <w:p>
            <w:pPr>
              <w:spacing w:after="0"/>
              <w:rPr>
                <w:sz w:val="20"/>
                <w:szCs w:val="20"/>
                <w:color w:val="auto"/>
              </w:rPr>
            </w:pPr>
          </w:p>
        </w:tc>
        <w:tc>
          <w:tcPr>
            <w:tcW w:w="60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8"/>
                <w:szCs w:val="18"/>
                <w:color w:val="auto"/>
              </w:rPr>
              <w:t>September 30,</w:t>
            </w:r>
          </w:p>
        </w:tc>
        <w:tc>
          <w:tcPr>
            <w:tcW w:w="1120" w:type="dxa"/>
            <w:vAlign w:val="bottom"/>
            <w:tcBorders>
              <w:bottom w:val="single" w:sz="8" w:color="auto"/>
            </w:tcBorders>
          </w:tcPr>
          <w:p>
            <w:pPr>
              <w:spacing w:after="0"/>
              <w:rPr>
                <w:sz w:val="20"/>
                <w:szCs w:val="20"/>
                <w:color w:val="auto"/>
              </w:rPr>
            </w:pPr>
          </w:p>
        </w:tc>
      </w:tr>
      <w:tr>
        <w:trPr>
          <w:trHeight w:val="229"/>
        </w:trPr>
        <w:tc>
          <w:tcPr>
            <w:tcW w:w="74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w w:val="99"/>
              </w:rPr>
              <w:t>2021</w:t>
            </w:r>
          </w:p>
        </w:tc>
      </w:tr>
      <w:tr>
        <w:trPr>
          <w:trHeight w:val="223"/>
        </w:trPr>
        <w:tc>
          <w:tcPr>
            <w:tcW w:w="7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Regulated operations revenues</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303,944</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255,848</w:t>
            </w:r>
          </w:p>
        </w:tc>
      </w:tr>
      <w:tr>
        <w:trPr>
          <w:trHeight w:val="229"/>
        </w:trPr>
        <w:tc>
          <w:tcPr>
            <w:tcW w:w="74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cost of gas sold</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100,441</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63,710</w:t>
            </w:r>
          </w:p>
        </w:tc>
      </w:tr>
      <w:tr>
        <w:trPr>
          <w:trHeight w:val="223"/>
        </w:trPr>
        <w:tc>
          <w:tcPr>
            <w:tcW w:w="7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margin</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203,503</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192,138</w:t>
            </w:r>
          </w:p>
        </w:tc>
      </w:tr>
      <w:tr>
        <w:trPr>
          <w:trHeight w:val="229"/>
        </w:trPr>
        <w:tc>
          <w:tcPr>
            <w:tcW w:w="7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Operations and maintenance expense</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121,537</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119,708</w:t>
            </w:r>
          </w:p>
        </w:tc>
      </w:tr>
      <w:tr>
        <w:trPr>
          <w:trHeight w:val="229"/>
        </w:trPr>
        <w:tc>
          <w:tcPr>
            <w:tcW w:w="7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64,390</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61,359</w:t>
            </w:r>
          </w:p>
        </w:tc>
      </w:tr>
      <w:tr>
        <w:trPr>
          <w:trHeight w:val="230"/>
        </w:trPr>
        <w:tc>
          <w:tcPr>
            <w:tcW w:w="74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Taxes other than income taxes</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20,693</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20,109</w:t>
            </w:r>
          </w:p>
        </w:tc>
      </w:tr>
      <w:tr>
        <w:trPr>
          <w:trHeight w:val="223"/>
        </w:trPr>
        <w:tc>
          <w:tcPr>
            <w:tcW w:w="7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loss</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(3,117)</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(9,038)</w:t>
            </w:r>
          </w:p>
        </w:tc>
      </w:tr>
      <w:tr>
        <w:trPr>
          <w:trHeight w:val="230"/>
        </w:trPr>
        <w:tc>
          <w:tcPr>
            <w:tcW w:w="7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 (deductions)</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1,678</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(4,287)</w:t>
            </w:r>
          </w:p>
        </w:tc>
      </w:tr>
      <w:tr>
        <w:trPr>
          <w:trHeight w:val="229"/>
        </w:trPr>
        <w:tc>
          <w:tcPr>
            <w:tcW w:w="7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interest deductions</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29,417</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24,922</w:t>
            </w:r>
          </w:p>
        </w:tc>
      </w:tr>
      <w:tr>
        <w:trPr>
          <w:trHeight w:val="223"/>
        </w:trPr>
        <w:tc>
          <w:tcPr>
            <w:tcW w:w="7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Loss before income taxes</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(30,856)</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(38,247)</w:t>
            </w:r>
          </w:p>
        </w:tc>
      </w:tr>
      <w:tr>
        <w:trPr>
          <w:trHeight w:val="229"/>
        </w:trPr>
        <w:tc>
          <w:tcPr>
            <w:tcW w:w="7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(8,657)</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(10,703)</w:t>
            </w:r>
          </w:p>
        </w:tc>
      </w:tr>
      <w:tr>
        <w:trPr>
          <w:trHeight w:val="223"/>
        </w:trPr>
        <w:tc>
          <w:tcPr>
            <w:tcW w:w="7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Contribution to consolidated results</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(22,199)</w:t>
            </w:r>
          </w:p>
        </w:tc>
        <w:tc>
          <w:tcPr>
            <w:tcW w:w="100" w:type="dxa"/>
            <w:vAlign w:val="bottom"/>
          </w:tcPr>
          <w:p>
            <w:pPr>
              <w:spacing w:after="0"/>
              <w:rPr>
                <w:sz w:val="19"/>
                <w:szCs w:val="19"/>
                <w:color w:val="auto"/>
              </w:rPr>
            </w:pPr>
          </w:p>
        </w:tc>
        <w:tc>
          <w:tcPr>
            <w:tcW w:w="7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(27,544)</w:t>
            </w:r>
          </w:p>
        </w:tc>
      </w:tr>
      <w:tr>
        <w:trPr>
          <w:trHeight w:val="20"/>
        </w:trPr>
        <w:tc>
          <w:tcPr>
            <w:tcW w:w="138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Results from natural gas distribution operations improved $5 million between the third quarters of 2022 and 2021. The improvement was primarily due to an increase in Operating margin and Other income (deductions), offset by an increase in Net interest deductions and a decrease in Income tax benefit.</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Operating margin increased $11.4 million quarter over quarter. Approximately $2 million of incremental margin was attributable to customer growth, including 40,000 first-time meter sets during the last twelve months. Rate relief primarily in Nevada, and to a lesser extent in California, added approximately $4 million of combined margin. Amounts collected from customers associated with previously unrecovered Vintage Steel Pipe (“VSP”) and Customer-Owned Yard Line (“COYL”) programs in Arizona ($5.2 million) also contributed to the improvement. Refer to Rates and Regulatory Proceedings later in this MD&amp;A for more information. Other differences in miscellaneous revenue and margin from customers outside the decoupling mechanisms contributed to the remaining net variance between quarters.</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Operations and maintenance expense increased $1.8 million between quarters primarily due to contractor costs for event-driven pipeline integrity, reliability and engineering services ($2.8 million), costs for temporary/contractor services for customer and technology support ($800,000), and an increase in the reserve for customer accounts deemed uncollectible ($2.5 million). These costs were offset by a reduction in legal-claim related costs (the prior-year quarter reflected a $5 million legal reserve) and a reduction in labor and miscellaneous employee benefits.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increased $3 million, or 5%, between quarters, primarily due to a $513 million, or 6%, increase in average gas plant in service compared to the corresponding quarter a year ago. The increase in plant was attributable to pipeline capacity reinforcement work, franchise requirements, scheduled pipe replacement activities, and new infrastructure. Regulatory amortization was comparable between periods.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income increased $6 million. The non-service-related components of employee pension and other postretirement benefit costs were $3.3 million lower between quarters. Interest income increased $3 million between quarters primarily due to the increased receivable position related to the PGA mechanisms. Offsetting these and other improvements was a $1.5 million decline in COLI policy cash surrender values, while the prior-year quarter reflected no change.</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interest deductions increased $4.5 million in the third quarter of 2022, as compared to the prior-year quarter, primarily due to interest associated with the issuance of $600 million of Senior Notes in March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37" w:name="page38"/>
    <w:bookmarkEnd w:id="37"/>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30, 2022</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Results of Natural Gas Operations</w:t>
            </w: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91"/>
        </w:trPr>
        <w:tc>
          <w:tcPr>
            <w:tcW w:w="7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Nine-Month Analysis</w:t>
            </w: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31"/>
        </w:trPr>
        <w:tc>
          <w:tcPr>
            <w:tcW w:w="1580" w:type="dxa"/>
            <w:vAlign w:val="bottom"/>
            <w:tcBorders>
              <w:top w:val="single" w:sz="8" w:color="auto"/>
            </w:tcBorders>
          </w:tcPr>
          <w:p>
            <w:pPr>
              <w:spacing w:after="0"/>
              <w:rPr>
                <w:sz w:val="24"/>
                <w:szCs w:val="24"/>
                <w:color w:val="auto"/>
              </w:rPr>
            </w:pPr>
          </w:p>
        </w:tc>
        <w:tc>
          <w:tcPr>
            <w:tcW w:w="5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Nine Months Ended</w:t>
            </w:r>
          </w:p>
        </w:tc>
        <w:tc>
          <w:tcPr>
            <w:tcW w:w="1120" w:type="dxa"/>
            <w:vAlign w:val="bottom"/>
          </w:tcPr>
          <w:p>
            <w:pPr>
              <w:spacing w:after="0"/>
              <w:rPr>
                <w:sz w:val="24"/>
                <w:szCs w:val="24"/>
                <w:color w:val="auto"/>
              </w:rPr>
            </w:pPr>
          </w:p>
        </w:tc>
      </w:tr>
      <w:tr>
        <w:trPr>
          <w:trHeight w:val="237"/>
        </w:trPr>
        <w:tc>
          <w:tcPr>
            <w:tcW w:w="158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September 30,</w:t>
            </w:r>
          </w:p>
        </w:tc>
        <w:tc>
          <w:tcPr>
            <w:tcW w:w="1120" w:type="dxa"/>
            <w:vAlign w:val="bottom"/>
            <w:tcBorders>
              <w:bottom w:val="single" w:sz="8" w:color="auto"/>
            </w:tcBorders>
          </w:tcPr>
          <w:p>
            <w:pPr>
              <w:spacing w:after="0"/>
              <w:rPr>
                <w:sz w:val="20"/>
                <w:szCs w:val="20"/>
                <w:color w:val="auto"/>
              </w:rPr>
            </w:pPr>
          </w:p>
        </w:tc>
      </w:tr>
      <w:tr>
        <w:trPr>
          <w:trHeight w:val="229"/>
        </w:trPr>
        <w:tc>
          <w:tcPr>
            <w:tcW w:w="75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w w:val="99"/>
              </w:rPr>
              <w:t>2021</w:t>
            </w:r>
          </w:p>
        </w:tc>
      </w:tr>
      <w:tr>
        <w:trPr>
          <w:trHeight w:val="223"/>
        </w:trPr>
        <w:tc>
          <w:tcPr>
            <w:tcW w:w="7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Gas operating revenues</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1,358,425</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1,070,576</w:t>
            </w:r>
          </w:p>
        </w:tc>
      </w:tr>
      <w:tr>
        <w:trPr>
          <w:trHeight w:val="229"/>
        </w:trPr>
        <w:tc>
          <w:tcPr>
            <w:tcW w:w="75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cost of gas sold</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544,216</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296,227</w:t>
            </w:r>
          </w:p>
        </w:tc>
      </w:tr>
      <w:tr>
        <w:trPr>
          <w:trHeight w:val="223"/>
        </w:trPr>
        <w:tc>
          <w:tcPr>
            <w:tcW w:w="75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margin</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814,209</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774,349</w:t>
            </w:r>
          </w:p>
        </w:tc>
      </w:tr>
      <w:tr>
        <w:trPr>
          <w:trHeight w:val="229"/>
        </w:trPr>
        <w:tc>
          <w:tcPr>
            <w:tcW w:w="7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Operations and maintenance expense</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368,984</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328,980</w:t>
            </w:r>
          </w:p>
        </w:tc>
      </w:tr>
      <w:tr>
        <w:trPr>
          <w:trHeight w:val="230"/>
        </w:trPr>
        <w:tc>
          <w:tcPr>
            <w:tcW w:w="7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192,434</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187,688</w:t>
            </w:r>
          </w:p>
        </w:tc>
      </w:tr>
      <w:tr>
        <w:trPr>
          <w:trHeight w:val="229"/>
        </w:trPr>
        <w:tc>
          <w:tcPr>
            <w:tcW w:w="75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Taxes other than income taxes</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62,443</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60,134</w:t>
            </w:r>
          </w:p>
        </w:tc>
      </w:tr>
      <w:tr>
        <w:trPr>
          <w:trHeight w:val="223"/>
        </w:trPr>
        <w:tc>
          <w:tcPr>
            <w:tcW w:w="75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income</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190,348</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197,547</w:t>
            </w:r>
          </w:p>
        </w:tc>
      </w:tr>
      <w:tr>
        <w:trPr>
          <w:trHeight w:val="229"/>
        </w:trPr>
        <w:tc>
          <w:tcPr>
            <w:tcW w:w="7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 (deductions)</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(4,902)</w:t>
            </w:r>
          </w:p>
        </w:tc>
      </w:tr>
      <w:tr>
        <w:trPr>
          <w:trHeight w:val="229"/>
        </w:trPr>
        <w:tc>
          <w:tcPr>
            <w:tcW w:w="7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interest deductions</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84,660</w:t>
            </w:r>
          </w:p>
        </w:tc>
        <w:tc>
          <w:tcPr>
            <w:tcW w:w="10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71,263</w:t>
            </w:r>
          </w:p>
        </w:tc>
      </w:tr>
      <w:tr>
        <w:trPr>
          <w:trHeight w:val="223"/>
        </w:trPr>
        <w:tc>
          <w:tcPr>
            <w:tcW w:w="7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105,248</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121,382</w:t>
            </w:r>
          </w:p>
        </w:tc>
      </w:tr>
      <w:tr>
        <w:trPr>
          <w:trHeight w:val="229"/>
        </w:trPr>
        <w:tc>
          <w:tcPr>
            <w:tcW w:w="7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17,918</w:t>
            </w:r>
          </w:p>
        </w:tc>
        <w:tc>
          <w:tcPr>
            <w:tcW w:w="10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18,798</w:t>
            </w:r>
          </w:p>
        </w:tc>
      </w:tr>
      <w:tr>
        <w:trPr>
          <w:trHeight w:val="223"/>
        </w:trPr>
        <w:tc>
          <w:tcPr>
            <w:tcW w:w="7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Contribution to consolidated results</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87,330</w:t>
            </w:r>
          </w:p>
        </w:tc>
        <w:tc>
          <w:tcPr>
            <w:tcW w:w="100" w:type="dxa"/>
            <w:vAlign w:val="bottom"/>
          </w:tcPr>
          <w:p>
            <w:pPr>
              <w:spacing w:after="0"/>
              <w:rPr>
                <w:sz w:val="19"/>
                <w:szCs w:val="19"/>
                <w:color w:val="auto"/>
              </w:rPr>
            </w:pPr>
          </w:p>
        </w:tc>
        <w:tc>
          <w:tcPr>
            <w:tcW w:w="7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102,584</w:t>
            </w:r>
          </w:p>
        </w:tc>
      </w:tr>
      <w:tr>
        <w:trPr>
          <w:trHeight w:val="21"/>
        </w:trPr>
        <w:tc>
          <w:tcPr>
            <w:tcW w:w="158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Contribution from natural gas distribution operations to consolidated net income decreased $15.3 million between the first nine months of 2022 and 2021. The decline was primarily due to increases in Operations and maintenance expense, Depreciation and amortization, and Net interest deductions, partially offset by an increase in Operating margin and Other income (deductions).</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Operating margin increased $39.9 million, including $13 million attributable to customer growth. Rate relief contributed an additional $14 million. Also contributing to the increase were customer late fees that were $4 million greater in the current period due to the lifting (in 2021) of a moratorium on such fees. The moratorium was previously in place beginning in March 2020 to provide temporary relief to customers during the COVID-19 pandemic. Amounts collected in the current period from customers associated with previously unrecovered VSP and COYL programs in Arizona totaled $16.9 million. Partially offsetting these improvements were amounts related to the recovery/return associated with other regulatory programs; however, such amounts also reduced amortization expense. The residual difference in Operating margin primarily relates to miscellaneous service revenue and customers that are not part of the decoupling mechanisms.</w:t>
      </w:r>
    </w:p>
    <w:p>
      <w:pPr>
        <w:spacing w:after="0" w:line="8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Operations and maintenance expense increased $40 million between periods primarily due to general inflationary impacts, including specific increases related to labor and related pension and benefit costs ($15 million), temporary/contractor services for customer and technology support ($5 million), contractor costs for pipeline integrity, reliability, and engineering, some of which were event driven ($6.5 million), an increase in the reserve for customer accounts deemed uncollectible ($4.5 million), and higher legal and claim-related costs ($2.8 million).</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Depreciation and amortization expense increased $4.7 million, or 3%, between periods primarily due to a $540 million, or 6%, increase in average gas plant in service between periods, the impact of which was offset by reduced amounts ($6.2 million) associated with the return/recovery of regulatory account balances, compared to the first nine months of 2021. The increase in plant was attributable to pipeline reinforcement work, franchise requirements, scheduled pipe replacement activities, and new infrastructure, as well as the implementation of the customer information system, which occurred in May 2021.</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Taxes other than income taxes increased $2.3 million, or 4%, between periods primarily due to an increase in property taxes in Nevada and California.</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Other income (deductions) improved $4.5 million overall between periods. The current period reflects an $8.7 million decline in COLI policy cash surrender values, while the prior-year period reflected $5.8 million in income from the combined effects of an increase in values and recognized death benefits. Offsetting these impacts were non-service cost components of employee pension and other postretirement benefits, which decreased $10 million between periods, and interest income, which increased $7 million between periods due to the increased receivable position of the PGA mechanisms. Additionally, a gain of $1.5 million was recognized on the sale of non-regulated property in the first quarter of 2022.</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interest deductions increased $13.4 million between periods, primarily due to higher interest associated with $300 million of Senior Notes issued in August 2021, $600 million of Senior Notes issued in March 2022.</w:t>
      </w:r>
    </w:p>
    <w:p>
      <w:pPr>
        <w:spacing w:after="0" w:line="200" w:lineRule="exact"/>
        <w:rPr>
          <w:sz w:val="20"/>
          <w:szCs w:val="20"/>
          <w:color w:val="auto"/>
        </w:rPr>
      </w:pPr>
    </w:p>
    <w:p>
      <w:pPr>
        <w:spacing w:after="0" w:line="2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38" w:name="page39"/>
    <w:bookmarkEnd w:id="38"/>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30, 2022</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Results of Natural Gas Distribution</w:t>
            </w:r>
          </w:p>
        </w:tc>
        <w:tc>
          <w:tcPr>
            <w:tcW w:w="3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91"/>
        </w:trPr>
        <w:tc>
          <w:tcPr>
            <w:tcW w:w="7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Twelve-Month Analysis</w:t>
            </w:r>
          </w:p>
        </w:tc>
        <w:tc>
          <w:tcPr>
            <w:tcW w:w="3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72"/>
        </w:trPr>
        <w:tc>
          <w:tcPr>
            <w:tcW w:w="1740" w:type="dxa"/>
            <w:vAlign w:val="bottom"/>
            <w:tcBorders>
              <w:top w:val="single" w:sz="8" w:color="auto"/>
            </w:tcBorders>
          </w:tcPr>
          <w:p>
            <w:pPr>
              <w:spacing w:after="0"/>
              <w:rPr>
                <w:sz w:val="24"/>
                <w:szCs w:val="24"/>
                <w:color w:val="auto"/>
              </w:rPr>
            </w:pPr>
          </w:p>
        </w:tc>
        <w:tc>
          <w:tcPr>
            <w:tcW w:w="57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gridSpan w:val="4"/>
          </w:tcPr>
          <w:p>
            <w:pPr>
              <w:jc w:val="right"/>
              <w:ind w:right="430"/>
              <w:spacing w:after="0"/>
              <w:rPr>
                <w:sz w:val="20"/>
                <w:szCs w:val="20"/>
                <w:color w:val="auto"/>
              </w:rPr>
            </w:pPr>
            <w:r>
              <w:rPr>
                <w:rFonts w:ascii="Times New Roman" w:cs="Times New Roman" w:eastAsia="Times New Roman" w:hAnsi="Times New Roman"/>
                <w:sz w:val="18"/>
                <w:szCs w:val="18"/>
                <w:color w:val="auto"/>
              </w:rPr>
              <w:t>Twelve Months Ended September 30,</w:t>
            </w:r>
          </w:p>
        </w:tc>
      </w:tr>
      <w:tr>
        <w:trPr>
          <w:trHeight w:val="223"/>
        </w:trPr>
        <w:tc>
          <w:tcPr>
            <w:tcW w:w="75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3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7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Regulated operations revenues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1,809,639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1,445,066</w:t>
            </w:r>
          </w:p>
        </w:tc>
      </w:tr>
      <w:tr>
        <w:trPr>
          <w:trHeight w:val="229"/>
        </w:trPr>
        <w:tc>
          <w:tcPr>
            <w:tcW w:w="75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cost of gas sold</w:t>
            </w:r>
          </w:p>
        </w:tc>
        <w:tc>
          <w:tcPr>
            <w:tcW w:w="3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678,896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374,449</w:t>
            </w:r>
          </w:p>
        </w:tc>
      </w:tr>
      <w:tr>
        <w:trPr>
          <w:trHeight w:val="223"/>
        </w:trPr>
        <w:tc>
          <w:tcPr>
            <w:tcW w:w="75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margin</w:t>
            </w:r>
          </w:p>
        </w:tc>
        <w:tc>
          <w:tcPr>
            <w:tcW w:w="3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1,130,743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1,070,617</w:t>
            </w:r>
          </w:p>
        </w:tc>
      </w:tr>
      <w:tr>
        <w:trPr>
          <w:trHeight w:val="229"/>
        </w:trPr>
        <w:tc>
          <w:tcPr>
            <w:tcW w:w="7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Operations and maintenance expense</w:t>
            </w:r>
          </w:p>
        </w:tc>
        <w:tc>
          <w:tcPr>
            <w:tcW w:w="3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478,554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431,795</w:t>
            </w:r>
          </w:p>
        </w:tc>
      </w:tr>
      <w:tr>
        <w:trPr>
          <w:trHeight w:val="230"/>
        </w:trPr>
        <w:tc>
          <w:tcPr>
            <w:tcW w:w="7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258,144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249,118</w:t>
            </w:r>
          </w:p>
        </w:tc>
      </w:tr>
      <w:tr>
        <w:trPr>
          <w:trHeight w:val="229"/>
        </w:trPr>
        <w:tc>
          <w:tcPr>
            <w:tcW w:w="75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Taxes other than income taxes</w:t>
            </w:r>
          </w:p>
        </w:tc>
        <w:tc>
          <w:tcPr>
            <w:tcW w:w="3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82,652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76,087</w:t>
            </w:r>
          </w:p>
        </w:tc>
      </w:tr>
      <w:tr>
        <w:trPr>
          <w:trHeight w:val="223"/>
        </w:trPr>
        <w:tc>
          <w:tcPr>
            <w:tcW w:w="75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311,393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313,617</w:t>
            </w:r>
          </w:p>
        </w:tc>
      </w:tr>
      <w:tr>
        <w:trPr>
          <w:trHeight w:val="229"/>
        </w:trPr>
        <w:tc>
          <w:tcPr>
            <w:tcW w:w="7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 (deductions)</w:t>
            </w:r>
          </w:p>
        </w:tc>
        <w:tc>
          <w:tcPr>
            <w:tcW w:w="3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w:t>
            </w:r>
          </w:p>
        </w:tc>
      </w:tr>
      <w:tr>
        <w:trPr>
          <w:trHeight w:val="229"/>
        </w:trPr>
        <w:tc>
          <w:tcPr>
            <w:tcW w:w="7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interest deductions</w:t>
            </w:r>
          </w:p>
        </w:tc>
        <w:tc>
          <w:tcPr>
            <w:tcW w:w="3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110,957</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97,259</w:t>
            </w:r>
          </w:p>
        </w:tc>
      </w:tr>
      <w:tr>
        <w:trPr>
          <w:trHeight w:val="223"/>
        </w:trPr>
        <w:tc>
          <w:tcPr>
            <w:tcW w:w="7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200,339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215,813</w:t>
            </w:r>
          </w:p>
        </w:tc>
      </w:tr>
      <w:tr>
        <w:trPr>
          <w:trHeight w:val="229"/>
        </w:trPr>
        <w:tc>
          <w:tcPr>
            <w:tcW w:w="7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28,458</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33,679</w:t>
            </w:r>
          </w:p>
        </w:tc>
      </w:tr>
      <w:tr>
        <w:trPr>
          <w:trHeight w:val="223"/>
        </w:trPr>
        <w:tc>
          <w:tcPr>
            <w:tcW w:w="7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Contribution to consolidated results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171,881</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182,134</w:t>
            </w:r>
          </w:p>
        </w:tc>
      </w:tr>
      <w:tr>
        <w:trPr>
          <w:trHeight w:val="21"/>
        </w:trPr>
        <w:tc>
          <w:tcPr>
            <w:tcW w:w="174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Contribution to consolidated net income from natural gas distribution operations decreased $10 million between the twelve-month periods ended September 2022 and 2021. The decline was due primarily to increases in Operations and maintenance expense, Depreciation and amortization, Taxes other than income taxes, and Net interest deductions, offset by an increase in Operating margin and a reduction to Income tax expense.</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Operating margin increased $60 million between periods. Customer growth provided $16 million, and combined rate relief provided $29 million of incremental operating margin. Also contributing to the increase were customer late fees that were $5.8 million greater in the current period due to lifting the earlier moratorium on such fees in all jurisdictions. Approved VSP and COYL revenue in Arizona also contributed to the improvement between periods ($17.5 million). Offsetting these increases were lower recoveries associated with regulatory account balances ($6 million), which is mitigated by a comparable decrease in amortization expense between periods (discussed below).</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Operations and maintenance expense increased $47 million between periods. In addition to general inflationary impacts, specific increases include temporary/contractor services for customer and technology support services ($7.9 million), employee labor and related pension and benefit costs ($17.8 million), contractor costs for pipeline integrity, reliability, and engineering services, some of which were event driven ($8.3 million), an increase in the reserve for customer accounts deemed uncollectible ($4.7 million), and higher legal and claim-related costs ($3 million). The prior year expense levels were uncharacteristically low due to COVID-period reduced training/travel and other cost savings.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Depreciation and amortization expense increased $9 million, or 4%, between periods primarily due to a $546 million, or 6%, increase in average gas plant in service since the corresponding period in the prior year, offset by a reduction ($6 million) in amortization of regulatory account balances, as discussed in regard to Operating margin above. The increase in gas plant was attributable to pipeline capacity reinforcement work, franchise requirements, scheduled pipe replacement activities, and new infrastructure, as well as the implementation of a new customer information system placed into production in the second quarter of 2021.</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Taxes other than income taxes increased $6.6 million between periods primarily due to an increase in property taxes in Arizona, and to a lesser extent, in California and Nevada.</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income increased $448,000 between the twelve-month periods of 2022 and 2021. The current-period reflects a $5.7 million decline in COLI policy cash surrender values, compared to the twelve months ended September 30, 2021, which reflected an increase in values of $14 million including net death benefits. Offsetting these impacts were non-service cost components of employee pension and other postretirement benefit costs, which were $11.5 million lower between periods, and interest income, which increased $8 million between periods.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interest deductions increased $14 million between periods primarily due to increased interest associated with $300 million of Senior Notes issued in August 2021 and, to a lesser extent, $600 million of Senior Notes issued in March 2022.</w:t>
      </w:r>
    </w:p>
    <w:p>
      <w:pPr>
        <w:spacing w:after="0" w:line="200" w:lineRule="exact"/>
        <w:rPr>
          <w:sz w:val="20"/>
          <w:szCs w:val="20"/>
          <w:color w:val="auto"/>
        </w:rPr>
      </w:pPr>
    </w:p>
    <w:p>
      <w:pPr>
        <w:spacing w:after="0" w:line="2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39" w:name="page40"/>
    <w:bookmarkEnd w:id="39"/>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30, 2022</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Income tax expense decreased $5.2 million between the twelve-month periods ended September 30, 2022 and 2021, primarily due to a reduction in pre-tax book income, amortization of excess accumulated deferred income taxes (“EADIT”) ($2.3 million), and changes in Arizona and California state apportionment percentages of $3.1 million. Income tax expense in both periods reflects that COLI results are recognized without tax consequences.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Results of Utility Infrastructure Services</w:t>
            </w: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83"/>
        </w:trPr>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Quarterly Analysis</w:t>
            </w: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18"/>
        </w:trPr>
        <w:tc>
          <w:tcPr>
            <w:tcW w:w="1380" w:type="dxa"/>
            <w:vAlign w:val="bottom"/>
            <w:tcBorders>
              <w:top w:val="single" w:sz="8" w:color="auto"/>
            </w:tcBorders>
          </w:tcPr>
          <w:p>
            <w:pPr>
              <w:spacing w:after="0"/>
              <w:rPr>
                <w:sz w:val="24"/>
                <w:szCs w:val="24"/>
                <w:color w:val="auto"/>
              </w:rPr>
            </w:pPr>
          </w:p>
        </w:tc>
        <w:tc>
          <w:tcPr>
            <w:tcW w:w="6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Three Months Ended</w:t>
            </w:r>
          </w:p>
        </w:tc>
        <w:tc>
          <w:tcPr>
            <w:tcW w:w="1120" w:type="dxa"/>
            <w:vAlign w:val="bottom"/>
          </w:tcPr>
          <w:p>
            <w:pPr>
              <w:spacing w:after="0"/>
              <w:rPr>
                <w:sz w:val="24"/>
                <w:szCs w:val="24"/>
                <w:color w:val="auto"/>
              </w:rPr>
            </w:pPr>
          </w:p>
        </w:tc>
      </w:tr>
      <w:tr>
        <w:trPr>
          <w:trHeight w:val="237"/>
        </w:trPr>
        <w:tc>
          <w:tcPr>
            <w:tcW w:w="1380" w:type="dxa"/>
            <w:vAlign w:val="bottom"/>
          </w:tcPr>
          <w:p>
            <w:pPr>
              <w:spacing w:after="0"/>
              <w:rPr>
                <w:sz w:val="20"/>
                <w:szCs w:val="20"/>
                <w:color w:val="auto"/>
              </w:rPr>
            </w:pPr>
          </w:p>
        </w:tc>
        <w:tc>
          <w:tcPr>
            <w:tcW w:w="60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8"/>
                <w:szCs w:val="18"/>
                <w:color w:val="auto"/>
              </w:rPr>
              <w:t>September 30,</w:t>
            </w:r>
          </w:p>
        </w:tc>
        <w:tc>
          <w:tcPr>
            <w:tcW w:w="1120" w:type="dxa"/>
            <w:vAlign w:val="bottom"/>
            <w:tcBorders>
              <w:bottom w:val="single" w:sz="8" w:color="auto"/>
            </w:tcBorders>
          </w:tcPr>
          <w:p>
            <w:pPr>
              <w:spacing w:after="0"/>
              <w:rPr>
                <w:sz w:val="20"/>
                <w:szCs w:val="20"/>
                <w:color w:val="auto"/>
              </w:rPr>
            </w:pPr>
          </w:p>
        </w:tc>
      </w:tr>
      <w:tr>
        <w:trPr>
          <w:trHeight w:val="229"/>
        </w:trPr>
        <w:tc>
          <w:tcPr>
            <w:tcW w:w="74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w w:val="99"/>
              </w:rPr>
              <w:t>2021</w:t>
            </w:r>
          </w:p>
        </w:tc>
      </w:tr>
      <w:tr>
        <w:trPr>
          <w:trHeight w:val="223"/>
        </w:trPr>
        <w:tc>
          <w:tcPr>
            <w:tcW w:w="7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Utility infrastructure services revenues</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758,466</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632,848</w:t>
            </w:r>
          </w:p>
        </w:tc>
      </w:tr>
      <w:tr>
        <w:trPr>
          <w:trHeight w:val="229"/>
        </w:trPr>
        <w:tc>
          <w:tcPr>
            <w:tcW w:w="7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7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Utility infrastructure services expenses</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680,135</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567,270</w:t>
            </w:r>
          </w:p>
        </w:tc>
      </w:tr>
      <w:tr>
        <w:trPr>
          <w:trHeight w:val="230"/>
        </w:trPr>
        <w:tc>
          <w:tcPr>
            <w:tcW w:w="74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39,811</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30,021</w:t>
            </w:r>
          </w:p>
        </w:tc>
      </w:tr>
      <w:tr>
        <w:trPr>
          <w:trHeight w:val="223"/>
        </w:trPr>
        <w:tc>
          <w:tcPr>
            <w:tcW w:w="74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income</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38,520</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35,557</w:t>
            </w:r>
          </w:p>
        </w:tc>
      </w:tr>
      <w:tr>
        <w:trPr>
          <w:trHeight w:val="230"/>
        </w:trPr>
        <w:tc>
          <w:tcPr>
            <w:tcW w:w="7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 (deductions)</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w:t>
            </w:r>
          </w:p>
        </w:tc>
      </w:tr>
      <w:tr>
        <w:trPr>
          <w:trHeight w:val="229"/>
        </w:trPr>
        <w:tc>
          <w:tcPr>
            <w:tcW w:w="7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interest deductions</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16,608</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6,257</w:t>
            </w:r>
          </w:p>
        </w:tc>
      </w:tr>
      <w:tr>
        <w:trPr>
          <w:trHeight w:val="223"/>
        </w:trPr>
        <w:tc>
          <w:tcPr>
            <w:tcW w:w="74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21,802</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30,475</w:t>
            </w:r>
          </w:p>
        </w:tc>
      </w:tr>
      <w:tr>
        <w:trPr>
          <w:trHeight w:val="229"/>
        </w:trPr>
        <w:tc>
          <w:tcPr>
            <w:tcW w:w="7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6,466</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9,653</w:t>
            </w:r>
          </w:p>
        </w:tc>
      </w:tr>
      <w:tr>
        <w:trPr>
          <w:trHeight w:val="223"/>
        </w:trPr>
        <w:tc>
          <w:tcPr>
            <w:tcW w:w="74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15,336</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20,822</w:t>
            </w:r>
          </w:p>
        </w:tc>
      </w:tr>
      <w:tr>
        <w:trPr>
          <w:trHeight w:val="229"/>
        </w:trPr>
        <w:tc>
          <w:tcPr>
            <w:tcW w:w="7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2,282</w:t>
            </w:r>
          </w:p>
        </w:tc>
      </w:tr>
      <w:tr>
        <w:trPr>
          <w:trHeight w:val="223"/>
        </w:trPr>
        <w:tc>
          <w:tcPr>
            <w:tcW w:w="7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Contribution to consolidated results</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14,345</w:t>
            </w:r>
          </w:p>
        </w:tc>
        <w:tc>
          <w:tcPr>
            <w:tcW w:w="100" w:type="dxa"/>
            <w:vAlign w:val="bottom"/>
          </w:tcPr>
          <w:p>
            <w:pPr>
              <w:spacing w:after="0"/>
              <w:rPr>
                <w:sz w:val="19"/>
                <w:szCs w:val="19"/>
                <w:color w:val="auto"/>
              </w:rPr>
            </w:pPr>
          </w:p>
        </w:tc>
        <w:tc>
          <w:tcPr>
            <w:tcW w:w="7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18,540</w:t>
            </w:r>
          </w:p>
        </w:tc>
      </w:tr>
      <w:tr>
        <w:trPr>
          <w:trHeight w:val="20"/>
        </w:trPr>
        <w:tc>
          <w:tcPr>
            <w:tcW w:w="138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Utility infrastructure services revenues increased $125.6 million in the third quarter of 2022 when compared to the prior-year quarter, including an increase of $89 million from Riggs Distler, which was acquired on August 27, 2021. Revenues from electric infrastructure services increased $33.8 million in the third quarter of 2022 when compared to the prior-year quarter, of which $27.9 million was recorded by Riggs Distler. Included in electric infrastructure services revenues in the third quarter of 2022 was $17.5 million from emergency restoration services performed by Linetec, Riggs Distler, and National Powerline following storm damage to customers’ above-ground utility infrastructure in and around the Gulf Coast and eastern regions of the U.S. and Canada, compared to $45.7 million in the prior year period. Centuri’s revenues derived from storm-related services vary from period to period due to the unpredictable nature of weather-related events, and when this type of work is performed, it typically generates a higher profit margin than core infrastructure services, due to improved operating efficiencies related to equipment utilization and absorption of fixed costs. The current quarter increase also includes approximately $74.6 million in gas infrastructure services revenues, including $14 million recorded by Riggs Distler, primarily from increased volumes under master service agreements. Work mix and volume were otherwise negatively impacted during the current quarter due to certain customers’ supply chain challenges in procuring necessary materials.</w:t>
      </w:r>
    </w:p>
    <w:p>
      <w:pPr>
        <w:spacing w:after="0" w:line="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Utility infrastructure services expenses increased $112.9 million in the third quarter of 2022 when compared to the prior-year quarter, including increases of $83.8 million incurred by Riggs Distler in 2022 when compared to the prior-year quarter, and incremental costs related to the higher volume of work otherwise. Changes in mix of work, including lower volumes of storm related activities, and inflation led to higher input costs, including fuel and subcontractor expenses, as well as increased project related travel and equipment rental costs incurred by the electric infrastructure business. Fuel costs alone increased $9.5 million in the current quarter, including $1.6 million incurred by Riggs Distler. A loss of $5.7 million was incurred on a gas infrastructure bid project during the current quarter due to higher costs than anticipated. This project is anticipated to reach substantial completion by the end of 2022, and additional compensation is being pursued with the customer. Increased project-related travel expenses of $4.5 million were incurred during the period. Also included in total Utility infrastructure services expenses were general and administrative costs, which decreased approximately $18 million between quarters, primarily due to acquisition costs of $13 million incurred in the prior year quarter in connection with the acquisition of Riggs Distler in addition to lower incentive compensation incurred during the current quarter. Gains on sale of equipment in the third quarter of 2022 and 2021 (reflected as an offset to Utility infrastructure services expenses) were approximately $1.7 million and $1.3 million, respectively.</w:t>
      </w:r>
    </w:p>
    <w:p>
      <w:pPr>
        <w:spacing w:after="0" w:line="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increased $9.8 million between quarters, of which $8.7 million was recorded by Riggs Distler. The remaining increase was attributable to equipment purchased to support the growing volume of infrastructure work.</w:t>
      </w:r>
    </w:p>
    <w:p>
      <w:pPr>
        <w:spacing w:after="0" w:line="200" w:lineRule="exact"/>
        <w:rPr>
          <w:sz w:val="20"/>
          <w:szCs w:val="20"/>
          <w:color w:val="auto"/>
        </w:rPr>
      </w:pPr>
    </w:p>
    <w:p>
      <w:pPr>
        <w:spacing w:after="0" w:line="2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40" w:name="page41"/>
    <w:bookmarkEnd w:id="40"/>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30, 2022</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Net interest deductions of $10.4 million was primarily due to incremental outstanding borrowings under Centuri’s $1.545 billion amended and restated secured revolving credit and term loan facility in conjunction with the acquisition of Riggs Distler, in addition to higher interest rates on outstanding variable-rate borrowings.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expense decreased $3.2 million between quarters, primarily due to reduced profitability in 2022.</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Results of Utility Infrastructure Services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Nine-Month Analysis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Nine Months Ended</w:t>
            </w:r>
          </w:p>
        </w:tc>
        <w:tc>
          <w:tcPr>
            <w:tcW w:w="1120" w:type="dxa"/>
            <w:vAlign w:val="bottom"/>
          </w:tcPr>
          <w:p>
            <w:pPr>
              <w:spacing w:after="0"/>
              <w:rPr>
                <w:sz w:val="17"/>
                <w:szCs w:val="17"/>
                <w:color w:val="auto"/>
              </w:rPr>
            </w:pPr>
          </w:p>
        </w:tc>
      </w:tr>
      <w:tr>
        <w:trPr>
          <w:trHeight w:val="237"/>
        </w:trPr>
        <w:tc>
          <w:tcPr>
            <w:tcW w:w="75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September 30,</w:t>
            </w:r>
          </w:p>
        </w:tc>
        <w:tc>
          <w:tcPr>
            <w:tcW w:w="1120" w:type="dxa"/>
            <w:vAlign w:val="bottom"/>
            <w:tcBorders>
              <w:bottom w:val="single" w:sz="8" w:color="auto"/>
            </w:tcBorders>
          </w:tcPr>
          <w:p>
            <w:pPr>
              <w:spacing w:after="0"/>
              <w:rPr>
                <w:sz w:val="20"/>
                <w:szCs w:val="20"/>
                <w:color w:val="auto"/>
              </w:rPr>
            </w:pPr>
          </w:p>
        </w:tc>
      </w:tr>
      <w:tr>
        <w:trPr>
          <w:trHeight w:val="229"/>
        </w:trPr>
        <w:tc>
          <w:tcPr>
            <w:tcW w:w="7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w w:val="99"/>
              </w:rPr>
              <w:t>2021</w:t>
            </w:r>
          </w:p>
        </w:tc>
      </w:tr>
      <w:tr>
        <w:trPr>
          <w:trHeight w:val="223"/>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Utility infrastructure services revenues</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1,988,433</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1,525,448</w:t>
            </w:r>
          </w:p>
        </w:tc>
      </w:tr>
      <w:tr>
        <w:trPr>
          <w:trHeight w:val="229"/>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7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Utility infrastructure services expenses</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1,829,560</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1,381,524</w:t>
            </w:r>
          </w:p>
        </w:tc>
      </w:tr>
      <w:tr>
        <w:trPr>
          <w:trHeight w:val="229"/>
        </w:trPr>
        <w:tc>
          <w:tcPr>
            <w:tcW w:w="75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116,286</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79,982</w:t>
            </w:r>
          </w:p>
        </w:tc>
      </w:tr>
      <w:tr>
        <w:trPr>
          <w:trHeight w:val="223"/>
        </w:trPr>
        <w:tc>
          <w:tcPr>
            <w:tcW w:w="7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income</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42,587</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63,942</w:t>
            </w:r>
          </w:p>
        </w:tc>
      </w:tr>
      <w:tr>
        <w:trPr>
          <w:trHeight w:val="229"/>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(deductions)</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w:t>
            </w:r>
          </w:p>
        </w:tc>
      </w:tr>
      <w:tr>
        <w:trPr>
          <w:trHeight w:val="229"/>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interest deductions</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40,337</w:t>
            </w:r>
          </w:p>
        </w:tc>
        <w:tc>
          <w:tcPr>
            <w:tcW w:w="10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9,511</w:t>
            </w:r>
          </w:p>
        </w:tc>
      </w:tr>
      <w:tr>
        <w:trPr>
          <w:trHeight w:val="223"/>
        </w:trPr>
        <w:tc>
          <w:tcPr>
            <w:tcW w:w="7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55,358</w:t>
            </w:r>
          </w:p>
        </w:tc>
      </w:tr>
      <w:tr>
        <w:trPr>
          <w:trHeight w:val="229"/>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3,350</w:t>
            </w:r>
          </w:p>
        </w:tc>
        <w:tc>
          <w:tcPr>
            <w:tcW w:w="10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17,372</w:t>
            </w:r>
          </w:p>
        </w:tc>
      </w:tr>
      <w:tr>
        <w:trPr>
          <w:trHeight w:val="223"/>
        </w:trPr>
        <w:tc>
          <w:tcPr>
            <w:tcW w:w="7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 (loss)</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(1,843)</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37,986</w:t>
            </w:r>
          </w:p>
        </w:tc>
      </w:tr>
      <w:tr>
        <w:trPr>
          <w:trHeight w:val="230"/>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2,557</w:t>
            </w:r>
          </w:p>
        </w:tc>
        <w:tc>
          <w:tcPr>
            <w:tcW w:w="10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5,189</w:t>
            </w:r>
          </w:p>
        </w:tc>
      </w:tr>
      <w:tr>
        <w:trPr>
          <w:trHeight w:val="223"/>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Contribution to consolidated results</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(4,400)</w:t>
            </w:r>
          </w:p>
        </w:tc>
        <w:tc>
          <w:tcPr>
            <w:tcW w:w="100" w:type="dxa"/>
            <w:vAlign w:val="bottom"/>
          </w:tcPr>
          <w:p>
            <w:pPr>
              <w:spacing w:after="0"/>
              <w:rPr>
                <w:sz w:val="19"/>
                <w:szCs w:val="19"/>
                <w:color w:val="auto"/>
              </w:rPr>
            </w:pPr>
          </w:p>
        </w:tc>
        <w:tc>
          <w:tcPr>
            <w:tcW w:w="7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32,797</w:t>
            </w:r>
          </w:p>
        </w:tc>
      </w:tr>
      <w:tr>
        <w:trPr>
          <w:trHeight w:val="20"/>
        </w:trPr>
        <w:tc>
          <w:tcPr>
            <w:tcW w:w="75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Utility infrastructure services revenues increased $463 million in the first nine months of 2022 when compared to the same period in the prior year, including an increase of $353.2 million recorded by Riggs Distler, which was acquired on August 27, 2021 . Revenues from electric infrastructure services increased $203.9 million in 2022 when compared to the prior year, of which $163.2 million was recorded by Riggs Distler. Included in electric infrastructure services revenues overall during the first nine months of 2022 was $36.5 million from emergency restoration services performed by Linetec, Riggs Distler, and National Powerline following storm damage to customers’ above-ground utility infrastructure in and around the Gulf Coast and eastern regions of the U.S. and Canada, compared to $57.9 million in the first nine months of the prior year. The current year increase also includes approximately $185.5 million in gas infrastructure services revenues, including $45.4 million recorded by Riggs Distler, primarily from increased volumes under master service agreements. Partially offsetting these improvements were impacts from work mix and volume that were negatively impacted during the first nine months of 2022 due to certain customers’ supply chain challenges in procuring necessary materials.</w:t>
      </w:r>
    </w:p>
    <w:p>
      <w:pPr>
        <w:spacing w:after="0" w:line="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Utility infrastructure services expenses increased $448 million in the first nine months of 2022 when compared to the same period in the prior year, including increases of $322.9 million incurred by Riggs Distler in 2022, and incremental costs related to the higher volume of work otherwise. Changes in mix of work and inflation led to higher input costs including fuel and subcontractor expenses, as well as increased project-related travel and equipment rental costs incurred by the electric infrastructure business. Fuel costs increased $27.6 million in the current year, including $6.4 million incurred by Riggs Distler. Increased project-related travel expenses of $10.4 million were incurred during the current year. Also included in total Utility infrastructure services expenses were general and administrative costs, which decreased $5.6 million in 2022 compared to 2021, primarily attributable to $13.8 million incurred in the prior year period in connection with the acquisition of Riggs Distler, in addition to lower incentive compensation costs in the current year, partially offset by increased general and administrative costs incurred by Riggs Distler of $8.8 million. Gains on sale of equipment (reflected as an offset to Utility infrastructure services expenses) were approximately $3.7 million and $5.4 million in the nine-month periods in 2022 and 2021, respectively.</w:t>
      </w:r>
    </w:p>
    <w:p>
      <w:pPr>
        <w:spacing w:after="0" w:line="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increased $36.3 million between periods, of which $34.2 million was recorded by Riggs Distler in 2022. The remaining increase was attributable to equipment purchased to support the growing volume of infrastructure work overall.</w:t>
      </w:r>
    </w:p>
    <w:p>
      <w:pPr>
        <w:spacing w:after="0" w:line="200" w:lineRule="exact"/>
        <w:rPr>
          <w:sz w:val="20"/>
          <w:szCs w:val="20"/>
          <w:color w:val="auto"/>
        </w:rPr>
      </w:pPr>
    </w:p>
    <w:p>
      <w:pPr>
        <w:spacing w:after="0" w:line="2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41" w:name="page42"/>
    <w:bookmarkEnd w:id="41"/>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30, 2022</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Net interest deductions of $30.8 million during the first nine months of 2022 was primarily due to incremental outstanding borrowings under Centuri’s $1.545 billion amended and restated secured revolving credit and term loan facility in conjunction with the acquisition of Riggs Distler, in addition to higher interest rates on outstanding variable-rate borrowings.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decreased $14 million between periods, primarily due to reduced profitability in 2022.</w:t>
            </w:r>
          </w:p>
        </w:tc>
        <w:tc>
          <w:tcPr>
            <w:tcW w:w="3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24"/>
        </w:trPr>
        <w:tc>
          <w:tcPr>
            <w:tcW w:w="7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Results of Utility Infrastructure Services</w:t>
            </w:r>
          </w:p>
        </w:tc>
        <w:tc>
          <w:tcPr>
            <w:tcW w:w="3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83"/>
        </w:trPr>
        <w:tc>
          <w:tcPr>
            <w:tcW w:w="7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Twelve-Month Analysis</w:t>
            </w:r>
          </w:p>
        </w:tc>
        <w:tc>
          <w:tcPr>
            <w:tcW w:w="3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85"/>
        </w:trPr>
        <w:tc>
          <w:tcPr>
            <w:tcW w:w="1740" w:type="dxa"/>
            <w:vAlign w:val="bottom"/>
            <w:tcBorders>
              <w:top w:val="single" w:sz="8" w:color="auto"/>
            </w:tcBorders>
          </w:tcPr>
          <w:p>
            <w:pPr>
              <w:spacing w:after="0"/>
              <w:rPr>
                <w:sz w:val="24"/>
                <w:szCs w:val="24"/>
                <w:color w:val="auto"/>
              </w:rPr>
            </w:pPr>
          </w:p>
        </w:tc>
        <w:tc>
          <w:tcPr>
            <w:tcW w:w="57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gridSpan w:val="4"/>
          </w:tcPr>
          <w:p>
            <w:pPr>
              <w:jc w:val="right"/>
              <w:ind w:right="430"/>
              <w:spacing w:after="0"/>
              <w:rPr>
                <w:sz w:val="20"/>
                <w:szCs w:val="20"/>
                <w:color w:val="auto"/>
              </w:rPr>
            </w:pPr>
            <w:r>
              <w:rPr>
                <w:rFonts w:ascii="Times New Roman" w:cs="Times New Roman" w:eastAsia="Times New Roman" w:hAnsi="Times New Roman"/>
                <w:sz w:val="18"/>
                <w:szCs w:val="18"/>
                <w:color w:val="auto"/>
              </w:rPr>
              <w:t>Twelve Months Ended September 30,</w:t>
            </w:r>
          </w:p>
        </w:tc>
      </w:tr>
      <w:tr>
        <w:trPr>
          <w:trHeight w:val="223"/>
        </w:trPr>
        <w:tc>
          <w:tcPr>
            <w:tcW w:w="75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3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7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Utility infrastructure services revenues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2,621,646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2,065,038</w:t>
            </w:r>
          </w:p>
        </w:tc>
      </w:tr>
      <w:tr>
        <w:trPr>
          <w:trHeight w:val="229"/>
        </w:trPr>
        <w:tc>
          <w:tcPr>
            <w:tcW w:w="7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29"/>
        </w:trPr>
        <w:tc>
          <w:tcPr>
            <w:tcW w:w="7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Utility infrastructure services expenses</w:t>
            </w:r>
          </w:p>
        </w:tc>
        <w:tc>
          <w:tcPr>
            <w:tcW w:w="3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2,403,503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1,858,464</w:t>
            </w:r>
          </w:p>
        </w:tc>
      </w:tr>
      <w:tr>
        <w:trPr>
          <w:trHeight w:val="230"/>
        </w:trPr>
        <w:tc>
          <w:tcPr>
            <w:tcW w:w="75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153,947</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105,570</w:t>
            </w:r>
          </w:p>
        </w:tc>
      </w:tr>
      <w:tr>
        <w:trPr>
          <w:trHeight w:val="223"/>
        </w:trPr>
        <w:tc>
          <w:tcPr>
            <w:tcW w:w="75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64,196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101,004</w:t>
            </w:r>
          </w:p>
        </w:tc>
      </w:tr>
      <w:tr>
        <w:trPr>
          <w:trHeight w:val="230"/>
        </w:trPr>
        <w:tc>
          <w:tcPr>
            <w:tcW w:w="7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 (deductions)</w:t>
            </w:r>
          </w:p>
        </w:tc>
        <w:tc>
          <w:tcPr>
            <w:tcW w:w="3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w:t>
            </w:r>
          </w:p>
        </w:tc>
      </w:tr>
      <w:tr>
        <w:trPr>
          <w:trHeight w:val="229"/>
        </w:trPr>
        <w:tc>
          <w:tcPr>
            <w:tcW w:w="7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interest deductions</w:t>
            </w:r>
          </w:p>
        </w:tc>
        <w:tc>
          <w:tcPr>
            <w:tcW w:w="3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51,825</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11,642</w:t>
            </w:r>
          </w:p>
        </w:tc>
      </w:tr>
      <w:tr>
        <w:trPr>
          <w:trHeight w:val="223"/>
        </w:trPr>
        <w:tc>
          <w:tcPr>
            <w:tcW w:w="7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90,189</w:t>
            </w:r>
          </w:p>
        </w:tc>
      </w:tr>
      <w:tr>
        <w:trPr>
          <w:trHeight w:val="229"/>
        </w:trPr>
        <w:tc>
          <w:tcPr>
            <w:tcW w:w="7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4,754</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26,785</w:t>
            </w:r>
          </w:p>
        </w:tc>
      </w:tr>
      <w:tr>
        <w:trPr>
          <w:trHeight w:val="223"/>
        </w:trPr>
        <w:tc>
          <w:tcPr>
            <w:tcW w:w="7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63,404</w:t>
            </w:r>
          </w:p>
        </w:tc>
      </w:tr>
      <w:tr>
        <w:trPr>
          <w:trHeight w:val="229"/>
        </w:trPr>
        <w:tc>
          <w:tcPr>
            <w:tcW w:w="7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3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3,791</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6,681</w:t>
            </w:r>
          </w:p>
        </w:tc>
      </w:tr>
      <w:tr>
        <w:trPr>
          <w:trHeight w:val="223"/>
        </w:trPr>
        <w:tc>
          <w:tcPr>
            <w:tcW w:w="7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Contribution to consolidated results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3,223</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56,723</w:t>
            </w:r>
          </w:p>
        </w:tc>
      </w:tr>
      <w:tr>
        <w:trPr>
          <w:trHeight w:val="20"/>
        </w:trPr>
        <w:tc>
          <w:tcPr>
            <w:tcW w:w="174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Utility infrastructure services revenues increased $556.6 million in the current twelve-month period compared to the corresponding period of 2021, including $467.5 million of increases recorded by Riggs Distler, which was acquired on August 27, 2021. Revenues from electric infrastructure services increased $253.2 million in 2022 when compared to the prior twelve-month period, of which $237.1 million was recorded by Riggs Distler. Included in the electric infrastructure revenues during the twelve-month period of 2022 was $43.9 million from emergency restoration services performed by Linetec, Riggs Distler, and National Powerline, following hurricane, tornado, and other storm damage to customers’ above-ground utility infrastructure in and around the Gulf Coast and eastern regions of the U.S. and Canada, as compared to $83.5 million in similar services during the twelve-month period of 2021. The remaining increase in revenue was attributable to continued growth with existing gas infrastructure customers under master service and bid agreements, partially offset by reduced work with a significant customer during the twelve-month period ending September 30, 2022 (totaling $30 million), due to the mix of projects under its multi-year capital spending program. Work mix and volume were otherwise negatively impacted during the current twelve-month period due to certain customers’ supply chain challenges in procuring necessary materials.</w:t>
      </w:r>
    </w:p>
    <w:p>
      <w:pPr>
        <w:spacing w:after="0" w:line="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Utility infrastructure services expenses increased $545 million between periods. The increase overall includes $425.3 million incurred by Riggs Distler subsequent to the acquisition, as well as incremental costs related to electric infrastructure services work and costs necessary for the completion of additional gas infrastructure work. Higher fuel costs, equipment rental expense, and subcontractor expenses were also incurred due to inflation, the mix of work, and in support of growth in our electric infrastructure business. Expenses in relation to revenues, and therefore, profit margins, can be impacted by inefficiencies from equipment and facility utilization and under-absorption of other fixed costs, which occurred due to the reduced work from the noted large customer and lower revenues from emergency restoration services as noted above. Also included in total Utility infrastructure services expenses were general and administrative costs, which decreased approximately $4.8 million between comparative periods, primarily attributable to $14 million incurred in the prior period in connection with the acquisition of Riggs Distler, in addition to lower incentive compensation costs incurred in the current year; these were partially offset by higher other general and administrative costs incurred by Riggs Distler of $14.8 million in the current period. Gains on sale of equipment (reflected as an offset to Utility infrastructure services expenses) were approximately $5.3 million and $6.6 million for the twelve-month periods of 2022 and 2021, respectively.</w:t>
      </w:r>
    </w:p>
    <w:p>
      <w:pPr>
        <w:spacing w:after="0" w:line="8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increased $48.4 million between the current and prior-year twelve-month periods, of which $46.3 million relates to Riggs Distler.</w:t>
      </w:r>
    </w:p>
    <w:p>
      <w:pPr>
        <w:spacing w:after="0" w:line="200" w:lineRule="exact"/>
        <w:rPr>
          <w:sz w:val="20"/>
          <w:szCs w:val="20"/>
          <w:color w:val="auto"/>
        </w:rPr>
      </w:pPr>
    </w:p>
    <w:p>
      <w:pPr>
        <w:spacing w:after="0" w:line="2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42" w:name="page43"/>
    <w:bookmarkEnd w:id="42"/>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30, 2022</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interest deductions increased $40.2 million between periods due to incremental outstanding borrowings under Centuri’s $1.545 billion amended and restated secured revolving credit and term loan facility in conjunction with the acquisition of Riggs Distler, in addition to higher interest rates on outstanding variable-rate borrowings.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expense decreased $22 million between periods, primarily due to reduced profitability in 2022.</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Results of Pipeline and Storage</w:t>
            </w:r>
          </w:p>
        </w:tc>
        <w:tc>
          <w:tcPr>
            <w:tcW w:w="1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83"/>
        </w:trPr>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Quarterly and Nine-Month Analysis</w:t>
            </w:r>
          </w:p>
        </w:tc>
        <w:tc>
          <w:tcPr>
            <w:tcW w:w="1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318"/>
        </w:trPr>
        <w:tc>
          <w:tcPr>
            <w:tcW w:w="2620" w:type="dxa"/>
            <w:vAlign w:val="bottom"/>
            <w:tcBorders>
              <w:top w:val="single" w:sz="8" w:color="auto"/>
            </w:tcBorders>
          </w:tcPr>
          <w:p>
            <w:pPr>
              <w:spacing w:after="0"/>
              <w:rPr>
                <w:sz w:val="24"/>
                <w:szCs w:val="24"/>
                <w:color w:val="auto"/>
              </w:rPr>
            </w:pPr>
          </w:p>
        </w:tc>
        <w:tc>
          <w:tcPr>
            <w:tcW w:w="4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Three Months Ended</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36"/>
        </w:trPr>
        <w:tc>
          <w:tcPr>
            <w:tcW w:w="262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September 30,</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September 30,</w:t>
            </w:r>
          </w:p>
        </w:tc>
      </w:tr>
      <w:tr>
        <w:trPr>
          <w:trHeight w:val="230"/>
        </w:trPr>
        <w:tc>
          <w:tcPr>
            <w:tcW w:w="70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1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4"/>
              </w:rPr>
              <w:t>2022</w:t>
            </w:r>
          </w:p>
        </w:tc>
        <w:tc>
          <w:tcPr>
            <w:tcW w:w="1840" w:type="dxa"/>
            <w:vAlign w:val="bottom"/>
            <w:tcBorders>
              <w:bottom w:val="single" w:sz="8" w:color="auto"/>
            </w:tcBorders>
          </w:tcPr>
          <w:p>
            <w:pPr>
              <w:spacing w:after="0"/>
              <w:rPr>
                <w:sz w:val="19"/>
                <w:szCs w:val="19"/>
                <w:color w:val="auto"/>
              </w:rPr>
            </w:pPr>
          </w:p>
        </w:tc>
      </w:tr>
      <w:tr>
        <w:trPr>
          <w:trHeight w:val="223"/>
        </w:trPr>
        <w:tc>
          <w:tcPr>
            <w:tcW w:w="7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Regulated operations revenues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63,178</w:t>
            </w:r>
          </w:p>
        </w:tc>
        <w:tc>
          <w:tcPr>
            <w:tcW w:w="44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192,259</w:t>
            </w:r>
          </w:p>
        </w:tc>
      </w:tr>
      <w:tr>
        <w:trPr>
          <w:trHeight w:val="230"/>
        </w:trPr>
        <w:tc>
          <w:tcPr>
            <w:tcW w:w="7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29"/>
        </w:trPr>
        <w:tc>
          <w:tcPr>
            <w:tcW w:w="70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cost of gas sold</w:t>
            </w: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3,553</w:t>
            </w:r>
          </w:p>
        </w:tc>
      </w:tr>
      <w:tr>
        <w:trPr>
          <w:trHeight w:val="229"/>
        </w:trPr>
        <w:tc>
          <w:tcPr>
            <w:tcW w:w="70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Operations and maintenance expense</w:t>
            </w:r>
          </w:p>
        </w:tc>
        <w:tc>
          <w:tcPr>
            <w:tcW w:w="1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25,198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74,251</w:t>
            </w:r>
          </w:p>
        </w:tc>
      </w:tr>
      <w:tr>
        <w:trPr>
          <w:trHeight w:val="230"/>
        </w:trPr>
        <w:tc>
          <w:tcPr>
            <w:tcW w:w="70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12,732</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38,869</w:t>
            </w:r>
          </w:p>
        </w:tc>
      </w:tr>
      <w:tr>
        <w:trPr>
          <w:trHeight w:val="229"/>
        </w:trPr>
        <w:tc>
          <w:tcPr>
            <w:tcW w:w="70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Taxes other than income taxes</w:t>
            </w:r>
          </w:p>
        </w:tc>
        <w:tc>
          <w:tcPr>
            <w:tcW w:w="1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2,663</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8,335</w:t>
            </w:r>
          </w:p>
        </w:tc>
      </w:tr>
      <w:tr>
        <w:trPr>
          <w:trHeight w:val="223"/>
        </w:trPr>
        <w:tc>
          <w:tcPr>
            <w:tcW w:w="70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income</w:t>
            </w: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22,035</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67,251</w:t>
            </w:r>
          </w:p>
        </w:tc>
      </w:tr>
      <w:tr>
        <w:trPr>
          <w:trHeight w:val="229"/>
        </w:trPr>
        <w:tc>
          <w:tcPr>
            <w:tcW w:w="7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 (deductions)</w:t>
            </w:r>
          </w:p>
        </w:tc>
        <w:tc>
          <w:tcPr>
            <w:tcW w:w="1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w:t>
            </w:r>
          </w:p>
        </w:tc>
      </w:tr>
      <w:tr>
        <w:trPr>
          <w:trHeight w:val="229"/>
        </w:trPr>
        <w:tc>
          <w:tcPr>
            <w:tcW w:w="7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interest deductions</w:t>
            </w:r>
          </w:p>
        </w:tc>
        <w:tc>
          <w:tcPr>
            <w:tcW w:w="16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4,553</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13,449</w:t>
            </w:r>
          </w:p>
        </w:tc>
      </w:tr>
      <w:tr>
        <w:trPr>
          <w:trHeight w:val="223"/>
        </w:trPr>
        <w:tc>
          <w:tcPr>
            <w:tcW w:w="70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17,835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55,493</w:t>
            </w:r>
          </w:p>
        </w:tc>
      </w:tr>
      <w:tr>
        <w:trPr>
          <w:trHeight w:val="229"/>
        </w:trPr>
        <w:tc>
          <w:tcPr>
            <w:tcW w:w="7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6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5,515</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11,167</w:t>
            </w:r>
          </w:p>
        </w:tc>
      </w:tr>
      <w:tr>
        <w:trPr>
          <w:trHeight w:val="223"/>
        </w:trPr>
        <w:tc>
          <w:tcPr>
            <w:tcW w:w="70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Contribution to consolidated results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12,320</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44,326</w:t>
            </w:r>
          </w:p>
        </w:tc>
      </w:tr>
      <w:tr>
        <w:trPr>
          <w:trHeight w:val="20"/>
        </w:trPr>
        <w:tc>
          <w:tcPr>
            <w:tcW w:w="26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results for the Pipeline and Storage segment included rate-regulated transmission and subscription storage revenues of $59.3 million and $179 million during the three- and nine-months ended September 30, 2022. Operating expenses include $5.7 million and $18.9 million, during the three- and nine-month periods, respectively, ended September 30, 2022, related to integrating MountainWest, including employee retention payments incurred. Additional integration costs will be incurred in future periods until integration efforts are completed.</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Rates and Regulatory Proceedings</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Southwest is subject to the regulation of the Arizona Corporation Commission (the “ACC”), the Public Utilities Commission of Nevada (the “PUCN”), the California Public Utilities Commission (the “CPUC”), and the Federal Energy Regulatory Commission (the “FERC”). Due to the size of Southwest’s regulated operations and the frequency of rate cases and other procedural activities with its commissions, the following discussion focuses primarily on the proceedings within its natural gas distribution operations.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Rate Relief and Rate Design</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Rates charged to customers vary according to customer class and rate jurisdiction and are set by the individual state and federal regulatory commissions that govern Southwest’s service territories. Southwest makes periodic filings for rate adjustments as the cost of providing service changes (including the cost of natural gas purchased), and as additional investments in new or replacement pipeline and related facilities are made. Rates are intended to provide for recovery of all commission-approved costs and a reasonable return on investment. The mix of fixed and variable components in rates assigned to various customer classes (rate design) can significantly impact the operating margin actually realized by Southwest. Management has worked with its regulatory commissions in designing rate structures that strive to provide affordable service to customers while mitigating volatility in prices to customers and stabilizing returns to investors. Such rate structures were in place in all of Southwest’s operating areas during all periods for which results of natural gas distribution operations are disclosed above.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Arizona Jurisdiction</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Arizona General Rate Case. </w:t>
      </w:r>
      <w:r>
        <w:rPr>
          <w:rFonts w:ascii="Times New Roman" w:cs="Times New Roman" w:eastAsia="Times New Roman" w:hAnsi="Times New Roman"/>
          <w:sz w:val="18"/>
          <w:szCs w:val="18"/>
          <w:color w:val="auto"/>
        </w:rPr>
        <w:t>In December 2021, Southwest filed a general rate case application proposing a revenue increase of approximately $90.7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Although updated rates related to the previous rate case became effective in January 2021, the most significant driver for the December 2021 request was the necessity to reflect in rates the substantial capital investments that have been made since the end of the test year in the previous case, including the customer information system implemented</w:t>
      </w:r>
    </w:p>
    <w:p>
      <w:pPr>
        <w:spacing w:after="0" w:line="200" w:lineRule="exact"/>
        <w:rPr>
          <w:sz w:val="20"/>
          <w:szCs w:val="20"/>
          <w:color w:val="auto"/>
        </w:rPr>
      </w:pPr>
    </w:p>
    <w:p>
      <w:pPr>
        <w:spacing w:after="0" w:line="2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43" w:name="page44"/>
    <w:bookmarkEnd w:id="43"/>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30, 2022</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May 2021. The filing was based on a test year ended August 31, 2021 and proposed a return on common equity of 9.90% relative to a target equity ratio of 51%. Southwest also proposed a twelve-month post-test year adjustment to reflect otherwise non-revenue producing plant in service as of August 31, 2022 and certain expense adjustments. Recovery (over three years) of the approximately $12 million related to the outstanding deferral balance associated with the LNG facility (see below) was included in the request, along with the approximate $2.1 million (also over three years) in late payment charges that were suppressed from customer accounts during the COVID-19 pandemic. A request to continue the Delivery Charge Adjustment (“DCA”), Southwest’s full-revenue decoupling mechanism, was also included, while no changes to Southwest’s existing rate design are proposed.</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a hearing held in September 2022, Southwest, the Utilities Division Staff (the “Staff”), and the Residential Utility Consumer Office jointly stipulated to several issues, including a target capital structure consisting of 50% equity and 50% debt; a 9.30% return on equity; and foregoing recovery of the requested COVID-19 moratorium waived late fees, as well as an acquisition premium related to the recent Graham County acquisition. Among the uncontested issues identified prior to the hearing were the continuation of the DCA mechanism, the continuation of the existing rate design, and Southwest’s alternate property tax expense calculation, reflecting actual incurred property tax expense in 2021, instead of a pro-forma adjustment reflecting forecasted property tax expense. Although these issues were resolved amongst the parties, these and other items in the case are still subject to the Administrative Law Judge’s recommended order and opinion that will be considered by the ACC. A decision and resulting new rates are anticipated in the first quarter 2023.</w:t>
      </w:r>
    </w:p>
    <w:p>
      <w:pPr>
        <w:spacing w:after="0" w:line="8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Delivery Charge Adjustment. </w:t>
      </w:r>
      <w:r>
        <w:rPr>
          <w:rFonts w:ascii="Times New Roman" w:cs="Times New Roman" w:eastAsia="Times New Roman" w:hAnsi="Times New Roman"/>
          <w:sz w:val="18"/>
          <w:szCs w:val="18"/>
          <w:color w:val="auto"/>
        </w:rPr>
        <w:t>The DCA is filed each April, which along with other reporting requirements, contemplates a rate to recover the over-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under-collected margin tracker (decoupling mechanism) balance. An April 2022 request proposed a rate to return $10.5 million, the over-collected balance existing at the end of the first quarter 2022, which was approved effective July 1, 2022.</w:t>
      </w:r>
    </w:p>
    <w:p>
      <w:pPr>
        <w:spacing w:after="0" w:line="6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Tax Reform. </w:t>
      </w:r>
      <w:r>
        <w:rPr>
          <w:rFonts w:ascii="Times New Roman" w:cs="Times New Roman" w:eastAsia="Times New Roman" w:hAnsi="Times New Roman"/>
          <w:sz w:val="18"/>
          <w:szCs w:val="18"/>
          <w:color w:val="auto"/>
        </w:rPr>
        <w:t>In the most recently concluded Arizona general rate proceeding, a Tax Expense Adjustor Mechanism (“TEAM”) was approved to timely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recognize tax rate changes resulting from federal or state tax legislation following the TEAM implementation. In addition, the TEAM tracks and returns/recovers the revenue requirement impact of changes in amortization of EADIT (including that which resulted from 2017 U.S. federal tax reform) compared to the amount authorized in the most recently concluded rate case. In December 2021, Southwest filed its inaugural TEAM rate application, which proposed an approximate $4.7 million refund, comprised of an approximate $9 million decrease in revenue requirement offset by an under-collected balance of approximately $4.3 million. Staff issued a proposed order supporting the TEAM credit, which was approved by the ACC with rates effective November 1, 2022.</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Liquefied Natural Gas (“LNG”) Facility</w:t>
      </w:r>
      <w:r>
        <w:rPr>
          <w:rFonts w:ascii="Times New Roman" w:cs="Times New Roman" w:eastAsia="Times New Roman" w:hAnsi="Times New Roman"/>
          <w:sz w:val="18"/>
          <w:szCs w:val="18"/>
          <w:color w:val="auto"/>
        </w:rPr>
        <w:t>. In 2014, Southwest sought ACC preapproval to construct, operate, and maintain a 233,000 dekatherm LNG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facility in southern Arizona. This facility is intended to enhance service reliability and flexibility related to natural gas deliveries in the southern Arizona area by providing a local storage option, connecting directly to Southwest’s distribution system. Southwest was ultimately granted approval for construction and deferral of costs. The facility was placed in service in December 2019. The capital costs and the operating expenses associated with plant operation were approved and considered as part of Southwest’s previous general rate case. Approximately $12 million in costs, incurred following the in-service date of the facility and after the period considered as part of the previous general rate case, were deferred as part of the previously authorized regulatory asset account, and are included for consideration in the current general rate case application.</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Customer-Owned Yard Line (“COYL”) Program</w:t>
      </w:r>
      <w:r>
        <w:rPr>
          <w:rFonts w:ascii="Times New Roman" w:cs="Times New Roman" w:eastAsia="Times New Roman" w:hAnsi="Times New Roman"/>
          <w:sz w:val="18"/>
          <w:szCs w:val="18"/>
          <w:color w:val="auto"/>
        </w:rPr>
        <w:t>. Southwest originally received approval, in connection with its 2010 Arizona general rate case,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implement a program to conduct leak surveys, and if leaks were present, to replace and relocate service lines and meters for Arizona customers whose meters were set off from the customer’s home, representing a non-traditional configuration. A filing in May 2021 proposed the recovery of previously unrecovered surcharge revenue from 2019 and 2020 (collectively, $13.7 million) over a one-year period. Such amounts related to plant investments that were made in advance of those periods. In November 2021, the ACC approved full recovery within the proposed timeline, the rate for which was implemented the same month. In a February 2022 filing, Southwest requested and received approval to increase its surcharge revenue by $3.4 million to recover the revenue requirement associated with investments made since August 2020 and through calendar year 2021. The rate was implemented in June 2022. A decrease in the COYL rate will become effective in November 2022 to reflect the expiration of the collection period associated with the 2019 and 2020 COYL program revenue referred to above. Recovery of the remaining investments is ongoing.</w:t>
      </w:r>
    </w:p>
    <w:p>
      <w:pPr>
        <w:spacing w:after="0" w:line="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Vintage Steel Pipe (“VSP”) Program. </w:t>
      </w:r>
      <w:r>
        <w:rPr>
          <w:rFonts w:ascii="Times New Roman" w:cs="Times New Roman" w:eastAsia="Times New Roman" w:hAnsi="Times New Roman"/>
          <w:sz w:val="18"/>
          <w:szCs w:val="18"/>
          <w:color w:val="auto"/>
        </w:rPr>
        <w:t>Southwest received approval, in connection with its 2016 Arizona general rate case, to implement a VSP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replacement program, due to having a substantial amount of pre-1970s vintage steel pipe in Arizona. However, as part of Southwest’s most recent rate case decision in 2020, the ACC ultimately decided to discontinue the accelerated VSP program. A filing in May 2021 proposed the recovery of previously unrecovered surcharge revenue relating to investments during 2019 and 2020, with approximately $60 million to be recovered over a three-year period. In November</w:t>
      </w: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44" w:name="page45"/>
    <w:bookmarkEnd w:id="44"/>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30, 2022</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 the ACC approved full recovery over the proposed three-year timeline with updated rates which became effective in March 2022.</w:t>
      </w:r>
    </w:p>
    <w:p>
      <w:pPr>
        <w:spacing w:after="0" w:line="11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Graham County Utilities. </w:t>
      </w:r>
      <w:r>
        <w:rPr>
          <w:rFonts w:ascii="Times New Roman" w:cs="Times New Roman" w:eastAsia="Times New Roman" w:hAnsi="Times New Roman"/>
          <w:sz w:val="18"/>
          <w:szCs w:val="18"/>
          <w:color w:val="auto"/>
        </w:rPr>
        <w:t>In April 2021, Southwest and Graham County Utilities, Inc. (“GCU”) filed a joint application with the ACC for approval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transfer assets of GCU to Southwest and extend Southwest’s Certificate of Public Convenience and Necessity to serve the more than 5,000 associated customers, for a purchase price of $3.5 million. Approval of the application by the ACC was received in December 2021, with final transfer in mid-January 2022. Former GCU customers continue to be served under existing GCU rates until such time as they are rolled into Southwest’s rates, which is proposed to take place in conjunction with the effective date of rates resulting from the currently pending Arizona general rate case. Resolution is expected in the first quarter of 2023. See also </w:t>
      </w:r>
      <w:r>
        <w:rPr>
          <w:rFonts w:ascii="Times New Roman" w:cs="Times New Roman" w:eastAsia="Times New Roman" w:hAnsi="Times New Roman"/>
          <w:sz w:val="18"/>
          <w:szCs w:val="18"/>
          <w:i w:val="1"/>
          <w:iCs w:val="1"/>
          <w:color w:val="auto"/>
        </w:rPr>
        <w:t>Arizona General Rate Case</w:t>
      </w:r>
      <w:r>
        <w:rPr>
          <w:rFonts w:ascii="Times New Roman" w:cs="Times New Roman" w:eastAsia="Times New Roman" w:hAnsi="Times New Roman"/>
          <w:sz w:val="18"/>
          <w:szCs w:val="18"/>
          <w:color w:val="auto"/>
        </w:rPr>
        <w:t xml:space="preserve"> above and the discussion of stipulation by the parties to the pending case in regard to GCU.</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California Jurisdiction</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California General Rate Case. </w:t>
      </w:r>
      <w:r>
        <w:rPr>
          <w:rFonts w:ascii="Times New Roman" w:cs="Times New Roman" w:eastAsia="Times New Roman" w:hAnsi="Times New Roman"/>
          <w:sz w:val="18"/>
          <w:szCs w:val="18"/>
          <w:color w:val="auto"/>
        </w:rPr>
        <w:t>Southwest’s most recent general rate case was concluded following an agreement in principle with the Public Advocate’s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 which was unanimously approved by the CPUC on March 25, 2021, including a $6.4 million total combined revenue increase with a 10% return on common equity, relative to a 52% equity ratio. Approximately $4 million of the original proposed increase was associated with a North Lake Tahoe project that would not ultimately be completed by the beginning of 2021; consequently, the parties agreed to provide for recovery of the cost of service impacts of the project through the annual attrition filing. The rate case decision maintains Southwest’s existing 2.75% annual attrition adjustments and the continuation of the pension balancing account. It also includes cumulative expenditures totaling $119 million over the five-year rate cycle to implement risk-informed proposals, consisting of a school COYL replacement, meter protection, and pipe replacement programs. New rates were ultimately implemented April 1, 2021, with Southwest permitted to establish a general rate case memorandum account to track the impacts of a delay in the implementation of new rates (between January 1, 2021 and the date rates were implementation) for purposes of later recovery.</w:t>
      </w:r>
    </w:p>
    <w:p>
      <w:pPr>
        <w:spacing w:after="0" w:line="8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Attrition Filing. </w:t>
      </w:r>
      <w:r>
        <w:rPr>
          <w:rFonts w:ascii="Times New Roman" w:cs="Times New Roman" w:eastAsia="Times New Roman" w:hAnsi="Times New Roman"/>
          <w:sz w:val="18"/>
          <w:szCs w:val="18"/>
          <w:color w:val="auto"/>
        </w:rPr>
        <w:t>Following the 2021 implementation of rates approved as part of the general rate case, Southwest is also authorized to continue annual Post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Test Year (“PTY”) attrition increases of 2.75%, the first of which began in January 2022.</w:t>
      </w:r>
    </w:p>
    <w:p>
      <w:pPr>
        <w:spacing w:after="0" w:line="5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Customer Data Modernization Initiative (“CDMI”). </w:t>
      </w:r>
      <w:r>
        <w:rPr>
          <w:rFonts w:ascii="Times New Roman" w:cs="Times New Roman" w:eastAsia="Times New Roman" w:hAnsi="Times New Roman"/>
          <w:sz w:val="18"/>
          <w:szCs w:val="18"/>
          <w:color w:val="auto"/>
        </w:rPr>
        <w:t>In April 2019, Southwest filed an application with the CPUC seeking authority to establish a two-way,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interest-bearing balancing account to record costs associated with the CDMI to mitigate adverse financial implications related to the multi-year project (including a new customer information system, ultimately implemented in May 2021). Effective October 2019, the CPUC granted a memorandum account, which allowed Southwest to track costs, including operations and maintenance costs and capital-related costs, such as depreciation, taxes, and return associated with California’s portion of the CDMI (initially estimated at $19 million). The balance tracked in the memorandum account was transferred to the two-way balancing account in July 2020. A rate to begin recovering the balance accumulated through June 30, 2020 was established and made effective September 1, 2020, and updated multiple times since, including in January 2022. This rate is expected to be updated at least annually.</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Carbon Offset Program. </w:t>
      </w:r>
      <w:r>
        <w:rPr>
          <w:rFonts w:ascii="Times New Roman" w:cs="Times New Roman" w:eastAsia="Times New Roman" w:hAnsi="Times New Roman"/>
          <w:sz w:val="18"/>
          <w:szCs w:val="18"/>
          <w:color w:val="auto"/>
        </w:rPr>
        <w:t>In March 2022, Southwest filed an application to seek approval to offer a voluntary program to California customers to purchase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carbon offsets in an effort to provide customers additional options to reduce their respective GHG emissions. A request to establish a two-way balancing account to track program-related costs and revenues was included as part of the application. The CPUC issued Decision 22-09-010 dismissing Southwest’s application without prejudice. Southwest intends to file a new application in the fourth quarter 2022 addressing the concerns raised by third parties, which included a request to demonstrate that purchased offsets would result in GHG emissions reductions.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Building Decarbonization. </w:t>
      </w:r>
      <w:r>
        <w:rPr>
          <w:rFonts w:ascii="Times New Roman" w:cs="Times New Roman" w:eastAsia="Times New Roman" w:hAnsi="Times New Roman"/>
          <w:sz w:val="18"/>
          <w:szCs w:val="18"/>
          <w:color w:val="auto"/>
        </w:rPr>
        <w:t>CPUC Decision 22-09-026 was issued regarding the elimination of gas line extension monetary allowances, a 10-year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refundable payment option, and the 50% discount payment option for both residential and non-residential customers of all gas utilities. This applies to new applications for gas line extensions submitted on or after July 1, 2023. Although this decision eliminates the various allowances related to line extensions, it does not preclude extending natural gas service to customers.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Residential Disconnection Protections. </w:t>
      </w:r>
      <w:r>
        <w:rPr>
          <w:rFonts w:ascii="Times New Roman" w:cs="Times New Roman" w:eastAsia="Times New Roman" w:hAnsi="Times New Roman"/>
          <w:sz w:val="18"/>
          <w:szCs w:val="18"/>
          <w:color w:val="auto"/>
        </w:rPr>
        <w:t>Decision 22-08-037 was issued by the CPUC establishing disconnection protections for residential customers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small and multi-jurisdictional utilities, including Southwest. A similar decision was adopted for four large California utilities in 2020. This decision prohibits the utility from assessing credit deposits for residential customers establishing or re-establishing service and prohibits the assessment of reconnection fees for residential customers among other provisions. The decision, however, also provides authorization to establish a two-way balancing account to track residential uncollectible charges for future recovery in a general rate case subject to relevant cap.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45" w:name="page46"/>
    <w:bookmarkEnd w:id="45"/>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30, 2022</w:t>
            </w:r>
          </w:p>
        </w:tc>
      </w:tr>
    </w:tbl>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Nevada Jurisdiction</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Nevada General Rate Case</w:t>
      </w:r>
      <w:r>
        <w:rPr>
          <w:rFonts w:ascii="Times New Roman" w:cs="Times New Roman" w:eastAsia="Times New Roman" w:hAnsi="Times New Roman"/>
          <w:sz w:val="18"/>
          <w:szCs w:val="18"/>
          <w:color w:val="auto"/>
        </w:rPr>
        <w:t>. Southwest filed its most recently concluded Nevada general rate case in August 2021, which was further updated by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certification filing in December 2021. The request proposed a combined revenue increase of approximately $28.7 million (as of the certification date); the most significant driver for which was the substantial capital investments that were made since the end of the test year in the previous case, including the customer information system that was implemented in May 2021. The filing included a proposed return on common equity of 9.90% with a target equity ratio of 51%; recovery of approximately $6.6 million in previously deferred late payment charges related to a regulatory asset associated with COVID-19; and continuation of full revenue decoupling under the General Revenues Adjustment (“GRA”) mechanism. On February 7, 2022, the parties filed a stipulation with the PUCN, providing for a statewide revenue increase of $14.05 million, a return on common equity of 9.40% relative to a 50% target equity ratio, and continuation of Southwest’s full revenue decoupling mechanism. The stipulation was approved by the PUCN, and new rates became effective April 1, 2022. The PUCN’s order did not include recovery of the approximate $6.6 million in deferred late payment charges related to a regulatory asset associated with COVID-19, which had previously been reserved.</w:t>
      </w:r>
    </w:p>
    <w:p>
      <w:pPr>
        <w:spacing w:after="0" w:line="7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General Revenues Adjustment. </w:t>
      </w:r>
      <w:r>
        <w:rPr>
          <w:rFonts w:ascii="Times New Roman" w:cs="Times New Roman" w:eastAsia="Times New Roman" w:hAnsi="Times New Roman"/>
          <w:sz w:val="18"/>
          <w:szCs w:val="18"/>
          <w:color w:val="auto"/>
        </w:rPr>
        <w:t>As noted above, the continuation of the GRA was affirmed as part of Southwest’s most recent general rate case with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expansion to include a large customer class (with average monthly throughput requirements greater than 15,000 therms), effective April 2022. Southwest makes Annual Rate Adjustment (“ARA”) filings to update rates to recover or return amounts associated with various regulatory mechanisms, including the GRA. Southwest made its most recent ARA filing in November 2021 related to balances as of September 30, 2021. New rates related to that filing became effective July 1, 2022. The next ARA filing will be made in November 2022 related to balances as of September 2022, with new rates expected to become effective July 1, 2023. While there is no impact to net income overall from adjustments to recovery rates associated with the related regulatory balances, operating cash flows are impacted by such changes.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COYL Program. </w:t>
      </w:r>
      <w:r>
        <w:rPr>
          <w:rFonts w:ascii="Times New Roman" w:cs="Times New Roman" w:eastAsia="Times New Roman" w:hAnsi="Times New Roman"/>
          <w:sz w:val="18"/>
          <w:szCs w:val="18"/>
          <w:color w:val="auto"/>
        </w:rPr>
        <w:t>In August 2021, Southwest filed a joint petition with the Regulatory Operations Staff of the PUCN proposing a Nevada COYL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replacement program to include residential COYLs, public school COYLs, and any other COYLs that are identified to be a safety concern. The petition was approved in January 2022 and provides for capital investments up to $5 million per year for five years and the establishment of a regulatory asset to track the capital-related costs. After five years, the program will be reassessed to determine if it should be continued.</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Infrastructure Replacement Mechanism. </w:t>
      </w:r>
      <w:r>
        <w:rPr>
          <w:rFonts w:ascii="Times New Roman" w:cs="Times New Roman" w:eastAsia="Times New Roman" w:hAnsi="Times New Roman"/>
          <w:sz w:val="18"/>
          <w:szCs w:val="18"/>
          <w:color w:val="auto"/>
        </w:rPr>
        <w:t>In 2014, the PUCN approved final rules for the Gas Infrastructure Replacement (“GIR”) mechanism,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provided for the deferral and recovery of certain costs associated with accelerated replacement of qualifying infrastructure that would not otherwise provide incremental revenues between general rate cases. Associated with the replacement of various types of pipe infrastructure under the mechanism (Early Vintage Plastic Pipe, COYL, and VSP), the related regulations provide Southwest with the opportunity to file a GIR “Advance Application” annually to seek preapproval of qualifying replacement projects.</w:t>
      </w:r>
    </w:p>
    <w:p>
      <w:pPr>
        <w:spacing w:after="0" w:line="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cases where preapproval of projects has been requested and granted, a GIR rate application has been separately filed to reset the GIR recovery surcharge rate related to previously approved and completed projects. On September 27, 2022, Southwest filed its latest rate application to reset the recovery surcharge in January 2023 to include cumulative deferrals through August 31, 2022. However, in November 2022, Southwest reached a settlement with parties (stipulation expected to be filed the same month) to discontinue the GIR, with no further ratemaking following the current year. An immaterial GIR balance existed as of September 30, 2022. Commission approval of the stipulation is anticipated to be received in December 2022.</w:t>
      </w:r>
    </w:p>
    <w:p>
      <w:pPr>
        <w:spacing w:after="0" w:line="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Conservation and Energy Efficiency. </w:t>
      </w:r>
      <w:r>
        <w:rPr>
          <w:rFonts w:ascii="Times New Roman" w:cs="Times New Roman" w:eastAsia="Times New Roman" w:hAnsi="Times New Roman"/>
          <w:sz w:val="18"/>
          <w:szCs w:val="18"/>
          <w:color w:val="auto"/>
        </w:rPr>
        <w:t>The PUCN allows deferral (and later recovery) of approved conservation and energy efficiency costs, recovery rates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which are adjusted in association with ARA filings. In its November 2021 ARA filing, Southwest proposed annualized margin decreases of $574,000 and $434,700 for southern and northern Nevada, respectively, which became effective in July 2022. Separately, in May 2022, Southwest filed an application seeking approval of its annual Conservation and Energy Efficiency Plan Report for 2021, with no proposed modifications to the previously approved $1.3 million annual budget for years 2022-2024. The parties reached a stipulation that was approved by the PUCN in July 2022.</w:t>
      </w:r>
    </w:p>
    <w:p>
      <w:pPr>
        <w:spacing w:after="0" w:line="7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Expansion and Economic Development Legislation</w:t>
      </w:r>
      <w:r>
        <w:rPr>
          <w:rFonts w:ascii="Times New Roman" w:cs="Times New Roman" w:eastAsia="Times New Roman" w:hAnsi="Times New Roman"/>
          <w:sz w:val="18"/>
          <w:szCs w:val="18"/>
          <w:color w:val="auto"/>
        </w:rPr>
        <w:t>. In January 2016, final regulations were approved by the PUCN associated with legislation (“SB 151”)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previously introduced and signed into law in Nevada. The legislation authorized natural gas utilities to expand their infrastructure to provide service to unserved and underserved areas in Nevada.</w:t>
      </w:r>
    </w:p>
    <w:p>
      <w:pPr>
        <w:spacing w:after="0" w:line="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November 2017, Southwest filed for preapproval of a project to extend service to Mesquite, Nevada, in accordance with the SB 151 regulations. Ultimately, the PUCN issued an order approving Southwest’s proposal for the expansion, and Southwest provides periodic updates and adjusts the rates to recover the revenue requirement associated with the investments to serve customers as part of Southwest’s ARA filings and rate case proceedings. As of September 2022, more than 42 miles of natural gas infrastructure have been installed throughout the Mesquite expansion area.</w:t>
      </w:r>
    </w:p>
    <w:p>
      <w:pPr>
        <w:spacing w:after="0" w:line="200" w:lineRule="exact"/>
        <w:rPr>
          <w:sz w:val="20"/>
          <w:szCs w:val="20"/>
          <w:color w:val="auto"/>
        </w:rPr>
      </w:pPr>
    </w:p>
    <w:p>
      <w:pPr>
        <w:spacing w:after="0" w:line="2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46" w:name="page47"/>
    <w:bookmarkEnd w:id="46"/>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30, 2022</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June 2019, Southwest filed for preapproval to construct the infrastructure necessary to expand natural gas service to Spring Creek, near Elko, Nevada, and to implement a cost recovery methodology to recover the associated revenue requirement consistent with the SB 151 regulations. The expansion facilities consist of a high-pressure approach main and associated regulator stations, an interior backbone, and an extension of the distribution system from the interior backbone. The total capital investment was estimated to be $61.9 million. A stipulation was reached with the parties and approved by the PUCN in December 2019, including a rate recovery allocation amongst northern Nevada, Elko, and Spring Creek expansion customers. Construction began in the third quarter of 2020, and service commenced to the first Spring Creek customers in December 2020. As of September 2022, approximately 48 miles of natural gas infrastructure have been installed throughout the Spring Creek expansion area, and is anticipated to be completed in 2026.</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Carbon Offset Program. </w:t>
      </w:r>
      <w:r>
        <w:rPr>
          <w:rFonts w:ascii="Times New Roman" w:cs="Times New Roman" w:eastAsia="Times New Roman" w:hAnsi="Times New Roman"/>
          <w:sz w:val="18"/>
          <w:szCs w:val="18"/>
          <w:color w:val="auto"/>
        </w:rPr>
        <w:t>In June 2021, Southwest filed an application seeking approval to offer a voluntary program to northern and southern Nevada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customers to purchase carbon offsets in an effort to provide customers additional options to reduce their respective GHG emissions. A request to establish a regulatory asset to track program-related costs and revenues was included as part of the application. The parties reached a stipulation that was approved by the PUCN in December 2021 approving Southwest’s proposal. The program is offered for customer participation starting in the fourth quarter of 2022.</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FERC Jurisdiction</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Great Basin General Rate Case. </w:t>
      </w:r>
      <w:r>
        <w:rPr>
          <w:rFonts w:ascii="Times New Roman" w:cs="Times New Roman" w:eastAsia="Times New Roman" w:hAnsi="Times New Roman"/>
          <w:sz w:val="18"/>
          <w:szCs w:val="18"/>
          <w:color w:val="auto"/>
        </w:rPr>
        <w:t>In 2020, Great Basin Gas Transmission Company (“Great Basin”), a wholly owned subsidiary of Southwest, reached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in principle with the FERC Staff providing that its three largest transportation customers and all storage customers would be required to have primary service agreement terms of at least five years, that term-differentiated rates would continue generally, and included a 9.90% pre-tax rate of return. Interim rates were made effective February 2020. As part of the settlement, Great Basin will file a rate case no later than May 31, 2025.</w:t>
      </w:r>
    </w:p>
    <w:p>
      <w:pPr>
        <w:spacing w:after="0" w:line="7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MountainWest Overthrust Pipeline. </w:t>
      </w:r>
      <w:r>
        <w:rPr>
          <w:rFonts w:ascii="Times New Roman" w:cs="Times New Roman" w:eastAsia="Times New Roman" w:hAnsi="Times New Roman"/>
          <w:sz w:val="18"/>
          <w:szCs w:val="18"/>
          <w:color w:val="auto"/>
        </w:rPr>
        <w:t>On September 22, 2022 the FERC issued an order initiating an investigation, pursuant to section 5 of the Natural Gas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 to determine whether rates currently charged by MountainWest Overthrust Pipeline, LLC (“Overthrust Pipeline”) are just and reasonable and setting the matter for hearing. The FERC directed Overthrust Pipeline to file a cost and revenue study by December 6, 2022. Provided Overthrust Pipeline does not settle the matter earlier, a hearing would be held on July 18, 2023, an initial decision from the FERC administrative law judge would be due October 31, 2023, and an order from the FERC would be expected in mid to late 2024. Any rate impact from this proceeding would be applied prospectively following the FERC’s order.</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PGA Filings</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rate schedules in all of Southwest’s service territories contain provisions that permit adjustment to rates as the cost of purchased gas changes. These deferred energy provisions and purchased gas adjustment clauses are collectively referred to as “PGA” clauses. Differences between gas costs recovered from customers and amounts paid for gas by Southwest result in over- or under-collections. Balances are recovered from or refunded to customers on an ongoing basis with interest. As of September 30, 2022, under-collections in each of Southwest’s service territories resulted in an asset of $381 million on the Company’s and Southwest’s Condensed Consolidated Balance Sheets. See also </w:t>
      </w:r>
      <w:r>
        <w:rPr>
          <w:rFonts w:ascii="Times New Roman" w:cs="Times New Roman" w:eastAsia="Times New Roman" w:hAnsi="Times New Roman"/>
          <w:sz w:val="18"/>
          <w:szCs w:val="18"/>
          <w:i w:val="1"/>
          <w:iCs w:val="1"/>
          <w:color w:val="auto"/>
        </w:rPr>
        <w:t>Deferred Purchased Gas Costs</w:t>
      </w:r>
      <w:r>
        <w:rPr>
          <w:rFonts w:ascii="Times New Roman" w:cs="Times New Roman" w:eastAsia="Times New Roman" w:hAnsi="Times New Roman"/>
          <w:sz w:val="18"/>
          <w:szCs w:val="18"/>
          <w:color w:val="auto"/>
        </w:rPr>
        <w:t xml:space="preserve"> in </w:t>
      </w:r>
      <w:r>
        <w:rPr>
          <w:rFonts w:ascii="Times New Roman" w:cs="Times New Roman" w:eastAsia="Times New Roman" w:hAnsi="Times New Roman"/>
          <w:sz w:val="18"/>
          <w:szCs w:val="18"/>
          <w:b w:val="1"/>
          <w:bCs w:val="1"/>
          <w:color w:val="auto"/>
        </w:rPr>
        <w:t>Note 1 – Background,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Organization, and Summary of Significant Accounting Policies </w:t>
      </w:r>
      <w:r>
        <w:rPr>
          <w:rFonts w:ascii="Times New Roman" w:cs="Times New Roman" w:eastAsia="Times New Roman" w:hAnsi="Times New Roman"/>
          <w:sz w:val="18"/>
          <w:szCs w:val="18"/>
          <w:color w:val="auto"/>
        </w:rPr>
        <w:t>in this quarterly report on Form 10-Q</w:t>
      </w:r>
      <w:r>
        <w:rPr>
          <w:rFonts w:ascii="Times New Roman" w:cs="Times New Roman" w:eastAsia="Times New Roman" w:hAnsi="Times New Roman"/>
          <w:sz w:val="18"/>
          <w:szCs w:val="18"/>
          <w:b w:val="1"/>
          <w:bCs w:val="1"/>
          <w:color w:val="auto"/>
        </w:rPr>
        <w:t>.</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Filings to change rates in accordance with PGA clauses are subject to audit by state regulatory commission staffs. PGA changes impact cash flows but have no direct impact on operating margin. However, gas cost deferrals and recoveries can impact comparisons between periods of individual consolidated income statement components. These include Regulated operations revenues, Net cost of gas sold, Net interest deductions, and Other income (deductions).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Southwest’s outstanding PGA balances receivable/(payable):</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220" w:type="dxa"/>
            <w:vAlign w:val="bottom"/>
          </w:tcPr>
          <w:p>
            <w:pPr>
              <w:spacing w:after="0"/>
              <w:rPr>
                <w:sz w:val="20"/>
                <w:szCs w:val="20"/>
                <w:color w:val="auto"/>
              </w:rPr>
            </w:pPr>
          </w:p>
        </w:tc>
        <w:tc>
          <w:tcPr>
            <w:tcW w:w="2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September 30, 2022</w:t>
            </w:r>
          </w:p>
        </w:tc>
        <w:tc>
          <w:tcPr>
            <w:tcW w:w="240" w:type="dxa"/>
            <w:vAlign w:val="bottom"/>
          </w:tcPr>
          <w:p>
            <w:pPr>
              <w:spacing w:after="0"/>
              <w:rPr>
                <w:sz w:val="20"/>
                <w:szCs w:val="20"/>
                <w:color w:val="auto"/>
              </w:rPr>
            </w:pPr>
          </w:p>
        </w:tc>
        <w:tc>
          <w:tcPr>
            <w:tcW w:w="2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December 31, 2021</w:t>
            </w:r>
          </w:p>
        </w:tc>
        <w:tc>
          <w:tcPr>
            <w:tcW w:w="220" w:type="dxa"/>
            <w:vAlign w:val="bottom"/>
          </w:tcPr>
          <w:p>
            <w:pPr>
              <w:spacing w:after="0"/>
              <w:rPr>
                <w:sz w:val="20"/>
                <w:szCs w:val="20"/>
                <w:color w:val="auto"/>
              </w:rPr>
            </w:pPr>
          </w:p>
        </w:tc>
        <w:tc>
          <w:tcPr>
            <w:tcW w:w="18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September 30, 2021</w:t>
            </w:r>
          </w:p>
        </w:tc>
      </w:tr>
      <w:tr>
        <w:trPr>
          <w:trHeight w:val="223"/>
        </w:trPr>
        <w:tc>
          <w:tcPr>
            <w:tcW w:w="4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Arizona</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269,811</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214,387</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191,907</w:t>
            </w:r>
          </w:p>
        </w:tc>
      </w:tr>
      <w:tr>
        <w:trPr>
          <w:trHeight w:val="229"/>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Northern Nevada</w:t>
            </w:r>
          </w:p>
        </w:tc>
        <w:tc>
          <w:tcPr>
            <w:tcW w:w="2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4,924</w:t>
            </w:r>
          </w:p>
        </w:tc>
      </w:tr>
      <w:tr>
        <w:trPr>
          <w:trHeight w:val="23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Southern Nevada</w:t>
            </w:r>
          </w:p>
        </w:tc>
        <w:tc>
          <w:tcPr>
            <w:tcW w:w="2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94,707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55,967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38,964</w:t>
            </w:r>
          </w:p>
        </w:tc>
      </w:tr>
      <w:tr>
        <w:trPr>
          <w:trHeight w:val="230"/>
        </w:trPr>
        <w:tc>
          <w:tcPr>
            <w:tcW w:w="4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California</w:t>
            </w:r>
          </w:p>
        </w:tc>
        <w:tc>
          <w:tcPr>
            <w:tcW w:w="22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5,032</w:t>
            </w:r>
          </w:p>
        </w:tc>
      </w:tr>
      <w:tr>
        <w:trPr>
          <w:trHeight w:val="248"/>
        </w:trPr>
        <w:tc>
          <w:tcPr>
            <w:tcW w:w="46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381,351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291,145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240,827</w:t>
            </w: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180"/>
        <w:spacing w:after="0" w:line="298" w:lineRule="auto"/>
        <w:rPr>
          <w:sz w:val="20"/>
          <w:szCs w:val="20"/>
          <w:color w:val="auto"/>
        </w:rPr>
      </w:pPr>
      <w:r>
        <w:rPr>
          <w:rFonts w:ascii="Times New Roman" w:cs="Times New Roman" w:eastAsia="Times New Roman" w:hAnsi="Times New Roman"/>
          <w:sz w:val="16"/>
          <w:szCs w:val="16"/>
          <w:color w:val="auto"/>
        </w:rPr>
        <w:t>Not included in the PGA balances table above are $3.7 million at September 30, 2022 and $5.7 million at December 31, 2021 in deferred purchased gas cost liabilities for MountainWest.</w:t>
      </w: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47" w:name="page48"/>
    <w:bookmarkEnd w:id="47"/>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30, 2022</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 Resources and Liquidity</w:t>
      </w:r>
    </w:p>
    <w:p>
      <w:pPr>
        <w:spacing w:after="0" w:line="11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Historically, cash on hand and cash flows from operations have provided a substantial portion of cash used in investing activities (primarily for construction expenditures and property additions). In recent years, Southwest has undertaken significant pipe replacement activities to fortify system integrity and reliability, including on an accelerated basis in association with certain gas infrastructure replacement programs. This activity has necessitated the issuance of both debt and equity securities to supplement cash flows from operations. The Company, in executing on its plans to fund the MountainWest acquisition, initially funded the transaction through short-term borrowings, which was expected to be refinanced through a multi-pronged permanent financing plan, some of which was executed during the first quarter of 2022 as the Company used $452 million in net proceeds from its underwritten offering of common stock to repay a portion of such short-term borrowings. The term loan for the MountainWest acquisition was amended in September 2022 to extend the maturity date to December 2023. The Company’s capitalization strategy is to maintain an appropriate balance of equity and debt to preserve investment-grade credit ratings, which help minimize interest costs. Investment-grade credit ratings have been maintained following the acquisition.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Southwest Gas Holdings, Inc.:</w:t>
      </w:r>
    </w:p>
    <w:p>
      <w:pPr>
        <w:spacing w:after="0" w:line="1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Operating Cash Flows. </w:t>
      </w:r>
      <w:r>
        <w:rPr>
          <w:rFonts w:ascii="Times New Roman" w:cs="Times New Roman" w:eastAsia="Times New Roman" w:hAnsi="Times New Roman"/>
          <w:sz w:val="18"/>
          <w:szCs w:val="18"/>
          <w:color w:val="auto"/>
        </w:rPr>
        <w:t>Cash flows from consolidated operating activities increased $252 million in the first nine months of 2022 as compared to the same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of 2021. The improvement in cash flows primarily resulted from the change in purchased gas costs, including amounts incurred and deferred, as well as impacts related to when amounts are incorporated in customer bills to recover or return deferred balances. The prior period also included a $50 million discretionary supplemental contribution to the noncontributory qualified retirement plan (reflected as a change in other liabilities and deferred credits). Other impacts include changes in components of working capital overall.</w:t>
      </w:r>
    </w:p>
    <w:p>
      <w:pPr>
        <w:spacing w:after="0" w:line="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corporate and administrative expenses/outflows for Southwest Gas Holdings, Inc. in the nine- and twelve-month periods ended September 30, 2022 include outlays related to shareholder activism and the Strategic Review, in addition to outlays related to expenditures/financing costs for the MountainWest acquisition.</w:t>
      </w:r>
    </w:p>
    <w:p>
      <w:pPr>
        <w:spacing w:after="0" w:line="6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Investing Cash Flows. </w:t>
      </w:r>
      <w:r>
        <w:rPr>
          <w:rFonts w:ascii="Times New Roman" w:cs="Times New Roman" w:eastAsia="Times New Roman" w:hAnsi="Times New Roman"/>
          <w:sz w:val="18"/>
          <w:szCs w:val="18"/>
          <w:color w:val="auto"/>
        </w:rPr>
        <w:t>Cash used in consolidated investing activities decreased $710 million in the first nine months of 2022 as compared to the same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period of 2021. The change was primarily due to Centuri’s acquisition of Riggs Distler in 2021 (see </w:t>
      </w:r>
      <w:r>
        <w:rPr>
          <w:rFonts w:ascii="Times New Roman" w:cs="Times New Roman" w:eastAsia="Times New Roman" w:hAnsi="Times New Roman"/>
          <w:sz w:val="18"/>
          <w:szCs w:val="18"/>
          <w:b w:val="1"/>
          <w:bCs w:val="1"/>
          <w:color w:val="auto"/>
        </w:rPr>
        <w:t>Note 8 - Business Acquisitions</w:t>
      </w:r>
      <w:r>
        <w:rPr>
          <w:rFonts w:ascii="Times New Roman" w:cs="Times New Roman" w:eastAsia="Times New Roman" w:hAnsi="Times New Roman"/>
          <w:sz w:val="18"/>
          <w:szCs w:val="18"/>
          <w:color w:val="auto"/>
        </w:rPr>
        <w:t>). The overall decrease was offset by an increase in capital expenditures in both the natural gas distribution and utility infrastructure services segments. The current period also included a post-closing payment of $18.8 million in association with the Mountain West acquisition.</w:t>
      </w:r>
    </w:p>
    <w:p>
      <w:pPr>
        <w:spacing w:after="0" w:line="7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Financing Cash Flows. </w:t>
      </w:r>
      <w:r>
        <w:rPr>
          <w:rFonts w:ascii="Times New Roman" w:cs="Times New Roman" w:eastAsia="Times New Roman" w:hAnsi="Times New Roman"/>
          <w:sz w:val="18"/>
          <w:szCs w:val="18"/>
          <w:color w:val="auto"/>
        </w:rPr>
        <w:t>Net cash provided by consolidated financing activities decreased $1.1 billion in the first nine months of 2022 as compared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same period of 2021. The change was primarily due to borrowings associated with Centuri’s acquisition of Riggs Distler in 2021. The agreement provided for a $1.145 billion secured term loan facility and a $400 million secured revolving credit facility, which in addition to funding the Riggs Distler acquisition, refinanced Centuri’s previous $590 million loan facility.</w:t>
      </w:r>
    </w:p>
    <w:p>
      <w:pPr>
        <w:spacing w:after="0" w:line="7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Additionally contributing to the change were borrowings by Southwest, including the March 2021 Term Loan to initially finance a gas cost runup caused by the 2021 freeze event in and around the central U.S. due to Winter Storm Uri and the August 2021 issuance of $300 million in notes, as well as borrowings under the Company’s credit facility, offset by repayment of amounts under Southwest’s facility in 2021; by comparison, in the first nine months of 2022, financing activities were largely undertaken in concert with reductions in other borrowings. The Company reduced its 364-day Term Loan facility (utilized to finance the MountainWest acquisition) through net proceeds of $452 million from the issuance of common stock in an underwritten public offering in the current year. Proceeds from other equity issuances by the holding company were nominal in 2022 (and those in 2021 were contributed to Southwest). Furthermore, while debt proceeds were received by Southwest’s March 2022 issuance of $600 million in notes, it also redeemed, in February 2022, $25 million 7.78% series Medium-term notes then maturing, as well as $250 million in notes maturing in April 2022. Southwest also repaid (during 2022) $25 million of amounts outstanding on the March 2021 Term Loan utilized to finance the gas cost runup in 2021, and paid down the balance existing at the time under its credit facility. The Company had higher borrowings under its credit facility in the current period given its expenditures for shareholder activism and settlement activities, along with the Strategic Review. Centuri’s line of credit and term loan facility borrowings during the first nine months of 2021 exceeded amounts in the current period. Dividends paid in 2022 were higher than during the comparative period in 2021.</w:t>
      </w:r>
    </w:p>
    <w:p>
      <w:pPr>
        <w:spacing w:after="0" w:line="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capital requirements and resources of the Company generally are determined independently for the individual business segments. Each business segment is generally responsible for securing its own financing sources. However, the holding company may raise funds through stock issuances or other external financing sources in support of each business segment.</w:t>
      </w:r>
    </w:p>
    <w:p>
      <w:pPr>
        <w:spacing w:after="0" w:line="200" w:lineRule="exact"/>
        <w:rPr>
          <w:sz w:val="20"/>
          <w:szCs w:val="20"/>
          <w:color w:val="auto"/>
        </w:rPr>
      </w:pPr>
    </w:p>
    <w:p>
      <w:pPr>
        <w:spacing w:after="0" w:line="2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48" w:name="page49"/>
    <w:bookmarkEnd w:id="48"/>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30, 2022</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Southwest Gas Corporation:</w:t>
      </w:r>
    </w:p>
    <w:p>
      <w:pPr>
        <w:spacing w:after="0" w:line="1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Operating Cash Flows. </w:t>
      </w:r>
      <w:r>
        <w:rPr>
          <w:rFonts w:ascii="Times New Roman" w:cs="Times New Roman" w:eastAsia="Times New Roman" w:hAnsi="Times New Roman"/>
          <w:sz w:val="18"/>
          <w:szCs w:val="18"/>
          <w:color w:val="auto"/>
        </w:rPr>
        <w:t>Cash flows provided by operating activities increased $214 million in the first nine months of 2022 as compared to the same period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2021. The improvement in operating cash flows was primarily attributable to the impacts related to deferred purchased gas costs (described above), as well as to other working capital changes. Gas costs incurred were higher in both periods compared to earlier recent historical periods, and while gas costs incurred in the first nine months of 2022 were higher than during 2021, collections from customers in the 2022 period were substantially higher than collections during the nine-month period of 2021, which includes the effects of when gas costs are incorporated into customer rates.</w:t>
      </w:r>
    </w:p>
    <w:p>
      <w:pPr>
        <w:spacing w:after="0" w:line="7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Investing Cash Flows. </w:t>
      </w:r>
      <w:r>
        <w:rPr>
          <w:rFonts w:ascii="Times New Roman" w:cs="Times New Roman" w:eastAsia="Times New Roman" w:hAnsi="Times New Roman"/>
          <w:sz w:val="18"/>
          <w:szCs w:val="18"/>
          <w:color w:val="auto"/>
        </w:rPr>
        <w:t>Cash used in investing activities increased $56 million in the first nine months of 2022 as compared to the same period of 2021.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change was primarily due to increases in capital expenditures in 2022, partly offset by an increase in collection of customer advances for construction as compared to the same period in the prior year. See also </w:t>
      </w:r>
      <w:r>
        <w:rPr>
          <w:rFonts w:ascii="Times New Roman" w:cs="Times New Roman" w:eastAsia="Times New Roman" w:hAnsi="Times New Roman"/>
          <w:sz w:val="18"/>
          <w:szCs w:val="18"/>
          <w:i w:val="1"/>
          <w:iCs w:val="1"/>
          <w:color w:val="auto"/>
        </w:rPr>
        <w:t>Gas Segment Construction Expenditures and Financing</w:t>
      </w:r>
      <w:r>
        <w:rPr>
          <w:rFonts w:ascii="Times New Roman" w:cs="Times New Roman" w:eastAsia="Times New Roman" w:hAnsi="Times New Roman"/>
          <w:sz w:val="18"/>
          <w:szCs w:val="18"/>
          <w:color w:val="auto"/>
        </w:rPr>
        <w:t xml:space="preserve"> below.</w:t>
      </w:r>
    </w:p>
    <w:p>
      <w:pPr>
        <w:spacing w:after="0" w:line="6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Financing Cash Flows. </w:t>
      </w:r>
      <w:r>
        <w:rPr>
          <w:rFonts w:ascii="Times New Roman" w:cs="Times New Roman" w:eastAsia="Times New Roman" w:hAnsi="Times New Roman"/>
          <w:sz w:val="18"/>
          <w:szCs w:val="18"/>
          <w:color w:val="auto"/>
        </w:rPr>
        <w:t>Net cash provided by financing activities decreased $253 million in the first nine months of 2022 as compared to the same period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of 2021. The decline was primarily due to the impacts cited above, including that the 2021 period included proceeds to finance gas purchases during Winter Storm Uri; by comparison, in 2022, financing proceeds were utilized to repay other amounts due. As indicated, Southwest issued $600 million in notes in the first quarter of 2022, and paid down amounts then outstanding under its credit facility and redeemed $250 million in notes maturing in April 2022. Southwest also redeemed $25 million 7.78% series Medium-term notes that matured in February 2022, and $25 million of amounts outstanding under the March 2021 Term Loan used to fund increased gas purchased costs during the 2021 freeze event. It also borrowed additional amounts under its credit facility during 2022 (after having paid down amounts earlier in the year), whereas it repaid amounts in 2021. However, during the first nine months of 2021, Southwest issued $300 million in notes. See </w:t>
      </w:r>
      <w:r>
        <w:rPr>
          <w:rFonts w:ascii="Times New Roman" w:cs="Times New Roman" w:eastAsia="Times New Roman" w:hAnsi="Times New Roman"/>
          <w:sz w:val="18"/>
          <w:szCs w:val="18"/>
          <w:b w:val="1"/>
          <w:bCs w:val="1"/>
          <w:color w:val="auto"/>
        </w:rPr>
        <w:t>Note 5 – Debt</w:t>
      </w:r>
      <w:r>
        <w:rPr>
          <w:rFonts w:ascii="Times New Roman" w:cs="Times New Roman" w:eastAsia="Times New Roman" w:hAnsi="Times New Roman"/>
          <w:sz w:val="18"/>
          <w:szCs w:val="18"/>
          <w:color w:val="auto"/>
        </w:rPr>
        <w:t>. Furthermore, parent capital contributions from equity issuances in 2021 have not recurred in 2022, while dividends paid to the parent holding company were higher in the current period.</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Gas Segment Construction Expenditures, Debt Maturities, and Financing</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twelve-month period ended September 30, 2022, construction expenditures for the natural gas distribution segment were $672 million (not including amounts incurred for capital expenditures not yet paid). The majority of these expenditures represented costs associated with the replacement of existing transmission, distribution, and general plant to fortify system integrity and reliability.</w:t>
      </w:r>
    </w:p>
    <w:p>
      <w:pPr>
        <w:spacing w:after="0" w:line="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Management estimates natural gas segment construction expenditures during the five-year period ending December 31, 2026 will be approximately $2.5 billion to $3.5 billion. Of this amount, approximately $650 million to $675 million is expected to be incurred during calendar year 2022. Southwest plans to continue to request regulatory support to undertake projects, or to accelerate projects as necessary, for the improvement of system flexibility and reliability, or to expand, where relevant, to unserved or underserved areas. Southwest may expand existing, or initiate new, programs. Significant replacement activities are expected to continue well beyond the next few years. See also </w:t>
      </w:r>
      <w:r>
        <w:rPr>
          <w:rFonts w:ascii="Times New Roman" w:cs="Times New Roman" w:eastAsia="Times New Roman" w:hAnsi="Times New Roman"/>
          <w:sz w:val="18"/>
          <w:szCs w:val="18"/>
          <w:b w:val="1"/>
          <w:bCs w:val="1"/>
          <w:color w:val="auto"/>
        </w:rPr>
        <w:t>Rates and Regulatory Proceedings</w:t>
      </w:r>
      <w:r>
        <w:rPr>
          <w:rFonts w:ascii="Times New Roman" w:cs="Times New Roman" w:eastAsia="Times New Roman" w:hAnsi="Times New Roman"/>
          <w:sz w:val="18"/>
          <w:szCs w:val="18"/>
          <w:color w:val="auto"/>
        </w:rPr>
        <w:t>. During the three-year period, cash flows from operating activities of Southwest are expected to provide approximately 69% of the funding for gas operations of Southwest and total construction expenditures and dividend requirements. As of September 30, 2022, Southwest had the March 2021 Term Loan with an outstanding balance of $225 million, due in March 2023. Any additional cash requirements, including construction-related, and pay down or refinancing of debt, are expected to be provided by existing credit facilities, equity contributions from the Company, and/or other external financing sources. The timing, types, and amounts of additional external financings will be dependent on a number of factors, including the cost of gas purchases, conditions in capital markets, timing and amounts of rate relief, timing and amounts of surcharge collections from, or amounts returned to, customers related to other regulatory mechanisms and programs, as well as growth levels in Southwest’s service areas and earnings. External financings may include the issuance of debt securities, bank and other short-term borrowings, and other forms of financing.</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 Policy</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Dividends are payable on the Company’s common stock at the discretion of the Board. In setting the dividend rate, the Board currently targets a payout ratio of 55% to 65% of consolidated earnings per share and considers, among other factors, current and expected future earnings levels, our ongoing capital expenditure plans, expected external funding needs, and our ability to maintain investment-grade credit ratings and liquidity. The Company has paid dividends on its common stock since 1956 and has increased that dividend each year since 2007. In February 2022, the Board elected to increase the quarterly dividend from $0.595 to $0.62 per share, representing a 4.2% increase, effective with the June 2022 payment.</w:t>
      </w:r>
    </w:p>
    <w:p>
      <w:pPr>
        <w:spacing w:after="0" w:line="200" w:lineRule="exact"/>
        <w:rPr>
          <w:sz w:val="20"/>
          <w:szCs w:val="20"/>
          <w:color w:val="auto"/>
        </w:rPr>
      </w:pPr>
    </w:p>
    <w:p>
      <w:pPr>
        <w:spacing w:after="0" w:line="2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49" w:name="page50"/>
    <w:bookmarkEnd w:id="49"/>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30, 2022</w:t>
            </w:r>
          </w:p>
        </w:tc>
      </w:tr>
    </w:tbl>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Several factors (some of which are out of the control of the Company) that could significantly affect liquidity in the future include: variability of natural gas prices, changes in ratemaking policies of regulatory commissions, regulatory lag, customer growth in the natural gas distribution segment, the ability to access and obtain capital from external sources, interest rates, changes in income tax laws, pension funding requirements, inflation, and the level of earnings. Natural gas prices and related gas cost recovery rates, as well as plant investment, have historically had the most significant impact on liquidity.</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On an interim basis, Southwest defers over- or under-collections of gas costs to PGA balancing accounts. In addition, Southwest uses this mechanism to either refund amounts over-collected or recoup amounts under-collected as compared to the price paid for natural gas during the period since the last PGA rate change went into effect. At September 30, 2022, the combined balance in the PGA accounts totaled an under-collection of $381 million. See </w:t>
      </w:r>
      <w:r>
        <w:rPr>
          <w:rFonts w:ascii="Times New Roman" w:cs="Times New Roman" w:eastAsia="Times New Roman" w:hAnsi="Times New Roman"/>
          <w:sz w:val="18"/>
          <w:szCs w:val="18"/>
          <w:b w:val="1"/>
          <w:bCs w:val="1"/>
          <w:color w:val="auto"/>
        </w:rPr>
        <w:t>PGA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Filings </w:t>
      </w:r>
      <w:r>
        <w:rPr>
          <w:rFonts w:ascii="Times New Roman" w:cs="Times New Roman" w:eastAsia="Times New Roman" w:hAnsi="Times New Roman"/>
          <w:sz w:val="18"/>
          <w:szCs w:val="18"/>
          <w:color w:val="auto"/>
        </w:rPr>
        <w:t>for more information.</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March 2022, Southwest amended the $250 million March 2021 Term Loan, extending the maturity date to March 21, 2023. As noted above, the proceeds were originally used to fund the increased cost of natural gas supply during the month of February 2021 caused by extreme weather conditions in the central U.S. The March 2021 Term Loan was extended as a result of the current gas cost environment and management’s funding plans for purchases. At September 30, 2022, there was $225 million outstanding under the March 2021 Term Loan.</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March 2022, Southwest issued $600 million aggregate principal amount of 4.05% Senior Notes at a discount of 0.65%. The notes will mature in March 2032. Southwest used the net proceeds to redeem $250 million 3.875% notes due in April 2022 and to repay outstanding amounts under its credit facility, with the remaining net proceeds used for general corporate purposes.</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Southwest has a credit facility, with a borrowing capacity of $400 million, which expires in April 2025. Southwest designates $150 million of the facility for long-term borrowing needs and the remaining $250 million for working capital purposes. The maximum amount outstanding on the long-term portion of the credit facility (including a commercial paper program) during the first nine months of 2022 was $150 million. The maximum amount outstanding on the short-term portion of the credit facility during the first nine months of 2022 was $85 million. As of September 30, 2022, $138 million was outstanding on the long-term portion of this credit facility and none was outstanding on the short-term portion. The credit facility can be used as necessary to meet liquidity requirements, including temporarily financing under-collected PGA balances, or meeting the refund needs of over-collected balances. The credit facility has been adequate for Southwest’s working capital needs outside of funds raised through operations and other types of external financing. As indicated, any additional cash requirements would include the existing credit facility, equity contributions from the Company, and/or other external financing sources.</w:t>
      </w:r>
    </w:p>
    <w:p>
      <w:pPr>
        <w:spacing w:after="0" w:line="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Southwest has a $50 million commercial paper program. Any issuance under the commercial paper program is supported by Southwest’s current revolving credit facility and, therefore, does not represent additional borrowing capacity. Any borrowing under the commercial paper program during 2022 will be designated as long-term debt. Interest rates for the commercial paper program are calculated at the current commercial paper rate during the borrowing term. At September 30, 2022, there were no borrowings outstanding under this program.</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Centuri has a senior secured revolving credit and term loan multi-currency facility. The line of credit portion comprises $400 million; associated amounts borrowed and repaid are available to be re-borrowed. The term loan facility portion provided approximately $1.145 billion in financing. The term loan facility expires on August 27, 2028 and the revolving credit facility expires on August 27, 2026. This multi-currency facility allows the borrower to request loan advances in either Canadian dollars or U.S. dollars. The obligations under the credit agreement are secured by present and future ownership interests in substantially all direct and indirect subsidiaries of Centuri, substantially all of the tangible and intangible personal property of each borrower, certain of their direct and indirect subsidiaries, and all products, profits, and proceeds of the foregoing. Centuri assets securing the facility at September 30, 2022 totaled $2.6 billion. The maximum amount outstanding on the combined facility during the first nine months of 2022 was $1.2 billion. As of September 30, 2022, $151 million was outstanding on the revolving credit facility, in addition to $1.009 billion that was outstanding on the term loan portion of the facility. Also at September 30, 2022, there was approximately $186 million, net of letters of credit, available for borrowing under the line of credit.</w:t>
      </w:r>
    </w:p>
    <w:p>
      <w:pPr>
        <w:spacing w:after="0" w:line="2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November 4, 2022, Centuri amended the financial covenants of the revolving credit facility to increase the maximum total net leverage ratio during the period from December 31, 2022 through December 31, 2023. The Credit Facility Amendment also transitioned the interest rate benchmark for the revolving credit facility from LIBOR to SOFR. The applicable margin for the revolving credit facility now ranges from 1.0% to 2.5% for SOFR loans and from 0.0% to 1.5% for CDOR and “base rate” loans, depending on Centuri’s total net leverage ratio. Further, the Credit Facility Amendment increases a letter of credit sub-facility from $100 million to $125 million. The Credit Facility Amendment did not modify any terms of the term loan facility.</w:t>
      </w:r>
    </w:p>
    <w:p>
      <w:pPr>
        <w:spacing w:after="0" w:line="200" w:lineRule="exact"/>
        <w:rPr>
          <w:sz w:val="20"/>
          <w:szCs w:val="20"/>
          <w:color w:val="auto"/>
        </w:rPr>
      </w:pPr>
    </w:p>
    <w:p>
      <w:pPr>
        <w:spacing w:after="0" w:line="2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50" w:name="page51"/>
    <w:bookmarkEnd w:id="50"/>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30, 2022</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Southwest Gas Holdings, Inc. has a credit facility with a borrowing capacity of $200 million that expires in December 2026. This facility is intended for short-term financing needs. At September 30, 2022, $156 million was outstanding under this facility.</w:t>
      </w:r>
    </w:p>
    <w:p>
      <w:pPr>
        <w:spacing w:after="0" w:line="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November 2021, the Company entered into a $1.6 billion delayed-draw Term Loan Facility that was funded on December 31, 2021 in connection with the acquisition of MountainWest. In March 2022, the Company used net proceeds from the issuance of common stock (see below) to repay a portion of borrowings under the Term Loan Facility. On September 26, 2022 (the “Amendment Date”), the Company entered into Amendment No. 1 to the Term Loan Facility. The Amendment, among other things, (1) extended the maturity date of the Term Loan to December 30, 2023, and (2) replaced LIBOR interest rate benchmarks with SOFR interest rate benchmarks. There was $1.15 billion outstanding under this Term Loan Facility as of September 30, 2022. As part of the Amendment, the Company paid a non-refundable upfront fee in an amount equal to 0.10% of the aggregate principal amount outstanding as of the Amendment Date, and will pay additional fees based on any principal balance outstanding on March 31, 2023, June 30, 2023, and September 30, 2023 of 0.10%, 0.15%, and 0.20%, respectively. Management intends to pay off the remainder of the Term Loan Facility through the issuance of long-term debt or equity securities or using the proceeds from a sale of MountainWest and/or Centuri. Management maintains the discretion to seek alternative sources, and can provide no assurances as to its ability to refinance this obligation with the intended method or on attractive terms.</w:t>
      </w:r>
    </w:p>
    <w:p>
      <w:pPr>
        <w:spacing w:after="0" w:line="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March 2022, the Company sold, through a prospectus supplement under its Universal Shelf program, an aggregate of 6.325 million shares of common stock, with an underwritten public offering price of $74.00 per share, resulting in proceeds to the Company of $452.2 million, net of the underwriters’ discount of $15.8 million. The Company used the net proceeds to repay a portion of the outstanding borrowings under the 364-day Term Loan Facility that was used to initially fund the MountainWest acquisition.</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April 2021, the Company entered into a Sales Agency Agreement between the Company and BNY Mellon Capital Markets, LLC and J.P. Morgan Securities LLC (the “Equity Shelf Program”) for the offer and sale of up to $500 million of common stock from time to time in at-the-market offerings under the related prospectus supplement filed with the Securities and Exchange Commission (the “SEC”) the same month. There was no activity under this multi-year program during the third quarter of 2022. Net proceeds from the sales of shares of common stock under the Equity Shelf Program are intended for general corporate purposes, including the acquisition of property for the construction, completion, extension, or improvement of pipeline systems and facilities located in and around the communities served by Southwest, as well as for repayment or repurchase of indebtedness (including amounts outstanding from time to time under the credit facilities, senior notes, Term Loan or future credit facilities), and to provide for working capital. The Company had approximately $341.8 million available under the program as of September 30, 2022. See </w:t>
      </w:r>
      <w:r>
        <w:rPr>
          <w:rFonts w:ascii="Times New Roman" w:cs="Times New Roman" w:eastAsia="Times New Roman" w:hAnsi="Times New Roman"/>
          <w:sz w:val="18"/>
          <w:szCs w:val="18"/>
          <w:b w:val="1"/>
          <w:bCs w:val="1"/>
          <w:color w:val="auto"/>
        </w:rPr>
        <w:t>Note 4 – Common Stock</w:t>
      </w:r>
      <w:r>
        <w:rPr>
          <w:rFonts w:ascii="Times New Roman" w:cs="Times New Roman" w:eastAsia="Times New Roman" w:hAnsi="Times New Roman"/>
          <w:sz w:val="18"/>
          <w:szCs w:val="18"/>
          <w:color w:val="auto"/>
        </w:rPr>
        <w:t xml:space="preserve"> for more information.</w:t>
      </w:r>
    </w:p>
    <w:p>
      <w:pPr>
        <w:spacing w:after="0" w:line="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Interest rates for Centuri’s term loan contain LIBOR-based rates. Certain LIBOR-based rates were discontinued as a benchmark or reference rate after 2021, while other LIBOR-based rates are scheduled to be discontinued after June 2023. As of September 30, 2022, the Company had $1.009 billion in aggregate outstanding borrowings under Centuri’s term loan facility. In order to mitigate the impact of a LIBOR discontinuance on the Company’s financial condition and results of operations, management will monitor developments and work with lenders, where relevant, to determine the appropriate replacement/alternative reference rate for variable rate debt. At this time the Company can provide no assurances as to the impact a LIBOR discontinuance will have on its financial condition or results of operations. Any alternative rate may be less predictable or less attractive than LIBOR.</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Forward-Looking Statements</w:t>
      </w:r>
    </w:p>
    <w:p>
      <w:pPr>
        <w:spacing w:after="0" w:line="1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quarterly report contains statements which constitute “forward-looking statements” within the meaning of the Private Securities Litigation Reform Act of 1995 (“Reform Act”). All statements other than statements of historical fact included or incorporated by reference in this quarterly report are forward-looking statements, including, without limitation, statements regarding the Company’s plans, objectives, goals, intentions, projections, strategies, future events or performance, negotiations, and underlying assumptions. The words “may,” “if,” “will,” “should,” “could,” “expect,” “plan,” “anticipate,” “believe,” “estimate,” “predict,” “project,” “continue,” “forecast,” “intend,” “endeavor,” “promote,” “seek,” and similar words and expressions are generally used and intended to identify forward-looking statements. For example, statements regarding plans to review strategic alternatives to maximize stockholder value, refinance near-term maturities, to separate Centuri or other entities from the Company, those regarding operating margin patterns, customer growth, the composition of our customer base, price volatility, seasonal patterns, payment of debt, the Company’s COLI strategy, replacement market and new construction market, our intent and ability to complete planned acquisitions or divestitures and at amounts originally set out, impacts from the COVID-19 pandemic, including on our employees, customers, or otherwise, our financial position, revenue, earnings, cash flows, debt covenants, operations, regulatory recovery, work deployment or resumption and related uncertainties stemming from this pandemic or otherwise, expected impacts of valuation adjustments associated with any redeemable noncontrolling</w:t>
      </w:r>
    </w:p>
    <w:p>
      <w:pPr>
        <w:spacing w:after="0" w:line="200" w:lineRule="exact"/>
        <w:rPr>
          <w:sz w:val="20"/>
          <w:szCs w:val="20"/>
          <w:color w:val="auto"/>
        </w:rPr>
      </w:pPr>
    </w:p>
    <w:p>
      <w:pPr>
        <w:spacing w:after="0" w:line="2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51" w:name="page52"/>
    <w:bookmarkEnd w:id="51"/>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30, 2022</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interest, the profitability of storm work, mix of work, or absorption of fixed costs by larger infrastructure services customers including Southwest, the impacts of U.S. tax reform including disposition in any regulatory proceeding and bonus depreciation tax deductions, the impact of recent Pipeline and Hazardous Materials Safety Administration rulemaking, the amounts and timing for completion of estimated future construction expenditures, plans to pursue infrastructure programs or programs under SB 151 legislation, forecasted operating cash flows and results of operations, net earnings impacts or recovery of costs from gas infrastructure replacement and COYL programs and surcharges, funding sources of cash requirements, amounts generally expected to be reflected in future period revenues from regulatory rate proceedings including amounts requested or settled from recent and ongoing general rate cases or other regulatory proceedings, rates and surcharges, PGA administration and recovery, and other rate adjustments, sufficiency of working capital and current credit facilities, bank lending practices, the Company’s views regarding its liquidity position, ability to raise funds and receive external financing capacity and the intent and ability to issue various financing instruments and stock under the existing at-the-market equity program or otherwise, future dividend increases and the Board’s current target dividend payout ratio, pension and postretirement benefits, certain impacts of tax acts, the effect of any other rate changes or regulatory proceedings, contract or construction change order negotiations, impacts of accounting standard updates, statements regarding future gas prices, gas purchase contracts and pipeline imbalance charges or claims related thereto, recoverability of regulatory assets, the impact of certain legal proceedings or claims, and the timing and results of future rate hearings, including any ongoing or future general rate cases and other proceedings, and the final resolution for recovery of the CDMI-related amounts and balances in any jurisdiction, and statements regarding pending approvals are forward-looking statements. All forward-looking statements are intended to be subject to the safe harbor protection provided by the Reform Act.</w:t>
      </w:r>
    </w:p>
    <w:p>
      <w:pPr>
        <w:spacing w:after="0" w:line="8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 number of important factors affecting the business and financial results of the Company could cause actual results to differ materially from those stated in the forward-looking statements. These factors include, but are not limited to, customer growth rates, conditions in the housing market, the impacts of COVID-19 including that which may result from a continued or resumed restriction by government officials or otherwise, including impacts on employment in our territories, impacts related to supply chains, the health impacts to our customers and employees due to the virus or virus variants or efficacy of vaccines, the ability to collect on customer accounts due to the suspension or lifted moratorium on late fees or service disconnection in any or all jurisdictions, the ability of the infrastructure services business to resume or continue work with all customers and the impact of a delay or termination of work as a result thereof, the impacts of future restrictions placed on our business by government regulation or otherwise, the impact of a resurgence of the virus or its variants, and decisions of Centuri customers (including Southwest) as to whether to pursue capital projects due to economic impacts resulting from the pandemic or otherwise, the effects of regulation/deregulation, governmental or regulatory policy regarding pipeline safety, greenhouse gas emissions, natural gas or alternative energy, the regulatory support for ongoing infrastructure programs or expansions, the timing and amount of rate relief, the impact of other regulatory proceedings, including the MountainWest Overthrust Section 5 rate case before the FERC, the timing and methods determined by regulators to refund amounts to customers resulting from U.S. tax reform, changes in rate design, variability in volume of gas or transportation service sold to customers, changes in gas procurement practices and prices, impacts of inflation, changes in capital requirements and funding, the impact of credit rating actions and conditions in the capital markets on financing costs, the impact of variable rate indebtedness with or without a discontinuance of LIBOR including in relation to amounts of indebtedness then outstanding, changes in construction expenditures and financing, levels of or changes in operations and maintenance expenses, or other costs, including fuel costs and other costs impacted by inflation or otherwise, geopolitical influences on the business or its costs, effects of pension or other postretirement benefit expense forecasts or plan modifications, accounting changes and regulatory treatment related thereto, currently unresolved and future liability claims and disputes, changes in pipeline capacity for the transportation of gas and related costs, results of Centuri bid work, the impact of weather on Centuri’s operations, projections about acquired business’ earnings or those planned (including accretion within the first twelve months or other periods) and future acquisition-related costs, the timing and magnitude of costs necessary to integrate and stand up newly acquired operations, administration, and systems, and the ability to complete stand-up for MountainWest prior to the expiration of the transition services agreement, the ability to attract, hire, and maintain necessary staff and management for our collective operations, impacts of changes in value of any redeemable noncontrolling interest if at other than fair value, Centuri utility infrastructure expenses, differences between actual and originally expected outcomes of Centuri bid or other fixed-price construction agreements, outcomes from contract and change order negotiations, ability to successfully procure new work and impacts from work awarded or failing to be awarded from significant customers (collectively, including from Southwest), the mix of work awarded, the amount of work awarded to Centuri following the lifting of work stoppages or reduction, the result of productivity inefficiencies from regulatory requirements or otherwise, delays in commissioning individual projects, acquisitions and divestitures and management’s plans related thereto, the ability of management to successfully finance, close, and assimilate acquired businesses, the impact on our stock price or our credit ratings due to undertaking or failing to undertake acquisition or divestiture activity or other strategic endeavors, impacts by divestiture or otherwise in the event the fair value of one or more reporting units/segments, components thereof, or other assets, are below their carrying values, the impact on our stock price, costs, or businesses from agreements,</w:t>
      </w:r>
    </w:p>
    <w:p>
      <w:pPr>
        <w:spacing w:after="0" w:line="200" w:lineRule="exact"/>
        <w:rPr>
          <w:sz w:val="20"/>
          <w:szCs w:val="20"/>
          <w:color w:val="auto"/>
        </w:rPr>
      </w:pPr>
    </w:p>
    <w:p>
      <w:pPr>
        <w:spacing w:after="0" w:line="2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52" w:name="page53"/>
    <w:bookmarkEnd w:id="52"/>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30, 2022</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actions or disruptions related to significant shareholders and costs related thereto, competition, our ability to raise capital in external financings, our ability to continue to remain within the ratios and other limits subject to our debt covenants, and ongoing evaluations in regard to goodwill and other intangible assets. In addition, the Company can provide no assurance that its discussions regarding certain trends or plans relating to its financing and operating expenses will continue, proceed as planned, or cease to continue in future periods. For additional information on the risks associated with the Company’s business, see </w:t>
      </w:r>
      <w:r>
        <w:rPr>
          <w:rFonts w:ascii="Times New Roman" w:cs="Times New Roman" w:eastAsia="Times New Roman" w:hAnsi="Times New Roman"/>
          <w:sz w:val="18"/>
          <w:szCs w:val="18"/>
          <w:b w:val="1"/>
          <w:bCs w:val="1"/>
          <w:color w:val="auto"/>
        </w:rPr>
        <w:t>Item 1A. Risk Factors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Item 7A. Quantitative and Qualitative Disclosures About Market Risk</w:t>
      </w:r>
      <w:r>
        <w:rPr>
          <w:rFonts w:ascii="Times New Roman" w:cs="Times New Roman" w:eastAsia="Times New Roman" w:hAnsi="Times New Roman"/>
          <w:sz w:val="18"/>
          <w:szCs w:val="18"/>
          <w:color w:val="auto"/>
        </w:rPr>
        <w:t xml:space="preserve"> in the Annual Report on Form 10-K for the year ended December 31, 2021, and as updated in quarterly reports, including in association with this Quarterly Report on Form 10-Q.</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All forward-looking statements in this quarterly report are made as of the date hereof, based on information available to the Company and Southwest as of the date hereof, and the Company and Southwest assume no obligation to update or revise any of its forward-looking statements, even if experience or future changes show that the indicated results or events will not be realized. </w:t>
      </w:r>
      <w:r>
        <w:rPr>
          <w:rFonts w:ascii="Times New Roman" w:cs="Times New Roman" w:eastAsia="Times New Roman" w:hAnsi="Times New Roman"/>
          <w:sz w:val="18"/>
          <w:szCs w:val="18"/>
          <w:b w:val="1"/>
          <w:bCs w:val="1"/>
          <w:color w:val="auto"/>
        </w:rPr>
        <w:t>We caution you not to unduly rely on any forward-looking statement(s).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b w:val="1"/>
          <w:bCs w:val="1"/>
          <w:color w:val="auto"/>
        </w:rPr>
        <w:t>Item 7A. Quantitative and Qualitative Disclosures about Market Risk</w:t>
      </w:r>
      <w:r>
        <w:rPr>
          <w:rFonts w:ascii="Times New Roman" w:cs="Times New Roman" w:eastAsia="Times New Roman" w:hAnsi="Times New Roman"/>
          <w:sz w:val="18"/>
          <w:szCs w:val="18"/>
          <w:color w:val="auto"/>
        </w:rPr>
        <w:t xml:space="preserve"> in the 2021 Annual Report on Form 10-K filed with the SEC. No material changes have occurred related to the disclosures about market risk.</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Management of Southwest Gas Holdings, Inc. and Southwest Gas Corporation has established disclosure controls and procedures (as defined in Rules 13a-15(e) and 15d-15(e) under the Securities Exchange Act of 1934, as amended (the “Exchange Act”)) that are designed to provide reasonable assurance that information required to be disclosed in their respective reports filed or submitted under the Exchange Act is recorded, processed, summarized, and reported within the time periods specified in the SEC’s rules and forms and to provide reasonable assurance that such information is accumulated and communicated to management of each company, including each respective Chief Executive Officer and Chief Financial Officer, as appropriate, to allow timely decisions regarding required disclosures. A control system, no matter how well conceived and operated, can provide only reasonable, not absolute, assurance that the objectives of the control system are met. Further, the design of a control system must reflect the fact that there are resource constraints, and benefits of controls must be considered relative to their costs. Additionally, controls can be circumvented by the individual acts of some persons, by collusion of two or more people, or management override of the control. Because of the inherent limitations in a cost-effective control system, misstatements due to error or fraud may occur and may not be detected.</w:t>
      </w:r>
    </w:p>
    <w:p>
      <w:pPr>
        <w:spacing w:after="0" w:line="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on the most recent evaluation, as of September 30, 2022, management of Southwest Gas Holdings, Inc. and Southwest Gas Corporation, including the Chief Executive Officer and Chief Financial Officer, believes the Company’s and Southwest’s disclosure controls and procedures are effective at attaining the level of reasonable assurance noted above.</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have been no changes in the Company’s or Southwest’s internal control over financial reporting (as defined in Rules 13a-15(f) and 15d-15(f) of the Exchange Act) during the third quarter of 2022 that have materially affected, or are likely to materially affect the Company’s internal control over financial reporting.</w:t>
      </w:r>
    </w:p>
    <w:p>
      <w:pPr>
        <w:spacing w:after="0" w:line="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PART II -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 and Southwest are named as a defendant in various legal proceedings. The ultimate dispositions of these proceedings are not presently determinable; however, it is the opinion of management that none of this litigation individually or in the aggregate will have a material adverse impact on the Company’s or Southwest’s financial position or results of operations. See </w:t>
      </w:r>
      <w:r>
        <w:rPr>
          <w:rFonts w:ascii="Times New Roman" w:cs="Times New Roman" w:eastAsia="Times New Roman" w:hAnsi="Times New Roman"/>
          <w:sz w:val="18"/>
          <w:szCs w:val="18"/>
          <w:i w:val="1"/>
          <w:iCs w:val="1"/>
          <w:color w:val="auto"/>
        </w:rPr>
        <w:t>Contingency</w:t>
      </w:r>
      <w:r>
        <w:rPr>
          <w:rFonts w:ascii="Times New Roman" w:cs="Times New Roman" w:eastAsia="Times New Roman" w:hAnsi="Times New Roman"/>
          <w:sz w:val="18"/>
          <w:szCs w:val="18"/>
          <w:color w:val="auto"/>
        </w:rPr>
        <w:t xml:space="preserve"> within </w:t>
      </w:r>
      <w:r>
        <w:rPr>
          <w:rFonts w:ascii="Times New Roman" w:cs="Times New Roman" w:eastAsia="Times New Roman" w:hAnsi="Times New Roman"/>
          <w:sz w:val="18"/>
          <w:szCs w:val="18"/>
          <w:b w:val="1"/>
          <w:bCs w:val="1"/>
          <w:color w:val="auto"/>
        </w:rPr>
        <w:t>Note 1 – Background, Organization, and Summary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Significant Accounting Policies </w:t>
      </w:r>
      <w:r>
        <w:rPr>
          <w:rFonts w:ascii="Times New Roman" w:cs="Times New Roman" w:eastAsia="Times New Roman" w:hAnsi="Times New Roman"/>
          <w:sz w:val="18"/>
          <w:szCs w:val="18"/>
          <w:color w:val="auto"/>
        </w:rPr>
        <w:t>for ongoing and dismissed litigation, including litigation filed by certain stockholders and by funds managed by Carl 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Icahn.</w:t>
      </w:r>
    </w:p>
    <w:p>
      <w:pPr>
        <w:spacing w:after="0" w:line="7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color w:val="auto"/>
        </w:rPr>
        <w:t>Described below is a risk factor that we have identified that may have a negative impact on our future financial performance or affect whether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 achieve the goals or expectations expressed or implied in any forward-looking statements contained herein. This risk factor supplements, and does not replace, the Risk Factors and other disclosures made in our Annual Report on Form 10-K filed March 1, 2022 and our Quarterly Reports on Form 10-Q filed May 10, 2022 and August 9, 2022.</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Operational Risks</w:t>
      </w:r>
    </w:p>
    <w:p>
      <w:pPr>
        <w:spacing w:after="0" w:line="117"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Certain of our costs, such as operating expenses (including labor, fuel, and materials) at Southwest, Centuri, and MountainWest, and interest and general and administrative expenses at all three segments and the Company could be adversely impacted by periods of heightened inflation, which could have an adverse impact on our results of operations.</w:t>
      </w: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53" w:name="page54"/>
    <w:bookmarkEnd w:id="53"/>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30, 2022</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recent months, the consumer price index has increased substantially and may continue to remain at elevated levels for an extended period of time. Federal policies and recent global events, such as the volatility in prices of oil and natural gas, and the conflict between Russia and Ukraine, may have exacerbated, and may continue to exacerbate, increases in the consumer price index. In addition, during periods of rising inflation, variable interest rates and the interest rates of any debt securities we, Southwest, MountainWest, or Centuri issue will likely be higher than more recent debt issuances, which will further tend to reduce returns to our stockholders. A sustained or further increase in inflation could have a material adverse impact on our operating expenses incurred in connection with, among others, the cost of natural gas supply, labor, products, and services required for operations, maintenance and capital improvements at Southwest and MountainWest, and fuel, labor, and materials costs at Centuri, as well as general administrative expenses for all three segments.</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With regard to Southwest, rate schedules in each of its service territories contain purchased gas adjustment clauses which permit Southwest to file for rate adjustments to recover increases in the cost of purchased gas. Increases in the cost of purchased gas have no direct impact on our profit margins but do affect cash flows and can therefore impact the amount of our capital resources. In order to help cope with the effects of inflation on its operations, Southwest may file requests for rate increases to cover the increased cost of purchased gas or other types of expenditures noted above. However, there can be no assurance that Southwest will be able to obtain adequate and timely rate relief to offset the effects of inflation and any non-recovery of costs or regulatory lag will reduce our cash flows and earnings. As a result, during inflationary periods in which the inflation rate exceeds the rate increases applicable to purchased gas, or other types of expenditures, we may not adequately mitigate the impact of inflation, which may adversely affect our business, financial condition, results of operations, and cash flows.</w:t>
      </w:r>
    </w:p>
    <w:p>
      <w:pPr>
        <w:spacing w:after="0" w:line="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Additionally, inflationary pricing has had and may continue to have a negative effect on the construction costs necessary to complete projects at Centuri, particularly with respect to fuel, labor, and materials costs discussed above. Centuri is experiencing pressures on fuel, materials, and certain labor costs as a result of the inflationary environment and current general labor shortage, which has resulted in increased competition for skilled labor and wage inflation. Centuri has not been able to, and may not be able to, fully adjust its contract pricing to compensate for these cost increases, which has affected, and may continue to affect, Centuri’s profitability and cash flows. Inflationary pressures and related recessionary concerns in light of governmental and central bank efforts to mitigate inflation could also cause uncertainty for Centuri’s customers and affect the level of their project activity, which could also adversely affect Centuri’s profitability and cash flows.</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inflation persists, the Federal Reserve has and may continue to raise benchmark interest rates, which likely will cause our borrowing costs to increase over time. As a result of the inflationary factors discussed above affecting the Company, Southwest, MountainWest, and Centuri, our business, financial condition, results of operations, cash flows, and liquidity could be adversely affected over time.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ITEMS 2 through 3. </w:t>
      </w:r>
      <w:r>
        <w:rPr>
          <w:rFonts w:ascii="Times New Roman" w:cs="Times New Roman" w:eastAsia="Times New Roman" w:hAnsi="Times New Roman"/>
          <w:sz w:val="18"/>
          <w:szCs w:val="18"/>
          <w:color w:val="auto"/>
        </w:rPr>
        <w:t>None.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MINE SAFETY DISCLOSURES </w:t>
      </w:r>
      <w:r>
        <w:rPr>
          <w:rFonts w:ascii="Times New Roman" w:cs="Times New Roman" w:eastAsia="Times New Roman" w:hAnsi="Times New Roman"/>
          <w:sz w:val="18"/>
          <w:szCs w:val="18"/>
          <w:color w:val="auto"/>
        </w:rPr>
        <w:t>Not applicable.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OTHER INFORMATION </w:t>
      </w: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54" w:name="page55"/>
    <w:bookmarkEnd w:id="54"/>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30, 2022</w:t>
            </w:r>
          </w:p>
        </w:tc>
      </w:tr>
    </w:tbl>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documents are filed, or furnished, as applicable, as part of this report on Form 10-Q:</w:t>
      </w:r>
    </w:p>
    <w:p>
      <w:pPr>
        <w:spacing w:after="0" w:line="3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Exhibit 10.1</w:t>
            </w:r>
          </w:p>
        </w:tc>
        <w:tc>
          <w:tcPr>
            <w:tcW w:w="8580" w:type="dxa"/>
            <w:vAlign w:val="bottom"/>
            <w:gridSpan w:val="14"/>
          </w:tcPr>
          <w:p>
            <w:pPr>
              <w:ind w:left="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65">
              <w:r>
                <w:rPr>
                  <w:rFonts w:ascii="Times New Roman" w:cs="Times New Roman" w:eastAsia="Times New Roman" w:hAnsi="Times New Roman"/>
                  <w:sz w:val="18"/>
                  <w:szCs w:val="18"/>
                  <w:color w:val="0000FF"/>
                </w:rPr>
                <w:t>Amendment No. 1 to the 364-Day Term Loan Credit Agreement, dated November 1, 2021, with the lenders</w:t>
              </w:r>
            </w:hyperlink>
          </w:p>
        </w:tc>
      </w:tr>
      <w:tr>
        <w:trPr>
          <w:trHeight w:val="155"/>
        </w:trPr>
        <w:tc>
          <w:tcPr>
            <w:tcW w:w="1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6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rPr>
            </w:pPr>
            <w:hyperlink r:id="rId65">
              <w:r>
                <w:rPr>
                  <w:rFonts w:ascii="Times New Roman" w:cs="Times New Roman" w:eastAsia="Times New Roman" w:hAnsi="Times New Roman"/>
                  <w:sz w:val="18"/>
                  <w:szCs w:val="18"/>
                  <w:color w:val="0000FF"/>
                </w:rPr>
                <w:t>party thereto, JPMorgan Chase Bank, N.A, as Administrative Agent, Bank of America, N.A. as Syndication</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140" w:type="dxa"/>
            <w:vAlign w:val="bottom"/>
            <w:gridSpan w:val="10"/>
          </w:tcPr>
          <w:p>
            <w:pPr>
              <w:spacing w:after="0" w:line="169" w:lineRule="exact"/>
              <w:rPr>
                <w:rFonts w:ascii="Times New Roman" w:cs="Times New Roman" w:eastAsia="Times New Roman" w:hAnsi="Times New Roman"/>
                <w:sz w:val="18"/>
                <w:szCs w:val="18"/>
                <w:color w:val="0000FF"/>
              </w:rPr>
            </w:pPr>
            <w:hyperlink r:id="rId65">
              <w:r>
                <w:rPr>
                  <w:rFonts w:ascii="Times New Roman" w:cs="Times New Roman" w:eastAsia="Times New Roman" w:hAnsi="Times New Roman"/>
                  <w:sz w:val="18"/>
                  <w:szCs w:val="18"/>
                  <w:color w:val="0000FF"/>
                </w:rPr>
                <w:t>Agent, JPMorgan Chase Bank, N.A. and BofA Securities, Inc. as Joint Lead Arranger and Joint Bookrunner,</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1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120" w:type="dxa"/>
            <w:vAlign w:val="bottom"/>
            <w:tcBorders>
              <w:top w:val="single" w:sz="8" w:color="0000FF"/>
            </w:tcBorders>
            <w:gridSpan w:val="9"/>
          </w:tcPr>
          <w:p>
            <w:pPr>
              <w:spacing w:after="0" w:line="156" w:lineRule="exact"/>
              <w:rPr>
                <w:rFonts w:ascii="Times New Roman" w:cs="Times New Roman" w:eastAsia="Times New Roman" w:hAnsi="Times New Roman"/>
                <w:sz w:val="18"/>
                <w:szCs w:val="18"/>
                <w:color w:val="0000FF"/>
              </w:rPr>
            </w:pPr>
            <w:hyperlink r:id="rId65">
              <w:r>
                <w:rPr>
                  <w:rFonts w:ascii="Times New Roman" w:cs="Times New Roman" w:eastAsia="Times New Roman" w:hAnsi="Times New Roman"/>
                  <w:sz w:val="18"/>
                  <w:szCs w:val="18"/>
                  <w:color w:val="0000FF"/>
                </w:rPr>
                <w:t>and MUFG Bank, Ltd. as Documentation Agent. Incorporated herein by reference to Exhibit 10.1 to Form 8-K</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4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9"/>
              </w:rPr>
            </w:pPr>
            <w:hyperlink r:id="rId65">
              <w:r>
                <w:rPr>
                  <w:rFonts w:ascii="Times New Roman" w:cs="Times New Roman" w:eastAsia="Times New Roman" w:hAnsi="Times New Roman"/>
                  <w:sz w:val="18"/>
                  <w:szCs w:val="18"/>
                  <w:color w:val="0000FF"/>
                  <w:w w:val="99"/>
                </w:rPr>
                <w:t>dated September 29, 2022, File No. 001-37976.</w:t>
              </w:r>
            </w:hyperlink>
          </w:p>
        </w:tc>
        <w:tc>
          <w:tcPr>
            <w:tcW w:w="4640" w:type="dxa"/>
            <w:vAlign w:val="bottom"/>
            <w:tcBorders>
              <w:top w:val="single" w:sz="8" w:color="0000FF"/>
            </w:tcBorders>
            <w:gridSpan w:val="5"/>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Exhibit 10.2</w:t>
            </w:r>
          </w:p>
        </w:tc>
        <w:tc>
          <w:tcPr>
            <w:tcW w:w="8580" w:type="dxa"/>
            <w:vAlign w:val="bottom"/>
            <w:gridSpan w:val="14"/>
          </w:tcPr>
          <w:p>
            <w:pPr>
              <w:ind w:left="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66">
              <w:r>
                <w:rPr>
                  <w:rFonts w:ascii="Times New Roman" w:cs="Times New Roman" w:eastAsia="Times New Roman" w:hAnsi="Times New Roman"/>
                  <w:sz w:val="18"/>
                  <w:szCs w:val="18"/>
                  <w:color w:val="0000FF"/>
                </w:rPr>
                <w:t>Letter Agreement by and among Southwest Gas Holdings, Inc. and the Icahn Group, dated August 3, 2022.</w:t>
              </w:r>
            </w:hyperlink>
          </w:p>
        </w:tc>
      </w:tr>
      <w:tr>
        <w:trPr>
          <w:trHeight w:val="155"/>
        </w:trPr>
        <w:tc>
          <w:tcPr>
            <w:tcW w:w="1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56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66">
              <w:r>
                <w:rPr>
                  <w:rFonts w:ascii="Times New Roman" w:cs="Times New Roman" w:eastAsia="Times New Roman" w:hAnsi="Times New Roman"/>
                  <w:sz w:val="18"/>
                  <w:szCs w:val="18"/>
                  <w:color w:val="0000FF"/>
                  <w:w w:val="99"/>
                </w:rPr>
                <w:t>Incorporated herein by reference to Exhibit 10.1 to Form 8-K dated August 8, 2022. File No. 001-37976.</w:t>
              </w:r>
            </w:hyperlink>
          </w:p>
        </w:tc>
        <w:tc>
          <w:tcPr>
            <w:tcW w:w="540" w:type="dxa"/>
            <w:vAlign w:val="bottom"/>
            <w:tcBorders>
              <w:top w:val="single" w:sz="8" w:color="0000FF"/>
            </w:tcBorders>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Exhibit 10.3</w:t>
            </w:r>
          </w:p>
        </w:tc>
        <w:tc>
          <w:tcPr>
            <w:tcW w:w="8580" w:type="dxa"/>
            <w:vAlign w:val="bottom"/>
            <w:gridSpan w:val="14"/>
          </w:tcPr>
          <w:p>
            <w:pPr>
              <w:ind w:left="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67">
              <w:r>
                <w:rPr>
                  <w:rFonts w:ascii="Times New Roman" w:cs="Times New Roman" w:eastAsia="Times New Roman" w:hAnsi="Times New Roman"/>
                  <w:sz w:val="18"/>
                  <w:szCs w:val="18"/>
                  <w:color w:val="0000FF"/>
                </w:rPr>
                <w:t>Amended and Restated Cooperation Agreement, dated as of October 24, 2022, by and among the Icahn Group</w:t>
              </w:r>
            </w:hyperlink>
          </w:p>
        </w:tc>
      </w:tr>
      <w:tr>
        <w:trPr>
          <w:trHeight w:val="155"/>
        </w:trPr>
        <w:tc>
          <w:tcPr>
            <w:tcW w:w="1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160" w:type="dxa"/>
            <w:vAlign w:val="bottom"/>
            <w:tcBorders>
              <w:top w:val="single" w:sz="8" w:color="0000FF"/>
              <w:bottom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67">
              <w:r>
                <w:rPr>
                  <w:rFonts w:ascii="Times New Roman" w:cs="Times New Roman" w:eastAsia="Times New Roman" w:hAnsi="Times New Roman"/>
                  <w:sz w:val="18"/>
                  <w:szCs w:val="18"/>
                  <w:color w:val="0000FF"/>
                </w:rPr>
                <w:t>and Southwest Gas Holdings, Inc. Incorporated herein by reference to Exhibit 10.1 to Form 8-K dated October</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180" w:type="dxa"/>
            <w:vAlign w:val="bottom"/>
            <w:gridSpan w:val="12"/>
          </w:tcPr>
          <w:p>
            <w:pPr>
              <w:spacing w:after="0" w:line="169" w:lineRule="exact"/>
              <w:rPr>
                <w:rFonts w:ascii="Times New Roman" w:cs="Times New Roman" w:eastAsia="Times New Roman" w:hAnsi="Times New Roman"/>
                <w:sz w:val="18"/>
                <w:szCs w:val="18"/>
                <w:color w:val="0000FF"/>
              </w:rPr>
            </w:pPr>
            <w:hyperlink r:id="rId67">
              <w:r>
                <w:rPr>
                  <w:rFonts w:ascii="Times New Roman" w:cs="Times New Roman" w:eastAsia="Times New Roman" w:hAnsi="Times New Roman"/>
                  <w:sz w:val="18"/>
                  <w:szCs w:val="18"/>
                  <w:color w:val="0000FF"/>
                </w:rPr>
                <w:t>26, 2022. File No. 001-37976.</w:t>
              </w:r>
            </w:hyperlink>
          </w:p>
        </w:tc>
        <w:tc>
          <w:tcPr>
            <w:tcW w:w="20" w:type="dxa"/>
            <w:vAlign w:val="bottom"/>
          </w:tcPr>
          <w:p>
            <w:pPr>
              <w:spacing w:after="0"/>
              <w:rPr>
                <w:sz w:val="14"/>
                <w:szCs w:val="14"/>
                <w:color w:val="auto"/>
              </w:rPr>
            </w:pPr>
          </w:p>
        </w:tc>
      </w:tr>
      <w:tr>
        <w:trPr>
          <w:trHeight w:val="20"/>
        </w:trPr>
        <w:tc>
          <w:tcPr>
            <w:tcW w:w="1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80" w:type="dxa"/>
            <w:vAlign w:val="bottom"/>
            <w:gridSpan w:val="9"/>
          </w:tcPr>
          <w:p>
            <w:pPr>
              <w:spacing w:after="0" w:line="20" w:lineRule="exact"/>
              <w:rPr>
                <w:sz w:val="1"/>
                <w:szCs w:val="1"/>
                <w:color w:val="auto"/>
              </w:rPr>
            </w:pPr>
          </w:p>
        </w:tc>
      </w:tr>
      <w:tr>
        <w:trPr>
          <w:trHeight w:val="26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Exhibit 10.4#</w:t>
            </w:r>
          </w:p>
        </w:tc>
        <w:tc>
          <w:tcPr>
            <w:tcW w:w="8580" w:type="dxa"/>
            <w:vAlign w:val="bottom"/>
            <w:gridSpan w:val="14"/>
          </w:tcPr>
          <w:p>
            <w:pPr>
              <w:ind w:left="18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First Amendment to Centuri Credit Facility Agreement</w:t>
            </w:r>
          </w:p>
        </w:tc>
      </w:tr>
      <w:tr>
        <w:trPr>
          <w:trHeight w:val="20"/>
        </w:trPr>
        <w:tc>
          <w:tcPr>
            <w:tcW w:w="1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960" w:type="dxa"/>
            <w:vAlign w:val="bottom"/>
            <w:gridSpan w:val="3"/>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4080" w:type="dxa"/>
            <w:vAlign w:val="bottom"/>
            <w:gridSpan w:val="9"/>
          </w:tcPr>
          <w:p>
            <w:pPr>
              <w:spacing w:after="0" w:line="20" w:lineRule="exact"/>
              <w:rPr>
                <w:sz w:val="1"/>
                <w:szCs w:val="1"/>
                <w:color w:val="auto"/>
              </w:rPr>
            </w:pPr>
          </w:p>
        </w:tc>
      </w:tr>
      <w:tr>
        <w:trPr>
          <w:trHeight w:val="264"/>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Exhibit 31.01#</w:t>
            </w:r>
          </w:p>
        </w:tc>
        <w:tc>
          <w:tcPr>
            <w:tcW w:w="8580" w:type="dxa"/>
            <w:vAlign w:val="bottom"/>
            <w:gridSpan w:val="14"/>
          </w:tcPr>
          <w:p>
            <w:pPr>
              <w:ind w:left="18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Section 302 Certifications–Southwest Gas Holdings, Inc.</w:t>
            </w:r>
          </w:p>
        </w:tc>
      </w:tr>
      <w:tr>
        <w:trPr>
          <w:trHeight w:val="20"/>
        </w:trPr>
        <w:tc>
          <w:tcPr>
            <w:tcW w:w="1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960" w:type="dxa"/>
            <w:vAlign w:val="bottom"/>
            <w:gridSpan w:val="3"/>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080" w:type="dxa"/>
            <w:vAlign w:val="bottom"/>
            <w:gridSpan w:val="9"/>
          </w:tcPr>
          <w:p>
            <w:pPr>
              <w:spacing w:after="0" w:line="20" w:lineRule="exact"/>
              <w:rPr>
                <w:sz w:val="1"/>
                <w:szCs w:val="1"/>
                <w:color w:val="auto"/>
              </w:rPr>
            </w:pPr>
          </w:p>
        </w:tc>
      </w:tr>
      <w:tr>
        <w:trPr>
          <w:trHeight w:val="26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Exhibit 31.02#</w:t>
            </w:r>
          </w:p>
        </w:tc>
        <w:tc>
          <w:tcPr>
            <w:tcW w:w="8580" w:type="dxa"/>
            <w:vAlign w:val="bottom"/>
            <w:gridSpan w:val="14"/>
          </w:tcPr>
          <w:p>
            <w:pPr>
              <w:ind w:left="18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Section 302 Certifications–Southwest Gas Corporation</w:t>
            </w:r>
          </w:p>
        </w:tc>
      </w:tr>
      <w:tr>
        <w:trPr>
          <w:trHeight w:val="20"/>
        </w:trPr>
        <w:tc>
          <w:tcPr>
            <w:tcW w:w="1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960" w:type="dxa"/>
            <w:vAlign w:val="bottom"/>
            <w:gridSpan w:val="3"/>
            <w:shd w:val="clear" w:color="auto" w:fill="0000FF"/>
          </w:tcPr>
          <w:p>
            <w:pPr>
              <w:spacing w:after="0" w:line="20" w:lineRule="exact"/>
              <w:rPr>
                <w:sz w:val="1"/>
                <w:szCs w:val="1"/>
                <w:color w:val="auto"/>
              </w:rPr>
            </w:pPr>
          </w:p>
        </w:tc>
        <w:tc>
          <w:tcPr>
            <w:tcW w:w="4240" w:type="dxa"/>
            <w:vAlign w:val="bottom"/>
            <w:gridSpan w:val="10"/>
          </w:tcPr>
          <w:p>
            <w:pPr>
              <w:spacing w:after="0" w:line="20" w:lineRule="exact"/>
              <w:rPr>
                <w:sz w:val="1"/>
                <w:szCs w:val="1"/>
                <w:color w:val="auto"/>
              </w:rPr>
            </w:pPr>
          </w:p>
        </w:tc>
      </w:tr>
      <w:tr>
        <w:trPr>
          <w:trHeight w:val="26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Exhibit 32.01#</w:t>
            </w:r>
          </w:p>
        </w:tc>
        <w:tc>
          <w:tcPr>
            <w:tcW w:w="8580" w:type="dxa"/>
            <w:vAlign w:val="bottom"/>
            <w:gridSpan w:val="14"/>
          </w:tcPr>
          <w:p>
            <w:pPr>
              <w:ind w:left="18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Section 906 Certifications–Southwest Gas Holdings, Inc.</w:t>
            </w:r>
          </w:p>
        </w:tc>
      </w:tr>
      <w:tr>
        <w:trPr>
          <w:trHeight w:val="20"/>
        </w:trPr>
        <w:tc>
          <w:tcPr>
            <w:tcW w:w="1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960" w:type="dxa"/>
            <w:vAlign w:val="bottom"/>
            <w:gridSpan w:val="3"/>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080" w:type="dxa"/>
            <w:vAlign w:val="bottom"/>
            <w:gridSpan w:val="9"/>
          </w:tcPr>
          <w:p>
            <w:pPr>
              <w:spacing w:after="0" w:line="20" w:lineRule="exact"/>
              <w:rPr>
                <w:sz w:val="1"/>
                <w:szCs w:val="1"/>
                <w:color w:val="auto"/>
              </w:rPr>
            </w:pPr>
          </w:p>
        </w:tc>
      </w:tr>
      <w:tr>
        <w:trPr>
          <w:trHeight w:val="264"/>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Exhibit 32.02#</w:t>
            </w:r>
          </w:p>
        </w:tc>
        <w:tc>
          <w:tcPr>
            <w:tcW w:w="8580" w:type="dxa"/>
            <w:vAlign w:val="bottom"/>
            <w:gridSpan w:val="14"/>
          </w:tcPr>
          <w:p>
            <w:pPr>
              <w:ind w:left="18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Section 906 Certifications–Southwest Gas Corporation</w:t>
            </w:r>
          </w:p>
        </w:tc>
      </w:tr>
      <w:tr>
        <w:trPr>
          <w:trHeight w:val="20"/>
        </w:trPr>
        <w:tc>
          <w:tcPr>
            <w:tcW w:w="1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960" w:type="dxa"/>
            <w:vAlign w:val="bottom"/>
            <w:gridSpan w:val="3"/>
            <w:shd w:val="clear" w:color="auto" w:fill="0000FF"/>
          </w:tcPr>
          <w:p>
            <w:pPr>
              <w:spacing w:after="0" w:line="20" w:lineRule="exact"/>
              <w:rPr>
                <w:sz w:val="1"/>
                <w:szCs w:val="1"/>
                <w:color w:val="auto"/>
              </w:rPr>
            </w:pPr>
          </w:p>
        </w:tc>
        <w:tc>
          <w:tcPr>
            <w:tcW w:w="4240" w:type="dxa"/>
            <w:vAlign w:val="bottom"/>
            <w:gridSpan w:val="10"/>
          </w:tcPr>
          <w:p>
            <w:pPr>
              <w:spacing w:after="0" w:line="20" w:lineRule="exact"/>
              <w:rPr>
                <w:sz w:val="1"/>
                <w:szCs w:val="1"/>
                <w:color w:val="auto"/>
              </w:rPr>
            </w:pPr>
          </w:p>
        </w:tc>
      </w:tr>
      <w:tr>
        <w:trPr>
          <w:trHeight w:val="25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Exhibit 101#</w:t>
            </w:r>
          </w:p>
        </w:tc>
        <w:tc>
          <w:tcPr>
            <w:tcW w:w="8580" w:type="dxa"/>
            <w:vAlign w:val="bottom"/>
            <w:gridSpan w:val="14"/>
          </w:tcPr>
          <w:p>
            <w:pPr>
              <w:ind w:left="180"/>
              <w:spacing w:after="0"/>
              <w:rPr>
                <w:sz w:val="20"/>
                <w:szCs w:val="20"/>
                <w:color w:val="auto"/>
              </w:rPr>
            </w:pPr>
            <w:r>
              <w:rPr>
                <w:rFonts w:ascii="Times New Roman" w:cs="Times New Roman" w:eastAsia="Times New Roman" w:hAnsi="Times New Roman"/>
                <w:sz w:val="18"/>
                <w:szCs w:val="18"/>
                <w:color w:val="auto"/>
              </w:rPr>
              <w:t>-  The following materials from the Quarterly Report on Form 10-Q of Southwest Gas Holdings, Inc. and</w:t>
            </w:r>
          </w:p>
        </w:tc>
      </w:tr>
      <w:tr>
        <w:trPr>
          <w:trHeight w:val="184"/>
        </w:trPr>
        <w:tc>
          <w:tcPr>
            <w:tcW w:w="1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0" w:type="dxa"/>
            <w:vAlign w:val="bottom"/>
            <w:gridSpan w:val="13"/>
          </w:tcPr>
          <w:p>
            <w:pPr>
              <w:spacing w:after="0" w:line="184" w:lineRule="exact"/>
              <w:rPr>
                <w:sz w:val="20"/>
                <w:szCs w:val="20"/>
                <w:color w:val="auto"/>
              </w:rPr>
            </w:pPr>
            <w:r>
              <w:rPr>
                <w:rFonts w:ascii="Times New Roman" w:cs="Times New Roman" w:eastAsia="Times New Roman" w:hAnsi="Times New Roman"/>
                <w:sz w:val="18"/>
                <w:szCs w:val="18"/>
                <w:color w:val="auto"/>
              </w:rPr>
              <w:t>Southwest Gas Corporation for the quarter ended September 30, 2022, were formatted in Inline XBRL</w:t>
            </w:r>
          </w:p>
        </w:tc>
      </w:tr>
      <w:tr>
        <w:trPr>
          <w:trHeight w:val="180"/>
        </w:trPr>
        <w:tc>
          <w:tcPr>
            <w:tcW w:w="1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0" w:type="dxa"/>
            <w:vAlign w:val="bottom"/>
            <w:gridSpan w:val="13"/>
          </w:tcPr>
          <w:p>
            <w:pPr>
              <w:spacing w:after="0" w:line="181" w:lineRule="exact"/>
              <w:rPr>
                <w:sz w:val="20"/>
                <w:szCs w:val="20"/>
                <w:color w:val="auto"/>
              </w:rPr>
            </w:pPr>
            <w:r>
              <w:rPr>
                <w:rFonts w:ascii="Times New Roman" w:cs="Times New Roman" w:eastAsia="Times New Roman" w:hAnsi="Times New Roman"/>
                <w:sz w:val="18"/>
                <w:szCs w:val="18"/>
                <w:color w:val="auto"/>
              </w:rPr>
              <w:t>(Extensible Business Reporting Language): (1) Southwest Gas Holdings, Inc. and Subsidiaries Condensed</w:t>
            </w:r>
          </w:p>
        </w:tc>
      </w:tr>
      <w:tr>
        <w:trPr>
          <w:trHeight w:val="176"/>
        </w:trPr>
        <w:tc>
          <w:tcPr>
            <w:tcW w:w="1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0" w:type="dxa"/>
            <w:vAlign w:val="bottom"/>
            <w:gridSpan w:val="13"/>
          </w:tcPr>
          <w:p>
            <w:pPr>
              <w:spacing w:after="0" w:line="176" w:lineRule="exact"/>
              <w:rPr>
                <w:sz w:val="20"/>
                <w:szCs w:val="20"/>
                <w:color w:val="auto"/>
              </w:rPr>
            </w:pPr>
            <w:r>
              <w:rPr>
                <w:rFonts w:ascii="Times New Roman" w:cs="Times New Roman" w:eastAsia="Times New Roman" w:hAnsi="Times New Roman"/>
                <w:sz w:val="18"/>
                <w:szCs w:val="18"/>
                <w:color w:val="auto"/>
              </w:rPr>
              <w:t>Consolidated Balance Sheets, (ii) Southwest Gas Holdings, Inc. and Subsidiaries Condensed Consolidated</w:t>
            </w:r>
          </w:p>
        </w:tc>
      </w:tr>
      <w:tr>
        <w:trPr>
          <w:trHeight w:val="184"/>
        </w:trPr>
        <w:tc>
          <w:tcPr>
            <w:tcW w:w="1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0" w:type="dxa"/>
            <w:vAlign w:val="bottom"/>
            <w:gridSpan w:val="13"/>
          </w:tcPr>
          <w:p>
            <w:pPr>
              <w:spacing w:after="0" w:line="184" w:lineRule="exact"/>
              <w:rPr>
                <w:sz w:val="20"/>
                <w:szCs w:val="20"/>
                <w:color w:val="auto"/>
              </w:rPr>
            </w:pPr>
            <w:r>
              <w:rPr>
                <w:rFonts w:ascii="Times New Roman" w:cs="Times New Roman" w:eastAsia="Times New Roman" w:hAnsi="Times New Roman"/>
                <w:sz w:val="18"/>
                <w:szCs w:val="18"/>
                <w:color w:val="auto"/>
              </w:rPr>
              <w:t>Statements of Income, (iii) Southwest Gas Holdings, Inc. and Subsidiaries Condensed Consolidated Statements</w:t>
            </w:r>
          </w:p>
        </w:tc>
      </w:tr>
      <w:tr>
        <w:trPr>
          <w:trHeight w:val="180"/>
        </w:trPr>
        <w:tc>
          <w:tcPr>
            <w:tcW w:w="1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0" w:type="dxa"/>
            <w:vAlign w:val="bottom"/>
            <w:gridSpan w:val="13"/>
          </w:tcPr>
          <w:p>
            <w:pPr>
              <w:spacing w:after="0" w:line="181" w:lineRule="exact"/>
              <w:rPr>
                <w:sz w:val="20"/>
                <w:szCs w:val="20"/>
                <w:color w:val="auto"/>
              </w:rPr>
            </w:pPr>
            <w:r>
              <w:rPr>
                <w:rFonts w:ascii="Times New Roman" w:cs="Times New Roman" w:eastAsia="Times New Roman" w:hAnsi="Times New Roman"/>
                <w:sz w:val="18"/>
                <w:szCs w:val="18"/>
                <w:color w:val="auto"/>
              </w:rPr>
              <w:t>of Comprehensive Income, (iv) Southwest Gas Holdings, Inc. and Subsidiaries Condensed Consolidated</w:t>
            </w:r>
          </w:p>
        </w:tc>
      </w:tr>
      <w:tr>
        <w:trPr>
          <w:trHeight w:val="175"/>
        </w:trPr>
        <w:tc>
          <w:tcPr>
            <w:tcW w:w="1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0" w:type="dxa"/>
            <w:vAlign w:val="bottom"/>
            <w:gridSpan w:val="13"/>
          </w:tcPr>
          <w:p>
            <w:pPr>
              <w:spacing w:after="0" w:line="176" w:lineRule="exact"/>
              <w:rPr>
                <w:sz w:val="20"/>
                <w:szCs w:val="20"/>
                <w:color w:val="auto"/>
              </w:rPr>
            </w:pPr>
            <w:r>
              <w:rPr>
                <w:rFonts w:ascii="Times New Roman" w:cs="Times New Roman" w:eastAsia="Times New Roman" w:hAnsi="Times New Roman"/>
                <w:sz w:val="18"/>
                <w:szCs w:val="18"/>
                <w:color w:val="auto"/>
              </w:rPr>
              <w:t>Statements of Cash Flows, (v) Southwest Gas Holdings, Inc. and Subsidiaries Condensed Consolidated</w:t>
            </w:r>
          </w:p>
        </w:tc>
      </w:tr>
      <w:tr>
        <w:trPr>
          <w:trHeight w:val="204"/>
        </w:trPr>
        <w:tc>
          <w:tcPr>
            <w:tcW w:w="1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0" w:type="dxa"/>
            <w:vAlign w:val="bottom"/>
            <w:gridSpan w:val="13"/>
          </w:tcPr>
          <w:p>
            <w:pPr>
              <w:spacing w:after="0" w:line="204" w:lineRule="exact"/>
              <w:rPr>
                <w:sz w:val="20"/>
                <w:szCs w:val="20"/>
                <w:color w:val="auto"/>
              </w:rPr>
            </w:pPr>
            <w:r>
              <w:rPr>
                <w:rFonts w:ascii="Times New Roman" w:cs="Times New Roman" w:eastAsia="Times New Roman" w:hAnsi="Times New Roman"/>
                <w:sz w:val="18"/>
                <w:szCs w:val="18"/>
                <w:color w:val="auto"/>
              </w:rPr>
              <w:t>Statements of Equity, (vi) Southwest Gas Corporation and Subsidiaries Condensed Consolidated Balance</w:t>
            </w:r>
          </w:p>
        </w:tc>
      </w:tr>
    </w:tbl>
    <w:p>
      <w:pPr>
        <w:ind w:left="1640"/>
        <w:spacing w:after="0" w:line="203" w:lineRule="auto"/>
        <w:rPr>
          <w:sz w:val="20"/>
          <w:szCs w:val="20"/>
          <w:color w:val="auto"/>
        </w:rPr>
      </w:pPr>
      <w:r>
        <w:rPr>
          <w:rFonts w:ascii="Times New Roman" w:cs="Times New Roman" w:eastAsia="Times New Roman" w:hAnsi="Times New Roman"/>
          <w:sz w:val="18"/>
          <w:szCs w:val="18"/>
          <w:color w:val="auto"/>
        </w:rPr>
        <w:t>Sheets, (vii) Southwest Gas Corporation and Subsidiaries Condensed Consolidated Statements of Income, (viii)</w:t>
      </w:r>
    </w:p>
    <w:p>
      <w:pPr>
        <w:ind w:left="1640"/>
        <w:spacing w:after="0" w:line="203" w:lineRule="auto"/>
        <w:rPr>
          <w:sz w:val="20"/>
          <w:szCs w:val="20"/>
          <w:color w:val="auto"/>
        </w:rPr>
      </w:pPr>
      <w:r>
        <w:rPr>
          <w:rFonts w:ascii="Times New Roman" w:cs="Times New Roman" w:eastAsia="Times New Roman" w:hAnsi="Times New Roman"/>
          <w:sz w:val="18"/>
          <w:szCs w:val="18"/>
          <w:color w:val="auto"/>
        </w:rPr>
        <w:t>Southwest Gas Corporation and Subsidiaries Condensed Consolidated Statements of Comprehensive Income,</w:t>
      </w:r>
    </w:p>
    <w:p>
      <w:pPr>
        <w:spacing w:after="0" w:line="1" w:lineRule="exact"/>
        <w:rPr>
          <w:sz w:val="20"/>
          <w:szCs w:val="20"/>
          <w:color w:val="auto"/>
        </w:rPr>
      </w:pPr>
    </w:p>
    <w:p>
      <w:pPr>
        <w:jc w:val="both"/>
        <w:ind w:left="1640" w:right="1480" w:firstLine="6"/>
        <w:spacing w:after="0" w:line="218" w:lineRule="auto"/>
        <w:tabs>
          <w:tab w:leader="none" w:pos="198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Southwest Gas Corporation and Subsidiaries Condensed Consolidated Statements of Cash Flows, (x) Southwest Gas Corporation and Subsidiaries Condensed Consolidated Statements of Equity. The instance document does not appear in the Interactive Data File because its XBRL tags are embedded within the Inline XBRL document.</w:t>
      </w:r>
    </w:p>
    <w:p>
      <w:pPr>
        <w:spacing w:after="0" w:line="65" w:lineRule="exact"/>
        <w:rPr>
          <w:sz w:val="20"/>
          <w:szCs w:val="20"/>
          <w:color w:val="auto"/>
        </w:rPr>
      </w:pPr>
    </w:p>
    <w:p>
      <w:pPr>
        <w:ind w:left="20"/>
        <w:spacing w:after="0"/>
        <w:tabs>
          <w:tab w:leader="none" w:pos="16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Filed herewith.</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57" w:right="399" w:bottom="1440" w:gutter="0" w:footer="0" w:header="0"/>
        </w:sectPr>
      </w:pPr>
    </w:p>
    <w:bookmarkStart w:id="55" w:name="page56"/>
    <w:bookmarkEnd w:id="55"/>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30, 2022</w:t>
            </w: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51" w:lineRule="exact"/>
        <w:rPr>
          <w:sz w:val="20"/>
          <w:szCs w:val="20"/>
          <w:color w:val="auto"/>
        </w:rPr>
      </w:pPr>
    </w:p>
    <w:p>
      <w:pPr>
        <w:jc w:val="center"/>
        <w:ind w:left="1240"/>
        <w:spacing w:after="0"/>
        <w:rPr>
          <w:sz w:val="20"/>
          <w:szCs w:val="20"/>
          <w:color w:val="auto"/>
        </w:rPr>
      </w:pPr>
      <w:r>
        <w:rPr>
          <w:rFonts w:ascii="Times New Roman" w:cs="Times New Roman" w:eastAsia="Times New Roman" w:hAnsi="Times New Roman"/>
          <w:sz w:val="18"/>
          <w:szCs w:val="18"/>
          <w:color w:val="auto"/>
        </w:rPr>
        <w:t>Southwest Gas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17145</wp:posOffset>
            </wp:positionV>
            <wp:extent cx="216027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16" w:lineRule="exact"/>
        <w:rPr>
          <w:sz w:val="20"/>
          <w:szCs w:val="20"/>
          <w:color w:val="auto"/>
        </w:rPr>
      </w:pPr>
    </w:p>
    <w:p>
      <w:pPr>
        <w:jc w:val="center"/>
        <w:ind w:left="1240"/>
        <w:spacing w:after="0"/>
        <w:rPr>
          <w:sz w:val="20"/>
          <w:szCs w:val="20"/>
          <w:color w:val="auto"/>
        </w:rPr>
      </w:pPr>
      <w:r>
        <w:rPr>
          <w:rFonts w:ascii="Times New Roman" w:cs="Times New Roman" w:eastAsia="Times New Roman" w:hAnsi="Times New Roman"/>
          <w:sz w:val="18"/>
          <w:szCs w:val="18"/>
          <w:color w:val="auto"/>
        </w:rPr>
        <w:t>(Registrant)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9, 2022</w:t>
      </w:r>
    </w:p>
    <w:p>
      <w:pPr>
        <w:spacing w:after="0" w:line="200" w:lineRule="exact"/>
        <w:rPr>
          <w:sz w:val="20"/>
          <w:szCs w:val="20"/>
          <w:color w:val="auto"/>
        </w:rPr>
      </w:pPr>
    </w:p>
    <w:p>
      <w:pPr>
        <w:spacing w:after="0" w:line="201"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/s/ LORI L. COLVIN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17145</wp:posOffset>
            </wp:positionV>
            <wp:extent cx="258889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Lori L. Colvin</w:t>
      </w:r>
    </w:p>
    <w:p>
      <w:pPr>
        <w:spacing w:after="0" w:line="2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Vice President/Controller and Chief Accounting Officer</w:t>
      </w:r>
    </w:p>
    <w:p>
      <w:pPr>
        <w:spacing w:after="0" w:line="22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51" w:lineRule="exact"/>
        <w:rPr>
          <w:sz w:val="20"/>
          <w:szCs w:val="20"/>
          <w:color w:val="auto"/>
        </w:rPr>
      </w:pPr>
    </w:p>
    <w:p>
      <w:pPr>
        <w:jc w:val="center"/>
        <w:ind w:left="1240"/>
        <w:spacing w:after="0"/>
        <w:rPr>
          <w:sz w:val="20"/>
          <w:szCs w:val="20"/>
          <w:color w:val="auto"/>
        </w:rPr>
      </w:pPr>
      <w:r>
        <w:rPr>
          <w:rFonts w:ascii="Times New Roman" w:cs="Times New Roman" w:eastAsia="Times New Roman" w:hAnsi="Times New Roman"/>
          <w:sz w:val="18"/>
          <w:szCs w:val="18"/>
          <w:color w:val="auto"/>
        </w:rPr>
        <w:t>Southwest Gas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17145</wp:posOffset>
            </wp:positionV>
            <wp:extent cx="216027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2160270" cy="8890"/>
                    </a:xfrm>
                    <a:prstGeom prst="rect">
                      <a:avLst/>
                    </a:prstGeom>
                    <a:noFill/>
                  </pic:spPr>
                </pic:pic>
              </a:graphicData>
            </a:graphic>
          </wp:anchor>
        </w:drawing>
      </w:r>
    </w:p>
    <w:p>
      <w:pPr>
        <w:spacing w:after="0" w:line="16" w:lineRule="exact"/>
        <w:rPr>
          <w:sz w:val="20"/>
          <w:szCs w:val="20"/>
          <w:color w:val="auto"/>
        </w:rPr>
      </w:pPr>
    </w:p>
    <w:p>
      <w:pPr>
        <w:jc w:val="center"/>
        <w:ind w:left="1240"/>
        <w:spacing w:after="0"/>
        <w:rPr>
          <w:sz w:val="20"/>
          <w:szCs w:val="20"/>
          <w:color w:val="auto"/>
        </w:rPr>
      </w:pPr>
      <w:r>
        <w:rPr>
          <w:rFonts w:ascii="Times New Roman" w:cs="Times New Roman" w:eastAsia="Times New Roman" w:hAnsi="Times New Roman"/>
          <w:sz w:val="18"/>
          <w:szCs w:val="18"/>
          <w:color w:val="auto"/>
        </w:rPr>
        <w:t>(Registrant)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9, 2022</w:t>
      </w:r>
    </w:p>
    <w:p>
      <w:pPr>
        <w:spacing w:after="0" w:line="200" w:lineRule="exact"/>
        <w:rPr>
          <w:sz w:val="20"/>
          <w:szCs w:val="20"/>
          <w:color w:val="auto"/>
        </w:rPr>
      </w:pPr>
    </w:p>
    <w:p>
      <w:pPr>
        <w:spacing w:after="0" w:line="214"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/s/ LORI L. COLVIN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17145</wp:posOffset>
            </wp:positionV>
            <wp:extent cx="258889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Lori L. Colvin</w:t>
      </w:r>
    </w:p>
    <w:p>
      <w:pPr>
        <w:spacing w:after="0" w:line="2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Vice President/Controller and Chief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240"/>
          </w:cols>
          <w:pgMar w:left="320" w:top="257" w:right="339" w:bottom="1440" w:gutter="0" w:footer="0" w:header="0"/>
        </w:sectPr>
      </w:pPr>
    </w:p>
    <w:bookmarkStart w:id="56" w:name="page57"/>
    <w:bookmarkEnd w:id="56"/>
    <w:p>
      <w:pPr>
        <w:ind w:left="9538"/>
        <w:spacing w:after="0"/>
        <w:rPr>
          <w:sz w:val="20"/>
          <w:szCs w:val="20"/>
          <w:color w:val="auto"/>
        </w:rPr>
      </w:pPr>
      <w:r>
        <w:rPr>
          <w:rFonts w:ascii="Times New Roman" w:cs="Times New Roman" w:eastAsia="Times New Roman" w:hAnsi="Times New Roman"/>
          <w:sz w:val="18"/>
          <w:szCs w:val="18"/>
          <w:color w:val="auto"/>
        </w:rPr>
        <w:t>E</w:t>
      </w:r>
      <w:r>
        <w:rPr>
          <w:rFonts w:ascii="Times New Roman" w:cs="Times New Roman" w:eastAsia="Times New Roman" w:hAnsi="Times New Roman"/>
          <w:sz w:val="14"/>
          <w:szCs w:val="14"/>
          <w:color w:val="auto"/>
        </w:rPr>
        <w:t>XECUTION</w:t>
      </w:r>
      <w:r>
        <w:rPr>
          <w:rFonts w:ascii="Times New Roman" w:cs="Times New Roman" w:eastAsia="Times New Roman" w:hAnsi="Times New Roman"/>
          <w:sz w:val="18"/>
          <w:szCs w:val="18"/>
          <w:color w:val="auto"/>
        </w:rPr>
        <w:t xml:space="preserve"> V</w:t>
      </w:r>
      <w:r>
        <w:rPr>
          <w:rFonts w:ascii="Times New Roman" w:cs="Times New Roman" w:eastAsia="Times New Roman" w:hAnsi="Times New Roman"/>
          <w:sz w:val="14"/>
          <w:szCs w:val="14"/>
          <w:color w:val="auto"/>
        </w:rPr>
        <w:t>ERSION</w:t>
      </w:r>
    </w:p>
    <w:p>
      <w:pPr>
        <w:spacing w:after="0" w:line="200" w:lineRule="exact"/>
        <w:rPr>
          <w:sz w:val="20"/>
          <w:szCs w:val="20"/>
          <w:color w:val="auto"/>
        </w:rPr>
      </w:pPr>
    </w:p>
    <w:p>
      <w:pPr>
        <w:spacing w:after="0" w:line="327" w:lineRule="exact"/>
        <w:rPr>
          <w:sz w:val="20"/>
          <w:szCs w:val="20"/>
          <w:color w:val="auto"/>
        </w:rPr>
      </w:pPr>
    </w:p>
    <w:p>
      <w:pPr>
        <w:ind w:left="258"/>
        <w:spacing w:after="0"/>
        <w:rPr>
          <w:sz w:val="20"/>
          <w:szCs w:val="20"/>
          <w:color w:val="auto"/>
        </w:rPr>
      </w:pPr>
      <w:r>
        <w:rPr>
          <w:rFonts w:ascii="Times New Roman" w:cs="Times New Roman" w:eastAsia="Times New Roman" w:hAnsi="Times New Roman"/>
          <w:sz w:val="20"/>
          <w:szCs w:val="20"/>
          <w:b w:val="1"/>
          <w:bCs w:val="1"/>
          <w:u w:val="single" w:color="auto"/>
          <w:color w:val="auto"/>
        </w:rPr>
        <w:t>FIRST AMENDMENT TO SECOND AMENDED AND RESTATED CREDIT AGREEMENT</w:t>
      </w:r>
    </w:p>
    <w:p>
      <w:pPr>
        <w:spacing w:after="0" w:line="287" w:lineRule="exact"/>
        <w:rPr>
          <w:sz w:val="20"/>
          <w:szCs w:val="20"/>
          <w:color w:val="auto"/>
        </w:rPr>
      </w:pPr>
    </w:p>
    <w:p>
      <w:pPr>
        <w:jc w:val="center"/>
        <w:ind w:right="-57"/>
        <w:spacing w:after="0"/>
        <w:rPr>
          <w:sz w:val="20"/>
          <w:szCs w:val="20"/>
          <w:color w:val="auto"/>
        </w:rPr>
      </w:pPr>
      <w:r>
        <w:rPr>
          <w:rFonts w:ascii="Times New Roman" w:cs="Times New Roman" w:eastAsia="Times New Roman" w:hAnsi="Times New Roman"/>
          <w:sz w:val="20"/>
          <w:szCs w:val="20"/>
          <w:color w:val="auto"/>
        </w:rPr>
        <w:t>Dated as of November 4, 2022</w:t>
      </w:r>
    </w:p>
    <w:p>
      <w:pPr>
        <w:spacing w:after="0" w:line="229" w:lineRule="exact"/>
        <w:rPr>
          <w:sz w:val="20"/>
          <w:szCs w:val="20"/>
          <w:color w:val="auto"/>
        </w:rPr>
      </w:pPr>
    </w:p>
    <w:p>
      <w:pPr>
        <w:ind w:left="698"/>
        <w:spacing w:after="0"/>
        <w:rPr>
          <w:sz w:val="20"/>
          <w:szCs w:val="20"/>
          <w:color w:val="auto"/>
        </w:rPr>
      </w:pPr>
      <w:r>
        <w:rPr>
          <w:rFonts w:ascii="Times New Roman" w:cs="Times New Roman" w:eastAsia="Times New Roman" w:hAnsi="Times New Roman"/>
          <w:sz w:val="20"/>
          <w:szCs w:val="20"/>
          <w:color w:val="auto"/>
        </w:rPr>
        <w:t>This FIRST AMENDMENT TO SECOND AMENDED AND RESTATED CREDIT</w:t>
      </w:r>
    </w:p>
    <w:p>
      <w:pPr>
        <w:spacing w:after="0" w:line="8" w:lineRule="exact"/>
        <w:rPr>
          <w:sz w:val="20"/>
          <w:szCs w:val="20"/>
          <w:color w:val="auto"/>
        </w:rPr>
      </w:pPr>
    </w:p>
    <w:p>
      <w:pPr>
        <w:ind w:left="58" w:right="20"/>
        <w:spacing w:after="0" w:line="204" w:lineRule="auto"/>
        <w:rPr>
          <w:sz w:val="20"/>
          <w:szCs w:val="20"/>
          <w:color w:val="auto"/>
        </w:rPr>
      </w:pPr>
      <w:r>
        <w:rPr>
          <w:rFonts w:ascii="Times New Roman" w:cs="Times New Roman" w:eastAsia="Times New Roman" w:hAnsi="Times New Roman"/>
          <w:sz w:val="20"/>
          <w:szCs w:val="20"/>
          <w:color w:val="auto"/>
        </w:rPr>
        <w:t>AGREEMENT (this “</w:t>
      </w:r>
      <w:r>
        <w:rPr>
          <w:rFonts w:ascii="Times New Roman" w:cs="Times New Roman" w:eastAsia="Times New Roman" w:hAnsi="Times New Roman"/>
          <w:sz w:val="20"/>
          <w:szCs w:val="20"/>
          <w:u w:val="single" w:color="auto"/>
          <w:color w:val="auto"/>
        </w:rPr>
        <w:t>Amendment</w:t>
      </w:r>
      <w:r>
        <w:rPr>
          <w:rFonts w:ascii="Times New Roman" w:cs="Times New Roman" w:eastAsia="Times New Roman" w:hAnsi="Times New Roman"/>
          <w:sz w:val="20"/>
          <w:szCs w:val="20"/>
          <w:color w:val="auto"/>
        </w:rPr>
        <w:t>”) is by and among CENTURI GROUP, INC., a Nevada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xml:space="preserve">”), and each Additional Borrower that becomes a party thereto in accordance with </w:t>
      </w:r>
      <w:r>
        <w:rPr>
          <w:rFonts w:ascii="Times New Roman" w:cs="Times New Roman" w:eastAsia="Times New Roman" w:hAnsi="Times New Roman"/>
          <w:sz w:val="20"/>
          <w:szCs w:val="20"/>
          <w:u w:val="single" w:color="auto"/>
          <w:color w:val="auto"/>
        </w:rPr>
        <w:t>Section 5.17</w:t>
      </w:r>
      <w:r>
        <w:rPr>
          <w:rFonts w:ascii="Times New Roman" w:cs="Times New Roman" w:eastAsia="Times New Roman" w:hAnsi="Times New Roman"/>
          <w:sz w:val="20"/>
          <w:szCs w:val="20"/>
          <w:color w:val="auto"/>
        </w:rPr>
        <w:t xml:space="preserve"> thereto, as US Borrowers, CENTURI CANADA</w:t>
      </w:r>
    </w:p>
    <w:p>
      <w:pPr>
        <w:ind w:left="58"/>
        <w:spacing w:after="0" w:line="223" w:lineRule="auto"/>
        <w:rPr>
          <w:sz w:val="20"/>
          <w:szCs w:val="20"/>
          <w:color w:val="auto"/>
        </w:rPr>
      </w:pPr>
      <w:r>
        <w:rPr>
          <w:rFonts w:ascii="Times New Roman" w:cs="Times New Roman" w:eastAsia="Times New Roman" w:hAnsi="Times New Roman"/>
          <w:sz w:val="19"/>
          <w:szCs w:val="19"/>
          <w:color w:val="auto"/>
        </w:rPr>
        <w:t>DIVISION INC., a corporation organized under the laws of the Province of Ontario, Canada, and each Additional Borrower that becomes</w:t>
      </w:r>
    </w:p>
    <w:p>
      <w:pPr>
        <w:ind w:left="58"/>
        <w:spacing w:after="0" w:line="204" w:lineRule="auto"/>
        <w:rPr>
          <w:sz w:val="20"/>
          <w:szCs w:val="20"/>
          <w:color w:val="auto"/>
        </w:rPr>
      </w:pPr>
      <w:r>
        <w:rPr>
          <w:rFonts w:ascii="Times New Roman" w:cs="Times New Roman" w:eastAsia="Times New Roman" w:hAnsi="Times New Roman"/>
          <w:sz w:val="20"/>
          <w:szCs w:val="20"/>
          <w:color w:val="auto"/>
        </w:rPr>
        <w:t xml:space="preserve">a party thereto in accordance with </w:t>
      </w:r>
      <w:r>
        <w:rPr>
          <w:rFonts w:ascii="Times New Roman" w:cs="Times New Roman" w:eastAsia="Times New Roman" w:hAnsi="Times New Roman"/>
          <w:sz w:val="20"/>
          <w:szCs w:val="20"/>
          <w:u w:val="single" w:color="auto"/>
          <w:color w:val="auto"/>
        </w:rPr>
        <w:t>Section 5.17</w:t>
      </w:r>
      <w:r>
        <w:rPr>
          <w:rFonts w:ascii="Times New Roman" w:cs="Times New Roman" w:eastAsia="Times New Roman" w:hAnsi="Times New Roman"/>
          <w:sz w:val="20"/>
          <w:szCs w:val="20"/>
          <w:color w:val="auto"/>
        </w:rPr>
        <w:t xml:space="preserve"> thereto, as Canadian Borrowers, the other Credit Parties party hereto, the lenders party hereto (the “</w:t>
      </w:r>
      <w:r>
        <w:rPr>
          <w:rFonts w:ascii="Times New Roman" w:cs="Times New Roman" w:eastAsia="Times New Roman" w:hAnsi="Times New Roman"/>
          <w:sz w:val="20"/>
          <w:szCs w:val="20"/>
          <w:u w:val="single" w:color="auto"/>
          <w:color w:val="auto"/>
        </w:rPr>
        <w:t>Lenders</w:t>
      </w:r>
      <w:r>
        <w:rPr>
          <w:rFonts w:ascii="Times New Roman" w:cs="Times New Roman" w:eastAsia="Times New Roman" w:hAnsi="Times New Roman"/>
          <w:sz w:val="20"/>
          <w:szCs w:val="20"/>
          <w:color w:val="auto"/>
        </w:rPr>
        <w:t>”) and WELLS FARGO BANK, NATIONAL ASSOCIATION, as administrative agent for the Lenders (in such</w:t>
      </w:r>
    </w:p>
    <w:p>
      <w:pPr>
        <w:spacing w:after="0" w:line="1" w:lineRule="exact"/>
        <w:rPr>
          <w:sz w:val="20"/>
          <w:szCs w:val="20"/>
          <w:color w:val="auto"/>
        </w:rPr>
      </w:pPr>
    </w:p>
    <w:p>
      <w:pPr>
        <w:ind w:left="58"/>
        <w:spacing w:after="0"/>
        <w:rPr>
          <w:sz w:val="20"/>
          <w:szCs w:val="20"/>
          <w:color w:val="auto"/>
        </w:rPr>
      </w:pPr>
      <w:r>
        <w:rPr>
          <w:rFonts w:ascii="Times New Roman" w:cs="Times New Roman" w:eastAsia="Times New Roman" w:hAnsi="Times New Roman"/>
          <w:sz w:val="20"/>
          <w:szCs w:val="20"/>
          <w:color w:val="auto"/>
        </w:rPr>
        <w:t>capacity, the “</w:t>
      </w:r>
      <w:r>
        <w:rPr>
          <w:rFonts w:ascii="Times New Roman" w:cs="Times New Roman" w:eastAsia="Times New Roman" w:hAnsi="Times New Roman"/>
          <w:sz w:val="20"/>
          <w:szCs w:val="20"/>
          <w:u w:val="single" w:color="auto"/>
          <w:color w:val="auto"/>
        </w:rPr>
        <w:t>Administrative Agent</w:t>
      </w:r>
      <w:r>
        <w:rPr>
          <w:rFonts w:ascii="Times New Roman" w:cs="Times New Roman" w:eastAsia="Times New Roman" w:hAnsi="Times New Roman"/>
          <w:sz w:val="20"/>
          <w:szCs w:val="20"/>
          <w:color w:val="auto"/>
        </w:rPr>
        <w:t>”).</w:t>
      </w:r>
    </w:p>
    <w:p>
      <w:pPr>
        <w:spacing w:after="0" w:line="261" w:lineRule="exact"/>
        <w:rPr>
          <w:sz w:val="20"/>
          <w:szCs w:val="20"/>
          <w:color w:val="auto"/>
        </w:rPr>
      </w:pPr>
    </w:p>
    <w:p>
      <w:pPr>
        <w:jc w:val="center"/>
        <w:ind w:right="-57"/>
        <w:spacing w:after="0"/>
        <w:rPr>
          <w:sz w:val="20"/>
          <w:szCs w:val="20"/>
          <w:color w:val="auto"/>
        </w:rPr>
      </w:pPr>
      <w:r>
        <w:rPr>
          <w:rFonts w:ascii="Times New Roman" w:cs="Times New Roman" w:eastAsia="Times New Roman" w:hAnsi="Times New Roman"/>
          <w:sz w:val="20"/>
          <w:szCs w:val="20"/>
          <w:u w:val="single" w:color="auto"/>
          <w:color w:val="auto"/>
        </w:rPr>
        <w:t>Statement of Purpose</w:t>
      </w:r>
    </w:p>
    <w:p>
      <w:pPr>
        <w:spacing w:after="0" w:line="278" w:lineRule="exact"/>
        <w:rPr>
          <w:sz w:val="20"/>
          <w:szCs w:val="20"/>
          <w:color w:val="auto"/>
        </w:rPr>
      </w:pPr>
    </w:p>
    <w:p>
      <w:pPr>
        <w:ind w:left="698"/>
        <w:spacing w:after="0"/>
        <w:rPr>
          <w:sz w:val="20"/>
          <w:szCs w:val="20"/>
          <w:color w:val="auto"/>
        </w:rPr>
      </w:pPr>
      <w:r>
        <w:rPr>
          <w:rFonts w:ascii="Times New Roman" w:cs="Times New Roman" w:eastAsia="Times New Roman" w:hAnsi="Times New Roman"/>
          <w:sz w:val="20"/>
          <w:szCs w:val="20"/>
          <w:color w:val="auto"/>
        </w:rPr>
        <w:t>WHEREAS, the Company, the Lenders party thereto, the other Credit Parties party thereto and the Administrative Agent are</w:t>
      </w:r>
    </w:p>
    <w:p>
      <w:pPr>
        <w:ind w:left="58"/>
        <w:spacing w:after="0" w:line="204" w:lineRule="auto"/>
        <w:rPr>
          <w:sz w:val="20"/>
          <w:szCs w:val="20"/>
          <w:color w:val="auto"/>
        </w:rPr>
      </w:pPr>
      <w:r>
        <w:rPr>
          <w:rFonts w:ascii="Times New Roman" w:cs="Times New Roman" w:eastAsia="Times New Roman" w:hAnsi="Times New Roman"/>
          <w:sz w:val="20"/>
          <w:szCs w:val="20"/>
          <w:color w:val="auto"/>
        </w:rPr>
        <w:t>parties to the Second Amended and Restated Credit Agreement dated as of August 27, 2021 (as amended hereby and as further amended, restated, extended, supplemented or otherwise modified from time to time, the “</w:t>
      </w:r>
      <w:r>
        <w:rPr>
          <w:rFonts w:ascii="Times New Roman" w:cs="Times New Roman" w:eastAsia="Times New Roman" w:hAnsi="Times New Roman"/>
          <w:sz w:val="20"/>
          <w:szCs w:val="20"/>
          <w:u w:val="single" w:color="auto"/>
          <w:color w:val="auto"/>
        </w:rPr>
        <w:t>Credit Agreement</w:t>
      </w:r>
      <w:r>
        <w:rPr>
          <w:rFonts w:ascii="Times New Roman" w:cs="Times New Roman" w:eastAsia="Times New Roman" w:hAnsi="Times New Roman"/>
          <w:sz w:val="20"/>
          <w:szCs w:val="20"/>
          <w:color w:val="auto"/>
        </w:rPr>
        <w:t>” and the Credit Agreement prior to</w:t>
      </w:r>
    </w:p>
    <w:p>
      <w:pPr>
        <w:spacing w:after="0" w:line="1" w:lineRule="exact"/>
        <w:rPr>
          <w:sz w:val="20"/>
          <w:szCs w:val="20"/>
          <w:color w:val="auto"/>
        </w:rPr>
      </w:pPr>
    </w:p>
    <w:p>
      <w:pPr>
        <w:ind w:left="58"/>
        <w:spacing w:after="0" w:line="228" w:lineRule="auto"/>
        <w:rPr>
          <w:sz w:val="20"/>
          <w:szCs w:val="20"/>
          <w:color w:val="auto"/>
        </w:rPr>
      </w:pPr>
      <w:r>
        <w:rPr>
          <w:rFonts w:ascii="Times New Roman" w:cs="Times New Roman" w:eastAsia="Times New Roman" w:hAnsi="Times New Roman"/>
          <w:sz w:val="20"/>
          <w:szCs w:val="20"/>
          <w:color w:val="auto"/>
        </w:rPr>
        <w:t>giving effect to this Amendment being referred to as the “</w:t>
      </w:r>
      <w:r>
        <w:rPr>
          <w:rFonts w:ascii="Times New Roman" w:cs="Times New Roman" w:eastAsia="Times New Roman" w:hAnsi="Times New Roman"/>
          <w:sz w:val="20"/>
          <w:szCs w:val="20"/>
          <w:u w:val="single" w:color="auto"/>
          <w:color w:val="auto"/>
        </w:rPr>
        <w:t>Existing Credit Agreement</w:t>
      </w:r>
      <w:r>
        <w:rPr>
          <w:rFonts w:ascii="Times New Roman" w:cs="Times New Roman" w:eastAsia="Times New Roman" w:hAnsi="Times New Roman"/>
          <w:sz w:val="20"/>
          <w:szCs w:val="20"/>
          <w:color w:val="auto"/>
        </w:rPr>
        <w:t>”), pursuant to which the Lenders have extended certain credit facilities to the Borrowers.</w:t>
      </w:r>
    </w:p>
    <w:p>
      <w:pPr>
        <w:spacing w:after="0" w:line="203" w:lineRule="exact"/>
        <w:rPr>
          <w:sz w:val="20"/>
          <w:szCs w:val="20"/>
          <w:color w:val="auto"/>
        </w:rPr>
      </w:pPr>
    </w:p>
    <w:p>
      <w:pPr>
        <w:ind w:left="58" w:firstLine="648"/>
        <w:spacing w:after="0" w:line="269" w:lineRule="auto"/>
        <w:rPr>
          <w:sz w:val="20"/>
          <w:szCs w:val="20"/>
          <w:color w:val="auto"/>
        </w:rPr>
      </w:pPr>
      <w:r>
        <w:rPr>
          <w:rFonts w:ascii="Times New Roman" w:cs="Times New Roman" w:eastAsia="Times New Roman" w:hAnsi="Times New Roman"/>
          <w:sz w:val="20"/>
          <w:szCs w:val="20"/>
          <w:color w:val="auto"/>
        </w:rPr>
        <w:t>WHEREAS, the Company and the Administrative Agent have elected to make an Early Opt-in Election to transition from LIBOR to Term SOFR solely with respect to the Revolving Credit Facility, pursuant to the terms of the Existing Credit Agreement.</w:t>
      </w:r>
    </w:p>
    <w:p>
      <w:pPr>
        <w:spacing w:after="0" w:line="186" w:lineRule="exact"/>
        <w:rPr>
          <w:sz w:val="20"/>
          <w:szCs w:val="20"/>
          <w:color w:val="auto"/>
        </w:rPr>
      </w:pPr>
    </w:p>
    <w:p>
      <w:pPr>
        <w:ind w:left="58" w:firstLine="648"/>
        <w:spacing w:after="0" w:line="269" w:lineRule="auto"/>
        <w:rPr>
          <w:sz w:val="20"/>
          <w:szCs w:val="20"/>
          <w:color w:val="auto"/>
        </w:rPr>
      </w:pPr>
      <w:r>
        <w:rPr>
          <w:rFonts w:ascii="Times New Roman" w:cs="Times New Roman" w:eastAsia="Times New Roman" w:hAnsi="Times New Roman"/>
          <w:sz w:val="20"/>
          <w:szCs w:val="20"/>
          <w:color w:val="auto"/>
        </w:rPr>
        <w:t>WHEREAS, the Company has requested that the Administrative Agent and the Revolving Credit Lenders and Issuing Lenders agree to amend the Existing Credit Agreement as more specifically set forth herein.</w:t>
      </w:r>
    </w:p>
    <w:p>
      <w:pPr>
        <w:spacing w:after="0" w:line="186" w:lineRule="exact"/>
        <w:rPr>
          <w:sz w:val="20"/>
          <w:szCs w:val="20"/>
          <w:color w:val="auto"/>
        </w:rPr>
      </w:pPr>
    </w:p>
    <w:p>
      <w:pPr>
        <w:ind w:left="58" w:right="20" w:firstLine="648"/>
        <w:spacing w:after="0" w:line="283" w:lineRule="auto"/>
        <w:rPr>
          <w:sz w:val="20"/>
          <w:szCs w:val="20"/>
          <w:color w:val="auto"/>
        </w:rPr>
      </w:pPr>
      <w:r>
        <w:rPr>
          <w:rFonts w:ascii="Times New Roman" w:cs="Times New Roman" w:eastAsia="Times New Roman" w:hAnsi="Times New Roman"/>
          <w:sz w:val="20"/>
          <w:szCs w:val="20"/>
          <w:color w:val="auto"/>
        </w:rPr>
        <w:t>NOW, THEREFORE, for good and valuable consideration, the receipt and sufficiency of which is hereby acknowledged, the parties hereto hereby agree as follows:</w:t>
      </w:r>
    </w:p>
    <w:p>
      <w:pPr>
        <w:spacing w:after="0" w:line="173" w:lineRule="exact"/>
        <w:rPr>
          <w:sz w:val="20"/>
          <w:szCs w:val="20"/>
          <w:color w:val="auto"/>
        </w:rPr>
      </w:pPr>
    </w:p>
    <w:p>
      <w:pPr>
        <w:jc w:val="both"/>
        <w:ind w:left="58" w:firstLine="644"/>
        <w:spacing w:after="0" w:line="254" w:lineRule="auto"/>
        <w:tabs>
          <w:tab w:leader="none" w:pos="1246"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Capitalized Terms</w:t>
      </w:r>
      <w:r>
        <w:rPr>
          <w:rFonts w:ascii="Times New Roman" w:cs="Times New Roman" w:eastAsia="Times New Roman" w:hAnsi="Times New Roman"/>
          <w:sz w:val="20"/>
          <w:szCs w:val="20"/>
          <w:color w:val="auto"/>
        </w:rPr>
        <w:t xml:space="preserve">. All capitalized terms not otherwise defined in this Amendment (including without limitation in the introductory paragraph and the Preliminary Statements hereto) shall have the meanings as specified in the Credit Agreement (as set forth on </w:t>
      </w:r>
      <w:r>
        <w:rPr>
          <w:rFonts w:ascii="Times New Roman" w:cs="Times New Roman" w:eastAsia="Times New Roman" w:hAnsi="Times New Roman"/>
          <w:sz w:val="20"/>
          <w:szCs w:val="20"/>
          <w:u w:val="single" w:color="auto"/>
          <w:color w:val="auto"/>
        </w:rPr>
        <w:t>Annex A</w:t>
      </w:r>
      <w:r>
        <w:rPr>
          <w:rFonts w:ascii="Times New Roman" w:cs="Times New Roman" w:eastAsia="Times New Roman" w:hAnsi="Times New Roman"/>
          <w:sz w:val="20"/>
          <w:szCs w:val="20"/>
          <w:color w:val="auto"/>
        </w:rPr>
        <w:t xml:space="preserve"> attached hereto).</w:t>
      </w:r>
    </w:p>
    <w:p>
      <w:pPr>
        <w:spacing w:after="0" w:line="268" w:lineRule="exact"/>
        <w:rPr>
          <w:rFonts w:ascii="Times New Roman" w:cs="Times New Roman" w:eastAsia="Times New Roman" w:hAnsi="Times New Roman"/>
          <w:sz w:val="20"/>
          <w:szCs w:val="20"/>
          <w:color w:val="auto"/>
        </w:rPr>
      </w:pPr>
    </w:p>
    <w:p>
      <w:pPr>
        <w:ind w:left="58" w:right="240" w:firstLine="644"/>
        <w:spacing w:after="0" w:line="269" w:lineRule="auto"/>
        <w:tabs>
          <w:tab w:leader="none" w:pos="1246"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Amendments to the Credit Agreement</w:t>
      </w:r>
      <w:r>
        <w:rPr>
          <w:rFonts w:ascii="Times New Roman" w:cs="Times New Roman" w:eastAsia="Times New Roman" w:hAnsi="Times New Roman"/>
          <w:sz w:val="20"/>
          <w:szCs w:val="20"/>
          <w:color w:val="auto"/>
        </w:rPr>
        <w:t>. As of the Effective Date (as defined below) and subject to and in accordance with the terms and conditions set forth herein:</w:t>
      </w:r>
    </w:p>
    <w:p>
      <w:pPr>
        <w:spacing w:after="0" w:line="172" w:lineRule="exact"/>
        <w:rPr>
          <w:rFonts w:ascii="Times New Roman" w:cs="Times New Roman" w:eastAsia="Times New Roman" w:hAnsi="Times New Roman"/>
          <w:sz w:val="20"/>
          <w:szCs w:val="20"/>
          <w:color w:val="auto"/>
        </w:rPr>
      </w:pPr>
    </w:p>
    <w:p>
      <w:pPr>
        <w:jc w:val="both"/>
        <w:ind w:left="698" w:firstLine="652"/>
        <w:spacing w:after="0" w:line="220" w:lineRule="auto"/>
        <w:tabs>
          <w:tab w:leader="none" w:pos="1877" w:val="left"/>
        </w:tabs>
        <w:numPr>
          <w:ilvl w:val="1"/>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body of the Existing Credit Agreement (excluding the Schedules and Exhibits thereto, other than as set forth in clause (b) of this </w:t>
      </w:r>
      <w:r>
        <w:rPr>
          <w:rFonts w:ascii="Times New Roman" w:cs="Times New Roman" w:eastAsia="Times New Roman" w:hAnsi="Times New Roman"/>
          <w:sz w:val="20"/>
          <w:szCs w:val="20"/>
          <w:u w:val="single" w:color="auto"/>
          <w:color w:val="auto"/>
        </w:rPr>
        <w:t>Section 2</w:t>
      </w:r>
      <w:r>
        <w:rPr>
          <w:rFonts w:ascii="Times New Roman" w:cs="Times New Roman" w:eastAsia="Times New Roman" w:hAnsi="Times New Roman"/>
          <w:sz w:val="20"/>
          <w:szCs w:val="20"/>
          <w:color w:val="auto"/>
        </w:rPr>
        <w:t xml:space="preserve">) are hereby amended to (i) delete the stricken text (indicated textually in the same manner as the following example: </w:t>
      </w:r>
      <w:r>
        <w:rPr>
          <w:rFonts w:ascii="Times New Roman" w:cs="Times New Roman" w:eastAsia="Times New Roman" w:hAnsi="Times New Roman"/>
          <w:sz w:val="20"/>
          <w:szCs w:val="20"/>
          <w:color w:val="FF0000"/>
          <w:strike w:val="1"/>
        </w:rPr>
        <w:t>stricken text</w:t>
      </w:r>
      <w:r>
        <w:rPr>
          <w:rFonts w:ascii="Times New Roman" w:cs="Times New Roman" w:eastAsia="Times New Roman" w:hAnsi="Times New Roman"/>
          <w:sz w:val="20"/>
          <w:szCs w:val="20"/>
          <w:color w:val="auto"/>
        </w:rPr>
        <w:t xml:space="preserve">), (ii) add the double-underlined text (indicated textually in the same manner as the following example: </w:t>
      </w:r>
      <w:r>
        <w:rPr>
          <w:rFonts w:ascii="Times New Roman" w:cs="Times New Roman" w:eastAsia="Times New Roman" w:hAnsi="Times New Roman"/>
          <w:sz w:val="20"/>
          <w:szCs w:val="20"/>
          <w:u w:val="single" w:color="auto"/>
          <w:color w:val="0000FF"/>
        </w:rPr>
        <w:t>double-underlined text</w:t>
      </w:r>
      <w:r>
        <w:rPr>
          <w:rFonts w:ascii="Times New Roman" w:cs="Times New Roman" w:eastAsia="Times New Roman" w:hAnsi="Times New Roman"/>
          <w:sz w:val="20"/>
          <w:szCs w:val="20"/>
          <w:color w:val="auto"/>
        </w:rPr>
        <w:t xml:space="preserve">) and (iii) move the green double-underlined text (indicated textually in the same manner as the following example: </w:t>
      </w:r>
      <w:r>
        <w:rPr>
          <w:rFonts w:ascii="Times New Roman" w:cs="Times New Roman" w:eastAsia="Times New Roman" w:hAnsi="Times New Roman"/>
          <w:sz w:val="20"/>
          <w:szCs w:val="20"/>
          <w:u w:val="single" w:color="auto"/>
          <w:color w:val="00B050"/>
        </w:rPr>
        <w:t>double-underlined text</w:t>
      </w:r>
      <w:r>
        <w:rPr>
          <w:rFonts w:ascii="Times New Roman" w:cs="Times New Roman" w:eastAsia="Times New Roman" w:hAnsi="Times New Roman"/>
          <w:sz w:val="20"/>
          <w:szCs w:val="20"/>
          <w:color w:val="auto"/>
        </w:rPr>
        <w:t xml:space="preserve">), in each case, as set forth in the Credit Agreement attached hereto as </w:t>
      </w:r>
      <w:r>
        <w:rPr>
          <w:rFonts w:ascii="Times New Roman" w:cs="Times New Roman" w:eastAsia="Times New Roman" w:hAnsi="Times New Roman"/>
          <w:sz w:val="20"/>
          <w:szCs w:val="20"/>
          <w:u w:val="single" w:color="auto"/>
          <w:color w:val="auto"/>
        </w:rPr>
        <w:t>Annex A</w:t>
      </w:r>
      <w:r>
        <w:rPr>
          <w:rFonts w:ascii="Times New Roman" w:cs="Times New Roman" w:eastAsia="Times New Roman" w:hAnsi="Times New Roman"/>
          <w:sz w:val="20"/>
          <w:szCs w:val="20"/>
          <w:color w:val="auto"/>
        </w:rPr>
        <w:t>.</w:t>
      </w:r>
    </w:p>
    <w:p>
      <w:pPr>
        <w:spacing w:after="0" w:line="268" w:lineRule="exact"/>
        <w:rPr>
          <w:rFonts w:ascii="Times New Roman" w:cs="Times New Roman" w:eastAsia="Times New Roman" w:hAnsi="Times New Roman"/>
          <w:sz w:val="20"/>
          <w:szCs w:val="20"/>
          <w:color w:val="auto"/>
        </w:rPr>
      </w:pPr>
    </w:p>
    <w:p>
      <w:pPr>
        <w:jc w:val="both"/>
        <w:ind w:left="698" w:firstLine="652"/>
        <w:spacing w:after="0" w:line="254" w:lineRule="auto"/>
        <w:tabs>
          <w:tab w:leader="none" w:pos="1874" w:val="left"/>
        </w:tabs>
        <w:numPr>
          <w:ilvl w:val="1"/>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(Form of Notice of Borrowing), </w:t>
      </w:r>
      <w:r>
        <w:rPr>
          <w:rFonts w:ascii="Times New Roman" w:cs="Times New Roman" w:eastAsia="Times New Roman" w:hAnsi="Times New Roman"/>
          <w:sz w:val="20"/>
          <w:szCs w:val="20"/>
          <w:u w:val="single" w:color="auto"/>
          <w:color w:val="auto"/>
        </w:rPr>
        <w:t>Exhibit D</w:t>
      </w:r>
      <w:r>
        <w:rPr>
          <w:rFonts w:ascii="Times New Roman" w:cs="Times New Roman" w:eastAsia="Times New Roman" w:hAnsi="Times New Roman"/>
          <w:sz w:val="20"/>
          <w:szCs w:val="20"/>
          <w:color w:val="auto"/>
        </w:rPr>
        <w:t xml:space="preserve"> (Form of Notice of Prepayment) and </w:t>
      </w:r>
      <w:r>
        <w:rPr>
          <w:rFonts w:ascii="Times New Roman" w:cs="Times New Roman" w:eastAsia="Times New Roman" w:hAnsi="Times New Roman"/>
          <w:sz w:val="20"/>
          <w:szCs w:val="20"/>
          <w:u w:val="single" w:color="auto"/>
          <w:color w:val="auto"/>
        </w:rPr>
        <w:t>Exhibit E</w:t>
      </w:r>
      <w:r>
        <w:rPr>
          <w:rFonts w:ascii="Times New Roman" w:cs="Times New Roman" w:eastAsia="Times New Roman" w:hAnsi="Times New Roman"/>
          <w:sz w:val="20"/>
          <w:szCs w:val="20"/>
          <w:color w:val="auto"/>
        </w:rPr>
        <w:t xml:space="preserve"> (Form of Notice of Conversion/Continuation) to the Existing Credit Agreement are each hereby amended and restated in its entirety as set forth as </w:t>
      </w:r>
      <w:r>
        <w:rPr>
          <w:rFonts w:ascii="Times New Roman" w:cs="Times New Roman" w:eastAsia="Times New Roman" w:hAnsi="Times New Roman"/>
          <w:sz w:val="20"/>
          <w:szCs w:val="20"/>
          <w:u w:val="single" w:color="auto"/>
          <w:color w:val="auto"/>
        </w:rPr>
        <w:t>Annex B</w:t>
      </w:r>
      <w:r>
        <w:rPr>
          <w:rFonts w:ascii="Times New Roman" w:cs="Times New Roman" w:eastAsia="Times New Roman" w:hAnsi="Times New Roman"/>
          <w:sz w:val="20"/>
          <w:szCs w:val="20"/>
          <w:color w:val="auto"/>
        </w:rPr>
        <w:t xml:space="preserve"> hereto.</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18" w:hanging="218"/>
        <w:spacing w:after="0"/>
        <w:tabs>
          <w:tab w:leader="none" w:pos="218"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14"/>
          <w:szCs w:val="14"/>
          <w:color w:val="auto"/>
        </w:rPr>
        <w:t>165310015_4</w:t>
      </w:r>
    </w:p>
    <w:p>
      <w:pPr>
        <w:sectPr>
          <w:pgSz w:w="11900" w:h="16838" w:orient="portrait"/>
          <w:cols w:equalWidth="0" w:num="1">
            <w:col w:w="11078"/>
          </w:cols>
          <w:pgMar w:left="382" w:top="796" w:right="439" w:bottom="1440" w:gutter="0" w:footer="0" w:header="0"/>
        </w:sectPr>
      </w:pPr>
    </w:p>
    <w:bookmarkStart w:id="57" w:name="page58"/>
    <w:bookmarkEnd w:id="57"/>
    <w:p>
      <w:pPr>
        <w:jc w:val="both"/>
        <w:ind w:left="40" w:firstLine="646"/>
        <w:spacing w:after="0" w:line="222" w:lineRule="auto"/>
        <w:tabs>
          <w:tab w:leader="none" w:pos="1241" w:val="left"/>
        </w:tabs>
        <w:numPr>
          <w:ilvl w:val="0"/>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Early Opt-in Election</w:t>
      </w:r>
      <w:r>
        <w:rPr>
          <w:rFonts w:ascii="Times New Roman" w:cs="Times New Roman" w:eastAsia="Times New Roman" w:hAnsi="Times New Roman"/>
          <w:sz w:val="19"/>
          <w:szCs w:val="19"/>
          <w:color w:val="auto"/>
        </w:rPr>
        <w:t xml:space="preserve">. Pursuant to </w:t>
      </w:r>
      <w:r>
        <w:rPr>
          <w:rFonts w:ascii="Times New Roman" w:cs="Times New Roman" w:eastAsia="Times New Roman" w:hAnsi="Times New Roman"/>
          <w:sz w:val="19"/>
          <w:szCs w:val="19"/>
          <w:u w:val="single" w:color="auto"/>
          <w:color w:val="auto"/>
        </w:rPr>
        <w:t>Section 5.8(c)</w:t>
      </w:r>
      <w:r>
        <w:rPr>
          <w:rFonts w:ascii="Times New Roman" w:cs="Times New Roman" w:eastAsia="Times New Roman" w:hAnsi="Times New Roman"/>
          <w:sz w:val="19"/>
          <w:szCs w:val="19"/>
          <w:color w:val="auto"/>
        </w:rPr>
        <w:t xml:space="preserve"> of the Existing Credit Agreement, the Company and the Administrative Agent have made an Early Opt-in Election to replace the LIBOR Rate with Term SOFR solely with respect to Revolving Credit Loans and Swingline Loans. The Early Opt-in Effective Date shall be the Effective Date. On and after the Effective Date, all outstanding Revolving Credit Loans that are LIBOR Rate Loans denominated in Dollars shall continue as LIBOR Rate Loans under the Credit Agreement (and, notwithstanding anything in this Amendment including Annex A hereto to the contrary, subject to the terms and conditions and applicable interest rate terms (including breakage) with respect to LIBOR Rate Loans under the Existing Credit Agreement) solely for the remainder of the Interest Periods applicable thereto immediately prior to the effectiveness of this Amendment; it being understood that such LIBOR Rate Loans and Interest Periods are not being renewed or extended as a result of this Amendment and, upon the expiration or earlier termination of such Interest Periods, such LIBOR Rate Loans shall be (i) repaid or (ii) converted to Base Rate Loans or SOFR Loans (in each case, as defined in the Credit Agreement) as the Borrowers may elect (which election in the case of clause (ii) shall be made in accordance with the notice requirements set forth in Section 5.2 of the Credit Agreement as though the Borrowers were requesting a borrowing to be made on the effective date of such conversion). This Amendment shall constitute notice to the Revolving Credit Lenders of an Early Opt-In Election and each Revolving Credit Lender hereby waives any notice period in connection therewith.</w:t>
      </w:r>
    </w:p>
    <w:p>
      <w:pPr>
        <w:spacing w:after="0" w:line="194" w:lineRule="exact"/>
        <w:rPr>
          <w:rFonts w:ascii="Times New Roman" w:cs="Times New Roman" w:eastAsia="Times New Roman" w:hAnsi="Times New Roman"/>
          <w:sz w:val="19"/>
          <w:szCs w:val="19"/>
          <w:color w:val="auto"/>
        </w:rPr>
      </w:pPr>
    </w:p>
    <w:p>
      <w:pPr>
        <w:ind w:left="40" w:right="20" w:firstLine="646"/>
        <w:spacing w:after="0"/>
        <w:tabs>
          <w:tab w:leader="none" w:pos="1241"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Conditions to Effectiveness</w:t>
      </w:r>
      <w:r>
        <w:rPr>
          <w:rFonts w:ascii="Times New Roman" w:cs="Times New Roman" w:eastAsia="Times New Roman" w:hAnsi="Times New Roman"/>
          <w:sz w:val="20"/>
          <w:szCs w:val="20"/>
          <w:color w:val="auto"/>
        </w:rPr>
        <w:t>. The effectiveness of this Amendment is subject to the satisfaction or waiver of the following conditions (the date of such satisfaction or waiver, the “</w:t>
      </w: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w:t>
      </w:r>
    </w:p>
    <w:p>
      <w:pPr>
        <w:spacing w:after="0" w:line="269" w:lineRule="exact"/>
        <w:rPr>
          <w:rFonts w:ascii="Times New Roman" w:cs="Times New Roman" w:eastAsia="Times New Roman" w:hAnsi="Times New Roman"/>
          <w:sz w:val="20"/>
          <w:szCs w:val="20"/>
          <w:color w:val="auto"/>
        </w:rPr>
      </w:pPr>
    </w:p>
    <w:p>
      <w:pPr>
        <w:ind w:left="200" w:firstLine="648"/>
        <w:spacing w:after="0" w:line="269" w:lineRule="auto"/>
        <w:tabs>
          <w:tab w:leader="none" w:pos="1243" w:val="left"/>
        </w:tabs>
        <w:numPr>
          <w:ilvl w:val="1"/>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w:t>
      </w:r>
      <w:r>
        <w:rPr>
          <w:rFonts w:ascii="Times New Roman" w:cs="Times New Roman" w:eastAsia="Times New Roman" w:hAnsi="Times New Roman"/>
          <w:sz w:val="20"/>
          <w:szCs w:val="20"/>
          <w:color w:val="auto"/>
        </w:rPr>
        <w:t>. The Administrative Agent shall have received counterparts of this Amendment executed by the Administrative Agent, the Revolving Credit Lenders, the Issuing Lenders and the Credit Parties.</w:t>
      </w:r>
    </w:p>
    <w:p>
      <w:pPr>
        <w:spacing w:after="0" w:line="172" w:lineRule="exact"/>
        <w:rPr>
          <w:rFonts w:ascii="Times New Roman" w:cs="Times New Roman" w:eastAsia="Times New Roman" w:hAnsi="Times New Roman"/>
          <w:sz w:val="20"/>
          <w:szCs w:val="20"/>
          <w:color w:val="auto"/>
        </w:rPr>
      </w:pPr>
    </w:p>
    <w:p>
      <w:pPr>
        <w:jc w:val="both"/>
        <w:ind w:left="200" w:firstLine="648"/>
        <w:spacing w:after="0" w:line="222" w:lineRule="auto"/>
        <w:tabs>
          <w:tab w:leader="none" w:pos="1241" w:val="left"/>
        </w:tabs>
        <w:numPr>
          <w:ilvl w:val="1"/>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Certified Resolutions</w:t>
      </w:r>
      <w:r>
        <w:rPr>
          <w:rFonts w:ascii="Times New Roman" w:cs="Times New Roman" w:eastAsia="Times New Roman" w:hAnsi="Times New Roman"/>
          <w:sz w:val="20"/>
          <w:szCs w:val="20"/>
          <w:color w:val="auto"/>
        </w:rPr>
        <w:t>. The Administrative Agent shall have received a certificate of a Responsible Officer of each Credit Party certifying that attached thereto is a true, correct and complete copy of resolutions duly adopted by the board of directors (or other governing body) of such Credit Party authorizing and approving the transactions contemplated hereunder and the execution, delivery and performance of this Amendment, in form and substance reasonably satisfactory to the Administrative Agent.</w:t>
      </w:r>
    </w:p>
    <w:p>
      <w:pPr>
        <w:spacing w:after="0" w:line="188" w:lineRule="exact"/>
        <w:rPr>
          <w:rFonts w:ascii="Times New Roman" w:cs="Times New Roman" w:eastAsia="Times New Roman" w:hAnsi="Times New Roman"/>
          <w:sz w:val="20"/>
          <w:szCs w:val="20"/>
          <w:color w:val="auto"/>
        </w:rPr>
      </w:pPr>
    </w:p>
    <w:p>
      <w:pPr>
        <w:jc w:val="right"/>
        <w:ind w:left="400" w:firstLine="713"/>
        <w:spacing w:after="0" w:line="221" w:lineRule="auto"/>
        <w:tabs>
          <w:tab w:leader="none" w:pos="1506" w:val="left"/>
        </w:tabs>
        <w:numPr>
          <w:ilvl w:val="2"/>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Payment at Closing</w:t>
      </w:r>
      <w:r>
        <w:rPr>
          <w:rFonts w:ascii="Times New Roman" w:cs="Times New Roman" w:eastAsia="Times New Roman" w:hAnsi="Times New Roman"/>
          <w:sz w:val="19"/>
          <w:szCs w:val="19"/>
          <w:color w:val="auto"/>
        </w:rPr>
        <w:t>. The Borrowers shall have paid or made arrangements to pay contemporaneously with closing (A) to the Administrative Agent, Wells Fargo Securities, LLC and the Lenders the fees as separately agreed among the Administrative Agent, Wells Fargo Securities, LLC, the Lenders and the Borrowers and any other accrued and unpaid fees or commissions due hereunder, including an amendment fee equal to 10.0 basis points of the aggregate amount of Revolving Credit Commitments of each Revolving Credit Lender party hereto on the Effective Date, (B) all fees, charges and disbursements of counsel to the Administrative Agent (directly to such counsel if requested by the Administrative Agent) to the extent accrued and unpaid prior to or on the Effective Date,</w:t>
      </w:r>
    </w:p>
    <w:p>
      <w:pPr>
        <w:spacing w:after="0" w:line="3" w:lineRule="exact"/>
        <w:rPr>
          <w:sz w:val="20"/>
          <w:szCs w:val="20"/>
          <w:color w:val="auto"/>
        </w:rPr>
      </w:pPr>
    </w:p>
    <w:p>
      <w:pPr>
        <w:ind w:left="200" w:firstLine="40"/>
        <w:spacing w:after="0" w:line="222" w:lineRule="auto"/>
        <w:rPr>
          <w:sz w:val="20"/>
          <w:szCs w:val="20"/>
          <w:color w:val="auto"/>
        </w:rPr>
      </w:pPr>
      <w:r>
        <w:rPr>
          <w:rFonts w:ascii="Times New Roman" w:cs="Times New Roman" w:eastAsia="Times New Roman" w:hAnsi="Times New Roman"/>
          <w:sz w:val="19"/>
          <w:szCs w:val="19"/>
          <w:color w:val="auto"/>
        </w:rPr>
        <w:t>plus such additional amounts of such fees, charges and disbursements as shall constitute its reasonable estimate of such fees, charges and disbursements incurred or to be incurred by it through the closing proceedings (provided that such estimate shall not thereafter preclude a</w:t>
      </w:r>
    </w:p>
    <w:p>
      <w:pPr>
        <w:spacing w:after="0" w:line="1" w:lineRule="exact"/>
        <w:rPr>
          <w:sz w:val="20"/>
          <w:szCs w:val="20"/>
          <w:color w:val="auto"/>
        </w:rPr>
      </w:pPr>
    </w:p>
    <w:p>
      <w:pPr>
        <w:jc w:val="right"/>
        <w:ind w:left="320"/>
        <w:spacing w:after="0" w:line="204" w:lineRule="auto"/>
        <w:rPr>
          <w:sz w:val="20"/>
          <w:szCs w:val="20"/>
          <w:color w:val="auto"/>
        </w:rPr>
      </w:pPr>
      <w:r>
        <w:rPr>
          <w:rFonts w:ascii="Times New Roman" w:cs="Times New Roman" w:eastAsia="Times New Roman" w:hAnsi="Times New Roman"/>
          <w:sz w:val="20"/>
          <w:szCs w:val="20"/>
          <w:color w:val="auto"/>
        </w:rPr>
        <w:t>final settling of accounts between the Borrowers and the Administrative Agent) and (C) to any other Person such amount as may be due thereto in connection with the transactions contemplated hereby, including all taxes, fees and other charges in connection with the</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execution, delivery, recording, filing and registration of any of the Loan Documents.</w:t>
      </w:r>
    </w:p>
    <w:p>
      <w:pPr>
        <w:spacing w:after="0" w:line="19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9"/>
          <w:szCs w:val="19"/>
          <w:color w:val="auto"/>
        </w:rPr>
        <w:t xml:space="preserve">Without limiting the generality of the provisions of </w:t>
      </w:r>
      <w:r>
        <w:rPr>
          <w:rFonts w:ascii="Times New Roman" w:cs="Times New Roman" w:eastAsia="Times New Roman" w:hAnsi="Times New Roman"/>
          <w:sz w:val="19"/>
          <w:szCs w:val="19"/>
          <w:u w:val="single" w:color="auto"/>
          <w:color w:val="auto"/>
        </w:rPr>
        <w:t>Section 11.3</w:t>
      </w:r>
      <w:r>
        <w:rPr>
          <w:rFonts w:ascii="Times New Roman" w:cs="Times New Roman" w:eastAsia="Times New Roman" w:hAnsi="Times New Roman"/>
          <w:sz w:val="19"/>
          <w:szCs w:val="19"/>
          <w:color w:val="auto"/>
        </w:rPr>
        <w:t xml:space="preserve"> of the Credit Agreement, for purposes of determining compliance</w:t>
      </w:r>
    </w:p>
    <w:p>
      <w:pPr>
        <w:spacing w:after="0" w:line="6" w:lineRule="exact"/>
        <w:rPr>
          <w:sz w:val="20"/>
          <w:szCs w:val="20"/>
          <w:color w:val="auto"/>
        </w:rPr>
      </w:pPr>
    </w:p>
    <w:p>
      <w:pPr>
        <w:ind w:left="40"/>
        <w:spacing w:after="0" w:line="221" w:lineRule="auto"/>
        <w:rPr>
          <w:sz w:val="20"/>
          <w:szCs w:val="20"/>
          <w:color w:val="auto"/>
        </w:rPr>
      </w:pPr>
      <w:r>
        <w:rPr>
          <w:rFonts w:ascii="Times New Roman" w:cs="Times New Roman" w:eastAsia="Times New Roman" w:hAnsi="Times New Roman"/>
          <w:sz w:val="20"/>
          <w:szCs w:val="20"/>
          <w:color w:val="auto"/>
        </w:rPr>
        <w:t xml:space="preserve">with the conditions specified in this </w:t>
      </w:r>
      <w:r>
        <w:rPr>
          <w:rFonts w:ascii="Times New Roman" w:cs="Times New Roman" w:eastAsia="Times New Roman" w:hAnsi="Times New Roman"/>
          <w:sz w:val="20"/>
          <w:szCs w:val="20"/>
          <w:u w:val="single" w:color="auto"/>
          <w:color w:val="auto"/>
        </w:rPr>
        <w:t>Section 4</w:t>
      </w:r>
      <w:r>
        <w:rPr>
          <w:rFonts w:ascii="Times New Roman" w:cs="Times New Roman" w:eastAsia="Times New Roman" w:hAnsi="Times New Roman"/>
          <w:sz w:val="20"/>
          <w:szCs w:val="20"/>
          <w:color w:val="auto"/>
        </w:rPr>
        <w:t xml:space="preserve"> or otherwise, each Lender that has signed this Amendment shall be deemed to have consented to, approved or accepted or to</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20" w:hanging="218"/>
        <w:spacing w:after="0"/>
        <w:tabs>
          <w:tab w:leader="none" w:pos="22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14"/>
          <w:szCs w:val="14"/>
          <w:color w:val="auto"/>
        </w:rPr>
        <w:t>165310015_4</w:t>
      </w:r>
    </w:p>
    <w:p>
      <w:pPr>
        <w:sectPr>
          <w:pgSz w:w="11900" w:h="16838" w:orient="portrait"/>
          <w:cols w:equalWidth="0" w:num="1">
            <w:col w:w="11080"/>
          </w:cols>
          <w:pgMar w:left="380" w:top="1399" w:right="439" w:bottom="1440" w:gutter="0" w:footer="0" w:header="0"/>
        </w:sectPr>
      </w:pPr>
    </w:p>
    <w:bookmarkStart w:id="58" w:name="page59"/>
    <w:bookmarkEnd w:id="58"/>
    <w:p>
      <w:pPr>
        <w:jc w:val="both"/>
        <w:ind w:left="58"/>
        <w:spacing w:after="0" w:line="254" w:lineRule="auto"/>
        <w:rPr>
          <w:sz w:val="20"/>
          <w:szCs w:val="20"/>
          <w:color w:val="auto"/>
        </w:rPr>
      </w:pPr>
      <w:r>
        <w:rPr>
          <w:rFonts w:ascii="Times New Roman" w:cs="Times New Roman" w:eastAsia="Times New Roman" w:hAnsi="Times New Roman"/>
          <w:sz w:val="20"/>
          <w:szCs w:val="20"/>
          <w:color w:val="auto"/>
        </w:rPr>
        <w:t>be satisfied with, each document or other matter required thereunder to be consented to or approved by or acceptable or satisfactory to a Lender unless the Administrative Agent shall have received written notice from such Lender prior to the proposed Effective Date specifying its objection thereto.</w:t>
      </w:r>
    </w:p>
    <w:p>
      <w:pPr>
        <w:spacing w:after="0" w:line="201" w:lineRule="exact"/>
        <w:rPr>
          <w:sz w:val="20"/>
          <w:szCs w:val="20"/>
          <w:color w:val="auto"/>
        </w:rPr>
      </w:pPr>
    </w:p>
    <w:p>
      <w:pPr>
        <w:ind w:left="1358" w:hanging="656"/>
        <w:spacing w:after="0"/>
        <w:tabs>
          <w:tab w:leader="none" w:pos="1358" w:val="left"/>
        </w:tabs>
        <w:numPr>
          <w:ilvl w:val="1"/>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Representations and Warranties</w:t>
      </w:r>
      <w:r>
        <w:rPr>
          <w:rFonts w:ascii="Times New Roman" w:cs="Times New Roman" w:eastAsia="Times New Roman" w:hAnsi="Times New Roman"/>
          <w:sz w:val="20"/>
          <w:szCs w:val="20"/>
          <w:color w:val="auto"/>
        </w:rPr>
        <w:t>. Each Credit Party represents and warrants as follows:</w:t>
      </w:r>
    </w:p>
    <w:p>
      <w:pPr>
        <w:spacing w:after="0" w:line="269" w:lineRule="exact"/>
        <w:rPr>
          <w:rFonts w:ascii="Times New Roman" w:cs="Times New Roman" w:eastAsia="Times New Roman" w:hAnsi="Times New Roman"/>
          <w:sz w:val="20"/>
          <w:szCs w:val="20"/>
          <w:color w:val="auto"/>
        </w:rPr>
      </w:pPr>
    </w:p>
    <w:p>
      <w:pPr>
        <w:jc w:val="both"/>
        <w:ind w:left="58" w:firstLine="1292"/>
        <w:spacing w:after="0" w:line="220" w:lineRule="auto"/>
        <w:tabs>
          <w:tab w:leader="none" w:pos="1890" w:val="left"/>
        </w:tabs>
        <w:numPr>
          <w:ilvl w:val="2"/>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Credit Party has the right, power, and authority and has taken all necessary corporate or other action to authorize the execution, delivery and performance of this Amendment. This Amendment constitutes a legal, valid and binding obligation of such Credit Party, enforceable against each Credit Party that is party hereto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87" w:lineRule="exact"/>
        <w:rPr>
          <w:rFonts w:ascii="Times New Roman" w:cs="Times New Roman" w:eastAsia="Times New Roman" w:hAnsi="Times New Roman"/>
          <w:sz w:val="20"/>
          <w:szCs w:val="20"/>
          <w:color w:val="auto"/>
        </w:rPr>
      </w:pPr>
    </w:p>
    <w:p>
      <w:pPr>
        <w:jc w:val="both"/>
        <w:ind w:left="58" w:firstLine="1292"/>
        <w:spacing w:after="0" w:line="220" w:lineRule="auto"/>
        <w:tabs>
          <w:tab w:leader="none" w:pos="1883" w:val="left"/>
        </w:tabs>
        <w:numPr>
          <w:ilvl w:val="2"/>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execution, delivery and performance by each Credit Party of this Amendment and the transactions contemplated hereby do not and will not, by the passage of time, the giving of notice or otherwise, (i) require any Governmental Approval or violate any Applicable Law relating to any Credit Party or any Subsidiary thereof where the failure to obtain such Governmental Approval or such violation could reasonably be expected to have a Material Adverse Effect, (ii) conflict with, result in a breach of or constitute a default under the articles of incorporation, bylaws or other organizational documents of any Credit Party or any Subsidiary thereof, (iii) conflict with, result in a breach of or constitute a default under any indenture, agreement or other instrument to which such Person is a party or by which any of its properties may be bound or any Governmental Approval relating to such Person, which could, individually or in the aggregate, reasonably be expected to have a Material Adverse Effect, (iv) result in or require the creation or imposition of any Lien upon or with respect to any property now owned or hereafter acquired by such Person other than Permitted Liens or</w:t>
      </w:r>
    </w:p>
    <w:p>
      <w:pPr>
        <w:spacing w:after="0" w:line="1" w:lineRule="exact"/>
        <w:rPr>
          <w:rFonts w:ascii="Times New Roman" w:cs="Times New Roman" w:eastAsia="Times New Roman" w:hAnsi="Times New Roman"/>
          <w:sz w:val="19"/>
          <w:szCs w:val="19"/>
          <w:color w:val="auto"/>
        </w:rPr>
      </w:pPr>
    </w:p>
    <w:p>
      <w:pPr>
        <w:jc w:val="both"/>
        <w:ind w:left="58" w:hanging="5"/>
        <w:spacing w:after="0" w:line="216" w:lineRule="auto"/>
        <w:tabs>
          <w:tab w:leader="none" w:pos="347"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require any consent or authorization of, filing with, or other act in respect of, an arbitrator or Governmental Authority and no consent of any other Person is required in connection with the execution, delivery, performance, validity or enforceability of this Amendment other than consents, authorizations, filings or other acts or consents for which the failure to obtain or make could not, individually or in the aggregate, reasonably be expected to have a Material Adverse Effect.</w:t>
      </w:r>
    </w:p>
    <w:p>
      <w:pPr>
        <w:spacing w:after="0" w:line="189" w:lineRule="exact"/>
        <w:rPr>
          <w:rFonts w:ascii="Times New Roman" w:cs="Times New Roman" w:eastAsia="Times New Roman" w:hAnsi="Times New Roman"/>
          <w:sz w:val="20"/>
          <w:szCs w:val="20"/>
          <w:color w:val="auto"/>
        </w:rPr>
      </w:pPr>
    </w:p>
    <w:p>
      <w:pPr>
        <w:jc w:val="both"/>
        <w:ind w:left="58" w:firstLine="1292"/>
        <w:spacing w:after="0" w:line="220" w:lineRule="auto"/>
        <w:tabs>
          <w:tab w:leader="none" w:pos="1883" w:val="left"/>
        </w:tabs>
        <w:numPr>
          <w:ilvl w:val="2"/>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After giving effect to this Amendment, the representations and warranties contained in each of the Loan Documents are true and correct in all material respects, except for any representation and warranty that is qualified by materiality or reference to Material Adverse Effect, which such representation and warranty are true and correct in all respects, on and as of the date hereof as though made on and as of such date (other than any such representations or warranties that, by their terms, refer to a specific date, in which case as of such specific date).</w:t>
      </w:r>
    </w:p>
    <w:p>
      <w:pPr>
        <w:spacing w:after="0" w:line="187" w:lineRule="exact"/>
        <w:rPr>
          <w:rFonts w:ascii="Times New Roman" w:cs="Times New Roman" w:eastAsia="Times New Roman" w:hAnsi="Times New Roman"/>
          <w:sz w:val="20"/>
          <w:szCs w:val="20"/>
          <w:color w:val="auto"/>
        </w:rPr>
      </w:pPr>
    </w:p>
    <w:p>
      <w:pPr>
        <w:ind w:left="1998" w:hanging="648"/>
        <w:spacing w:after="0"/>
        <w:tabs>
          <w:tab w:leader="none" w:pos="1998" w:val="left"/>
        </w:tabs>
        <w:numPr>
          <w:ilvl w:val="2"/>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Default or Event of Default shall exist after giving effect to this Amendment.</w:t>
      </w:r>
    </w:p>
    <w:p>
      <w:pPr>
        <w:spacing w:after="0" w:line="215" w:lineRule="exact"/>
        <w:rPr>
          <w:rFonts w:ascii="Times New Roman" w:cs="Times New Roman" w:eastAsia="Times New Roman" w:hAnsi="Times New Roman"/>
          <w:sz w:val="20"/>
          <w:szCs w:val="20"/>
          <w:color w:val="auto"/>
        </w:rPr>
      </w:pPr>
    </w:p>
    <w:p>
      <w:pPr>
        <w:jc w:val="both"/>
        <w:ind w:left="58" w:firstLine="643"/>
        <w:spacing w:after="0" w:line="213" w:lineRule="auto"/>
        <w:tabs>
          <w:tab w:leader="none" w:pos="1245" w:val="left"/>
        </w:tabs>
        <w:numPr>
          <w:ilvl w:val="1"/>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Limited Effect</w:t>
      </w:r>
      <w:r>
        <w:rPr>
          <w:rFonts w:ascii="Times New Roman" w:cs="Times New Roman" w:eastAsia="Times New Roman" w:hAnsi="Times New Roman"/>
          <w:sz w:val="20"/>
          <w:szCs w:val="20"/>
          <w:color w:val="auto"/>
        </w:rPr>
        <w:t>. Except as expressly provided herein, the Credit Agreement and the other Loan Documents shall remain unmodified and in full force and effect. This Amendment shall not be deemed (a) to be a waiver of, consent to, or a modification or amendment of any other term or condition of the Credit Agreement or any other Loan Document, (b) to prejudice any right or rights which the Administrative Agent or the Lenders may now have or may have in the future under or in connection with the Credit Agreement or the other Loan Documents or any of the instruments or agreements referred to therein, as the same may be amended, restated, supplemented or modified from time to time, (c) to be a commitment or any other undertaking or expression of any willingness to engage in any further discussion with the Credit Parties or any of their respective Subsidiaries or any other Person with respect to any other waiver, amendment, modification or any other change to the Credit Agreement or the Loan Documents or any rights or remedies arising in favor of the Lenders or the Administrative Agent, or any of them, under</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18" w:hanging="218"/>
        <w:spacing w:after="0"/>
        <w:tabs>
          <w:tab w:leader="none" w:pos="218"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14"/>
          <w:szCs w:val="14"/>
          <w:color w:val="auto"/>
        </w:rPr>
        <w:t>165310015_4</w:t>
      </w:r>
    </w:p>
    <w:p>
      <w:pPr>
        <w:sectPr>
          <w:pgSz w:w="11900" w:h="16838" w:orient="portrait"/>
          <w:cols w:equalWidth="0" w:num="1">
            <w:col w:w="11078"/>
          </w:cols>
          <w:pgMar w:left="382" w:top="1413" w:right="439" w:bottom="1440" w:gutter="0" w:footer="0" w:header="0"/>
        </w:sectPr>
      </w:pPr>
    </w:p>
    <w:bookmarkStart w:id="59" w:name="page60"/>
    <w:bookmarkEnd w:id="59"/>
    <w:p>
      <w:pPr>
        <w:ind w:left="60"/>
        <w:spacing w:after="0"/>
        <w:rPr>
          <w:sz w:val="20"/>
          <w:szCs w:val="20"/>
          <w:color w:val="auto"/>
        </w:rPr>
      </w:pPr>
      <w:r>
        <w:rPr>
          <w:rFonts w:ascii="Times New Roman" w:cs="Times New Roman" w:eastAsia="Times New Roman" w:hAnsi="Times New Roman"/>
          <w:sz w:val="20"/>
          <w:szCs w:val="20"/>
          <w:color w:val="auto"/>
        </w:rPr>
        <w:t>or with respect to any such documents or (d) to be a waiver of, or consent to, or a modification or amendment of, any other term or</w:t>
      </w:r>
    </w:p>
    <w:p>
      <w:pPr>
        <w:jc w:val="both"/>
        <w:ind w:left="60"/>
        <w:spacing w:after="0" w:line="215" w:lineRule="auto"/>
        <w:rPr>
          <w:sz w:val="20"/>
          <w:szCs w:val="20"/>
          <w:color w:val="auto"/>
        </w:rPr>
      </w:pPr>
      <w:r>
        <w:rPr>
          <w:rFonts w:ascii="Times New Roman" w:cs="Times New Roman" w:eastAsia="Times New Roman" w:hAnsi="Times New Roman"/>
          <w:sz w:val="19"/>
          <w:szCs w:val="19"/>
          <w:color w:val="auto"/>
        </w:rPr>
        <w:t>condition of any other agreement by and among the Credit Parties, on the one hand, and the Administrative Agent or any other Lender, on the other hand. References in the Credit Agreement to “this Agreement” (and indirect references such as “hereunder”, “hereby”, “herein”,</w:t>
      </w:r>
    </w:p>
    <w:p>
      <w:pPr>
        <w:ind w:left="60"/>
        <w:spacing w:after="0" w:line="222" w:lineRule="auto"/>
        <w:rPr>
          <w:sz w:val="20"/>
          <w:szCs w:val="20"/>
          <w:color w:val="auto"/>
        </w:rPr>
      </w:pPr>
      <w:r>
        <w:rPr>
          <w:rFonts w:ascii="Times New Roman" w:cs="Times New Roman" w:eastAsia="Times New Roman" w:hAnsi="Times New Roman"/>
          <w:sz w:val="19"/>
          <w:szCs w:val="19"/>
          <w:color w:val="auto"/>
        </w:rPr>
        <w:t>“hereof” or other words of like import) and in any other Loan Document to the “Credit Agreement” shall be deemed to be references to the</w:t>
      </w:r>
    </w:p>
    <w:p>
      <w:pPr>
        <w:ind w:left="60"/>
        <w:spacing w:after="0" w:line="204" w:lineRule="auto"/>
        <w:rPr>
          <w:sz w:val="20"/>
          <w:szCs w:val="20"/>
          <w:color w:val="auto"/>
        </w:rPr>
      </w:pPr>
      <w:r>
        <w:rPr>
          <w:rFonts w:ascii="Times New Roman" w:cs="Times New Roman" w:eastAsia="Times New Roman" w:hAnsi="Times New Roman"/>
          <w:sz w:val="20"/>
          <w:szCs w:val="20"/>
          <w:color w:val="auto"/>
        </w:rPr>
        <w:t>Credit Agreement as modified hereby. Without limiting the generality of the foregoing, the execution and delivery of this Amendment (including the annexes hereto) shall not constitute a novation of any indebtedness or other obligations owing to the Lenders or the</w:t>
      </w:r>
    </w:p>
    <w:p>
      <w:pPr>
        <w:spacing w:after="0" w:line="1" w:lineRule="exact"/>
        <w:rPr>
          <w:sz w:val="20"/>
          <w:szCs w:val="20"/>
          <w:color w:val="auto"/>
        </w:rPr>
      </w:pPr>
    </w:p>
    <w:p>
      <w:pPr>
        <w:ind w:left="60"/>
        <w:spacing w:after="0" w:line="228" w:lineRule="auto"/>
        <w:rPr>
          <w:sz w:val="20"/>
          <w:szCs w:val="20"/>
          <w:color w:val="auto"/>
        </w:rPr>
      </w:pPr>
      <w:r>
        <w:rPr>
          <w:rFonts w:ascii="Times New Roman" w:cs="Times New Roman" w:eastAsia="Times New Roman" w:hAnsi="Times New Roman"/>
          <w:sz w:val="20"/>
          <w:szCs w:val="20"/>
          <w:color w:val="auto"/>
        </w:rPr>
        <w:t>Administrative Agent under the Credit Agreement based on facts or events occurring or existing prior to the execution and delivery of this Amendment.</w:t>
      </w:r>
    </w:p>
    <w:p>
      <w:pPr>
        <w:spacing w:after="0" w:line="189" w:lineRule="exact"/>
        <w:rPr>
          <w:sz w:val="20"/>
          <w:szCs w:val="20"/>
          <w:color w:val="auto"/>
        </w:rPr>
      </w:pPr>
    </w:p>
    <w:p>
      <w:pPr>
        <w:jc w:val="both"/>
        <w:ind w:left="60" w:firstLine="643"/>
        <w:spacing w:after="0" w:line="213" w:lineRule="auto"/>
        <w:tabs>
          <w:tab w:leader="none" w:pos="1247" w:val="left"/>
        </w:tabs>
        <w:numPr>
          <w:ilvl w:val="1"/>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Reaffirmation</w:t>
      </w:r>
      <w:r>
        <w:rPr>
          <w:rFonts w:ascii="Times New Roman" w:cs="Times New Roman" w:eastAsia="Times New Roman" w:hAnsi="Times New Roman"/>
          <w:sz w:val="20"/>
          <w:szCs w:val="20"/>
          <w:color w:val="auto"/>
        </w:rPr>
        <w:t>. By its execution hereof, each Credit Party (a) consents to this Amendment and agrees that the transactions contemplated by this Amendment shall not limit or diminish the obligations of such Person, or release such Person from any obligations, under any of the Loan Documents to which it is a party, (b) confirms and reaffirms its obligations under each of the Loan Documents to which it is a party and</w:t>
      </w:r>
    </w:p>
    <w:p>
      <w:pPr>
        <w:spacing w:after="0" w:line="2" w:lineRule="exact"/>
        <w:rPr>
          <w:rFonts w:ascii="Times New Roman" w:cs="Times New Roman" w:eastAsia="Times New Roman" w:hAnsi="Times New Roman"/>
          <w:sz w:val="20"/>
          <w:szCs w:val="20"/>
          <w:color w:val="auto"/>
        </w:rPr>
      </w:pPr>
    </w:p>
    <w:p>
      <w:pPr>
        <w:ind w:left="320" w:hanging="264"/>
        <w:spacing w:after="0"/>
        <w:tabs>
          <w:tab w:leader="none" w:pos="3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agrees that each of the Loan Documents to which it is a party remain in full force and effect and are hereby ratified and confirmed.</w:t>
      </w:r>
    </w:p>
    <w:p>
      <w:pPr>
        <w:spacing w:after="0" w:line="193" w:lineRule="exact"/>
        <w:rPr>
          <w:rFonts w:ascii="Times New Roman" w:cs="Times New Roman" w:eastAsia="Times New Roman" w:hAnsi="Times New Roman"/>
          <w:sz w:val="20"/>
          <w:szCs w:val="20"/>
          <w:color w:val="auto"/>
        </w:rPr>
      </w:pPr>
    </w:p>
    <w:p>
      <w:pPr>
        <w:jc w:val="both"/>
        <w:ind w:left="60" w:firstLine="644"/>
        <w:spacing w:after="0" w:line="213" w:lineRule="auto"/>
        <w:tabs>
          <w:tab w:leader="none" w:pos="1248"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Execution in Counterparts</w:t>
      </w:r>
      <w:r>
        <w:rPr>
          <w:rFonts w:ascii="Times New Roman" w:cs="Times New Roman" w:eastAsia="Times New Roman" w:hAnsi="Times New Roman"/>
          <w:sz w:val="20"/>
          <w:szCs w:val="20"/>
          <w:color w:val="auto"/>
        </w:rPr>
        <w:t>. This Amendment may be executed in counterparts (and by different parties hereto in different counterparts), each of which shall constitute an original, but all of which when taken together shall constitute a single contract. Delivery of an executed counterpart of a signature page of this Amendment by facsimile or in electronic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20"/>
          <w:szCs w:val="20"/>
          <w:color w:val="auto"/>
        </w:rPr>
        <w:t xml:space="preserve">, “pdf” or “tif”) format shall be effective as delivery of a manually executed counterpart of this Amendment. The execution and delivery of this Amendment shall be deemed to include Electronic Signatures on electronic platforms approved by the Administrative Agent, which shall be of the same legal effect, validity or enforceability as delivery of a manually executed signature,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upon the request of any party hereto, such Electronic Signature shall be promptly followed by the original thereof</w:t>
      </w:r>
    </w:p>
    <w:p>
      <w:pPr>
        <w:spacing w:after="0" w:line="188" w:lineRule="exact"/>
        <w:rPr>
          <w:rFonts w:ascii="Times New Roman" w:cs="Times New Roman" w:eastAsia="Times New Roman" w:hAnsi="Times New Roman"/>
          <w:sz w:val="20"/>
          <w:szCs w:val="20"/>
          <w:color w:val="auto"/>
        </w:rPr>
      </w:pPr>
    </w:p>
    <w:p>
      <w:pPr>
        <w:jc w:val="both"/>
        <w:ind w:left="60" w:firstLine="644"/>
        <w:spacing w:after="0" w:line="222" w:lineRule="auto"/>
        <w:tabs>
          <w:tab w:leader="none" w:pos="1248"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AMENDMENT AND ANY CLAIM, CONTROVERSY, DISPUTE OR CAUSE OF ACTION (WHETHER IN CONTRACT OR TORT OR OTHERWISE) BASED UPON, ARISING OUT OF OR RELATING TO THIS AMENDMENT AND THE TRANSACTIONS CONTEMPLATED HEREBY SHALL BE GOVERNED BY, AND CONSTRUED IN ACCORDANCE WITH, THE LAW OF THE STATE OF NEW YORK.</w:t>
      </w:r>
    </w:p>
    <w:p>
      <w:pPr>
        <w:spacing w:after="0" w:line="188" w:lineRule="exact"/>
        <w:rPr>
          <w:rFonts w:ascii="Times New Roman" w:cs="Times New Roman" w:eastAsia="Times New Roman" w:hAnsi="Times New Roman"/>
          <w:sz w:val="20"/>
          <w:szCs w:val="20"/>
          <w:color w:val="auto"/>
        </w:rPr>
      </w:pPr>
    </w:p>
    <w:p>
      <w:pPr>
        <w:jc w:val="both"/>
        <w:ind w:left="60" w:firstLine="644"/>
        <w:spacing w:after="0" w:line="237" w:lineRule="auto"/>
        <w:tabs>
          <w:tab w:leader="none" w:pos="1240" w:val="left"/>
        </w:tabs>
        <w:numPr>
          <w:ilvl w:val="1"/>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Entire Agreement</w:t>
      </w:r>
      <w:r>
        <w:rPr>
          <w:rFonts w:ascii="Times New Roman" w:cs="Times New Roman" w:eastAsia="Times New Roman" w:hAnsi="Times New Roman"/>
          <w:sz w:val="19"/>
          <w:szCs w:val="19"/>
          <w:color w:val="auto"/>
        </w:rPr>
        <w:t>. This Amendment and the other Loan Documents, and any separate letter agreements with respect to fees payable to the Administrative Agent and/or the Lead Arrangers, constitute the entire agreement among the parties relating to the subject matter hereof and supersede any and all previous agreements and understandings, oral or written, relating to the subject matter hereof.</w:t>
      </w:r>
    </w:p>
    <w:p>
      <w:pPr>
        <w:spacing w:after="0" w:line="203" w:lineRule="exact"/>
        <w:rPr>
          <w:rFonts w:ascii="Times New Roman" w:cs="Times New Roman" w:eastAsia="Times New Roman" w:hAnsi="Times New Roman"/>
          <w:sz w:val="19"/>
          <w:szCs w:val="19"/>
          <w:color w:val="auto"/>
        </w:rPr>
      </w:pPr>
    </w:p>
    <w:p>
      <w:pPr>
        <w:ind w:left="60" w:firstLine="644"/>
        <w:spacing w:after="0" w:line="283" w:lineRule="auto"/>
        <w:tabs>
          <w:tab w:leader="none" w:pos="1231"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Successors and Assigns</w:t>
      </w:r>
      <w:r>
        <w:rPr>
          <w:rFonts w:ascii="Times New Roman" w:cs="Times New Roman" w:eastAsia="Times New Roman" w:hAnsi="Times New Roman"/>
          <w:sz w:val="20"/>
          <w:szCs w:val="20"/>
          <w:color w:val="auto"/>
        </w:rPr>
        <w:t>. This Amendment shall be binding on and inure to the benefit of the parties and their heirs, beneficiaries, successors and permitted assigns.</w:t>
      </w:r>
    </w:p>
    <w:p>
      <w:pPr>
        <w:spacing w:after="0" w:line="1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4 </w:t>
      </w:r>
      <w:r>
        <w:rPr>
          <w:rFonts w:ascii="Times New Roman" w:cs="Times New Roman" w:eastAsia="Times New Roman" w:hAnsi="Times New Roman"/>
          <w:sz w:val="14"/>
          <w:szCs w:val="14"/>
          <w:color w:val="auto"/>
        </w:rPr>
        <w:t>165310015_4</w:t>
      </w:r>
    </w:p>
    <w:p>
      <w:pPr>
        <w:sectPr>
          <w:pgSz w:w="11900" w:h="16838" w:orient="portrait"/>
          <w:cols w:equalWidth="0" w:num="1">
            <w:col w:w="11080"/>
          </w:cols>
          <w:pgMar w:left="380" w:top="1394" w:right="439" w:bottom="1440" w:gutter="0" w:footer="0" w:header="0"/>
        </w:sectPr>
      </w:pPr>
    </w:p>
    <w:bookmarkStart w:id="60" w:name="page61"/>
    <w:bookmarkEnd w:id="60"/>
    <w:p>
      <w:pPr>
        <w:spacing w:after="0" w:line="324"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0"/>
          <w:szCs w:val="20"/>
          <w:color w:val="auto"/>
        </w:rPr>
        <w:t>IN WITNESS WHEREOF, the parties hereto have caused this Amendment to be executed under seal by their duly authorized officers, all as of the day and year first written above.</w:t>
      </w:r>
    </w:p>
    <w:p>
      <w:pPr>
        <w:spacing w:after="0" w:line="200" w:lineRule="exact"/>
        <w:rPr>
          <w:sz w:val="20"/>
          <w:szCs w:val="20"/>
          <w:color w:val="auto"/>
        </w:rPr>
      </w:pPr>
    </w:p>
    <w:p>
      <w:pPr>
        <w:spacing w:after="0" w:line="23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20"/>
          <w:szCs w:val="20"/>
          <w:u w:val="single" w:color="auto"/>
          <w:color w:val="auto"/>
        </w:rPr>
        <w:t>BORROWERS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59"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color w:val="auto"/>
        </w:rPr>
        <w:t>CENTURI GROUP, INC.</w:t>
      </w:r>
    </w:p>
    <w:p>
      <w:pPr>
        <w:spacing w:after="0" w:line="210"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Kevin L. Neill</w:t>
      </w:r>
      <w:r>
        <w:rPr>
          <w:rFonts w:ascii="Times New Roman" w:cs="Times New Roman" w:eastAsia="Times New Roman" w:hAnsi="Times New Roman"/>
          <w:sz w:val="20"/>
          <w:szCs w:val="20"/>
          <w:color w:val="auto"/>
        </w:rPr>
        <w:t xml:space="preserve"> Name: Kevin L. Neill</w:t>
      </w:r>
    </w:p>
    <w:p>
      <w:pPr>
        <w:ind w:left="3880"/>
        <w:spacing w:after="0"/>
        <w:rPr>
          <w:sz w:val="20"/>
          <w:szCs w:val="20"/>
          <w:color w:val="auto"/>
        </w:rPr>
      </w:pPr>
      <w:r>
        <w:rPr>
          <w:rFonts w:ascii="Times New Roman" w:cs="Times New Roman" w:eastAsia="Times New Roman" w:hAnsi="Times New Roman"/>
          <w:sz w:val="20"/>
          <w:szCs w:val="20"/>
          <w:color w:val="auto"/>
        </w:rPr>
        <w:t>Title: Executive Vice President/Asst. Chief Financial Officer and Treasurer</w:t>
      </w:r>
    </w:p>
    <w:p>
      <w:pPr>
        <w:spacing w:after="0" w:line="200" w:lineRule="exact"/>
        <w:rPr>
          <w:sz w:val="20"/>
          <w:szCs w:val="20"/>
          <w:color w:val="auto"/>
        </w:rPr>
      </w:pPr>
    </w:p>
    <w:p>
      <w:pPr>
        <w:spacing w:after="0" w:line="223"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color w:val="auto"/>
        </w:rPr>
        <w:t>CENTURI CANADA DIVISION INC.</w:t>
      </w:r>
    </w:p>
    <w:p>
      <w:pPr>
        <w:spacing w:after="0" w:line="210"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Kevin L. Neill</w:t>
      </w:r>
      <w:r>
        <w:rPr>
          <w:rFonts w:ascii="Times New Roman" w:cs="Times New Roman" w:eastAsia="Times New Roman" w:hAnsi="Times New Roman"/>
          <w:sz w:val="20"/>
          <w:szCs w:val="20"/>
          <w:color w:val="auto"/>
        </w:rPr>
        <w:t xml:space="preserve"> Name: Kevin L. Neill Title:</w:t>
      </w:r>
    </w:p>
    <w:p>
      <w:pPr>
        <w:ind w:left="3880"/>
        <w:spacing w:after="0"/>
        <w:rPr>
          <w:sz w:val="20"/>
          <w:szCs w:val="20"/>
          <w:color w:val="auto"/>
        </w:rPr>
      </w:pPr>
      <w:r>
        <w:rPr>
          <w:rFonts w:ascii="Times New Roman" w:cs="Times New Roman" w:eastAsia="Times New Roman" w:hAnsi="Times New Roman"/>
          <w:sz w:val="20"/>
          <w:szCs w:val="20"/>
          <w:color w:val="auto"/>
        </w:rPr>
        <w:t>Treasurer</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4740"/>
        <w:spacing w:after="0"/>
        <w:rPr>
          <w:sz w:val="20"/>
          <w:szCs w:val="20"/>
          <w:color w:val="auto"/>
        </w:rPr>
      </w:pPr>
      <w:r>
        <w:rPr>
          <w:rFonts w:ascii="Times New Roman" w:cs="Times New Roman" w:eastAsia="Times New Roman" w:hAnsi="Times New Roman"/>
          <w:sz w:val="16"/>
          <w:szCs w:val="16"/>
          <w:color w:val="auto"/>
        </w:rPr>
        <w:t>Centuri Group, Inc.</w:t>
      </w:r>
    </w:p>
    <w:p>
      <w:pPr>
        <w:spacing w:after="0" w:line="23" w:lineRule="exact"/>
        <w:rPr>
          <w:sz w:val="20"/>
          <w:szCs w:val="20"/>
          <w:color w:val="auto"/>
        </w:rPr>
      </w:pPr>
    </w:p>
    <w:p>
      <w:pPr>
        <w:jc w:val="center"/>
        <w:ind w:right="4740"/>
        <w:spacing w:after="0"/>
        <w:rPr>
          <w:sz w:val="20"/>
          <w:szCs w:val="20"/>
          <w:color w:val="auto"/>
        </w:rPr>
      </w:pPr>
      <w:r>
        <w:rPr>
          <w:rFonts w:ascii="Times New Roman" w:cs="Times New Roman" w:eastAsia="Times New Roman" w:hAnsi="Times New Roman"/>
          <w:sz w:val="16"/>
          <w:szCs w:val="16"/>
          <w:color w:val="auto"/>
        </w:rPr>
        <w:t>First Amendment to Second Amended and Restated Credit Agreement Signature Page</w:t>
      </w:r>
    </w:p>
    <w:p>
      <w:pPr>
        <w:sectPr>
          <w:pgSz w:w="11900" w:h="16838" w:orient="portrait"/>
          <w:cols w:equalWidth="0" w:num="1">
            <w:col w:w="10580"/>
          </w:cols>
          <w:pgMar w:left="440" w:top="1440" w:right="879" w:bottom="1440" w:gutter="0" w:footer="0" w:header="0"/>
        </w:sectPr>
      </w:pPr>
    </w:p>
    <w:bookmarkStart w:id="61" w:name="page62"/>
    <w:bookmarkEnd w:id="61"/>
    <w:p>
      <w:pPr>
        <w:ind w:left="4440"/>
        <w:spacing w:after="0"/>
        <w:rPr>
          <w:sz w:val="20"/>
          <w:szCs w:val="20"/>
          <w:color w:val="auto"/>
        </w:rPr>
      </w:pPr>
      <w:r>
        <w:rPr>
          <w:rFonts w:ascii="Times New Roman" w:cs="Times New Roman" w:eastAsia="Times New Roman" w:hAnsi="Times New Roman"/>
          <w:sz w:val="20"/>
          <w:szCs w:val="20"/>
          <w:u w:val="single" w:color="auto"/>
          <w:color w:val="auto"/>
        </w:rPr>
        <w:t>GUARANTORS</w:t>
      </w:r>
      <w:r>
        <w:rPr>
          <w:rFonts w:ascii="Times New Roman" w:cs="Times New Roman" w:eastAsia="Times New Roman" w:hAnsi="Times New Roman"/>
          <w:sz w:val="20"/>
          <w:szCs w:val="20"/>
          <w:color w:val="auto"/>
        </w:rPr>
        <w:t>:</w:t>
      </w:r>
    </w:p>
    <w:p>
      <w:pPr>
        <w:spacing w:after="0" w:line="283"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0"/>
          <w:szCs w:val="20"/>
          <w:color w:val="auto"/>
        </w:rPr>
        <w:t>CANYON PIPELINE CONSTRUCTION, INC.</w:t>
      </w:r>
    </w:p>
    <w:p>
      <w:pPr>
        <w:spacing w:after="0" w:line="216"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Kevin L. Neill</w:t>
      </w:r>
      <w:r>
        <w:rPr>
          <w:rFonts w:ascii="Times New Roman" w:cs="Times New Roman" w:eastAsia="Times New Roman" w:hAnsi="Times New Roman"/>
          <w:sz w:val="20"/>
          <w:szCs w:val="20"/>
          <w:color w:val="auto"/>
        </w:rPr>
        <w:t xml:space="preserve"> Name: Kevin L. Neill Title: Treasurer</w:t>
      </w:r>
    </w:p>
    <w:p>
      <w:pPr>
        <w:spacing w:after="0" w:line="20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0"/>
          <w:szCs w:val="20"/>
          <w:color w:val="auto"/>
        </w:rPr>
        <w:t>CANYON SPECIAL PROJECTS LLC</w:t>
      </w:r>
    </w:p>
    <w:p>
      <w:pPr>
        <w:spacing w:after="0" w:line="210"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Gregory A. Izenstark</w:t>
      </w:r>
      <w:r>
        <w:rPr>
          <w:rFonts w:ascii="Times New Roman" w:cs="Times New Roman" w:eastAsia="Times New Roman" w:hAnsi="Times New Roman"/>
          <w:sz w:val="20"/>
          <w:szCs w:val="20"/>
          <w:color w:val="auto"/>
        </w:rPr>
        <w:t xml:space="preserve"> Name: Gregory A. Izenstark Title:</w:t>
      </w:r>
    </w:p>
    <w:p>
      <w:pPr>
        <w:ind w:left="3160"/>
        <w:spacing w:after="0"/>
        <w:rPr>
          <w:sz w:val="20"/>
          <w:szCs w:val="20"/>
          <w:color w:val="auto"/>
        </w:rPr>
      </w:pPr>
      <w:r>
        <w:rPr>
          <w:rFonts w:ascii="Times New Roman" w:cs="Times New Roman" w:eastAsia="Times New Roman" w:hAnsi="Times New Roman"/>
          <w:sz w:val="20"/>
          <w:szCs w:val="20"/>
          <w:color w:val="auto"/>
        </w:rPr>
        <w:t>Treasurer</w:t>
      </w:r>
    </w:p>
    <w:p>
      <w:pPr>
        <w:spacing w:after="0" w:line="180"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0"/>
          <w:szCs w:val="20"/>
          <w:color w:val="auto"/>
        </w:rPr>
        <w:t>CANYON TRAFFIC CONTROL LLC</w:t>
      </w:r>
    </w:p>
    <w:p>
      <w:pPr>
        <w:spacing w:after="0" w:line="216"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Kevin L. Neill</w:t>
      </w:r>
      <w:r>
        <w:rPr>
          <w:rFonts w:ascii="Times New Roman" w:cs="Times New Roman" w:eastAsia="Times New Roman" w:hAnsi="Times New Roman"/>
          <w:sz w:val="20"/>
          <w:szCs w:val="20"/>
          <w:color w:val="auto"/>
        </w:rPr>
        <w:t xml:space="preserve"> Name: Kevin L. Neill Title: Treasurer</w:t>
      </w:r>
    </w:p>
    <w:p>
      <w:pPr>
        <w:spacing w:after="0" w:line="216"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0"/>
          <w:szCs w:val="20"/>
          <w:color w:val="auto"/>
        </w:rPr>
        <w:t>CENTURI OIL &amp; GAS GROUP LLC</w:t>
      </w:r>
    </w:p>
    <w:p>
      <w:pPr>
        <w:spacing w:after="0" w:line="20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Kevin L. Neill</w:t>
      </w:r>
      <w:r>
        <w:rPr>
          <w:rFonts w:ascii="Times New Roman" w:cs="Times New Roman" w:eastAsia="Times New Roman" w:hAnsi="Times New Roman"/>
          <w:sz w:val="20"/>
          <w:szCs w:val="20"/>
          <w:color w:val="auto"/>
        </w:rPr>
        <w:t xml:space="preserve"> Name: Kevin L. Neill Title: Treasurer</w:t>
      </w:r>
    </w:p>
    <w:p>
      <w:pPr>
        <w:spacing w:after="0" w:line="216"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0"/>
          <w:szCs w:val="20"/>
          <w:color w:val="auto"/>
        </w:rPr>
        <w:t>CENTURI POWER GROUP LLC</w:t>
      </w:r>
    </w:p>
    <w:p>
      <w:pPr>
        <w:spacing w:after="0" w:line="216"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Kevin L. Neill</w:t>
      </w:r>
      <w:r>
        <w:rPr>
          <w:rFonts w:ascii="Times New Roman" w:cs="Times New Roman" w:eastAsia="Times New Roman" w:hAnsi="Times New Roman"/>
          <w:sz w:val="20"/>
          <w:szCs w:val="20"/>
          <w:color w:val="auto"/>
        </w:rPr>
        <w:t xml:space="preserve"> Name: Kevin L. Neill Title: Treasurer</w:t>
      </w:r>
    </w:p>
    <w:p>
      <w:pPr>
        <w:spacing w:after="0" w:line="216"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0"/>
          <w:szCs w:val="20"/>
          <w:color w:val="auto"/>
        </w:rPr>
        <w:t>CENTURI SERVICES GROUP LLC</w:t>
      </w:r>
    </w:p>
    <w:p>
      <w:pPr>
        <w:spacing w:after="0" w:line="216"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Kevin L. Neill</w:t>
      </w:r>
      <w:r>
        <w:rPr>
          <w:rFonts w:ascii="Times New Roman" w:cs="Times New Roman" w:eastAsia="Times New Roman" w:hAnsi="Times New Roman"/>
          <w:sz w:val="20"/>
          <w:szCs w:val="20"/>
          <w:color w:val="auto"/>
        </w:rPr>
        <w:t xml:space="preserve"> Name: Kevin L. Neill Title: Treasurer</w:t>
      </w:r>
    </w:p>
    <w:p>
      <w:pPr>
        <w:spacing w:after="0" w:line="216"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0"/>
          <w:szCs w:val="20"/>
          <w:color w:val="auto"/>
        </w:rPr>
        <w:t>CENTURI U.S. DIVISION, INC.</w:t>
      </w:r>
    </w:p>
    <w:p>
      <w:pPr>
        <w:spacing w:after="0" w:line="216"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Kevin L. Neill</w:t>
      </w:r>
      <w:r>
        <w:rPr>
          <w:rFonts w:ascii="Times New Roman" w:cs="Times New Roman" w:eastAsia="Times New Roman" w:hAnsi="Times New Roman"/>
          <w:sz w:val="20"/>
          <w:szCs w:val="20"/>
          <w:color w:val="auto"/>
        </w:rPr>
        <w:t xml:space="preserve"> Name: Kevin L. Neill Title: Treasurer</w:t>
      </w:r>
    </w:p>
    <w:p>
      <w:pPr>
        <w:spacing w:after="0" w:line="20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0"/>
          <w:szCs w:val="20"/>
          <w:color w:val="auto"/>
        </w:rPr>
        <w:t>ELECTRIC T&amp;D DIVISION LLC</w:t>
      </w:r>
    </w:p>
    <w:p>
      <w:pPr>
        <w:spacing w:after="0" w:line="216"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Kevin L. Neill</w:t>
      </w:r>
      <w:r>
        <w:rPr>
          <w:rFonts w:ascii="Times New Roman" w:cs="Times New Roman" w:eastAsia="Times New Roman" w:hAnsi="Times New Roman"/>
          <w:sz w:val="20"/>
          <w:szCs w:val="20"/>
          <w:color w:val="auto"/>
        </w:rPr>
        <w:t xml:space="preserve"> Name: Kevin L. Neill Title: Treasurer</w:t>
      </w:r>
    </w:p>
    <w:p>
      <w:pPr>
        <w:spacing w:after="0" w:line="8"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0"/>
          <w:szCs w:val="20"/>
          <w:color w:val="auto"/>
        </w:rPr>
        <w:t>ELECTRIC T&amp;D HOLDINGS LLC</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4079"/>
        <w:spacing w:after="0"/>
        <w:rPr>
          <w:sz w:val="20"/>
          <w:szCs w:val="20"/>
          <w:color w:val="auto"/>
        </w:rPr>
      </w:pPr>
      <w:r>
        <w:rPr>
          <w:rFonts w:ascii="Times New Roman" w:cs="Times New Roman" w:eastAsia="Times New Roman" w:hAnsi="Times New Roman"/>
          <w:sz w:val="16"/>
          <w:szCs w:val="16"/>
          <w:color w:val="auto"/>
        </w:rPr>
        <w:t>Centuri Group, Inc.</w:t>
      </w:r>
    </w:p>
    <w:p>
      <w:pPr>
        <w:spacing w:after="0" w:line="23" w:lineRule="exact"/>
        <w:rPr>
          <w:sz w:val="20"/>
          <w:szCs w:val="20"/>
          <w:color w:val="auto"/>
        </w:rPr>
      </w:pPr>
    </w:p>
    <w:p>
      <w:pPr>
        <w:jc w:val="center"/>
        <w:ind w:right="4079"/>
        <w:spacing w:after="0"/>
        <w:rPr>
          <w:sz w:val="20"/>
          <w:szCs w:val="20"/>
          <w:color w:val="auto"/>
        </w:rPr>
      </w:pPr>
      <w:r>
        <w:rPr>
          <w:rFonts w:ascii="Times New Roman" w:cs="Times New Roman" w:eastAsia="Times New Roman" w:hAnsi="Times New Roman"/>
          <w:sz w:val="16"/>
          <w:szCs w:val="16"/>
          <w:color w:val="auto"/>
        </w:rPr>
        <w:t>First Amendment to Second Amended and Restated Credit Agreement Signature Page</w:t>
      </w:r>
    </w:p>
    <w:p>
      <w:pPr>
        <w:sectPr>
          <w:pgSz w:w="11900" w:h="16838" w:orient="portrait"/>
          <w:cols w:equalWidth="0" w:num="1">
            <w:col w:w="9659"/>
          </w:cols>
          <w:pgMar w:left="800" w:top="1399" w:right="1440" w:bottom="1440" w:gutter="0" w:footer="0" w:header="0"/>
        </w:sectPr>
      </w:pPr>
    </w:p>
    <w:bookmarkStart w:id="62" w:name="page63"/>
    <w:bookmarkEnd w:id="62"/>
    <w:p>
      <w:pPr>
        <w:ind w:left="322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Kevin L. Neill</w:t>
      </w:r>
      <w:r>
        <w:rPr>
          <w:rFonts w:ascii="Times New Roman" w:cs="Times New Roman" w:eastAsia="Times New Roman" w:hAnsi="Times New Roman"/>
          <w:sz w:val="20"/>
          <w:szCs w:val="20"/>
          <w:color w:val="auto"/>
        </w:rPr>
        <w:t xml:space="preserve"> Name: Kevin L. Neill Title: Treasurer</w:t>
      </w:r>
    </w:p>
    <w:p>
      <w:pPr>
        <w:spacing w:after="0" w:line="216"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0"/>
          <w:szCs w:val="20"/>
          <w:color w:val="auto"/>
        </w:rPr>
        <w:t>INTELLICHOICE ENERGY, LLC</w:t>
      </w:r>
    </w:p>
    <w:p>
      <w:pPr>
        <w:spacing w:after="0" w:line="210"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Gregory A. Izenstark</w:t>
      </w:r>
      <w:r>
        <w:rPr>
          <w:rFonts w:ascii="Times New Roman" w:cs="Times New Roman" w:eastAsia="Times New Roman" w:hAnsi="Times New Roman"/>
          <w:sz w:val="20"/>
          <w:szCs w:val="20"/>
          <w:color w:val="auto"/>
        </w:rPr>
        <w:t xml:space="preserve"> Name: Gregory A. Izenstark Title:</w:t>
      </w:r>
    </w:p>
    <w:p>
      <w:pPr>
        <w:ind w:left="3220"/>
        <w:spacing w:after="0"/>
        <w:rPr>
          <w:sz w:val="20"/>
          <w:szCs w:val="20"/>
          <w:color w:val="auto"/>
        </w:rPr>
      </w:pPr>
      <w:r>
        <w:rPr>
          <w:rFonts w:ascii="Times New Roman" w:cs="Times New Roman" w:eastAsia="Times New Roman" w:hAnsi="Times New Roman"/>
          <w:sz w:val="20"/>
          <w:szCs w:val="20"/>
          <w:color w:val="auto"/>
        </w:rPr>
        <w:t>Treasurer</w:t>
      </w:r>
    </w:p>
    <w:p>
      <w:pPr>
        <w:spacing w:after="0" w:line="180"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0"/>
          <w:szCs w:val="20"/>
          <w:color w:val="auto"/>
        </w:rPr>
        <w:t>INTELLICHOICE ENERGY OF CALIFORNIA, LLC</w:t>
      </w:r>
    </w:p>
    <w:p>
      <w:pPr>
        <w:spacing w:after="0" w:line="210"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Gregory A. Izenstark</w:t>
      </w:r>
      <w:r>
        <w:rPr>
          <w:rFonts w:ascii="Times New Roman" w:cs="Times New Roman" w:eastAsia="Times New Roman" w:hAnsi="Times New Roman"/>
          <w:sz w:val="20"/>
          <w:szCs w:val="20"/>
          <w:color w:val="auto"/>
        </w:rPr>
        <w:t xml:space="preserve"> Name: Gregory A. Izenstark Title:</w:t>
      </w:r>
    </w:p>
    <w:p>
      <w:pPr>
        <w:ind w:left="3220"/>
        <w:spacing w:after="0"/>
        <w:rPr>
          <w:sz w:val="20"/>
          <w:szCs w:val="20"/>
          <w:color w:val="auto"/>
        </w:rPr>
      </w:pPr>
      <w:r>
        <w:rPr>
          <w:rFonts w:ascii="Times New Roman" w:cs="Times New Roman" w:eastAsia="Times New Roman" w:hAnsi="Times New Roman"/>
          <w:sz w:val="20"/>
          <w:szCs w:val="20"/>
          <w:color w:val="auto"/>
        </w:rPr>
        <w:t>Treasurer</w:t>
      </w:r>
    </w:p>
    <w:p>
      <w:pPr>
        <w:spacing w:after="0" w:line="180"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0"/>
          <w:szCs w:val="20"/>
          <w:color w:val="auto"/>
        </w:rPr>
        <w:t>LINETEC SERVICES, LLC</w:t>
      </w:r>
    </w:p>
    <w:p>
      <w:pPr>
        <w:spacing w:after="0" w:line="229"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Kevin L. Neill</w:t>
      </w:r>
      <w:r>
        <w:rPr>
          <w:rFonts w:ascii="Times New Roman" w:cs="Times New Roman" w:eastAsia="Times New Roman" w:hAnsi="Times New Roman"/>
          <w:sz w:val="20"/>
          <w:szCs w:val="20"/>
          <w:color w:val="auto"/>
        </w:rPr>
        <w:t xml:space="preserve"> Name: Kevin L. Neill Title: Treasurer</w:t>
      </w:r>
    </w:p>
    <w:p>
      <w:pPr>
        <w:spacing w:after="0" w:line="202"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0"/>
          <w:szCs w:val="20"/>
          <w:color w:val="auto"/>
        </w:rPr>
        <w:t>MERITUS ELECTRIC T&amp;D DIVISION LLC</w:t>
      </w:r>
    </w:p>
    <w:p>
      <w:pPr>
        <w:spacing w:after="0" w:line="216"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Kevin L. Neill</w:t>
      </w:r>
      <w:r>
        <w:rPr>
          <w:rFonts w:ascii="Times New Roman" w:cs="Times New Roman" w:eastAsia="Times New Roman" w:hAnsi="Times New Roman"/>
          <w:sz w:val="20"/>
          <w:szCs w:val="20"/>
          <w:color w:val="auto"/>
        </w:rPr>
        <w:t xml:space="preserve"> Name: Kevin L. Neill Title: Treasurer</w:t>
      </w:r>
    </w:p>
    <w:p>
      <w:pPr>
        <w:spacing w:after="0" w:line="216"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0"/>
          <w:szCs w:val="20"/>
          <w:color w:val="auto"/>
        </w:rPr>
        <w:t>MERITUS OIL &amp; GAS DIVISION LLC</w:t>
      </w:r>
    </w:p>
    <w:p>
      <w:pPr>
        <w:spacing w:after="0" w:line="216"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Kevin L. Neill</w:t>
      </w:r>
      <w:r>
        <w:rPr>
          <w:rFonts w:ascii="Times New Roman" w:cs="Times New Roman" w:eastAsia="Times New Roman" w:hAnsi="Times New Roman"/>
          <w:sz w:val="20"/>
          <w:szCs w:val="20"/>
          <w:color w:val="auto"/>
        </w:rPr>
        <w:t xml:space="preserve"> Name: Kevin L. Neill Title: Treasurer</w:t>
      </w:r>
    </w:p>
    <w:p>
      <w:pPr>
        <w:spacing w:after="0" w:line="216"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0"/>
          <w:szCs w:val="20"/>
          <w:color w:val="auto"/>
        </w:rPr>
        <w:t>MERITUS SERVICES DIVISION LLC</w:t>
      </w:r>
    </w:p>
    <w:p>
      <w:pPr>
        <w:spacing w:after="0" w:line="202"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Kevin L. Neill</w:t>
      </w:r>
      <w:r>
        <w:rPr>
          <w:rFonts w:ascii="Times New Roman" w:cs="Times New Roman" w:eastAsia="Times New Roman" w:hAnsi="Times New Roman"/>
          <w:sz w:val="20"/>
          <w:szCs w:val="20"/>
          <w:color w:val="auto"/>
        </w:rPr>
        <w:t xml:space="preserve"> Name: Kevin L. Neill Title: Treasurer</w:t>
      </w:r>
    </w:p>
    <w:p>
      <w:pPr>
        <w:spacing w:after="0" w:line="216"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0"/>
          <w:szCs w:val="20"/>
          <w:color w:val="auto"/>
        </w:rPr>
        <w:t>NATIONAL BARRICADE LLC</w:t>
      </w:r>
    </w:p>
    <w:p>
      <w:pPr>
        <w:spacing w:after="0" w:line="216"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Kevin L. Neill</w:t>
      </w:r>
      <w:r>
        <w:rPr>
          <w:rFonts w:ascii="Times New Roman" w:cs="Times New Roman" w:eastAsia="Times New Roman" w:hAnsi="Times New Roman"/>
          <w:sz w:val="20"/>
          <w:szCs w:val="20"/>
          <w:color w:val="auto"/>
        </w:rPr>
        <w:t xml:space="preserve"> Name: Kevin L. Neill Title: Treasurer</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4139"/>
        <w:spacing w:after="0"/>
        <w:rPr>
          <w:sz w:val="20"/>
          <w:szCs w:val="20"/>
          <w:color w:val="auto"/>
        </w:rPr>
      </w:pPr>
      <w:r>
        <w:rPr>
          <w:rFonts w:ascii="Times New Roman" w:cs="Times New Roman" w:eastAsia="Times New Roman" w:hAnsi="Times New Roman"/>
          <w:sz w:val="16"/>
          <w:szCs w:val="16"/>
          <w:color w:val="auto"/>
        </w:rPr>
        <w:t>Centuri Group, Inc.</w:t>
      </w:r>
    </w:p>
    <w:p>
      <w:pPr>
        <w:spacing w:after="0" w:line="23" w:lineRule="exact"/>
        <w:rPr>
          <w:sz w:val="20"/>
          <w:szCs w:val="20"/>
          <w:color w:val="auto"/>
        </w:rPr>
      </w:pPr>
    </w:p>
    <w:p>
      <w:pPr>
        <w:jc w:val="center"/>
        <w:ind w:right="4139"/>
        <w:spacing w:after="0"/>
        <w:rPr>
          <w:sz w:val="20"/>
          <w:szCs w:val="20"/>
          <w:color w:val="auto"/>
        </w:rPr>
      </w:pPr>
      <w:r>
        <w:rPr>
          <w:rFonts w:ascii="Times New Roman" w:cs="Times New Roman" w:eastAsia="Times New Roman" w:hAnsi="Times New Roman"/>
          <w:sz w:val="16"/>
          <w:szCs w:val="16"/>
          <w:color w:val="auto"/>
        </w:rPr>
        <w:t>First Amendment to Second Amended and Restated Credit Agreement Signature Page</w:t>
      </w:r>
    </w:p>
    <w:p>
      <w:pPr>
        <w:sectPr>
          <w:pgSz w:w="11900" w:h="16838" w:orient="portrait"/>
          <w:cols w:equalWidth="0" w:num="1">
            <w:col w:w="9719"/>
          </w:cols>
          <w:pgMar w:left="740" w:top="1399" w:right="1440" w:bottom="1440" w:gutter="0" w:footer="0" w:header="0"/>
        </w:sectPr>
      </w:pPr>
    </w:p>
    <w:bookmarkStart w:id="63" w:name="page64"/>
    <w:bookmarkEnd w:id="63"/>
    <w:p>
      <w:pPr>
        <w:ind w:left="3220"/>
        <w:spacing w:after="0"/>
        <w:rPr>
          <w:sz w:val="20"/>
          <w:szCs w:val="20"/>
          <w:color w:val="auto"/>
        </w:rPr>
      </w:pPr>
      <w:r>
        <w:rPr>
          <w:rFonts w:ascii="Times New Roman" w:cs="Times New Roman" w:eastAsia="Times New Roman" w:hAnsi="Times New Roman"/>
          <w:sz w:val="20"/>
          <w:szCs w:val="20"/>
          <w:color w:val="auto"/>
        </w:rPr>
        <w:t>NATIONAL POWERLINE LLC</w:t>
      </w:r>
    </w:p>
    <w:p>
      <w:pPr>
        <w:spacing w:after="0" w:line="216"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Kevin L. Neill</w:t>
      </w:r>
      <w:r>
        <w:rPr>
          <w:rFonts w:ascii="Times New Roman" w:cs="Times New Roman" w:eastAsia="Times New Roman" w:hAnsi="Times New Roman"/>
          <w:sz w:val="20"/>
          <w:szCs w:val="20"/>
          <w:color w:val="auto"/>
        </w:rPr>
        <w:t xml:space="preserve"> Name: Kevin L. Neill Title: Treasurer</w:t>
      </w:r>
    </w:p>
    <w:p>
      <w:pPr>
        <w:spacing w:after="0" w:line="216"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0"/>
          <w:szCs w:val="20"/>
          <w:color w:val="auto"/>
        </w:rPr>
        <w:t>NEUCO EQUIPMENT LLC</w:t>
      </w:r>
    </w:p>
    <w:p>
      <w:pPr>
        <w:spacing w:after="0" w:line="197"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Gregory A. Izenstark</w:t>
      </w:r>
      <w:r>
        <w:rPr>
          <w:rFonts w:ascii="Times New Roman" w:cs="Times New Roman" w:eastAsia="Times New Roman" w:hAnsi="Times New Roman"/>
          <w:sz w:val="20"/>
          <w:szCs w:val="20"/>
          <w:color w:val="auto"/>
        </w:rPr>
        <w:t xml:space="preserve"> Name: Gregory A. Izenstark Title:</w:t>
      </w:r>
    </w:p>
    <w:p>
      <w:pPr>
        <w:ind w:left="3220"/>
        <w:spacing w:after="0"/>
        <w:rPr>
          <w:sz w:val="20"/>
          <w:szCs w:val="20"/>
          <w:color w:val="auto"/>
        </w:rPr>
      </w:pPr>
      <w:r>
        <w:rPr>
          <w:rFonts w:ascii="Times New Roman" w:cs="Times New Roman" w:eastAsia="Times New Roman" w:hAnsi="Times New Roman"/>
          <w:sz w:val="20"/>
          <w:szCs w:val="20"/>
          <w:color w:val="auto"/>
        </w:rPr>
        <w:t>Treasurer</w:t>
      </w:r>
    </w:p>
    <w:p>
      <w:pPr>
        <w:spacing w:after="0" w:line="194"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0"/>
          <w:szCs w:val="20"/>
          <w:color w:val="auto"/>
        </w:rPr>
        <w:t>NEW ENGLAND UTILITY CONSTRUCTORS, INC</w:t>
      </w:r>
    </w:p>
    <w:p>
      <w:pPr>
        <w:spacing w:after="0" w:line="216"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Kevin L. Neill</w:t>
      </w:r>
      <w:r>
        <w:rPr>
          <w:rFonts w:ascii="Times New Roman" w:cs="Times New Roman" w:eastAsia="Times New Roman" w:hAnsi="Times New Roman"/>
          <w:sz w:val="20"/>
          <w:szCs w:val="20"/>
          <w:color w:val="auto"/>
        </w:rPr>
        <w:t xml:space="preserve"> Name: Kevin L. Neill Title: Treasurer</w:t>
      </w:r>
    </w:p>
    <w:p>
      <w:pPr>
        <w:spacing w:after="0" w:line="216"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0"/>
          <w:szCs w:val="20"/>
          <w:color w:val="auto"/>
        </w:rPr>
        <w:t>NPL CONSTRUCTION CO.</w:t>
      </w:r>
    </w:p>
    <w:p>
      <w:pPr>
        <w:spacing w:after="0" w:line="216"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Kevin L. Neill</w:t>
      </w:r>
      <w:r>
        <w:rPr>
          <w:rFonts w:ascii="Times New Roman" w:cs="Times New Roman" w:eastAsia="Times New Roman" w:hAnsi="Times New Roman"/>
          <w:sz w:val="20"/>
          <w:szCs w:val="20"/>
          <w:color w:val="auto"/>
        </w:rPr>
        <w:t xml:space="preserve"> Name: Kevin L. Neill Title: Treasurer</w:t>
      </w:r>
    </w:p>
    <w:p>
      <w:pPr>
        <w:spacing w:after="0" w:line="202"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0"/>
          <w:szCs w:val="20"/>
          <w:color w:val="auto"/>
        </w:rPr>
        <w:t>NPL EAST LLC</w:t>
      </w:r>
    </w:p>
    <w:p>
      <w:pPr>
        <w:spacing w:after="0" w:line="216"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Kevin L. Neill</w:t>
      </w:r>
      <w:r>
        <w:rPr>
          <w:rFonts w:ascii="Times New Roman" w:cs="Times New Roman" w:eastAsia="Times New Roman" w:hAnsi="Times New Roman"/>
          <w:sz w:val="20"/>
          <w:szCs w:val="20"/>
          <w:color w:val="auto"/>
        </w:rPr>
        <w:t xml:space="preserve"> Name: Kevin L. Neill Title: Treasurer</w:t>
      </w:r>
    </w:p>
    <w:p>
      <w:pPr>
        <w:spacing w:after="0" w:line="216"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0"/>
          <w:szCs w:val="20"/>
          <w:color w:val="auto"/>
        </w:rPr>
        <w:t>NPL GREAT LAKES LLC</w:t>
      </w:r>
    </w:p>
    <w:p>
      <w:pPr>
        <w:spacing w:after="0" w:line="202"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Kevin L. Neill</w:t>
      </w:r>
      <w:r>
        <w:rPr>
          <w:rFonts w:ascii="Times New Roman" w:cs="Times New Roman" w:eastAsia="Times New Roman" w:hAnsi="Times New Roman"/>
          <w:sz w:val="20"/>
          <w:szCs w:val="20"/>
          <w:color w:val="auto"/>
        </w:rPr>
        <w:t xml:space="preserve"> Name: Kevin L. Neill Title: Treasurer</w:t>
      </w:r>
    </w:p>
    <w:p>
      <w:pPr>
        <w:spacing w:after="0" w:line="200" w:lineRule="exact"/>
        <w:rPr>
          <w:sz w:val="20"/>
          <w:szCs w:val="20"/>
          <w:color w:val="auto"/>
        </w:rPr>
      </w:pPr>
    </w:p>
    <w:p>
      <w:pPr>
        <w:spacing w:after="0" w:line="272"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0"/>
          <w:szCs w:val="20"/>
          <w:color w:val="auto"/>
        </w:rPr>
        <w:t>NPL MID-AMERICA LLC</w:t>
      </w:r>
    </w:p>
    <w:p>
      <w:pPr>
        <w:spacing w:after="0" w:line="202"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Kevin L. Neill</w:t>
      </w:r>
      <w:r>
        <w:rPr>
          <w:rFonts w:ascii="Times New Roman" w:cs="Times New Roman" w:eastAsia="Times New Roman" w:hAnsi="Times New Roman"/>
          <w:sz w:val="20"/>
          <w:szCs w:val="20"/>
          <w:color w:val="auto"/>
        </w:rPr>
        <w:t xml:space="preserve"> Name: Kevin L. Neill Title: Treasurer</w:t>
      </w:r>
    </w:p>
    <w:p>
      <w:pPr>
        <w:spacing w:after="0" w:line="216"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0"/>
          <w:szCs w:val="20"/>
          <w:color w:val="auto"/>
        </w:rPr>
        <w:t>NPL WEST LLC</w:t>
      </w:r>
    </w:p>
    <w:p>
      <w:pPr>
        <w:spacing w:after="0" w:line="216"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Kevin L. Neill</w:t>
      </w:r>
      <w:r>
        <w:rPr>
          <w:rFonts w:ascii="Times New Roman" w:cs="Times New Roman" w:eastAsia="Times New Roman" w:hAnsi="Times New Roman"/>
          <w:sz w:val="20"/>
          <w:szCs w:val="20"/>
          <w:color w:val="auto"/>
        </w:rPr>
        <w:t xml:space="preserve"> Name: Kevin L. Neill Title: Treasurer</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4139"/>
        <w:spacing w:after="0"/>
        <w:rPr>
          <w:sz w:val="20"/>
          <w:szCs w:val="20"/>
          <w:color w:val="auto"/>
        </w:rPr>
      </w:pPr>
      <w:r>
        <w:rPr>
          <w:rFonts w:ascii="Times New Roman" w:cs="Times New Roman" w:eastAsia="Times New Roman" w:hAnsi="Times New Roman"/>
          <w:sz w:val="16"/>
          <w:szCs w:val="16"/>
          <w:color w:val="auto"/>
        </w:rPr>
        <w:t>Centuri Group, Inc.</w:t>
      </w:r>
    </w:p>
    <w:p>
      <w:pPr>
        <w:spacing w:after="0" w:line="23" w:lineRule="exact"/>
        <w:rPr>
          <w:sz w:val="20"/>
          <w:szCs w:val="20"/>
          <w:color w:val="auto"/>
        </w:rPr>
      </w:pPr>
    </w:p>
    <w:p>
      <w:pPr>
        <w:jc w:val="center"/>
        <w:ind w:right="4139"/>
        <w:spacing w:after="0"/>
        <w:rPr>
          <w:sz w:val="20"/>
          <w:szCs w:val="20"/>
          <w:color w:val="auto"/>
        </w:rPr>
      </w:pPr>
      <w:r>
        <w:rPr>
          <w:rFonts w:ascii="Times New Roman" w:cs="Times New Roman" w:eastAsia="Times New Roman" w:hAnsi="Times New Roman"/>
          <w:sz w:val="16"/>
          <w:szCs w:val="16"/>
          <w:color w:val="auto"/>
        </w:rPr>
        <w:t>First Amendment to Second Amended and Restated Credit Agreement Signature Page</w:t>
      </w:r>
    </w:p>
    <w:p>
      <w:pPr>
        <w:sectPr>
          <w:pgSz w:w="11900" w:h="16838" w:orient="portrait"/>
          <w:cols w:equalWidth="0" w:num="1">
            <w:col w:w="9719"/>
          </w:cols>
          <w:pgMar w:left="740" w:top="1399" w:right="1440" w:bottom="1440" w:gutter="0" w:footer="0" w:header="0"/>
        </w:sectPr>
      </w:pPr>
    </w:p>
    <w:bookmarkStart w:id="64" w:name="page65"/>
    <w:bookmarkEnd w:id="64"/>
    <w:p>
      <w:pPr>
        <w:spacing w:after="0" w:line="32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0"/>
          <w:szCs w:val="20"/>
          <w:color w:val="auto"/>
        </w:rPr>
        <w:t>OIL &amp; GAS DIVISION LLC</w:t>
      </w:r>
    </w:p>
    <w:p>
      <w:pPr>
        <w:spacing w:after="0" w:line="216" w:lineRule="exact"/>
        <w:rPr>
          <w:sz w:val="20"/>
          <w:szCs w:val="20"/>
          <w:color w:val="auto"/>
        </w:rPr>
      </w:pPr>
    </w:p>
    <w:p>
      <w:pPr>
        <w:jc w:val="right"/>
        <w:ind w:right="1719"/>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Kevin L. Neill</w:t>
      </w:r>
      <w:r>
        <w:rPr>
          <w:rFonts w:ascii="Times New Roman" w:cs="Times New Roman" w:eastAsia="Times New Roman" w:hAnsi="Times New Roman"/>
          <w:sz w:val="20"/>
          <w:szCs w:val="20"/>
          <w:color w:val="auto"/>
        </w:rPr>
        <w:t xml:space="preserve"> Name: Kevin L. Neill Title: Treasurer</w:t>
      </w:r>
    </w:p>
    <w:p>
      <w:pPr>
        <w:spacing w:after="0" w:line="200" w:lineRule="exact"/>
        <w:rPr>
          <w:sz w:val="20"/>
          <w:szCs w:val="20"/>
          <w:color w:val="auto"/>
        </w:rPr>
      </w:pPr>
    </w:p>
    <w:p>
      <w:pPr>
        <w:spacing w:after="0" w:line="25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0"/>
          <w:szCs w:val="20"/>
          <w:color w:val="auto"/>
        </w:rPr>
        <w:t>SERVICES DIVISION LLC</w:t>
      </w:r>
    </w:p>
    <w:p>
      <w:pPr>
        <w:spacing w:after="0" w:line="216"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u w:val="single" w:color="auto"/>
          <w:color w:val="auto"/>
        </w:rPr>
        <w:t>/s/ Kevin L. Neill</w:t>
      </w:r>
      <w:r>
        <w:rPr>
          <w:rFonts w:ascii="Times New Roman" w:cs="Times New Roman" w:eastAsia="Times New Roman" w:hAnsi="Times New Roman"/>
          <w:sz w:val="19"/>
          <w:szCs w:val="19"/>
          <w:color w:val="auto"/>
        </w:rPr>
        <w:t xml:space="preserve"> Name: Kevin L. Neill Title: Treasurer</w:t>
      </w:r>
    </w:p>
    <w:p>
      <w:pPr>
        <w:spacing w:after="0" w:line="21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0"/>
          <w:szCs w:val="20"/>
          <w:color w:val="auto"/>
        </w:rPr>
        <w:t>SOUTHWEST ADMINISTRATORS, INC.</w:t>
      </w:r>
    </w:p>
    <w:p>
      <w:pPr>
        <w:spacing w:after="0" w:line="216"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u w:val="single" w:color="auto"/>
          <w:color w:val="auto"/>
        </w:rPr>
        <w:t>/s/ Kevin L. Neill</w:t>
      </w:r>
      <w:r>
        <w:rPr>
          <w:rFonts w:ascii="Times New Roman" w:cs="Times New Roman" w:eastAsia="Times New Roman" w:hAnsi="Times New Roman"/>
          <w:sz w:val="19"/>
          <w:szCs w:val="19"/>
          <w:color w:val="auto"/>
        </w:rPr>
        <w:t xml:space="preserve"> Name: Kevin L. Neill Title: Treasurer</w:t>
      </w:r>
    </w:p>
    <w:p>
      <w:pPr>
        <w:spacing w:after="0" w:line="227"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0"/>
          <w:szCs w:val="20"/>
          <w:color w:val="auto"/>
        </w:rPr>
        <w:t>DRUM PARENT LLC</w:t>
      </w:r>
    </w:p>
    <w:p>
      <w:pPr>
        <w:spacing w:after="0" w:line="20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u w:val="single" w:color="auto"/>
          <w:color w:val="auto"/>
        </w:rPr>
        <w:t>/s/ Kevin L. Neill</w:t>
      </w:r>
      <w:r>
        <w:rPr>
          <w:rFonts w:ascii="Times New Roman" w:cs="Times New Roman" w:eastAsia="Times New Roman" w:hAnsi="Times New Roman"/>
          <w:sz w:val="19"/>
          <w:szCs w:val="19"/>
          <w:color w:val="auto"/>
        </w:rPr>
        <w:t xml:space="preserve"> Name: Kevin L. Neill Title: Treasurer</w:t>
      </w:r>
    </w:p>
    <w:p>
      <w:pPr>
        <w:spacing w:after="0" w:line="227"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0"/>
          <w:szCs w:val="20"/>
          <w:color w:val="auto"/>
        </w:rPr>
        <w:t>NAPEC INC.</w:t>
      </w:r>
    </w:p>
    <w:p>
      <w:pPr>
        <w:spacing w:after="0" w:line="216"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u w:val="single" w:color="auto"/>
          <w:color w:val="auto"/>
        </w:rPr>
        <w:t>/s/ Kevin L. Neill</w:t>
      </w:r>
      <w:r>
        <w:rPr>
          <w:rFonts w:ascii="Times New Roman" w:cs="Times New Roman" w:eastAsia="Times New Roman" w:hAnsi="Times New Roman"/>
          <w:sz w:val="19"/>
          <w:szCs w:val="19"/>
          <w:color w:val="auto"/>
        </w:rPr>
        <w:t xml:space="preserve"> Name: Kevin L. Neill Title: Assistant</w:t>
      </w:r>
    </w:p>
    <w:p>
      <w:pPr>
        <w:spacing w:after="0" w:line="6"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0"/>
          <w:szCs w:val="20"/>
          <w:color w:val="auto"/>
        </w:rPr>
        <w:t>Treasurer</w:t>
      </w:r>
    </w:p>
    <w:p>
      <w:pPr>
        <w:spacing w:after="0" w:line="19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0"/>
          <w:szCs w:val="20"/>
          <w:color w:val="auto"/>
        </w:rPr>
        <w:t>CVTECH HOLDING INC.</w:t>
      </w:r>
    </w:p>
    <w:p>
      <w:pPr>
        <w:spacing w:after="0" w:line="20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u w:val="single" w:color="auto"/>
          <w:color w:val="auto"/>
        </w:rPr>
        <w:t>/s/ Kevin L. Neill</w:t>
      </w:r>
      <w:r>
        <w:rPr>
          <w:rFonts w:ascii="Times New Roman" w:cs="Times New Roman" w:eastAsia="Times New Roman" w:hAnsi="Times New Roman"/>
          <w:sz w:val="19"/>
          <w:szCs w:val="19"/>
          <w:color w:val="auto"/>
        </w:rPr>
        <w:t xml:space="preserve"> Name: Kevin L. Neill Title: Assistant</w:t>
      </w:r>
    </w:p>
    <w:p>
      <w:pPr>
        <w:spacing w:after="0" w:line="6"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0"/>
          <w:szCs w:val="20"/>
          <w:color w:val="auto"/>
        </w:rPr>
        <w:t>Treasurer</w:t>
      </w:r>
    </w:p>
    <w:p>
      <w:pPr>
        <w:spacing w:after="0" w:line="19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0"/>
          <w:szCs w:val="20"/>
          <w:color w:val="auto"/>
        </w:rPr>
        <w:t>RIGGS DISTLER &amp; COMPANY, INC.</w:t>
      </w:r>
    </w:p>
    <w:p>
      <w:pPr>
        <w:spacing w:after="0" w:line="216"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u w:val="single" w:color="auto"/>
          <w:color w:val="auto"/>
        </w:rPr>
        <w:t>/s/ Kevin L. Neill</w:t>
      </w:r>
      <w:r>
        <w:rPr>
          <w:rFonts w:ascii="Times New Roman" w:cs="Times New Roman" w:eastAsia="Times New Roman" w:hAnsi="Times New Roman"/>
          <w:sz w:val="19"/>
          <w:szCs w:val="19"/>
          <w:color w:val="auto"/>
        </w:rPr>
        <w:t xml:space="preserve"> Name: Kevin L. Neill Title: Assistant</w:t>
      </w:r>
    </w:p>
    <w:p>
      <w:pPr>
        <w:spacing w:after="0" w:line="6"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0"/>
          <w:szCs w:val="20"/>
          <w:color w:val="auto"/>
        </w:rPr>
        <w:t>Treasurer</w:t>
      </w:r>
    </w:p>
    <w:p>
      <w:pPr>
        <w:spacing w:after="0" w:line="180"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0"/>
          <w:szCs w:val="20"/>
          <w:color w:val="auto"/>
        </w:rPr>
        <w:t>SHELBY MECHANICAL LLC</w:t>
      </w:r>
    </w:p>
    <w:p>
      <w:pPr>
        <w:spacing w:after="0" w:line="216"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u w:val="single" w:color="auto"/>
          <w:color w:val="auto"/>
        </w:rPr>
        <w:t>/s/ Kevin L. Neill</w:t>
      </w:r>
      <w:r>
        <w:rPr>
          <w:rFonts w:ascii="Times New Roman" w:cs="Times New Roman" w:eastAsia="Times New Roman" w:hAnsi="Times New Roman"/>
          <w:sz w:val="19"/>
          <w:szCs w:val="19"/>
          <w:color w:val="auto"/>
        </w:rPr>
        <w:t xml:space="preserve"> Name: Kevin L. Neill Title: Assistant</w:t>
      </w:r>
    </w:p>
    <w:p>
      <w:pPr>
        <w:spacing w:after="0" w:line="6"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0"/>
          <w:szCs w:val="20"/>
          <w:color w:val="auto"/>
        </w:rPr>
        <w:t>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4079"/>
        <w:spacing w:after="0"/>
        <w:rPr>
          <w:sz w:val="20"/>
          <w:szCs w:val="20"/>
          <w:color w:val="auto"/>
        </w:rPr>
      </w:pPr>
      <w:r>
        <w:rPr>
          <w:rFonts w:ascii="Times New Roman" w:cs="Times New Roman" w:eastAsia="Times New Roman" w:hAnsi="Times New Roman"/>
          <w:sz w:val="16"/>
          <w:szCs w:val="16"/>
          <w:color w:val="auto"/>
        </w:rPr>
        <w:t>Centuri Group, Inc.</w:t>
      </w:r>
    </w:p>
    <w:p>
      <w:pPr>
        <w:spacing w:after="0" w:line="23" w:lineRule="exact"/>
        <w:rPr>
          <w:sz w:val="20"/>
          <w:szCs w:val="20"/>
          <w:color w:val="auto"/>
        </w:rPr>
      </w:pPr>
    </w:p>
    <w:p>
      <w:pPr>
        <w:jc w:val="center"/>
        <w:ind w:right="4079"/>
        <w:spacing w:after="0"/>
        <w:rPr>
          <w:sz w:val="20"/>
          <w:szCs w:val="20"/>
          <w:color w:val="auto"/>
        </w:rPr>
      </w:pPr>
      <w:r>
        <w:rPr>
          <w:rFonts w:ascii="Times New Roman" w:cs="Times New Roman" w:eastAsia="Times New Roman" w:hAnsi="Times New Roman"/>
          <w:sz w:val="16"/>
          <w:szCs w:val="16"/>
          <w:color w:val="auto"/>
        </w:rPr>
        <w:t>First Amendment to Second Amended and Restated Credit Agreement Signature Page</w:t>
      </w:r>
    </w:p>
    <w:p>
      <w:pPr>
        <w:sectPr>
          <w:pgSz w:w="11900" w:h="16838" w:orient="portrait"/>
          <w:cols w:equalWidth="0" w:num="1">
            <w:col w:w="9659"/>
          </w:cols>
          <w:pgMar w:left="800" w:top="1440" w:right="1440" w:bottom="1440" w:gutter="0" w:footer="0" w:header="0"/>
        </w:sectPr>
      </w:pPr>
    </w:p>
    <w:bookmarkStart w:id="65" w:name="page66"/>
    <w:bookmarkEnd w:id="65"/>
    <w:p>
      <w:pPr>
        <w:spacing w:after="0" w:line="200" w:lineRule="exact"/>
        <w:rPr>
          <w:sz w:val="20"/>
          <w:szCs w:val="20"/>
          <w:color w:val="auto"/>
        </w:rPr>
      </w:pPr>
    </w:p>
    <w:p>
      <w:pPr>
        <w:spacing w:after="0" w:line="367"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0"/>
          <w:szCs w:val="20"/>
          <w:color w:val="auto"/>
        </w:rPr>
        <w:t>SHELBY PLUMBING, LLC</w:t>
      </w:r>
    </w:p>
    <w:p>
      <w:pPr>
        <w:spacing w:after="0" w:line="197"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Kevin L. Neill</w:t>
      </w:r>
      <w:r>
        <w:rPr>
          <w:rFonts w:ascii="Times New Roman" w:cs="Times New Roman" w:eastAsia="Times New Roman" w:hAnsi="Times New Roman"/>
          <w:sz w:val="20"/>
          <w:szCs w:val="20"/>
          <w:color w:val="auto"/>
        </w:rPr>
        <w:t xml:space="preserve"> Name: Kevin L. Neill Title: Assistant</w:t>
      </w:r>
    </w:p>
    <w:p>
      <w:pPr>
        <w:ind w:left="3160"/>
        <w:spacing w:after="0"/>
        <w:rPr>
          <w:sz w:val="20"/>
          <w:szCs w:val="20"/>
          <w:color w:val="auto"/>
        </w:rPr>
      </w:pPr>
      <w:r>
        <w:rPr>
          <w:rFonts w:ascii="Times New Roman" w:cs="Times New Roman" w:eastAsia="Times New Roman" w:hAnsi="Times New Roman"/>
          <w:sz w:val="20"/>
          <w:szCs w:val="20"/>
          <w:color w:val="auto"/>
        </w:rPr>
        <w:t>Treasurer</w:t>
      </w:r>
    </w:p>
    <w:p>
      <w:pPr>
        <w:spacing w:after="0" w:line="19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0"/>
          <w:szCs w:val="20"/>
          <w:color w:val="auto"/>
        </w:rPr>
        <w:t>NPL CANADA LTD</w:t>
      </w:r>
    </w:p>
    <w:p>
      <w:pPr>
        <w:spacing w:after="0" w:line="216"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Kevin L. Neill</w:t>
      </w:r>
      <w:r>
        <w:rPr>
          <w:rFonts w:ascii="Times New Roman" w:cs="Times New Roman" w:eastAsia="Times New Roman" w:hAnsi="Times New Roman"/>
          <w:sz w:val="20"/>
          <w:szCs w:val="20"/>
          <w:color w:val="auto"/>
        </w:rPr>
        <w:t xml:space="preserve"> Name: Kevin L. Neill Title: Treasurer</w:t>
      </w:r>
    </w:p>
    <w:p>
      <w:pPr>
        <w:spacing w:after="0" w:line="135"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9"/>
          <w:szCs w:val="19"/>
          <w:color w:val="auto"/>
        </w:rPr>
        <w:t xml:space="preserve">W.S. NICHOLLS CONSTRUCTION INC. By: </w:t>
      </w:r>
      <w:r>
        <w:rPr>
          <w:rFonts w:ascii="Times New Roman" w:cs="Times New Roman" w:eastAsia="Times New Roman" w:hAnsi="Times New Roman"/>
          <w:sz w:val="19"/>
          <w:szCs w:val="19"/>
          <w:u w:val="single" w:color="auto"/>
          <w:color w:val="auto"/>
        </w:rPr>
        <w:t>/s/ Kevin L. Neill</w:t>
      </w:r>
    </w:p>
    <w:p>
      <w:pPr>
        <w:spacing w:after="0" w:line="133"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0"/>
          <w:szCs w:val="20"/>
          <w:color w:val="auto"/>
        </w:rPr>
        <w:t>Name: Kevin L. Neill Title: Treasurer</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4079"/>
        <w:spacing w:after="0"/>
        <w:rPr>
          <w:sz w:val="20"/>
          <w:szCs w:val="20"/>
          <w:color w:val="auto"/>
        </w:rPr>
      </w:pPr>
      <w:r>
        <w:rPr>
          <w:rFonts w:ascii="Times New Roman" w:cs="Times New Roman" w:eastAsia="Times New Roman" w:hAnsi="Times New Roman"/>
          <w:sz w:val="16"/>
          <w:szCs w:val="16"/>
          <w:color w:val="auto"/>
        </w:rPr>
        <w:t>Centuri Group, Inc.</w:t>
      </w:r>
    </w:p>
    <w:p>
      <w:pPr>
        <w:spacing w:after="0" w:line="10" w:lineRule="exact"/>
        <w:rPr>
          <w:sz w:val="20"/>
          <w:szCs w:val="20"/>
          <w:color w:val="auto"/>
        </w:rPr>
      </w:pPr>
    </w:p>
    <w:p>
      <w:pPr>
        <w:jc w:val="center"/>
        <w:ind w:right="4079"/>
        <w:spacing w:after="0"/>
        <w:rPr>
          <w:sz w:val="20"/>
          <w:szCs w:val="20"/>
          <w:color w:val="auto"/>
        </w:rPr>
      </w:pPr>
      <w:r>
        <w:rPr>
          <w:rFonts w:ascii="Times New Roman" w:cs="Times New Roman" w:eastAsia="Times New Roman" w:hAnsi="Times New Roman"/>
          <w:sz w:val="16"/>
          <w:szCs w:val="16"/>
          <w:color w:val="auto"/>
        </w:rPr>
        <w:t>First Amendment to Second Amended and Restated Credit Agreement Signature Page</w:t>
      </w:r>
    </w:p>
    <w:p>
      <w:pPr>
        <w:sectPr>
          <w:pgSz w:w="11900" w:h="16838" w:orient="portrait"/>
          <w:cols w:equalWidth="0" w:num="1">
            <w:col w:w="9659"/>
          </w:cols>
          <w:pgMar w:left="800" w:top="1440" w:right="1440" w:bottom="1440" w:gutter="0" w:footer="0" w:header="0"/>
        </w:sectPr>
      </w:pPr>
    </w:p>
    <w:bookmarkStart w:id="66" w:name="page67"/>
    <w:bookmarkEnd w:id="66"/>
    <w:p>
      <w:pPr>
        <w:ind w:left="3300"/>
        <w:spacing w:after="0"/>
        <w:rPr>
          <w:sz w:val="20"/>
          <w:szCs w:val="20"/>
          <w:color w:val="auto"/>
        </w:rPr>
      </w:pPr>
      <w:r>
        <w:rPr>
          <w:rFonts w:ascii="Times New Roman" w:cs="Times New Roman" w:eastAsia="Times New Roman" w:hAnsi="Times New Roman"/>
          <w:sz w:val="20"/>
          <w:szCs w:val="20"/>
          <w:u w:val="single" w:color="auto"/>
          <w:color w:val="auto"/>
        </w:rPr>
        <w:t>ADMINISTRATIVE AGENT AND LENDERS</w:t>
      </w:r>
      <w:r>
        <w:rPr>
          <w:rFonts w:ascii="Times New Roman" w:cs="Times New Roman" w:eastAsia="Times New Roman" w:hAnsi="Times New Roman"/>
          <w:sz w:val="20"/>
          <w:szCs w:val="20"/>
          <w:color w:val="auto"/>
        </w:rPr>
        <w:t>:</w:t>
      </w:r>
    </w:p>
    <w:p>
      <w:pPr>
        <w:spacing w:after="0" w:line="283"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9"/>
          <w:szCs w:val="19"/>
          <w:color w:val="auto"/>
        </w:rPr>
        <w:t>WELLS FARGO BANK, NATIONAL ASSOCIATION,</w:t>
      </w:r>
    </w:p>
    <w:p>
      <w:pPr>
        <w:spacing w:after="0" w:line="6"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20"/>
          <w:szCs w:val="20"/>
          <w:color w:val="auto"/>
        </w:rPr>
        <w:t>as Administrative Agent, Lender and Issuing Lender</w:t>
      </w:r>
    </w:p>
    <w:p>
      <w:pPr>
        <w:spacing w:after="0" w:line="200" w:lineRule="exact"/>
        <w:rPr>
          <w:sz w:val="20"/>
          <w:szCs w:val="20"/>
          <w:color w:val="auto"/>
        </w:rPr>
      </w:pPr>
    </w:p>
    <w:p>
      <w:pPr>
        <w:spacing w:after="0" w:line="231"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John Hancey</w:t>
      </w:r>
      <w:r>
        <w:rPr>
          <w:rFonts w:ascii="Times New Roman" w:cs="Times New Roman" w:eastAsia="Times New Roman" w:hAnsi="Times New Roman"/>
          <w:sz w:val="20"/>
          <w:szCs w:val="20"/>
          <w:color w:val="auto"/>
        </w:rPr>
        <w:t xml:space="preserve"> Name: John Hancey</w:t>
      </w:r>
    </w:p>
    <w:p>
      <w:pPr>
        <w:ind w:left="3300"/>
        <w:spacing w:after="0"/>
        <w:rPr>
          <w:sz w:val="20"/>
          <w:szCs w:val="20"/>
          <w:color w:val="auto"/>
        </w:rPr>
      </w:pPr>
      <w:r>
        <w:rPr>
          <w:rFonts w:ascii="Times New Roman" w:cs="Times New Roman" w:eastAsia="Times New Roman" w:hAnsi="Times New Roman"/>
          <w:sz w:val="20"/>
          <w:szCs w:val="20"/>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4199"/>
        <w:spacing w:after="0"/>
        <w:rPr>
          <w:sz w:val="20"/>
          <w:szCs w:val="20"/>
          <w:color w:val="auto"/>
        </w:rPr>
      </w:pPr>
      <w:r>
        <w:rPr>
          <w:rFonts w:ascii="Times New Roman" w:cs="Times New Roman" w:eastAsia="Times New Roman" w:hAnsi="Times New Roman"/>
          <w:sz w:val="16"/>
          <w:szCs w:val="16"/>
          <w:color w:val="auto"/>
        </w:rPr>
        <w:t>Centuri Group, Inc.</w:t>
      </w:r>
    </w:p>
    <w:p>
      <w:pPr>
        <w:spacing w:after="0" w:line="23" w:lineRule="exact"/>
        <w:rPr>
          <w:sz w:val="20"/>
          <w:szCs w:val="20"/>
          <w:color w:val="auto"/>
        </w:rPr>
      </w:pPr>
    </w:p>
    <w:p>
      <w:pPr>
        <w:jc w:val="center"/>
        <w:ind w:right="4199"/>
        <w:spacing w:after="0"/>
        <w:rPr>
          <w:sz w:val="20"/>
          <w:szCs w:val="20"/>
          <w:color w:val="auto"/>
        </w:rPr>
      </w:pPr>
      <w:r>
        <w:rPr>
          <w:rFonts w:ascii="Times New Roman" w:cs="Times New Roman" w:eastAsia="Times New Roman" w:hAnsi="Times New Roman"/>
          <w:sz w:val="16"/>
          <w:szCs w:val="16"/>
          <w:color w:val="auto"/>
        </w:rPr>
        <w:t>First Amendment to Second Amended and Restated Credit Agreement Signature Page</w:t>
      </w:r>
    </w:p>
    <w:p>
      <w:pPr>
        <w:sectPr>
          <w:pgSz w:w="11900" w:h="16838" w:orient="portrait"/>
          <w:cols w:equalWidth="0" w:num="1">
            <w:col w:w="9799"/>
          </w:cols>
          <w:pgMar w:left="660" w:top="1399" w:right="1440" w:bottom="1440" w:gutter="0" w:footer="0" w:header="0"/>
        </w:sectPr>
      </w:pPr>
    </w:p>
    <w:bookmarkStart w:id="67" w:name="page68"/>
    <w:bookmarkEnd w:id="67"/>
    <w:p>
      <w:pPr>
        <w:jc w:val="center"/>
        <w:ind w:right="139"/>
        <w:spacing w:after="0"/>
        <w:rPr>
          <w:sz w:val="20"/>
          <w:szCs w:val="20"/>
          <w:color w:val="auto"/>
        </w:rPr>
      </w:pPr>
      <w:r>
        <w:rPr>
          <w:rFonts w:ascii="Times New Roman" w:cs="Times New Roman" w:eastAsia="Times New Roman" w:hAnsi="Times New Roman"/>
          <w:sz w:val="20"/>
          <w:szCs w:val="20"/>
          <w:color w:val="auto"/>
        </w:rPr>
        <w:t>BANK OF AMERICA, N.A., as Lender</w:t>
      </w:r>
    </w:p>
    <w:p>
      <w:pPr>
        <w:spacing w:after="0" w:line="200" w:lineRule="exact"/>
        <w:rPr>
          <w:sz w:val="20"/>
          <w:szCs w:val="20"/>
          <w:color w:val="auto"/>
        </w:rPr>
      </w:pPr>
    </w:p>
    <w:p>
      <w:pPr>
        <w:spacing w:after="0" w:line="253" w:lineRule="exact"/>
        <w:rPr>
          <w:sz w:val="20"/>
          <w:szCs w:val="20"/>
          <w:color w:val="auto"/>
        </w:rPr>
      </w:pPr>
    </w:p>
    <w:p>
      <w:pPr>
        <w:ind w:left="3160"/>
        <w:spacing w:after="0"/>
        <w:tabs>
          <w:tab w:leader="none" w:pos="362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u w:val="single" w:color="auto"/>
          <w:color w:val="auto"/>
        </w:rPr>
        <w:t xml:space="preserve">/s/ Brendan Kelly </w:t>
      </w:r>
      <w:r>
        <w:rPr>
          <w:rFonts w:ascii="Times New Roman" w:cs="Times New Roman" w:eastAsia="Times New Roman" w:hAnsi="Times New Roman"/>
          <w:sz w:val="19"/>
          <w:szCs w:val="19"/>
          <w:color w:val="auto"/>
        </w:rPr>
        <w:t>Name: Brendan Kelly Title: Vice</w:t>
      </w:r>
    </w:p>
    <w:p>
      <w:pPr>
        <w:ind w:left="3160"/>
        <w:spacing w:after="0"/>
        <w:rPr>
          <w:sz w:val="20"/>
          <w:szCs w:val="20"/>
          <w:color w:val="auto"/>
        </w:rPr>
      </w:pPr>
      <w:r>
        <w:rPr>
          <w:rFonts w:ascii="Times New Roman" w:cs="Times New Roman" w:eastAsia="Times New Roman" w:hAnsi="Times New Roman"/>
          <w:sz w:val="20"/>
          <w:szCs w:val="20"/>
          <w:color w:val="auto"/>
        </w:rPr>
        <w:t>President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4079"/>
        <w:spacing w:after="0"/>
        <w:rPr>
          <w:sz w:val="20"/>
          <w:szCs w:val="20"/>
          <w:color w:val="auto"/>
        </w:rPr>
      </w:pPr>
      <w:r>
        <w:rPr>
          <w:rFonts w:ascii="Times New Roman" w:cs="Times New Roman" w:eastAsia="Times New Roman" w:hAnsi="Times New Roman"/>
          <w:sz w:val="16"/>
          <w:szCs w:val="16"/>
          <w:color w:val="auto"/>
        </w:rPr>
        <w:t>Centuri Group, Inc.</w:t>
      </w:r>
    </w:p>
    <w:p>
      <w:pPr>
        <w:spacing w:after="0" w:line="23" w:lineRule="exact"/>
        <w:rPr>
          <w:sz w:val="20"/>
          <w:szCs w:val="20"/>
          <w:color w:val="auto"/>
        </w:rPr>
      </w:pPr>
    </w:p>
    <w:p>
      <w:pPr>
        <w:jc w:val="center"/>
        <w:ind w:right="4079"/>
        <w:spacing w:after="0"/>
        <w:rPr>
          <w:sz w:val="20"/>
          <w:szCs w:val="20"/>
          <w:color w:val="auto"/>
        </w:rPr>
      </w:pPr>
      <w:r>
        <w:rPr>
          <w:rFonts w:ascii="Times New Roman" w:cs="Times New Roman" w:eastAsia="Times New Roman" w:hAnsi="Times New Roman"/>
          <w:sz w:val="16"/>
          <w:szCs w:val="16"/>
          <w:color w:val="auto"/>
        </w:rPr>
        <w:t>First Amendment to Second Amended and Restated Credit Agreement Signature Page</w:t>
      </w:r>
    </w:p>
    <w:p>
      <w:pPr>
        <w:sectPr>
          <w:pgSz w:w="11900" w:h="16838" w:orient="portrait"/>
          <w:cols w:equalWidth="0" w:num="1">
            <w:col w:w="9659"/>
          </w:cols>
          <w:pgMar w:left="800" w:top="1399" w:right="1440" w:bottom="1440" w:gutter="0" w:footer="0" w:header="0"/>
        </w:sectPr>
      </w:pPr>
    </w:p>
    <w:bookmarkStart w:id="68" w:name="page69"/>
    <w:bookmarkEnd w:id="68"/>
    <w:p>
      <w:pPr>
        <w:ind w:left="3240"/>
        <w:spacing w:after="0"/>
        <w:rPr>
          <w:sz w:val="20"/>
          <w:szCs w:val="20"/>
          <w:color w:val="auto"/>
        </w:rPr>
      </w:pPr>
      <w:r>
        <w:rPr>
          <w:rFonts w:ascii="Times New Roman" w:cs="Times New Roman" w:eastAsia="Times New Roman" w:hAnsi="Times New Roman"/>
          <w:sz w:val="20"/>
          <w:szCs w:val="20"/>
          <w:color w:val="auto"/>
        </w:rPr>
        <w:t>CANADIAN IMPERIAL BANK OF COMMERCE, as</w:t>
      </w:r>
    </w:p>
    <w:p>
      <w:pPr>
        <w:ind w:left="3240"/>
        <w:spacing w:after="0"/>
        <w:rPr>
          <w:sz w:val="20"/>
          <w:szCs w:val="20"/>
          <w:color w:val="auto"/>
        </w:rPr>
      </w:pPr>
      <w:r>
        <w:rPr>
          <w:rFonts w:ascii="Times New Roman" w:cs="Times New Roman" w:eastAsia="Times New Roman" w:hAnsi="Times New Roman"/>
          <w:sz w:val="20"/>
          <w:szCs w:val="20"/>
          <w:color w:val="auto"/>
        </w:rPr>
        <w:t>Lender and Issuing Lender</w:t>
      </w:r>
    </w:p>
    <w:p>
      <w:pPr>
        <w:spacing w:after="0" w:line="200" w:lineRule="exact"/>
        <w:rPr>
          <w:sz w:val="20"/>
          <w:szCs w:val="20"/>
          <w:color w:val="auto"/>
        </w:rPr>
      </w:pPr>
    </w:p>
    <w:p>
      <w:pPr>
        <w:spacing w:after="0" w:line="237" w:lineRule="exact"/>
        <w:rPr>
          <w:sz w:val="20"/>
          <w:szCs w:val="20"/>
          <w:color w:val="auto"/>
        </w:rPr>
      </w:pPr>
    </w:p>
    <w:p>
      <w:pPr>
        <w:ind w:left="3240" w:right="1139"/>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Josh Spagnoletti</w:t>
      </w:r>
      <w:r>
        <w:rPr>
          <w:rFonts w:ascii="Times New Roman" w:cs="Times New Roman" w:eastAsia="Times New Roman" w:hAnsi="Times New Roman"/>
          <w:sz w:val="20"/>
          <w:szCs w:val="20"/>
          <w:color w:val="auto"/>
        </w:rPr>
        <w:t xml:space="preserve"> Name: Josh Spagnoletti Title: Authorized Signatory</w:t>
      </w:r>
    </w:p>
    <w:p>
      <w:pPr>
        <w:spacing w:after="0" w:line="200" w:lineRule="exact"/>
        <w:rPr>
          <w:sz w:val="20"/>
          <w:szCs w:val="20"/>
          <w:color w:val="auto"/>
        </w:rPr>
      </w:pPr>
    </w:p>
    <w:p>
      <w:pPr>
        <w:spacing w:after="0" w:line="231" w:lineRule="exact"/>
        <w:rPr>
          <w:sz w:val="20"/>
          <w:szCs w:val="20"/>
          <w:color w:val="auto"/>
        </w:rPr>
      </w:pPr>
    </w:p>
    <w:p>
      <w:pPr>
        <w:ind w:left="3240"/>
        <w:spacing w:after="0"/>
        <w:tabs>
          <w:tab w:leader="none" w:pos="370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u w:val="single" w:color="auto"/>
          <w:color w:val="auto"/>
        </w:rPr>
        <w:t xml:space="preserve">/s/ Cameron Scott </w:t>
      </w:r>
      <w:r>
        <w:rPr>
          <w:rFonts w:ascii="Times New Roman" w:cs="Times New Roman" w:eastAsia="Times New Roman" w:hAnsi="Times New Roman"/>
          <w:sz w:val="19"/>
          <w:szCs w:val="19"/>
          <w:color w:val="auto"/>
        </w:rPr>
        <w:t>Name: Cameron Scott</w:t>
      </w:r>
    </w:p>
    <w:p>
      <w:pPr>
        <w:spacing w:after="0" w:line="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4159"/>
        <w:spacing w:after="0"/>
        <w:rPr>
          <w:sz w:val="20"/>
          <w:szCs w:val="20"/>
          <w:color w:val="auto"/>
        </w:rPr>
      </w:pPr>
      <w:r>
        <w:rPr>
          <w:rFonts w:ascii="Times New Roman" w:cs="Times New Roman" w:eastAsia="Times New Roman" w:hAnsi="Times New Roman"/>
          <w:sz w:val="16"/>
          <w:szCs w:val="16"/>
          <w:color w:val="auto"/>
        </w:rPr>
        <w:t>Centuri Group, Inc.</w:t>
      </w:r>
    </w:p>
    <w:p>
      <w:pPr>
        <w:spacing w:after="0" w:line="23" w:lineRule="exact"/>
        <w:rPr>
          <w:sz w:val="20"/>
          <w:szCs w:val="20"/>
          <w:color w:val="auto"/>
        </w:rPr>
      </w:pPr>
    </w:p>
    <w:p>
      <w:pPr>
        <w:jc w:val="center"/>
        <w:ind w:right="4159"/>
        <w:spacing w:after="0"/>
        <w:rPr>
          <w:sz w:val="20"/>
          <w:szCs w:val="20"/>
          <w:color w:val="auto"/>
        </w:rPr>
      </w:pPr>
      <w:r>
        <w:rPr>
          <w:rFonts w:ascii="Times New Roman" w:cs="Times New Roman" w:eastAsia="Times New Roman" w:hAnsi="Times New Roman"/>
          <w:sz w:val="16"/>
          <w:szCs w:val="16"/>
          <w:color w:val="auto"/>
        </w:rPr>
        <w:t>First Amendment to Second Amended and Restated Credit Agreement Signature Page</w:t>
      </w:r>
    </w:p>
    <w:p>
      <w:pPr>
        <w:sectPr>
          <w:pgSz w:w="11900" w:h="16838" w:orient="portrait"/>
          <w:cols w:equalWidth="0" w:num="1">
            <w:col w:w="9739"/>
          </w:cols>
          <w:pgMar w:left="720" w:top="1394" w:right="1440" w:bottom="1440" w:gutter="0" w:footer="0" w:header="0"/>
        </w:sectPr>
      </w:pPr>
    </w:p>
    <w:bookmarkStart w:id="69" w:name="page70"/>
    <w:bookmarkEnd w:id="69"/>
    <w:p>
      <w:pPr>
        <w:ind w:left="3160"/>
        <w:spacing w:after="0"/>
        <w:rPr>
          <w:sz w:val="20"/>
          <w:szCs w:val="20"/>
          <w:color w:val="auto"/>
        </w:rPr>
      </w:pPr>
      <w:r>
        <w:rPr>
          <w:rFonts w:ascii="Times New Roman" w:cs="Times New Roman" w:eastAsia="Times New Roman" w:hAnsi="Times New Roman"/>
          <w:sz w:val="20"/>
          <w:szCs w:val="20"/>
          <w:color w:val="auto"/>
        </w:rPr>
        <w:t>PNC BANK, NATIONAL ASSOCIATION, as Lender</w:t>
      </w:r>
    </w:p>
    <w:p>
      <w:pPr>
        <w:spacing w:after="0" w:line="200" w:lineRule="exact"/>
        <w:rPr>
          <w:sz w:val="20"/>
          <w:szCs w:val="20"/>
          <w:color w:val="auto"/>
        </w:rPr>
      </w:pPr>
    </w:p>
    <w:p>
      <w:pPr>
        <w:spacing w:after="0" w:line="253" w:lineRule="exact"/>
        <w:rPr>
          <w:sz w:val="20"/>
          <w:szCs w:val="20"/>
          <w:color w:val="auto"/>
        </w:rPr>
      </w:pPr>
    </w:p>
    <w:p>
      <w:pPr>
        <w:ind w:left="3160"/>
        <w:spacing w:after="0"/>
        <w:tabs>
          <w:tab w:leader="none" w:pos="362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u w:val="single" w:color="auto"/>
          <w:color w:val="auto"/>
        </w:rPr>
        <w:t xml:space="preserve">/s/ Ben Snodgrass </w:t>
      </w:r>
      <w:r>
        <w:rPr>
          <w:rFonts w:ascii="Times New Roman" w:cs="Times New Roman" w:eastAsia="Times New Roman" w:hAnsi="Times New Roman"/>
          <w:sz w:val="19"/>
          <w:szCs w:val="19"/>
          <w:color w:val="auto"/>
        </w:rPr>
        <w:t>Name: Ben Snodgrass Title: Vice</w:t>
      </w:r>
    </w:p>
    <w:p>
      <w:pPr>
        <w:ind w:left="3160"/>
        <w:spacing w:after="0"/>
        <w:rPr>
          <w:sz w:val="20"/>
          <w:szCs w:val="20"/>
          <w:color w:val="auto"/>
        </w:rPr>
      </w:pPr>
      <w:r>
        <w:rPr>
          <w:rFonts w:ascii="Times New Roman" w:cs="Times New Roman" w:eastAsia="Times New Roman" w:hAnsi="Times New Roman"/>
          <w:sz w:val="20"/>
          <w:szCs w:val="20"/>
          <w:color w:val="auto"/>
        </w:rPr>
        <w:t>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4079"/>
        <w:spacing w:after="0"/>
        <w:rPr>
          <w:sz w:val="20"/>
          <w:szCs w:val="20"/>
          <w:color w:val="auto"/>
        </w:rPr>
      </w:pPr>
      <w:r>
        <w:rPr>
          <w:rFonts w:ascii="Times New Roman" w:cs="Times New Roman" w:eastAsia="Times New Roman" w:hAnsi="Times New Roman"/>
          <w:sz w:val="16"/>
          <w:szCs w:val="16"/>
          <w:color w:val="auto"/>
        </w:rPr>
        <w:t>Centuri Group, Inc.</w:t>
      </w:r>
    </w:p>
    <w:p>
      <w:pPr>
        <w:spacing w:after="0" w:line="23" w:lineRule="exact"/>
        <w:rPr>
          <w:sz w:val="20"/>
          <w:szCs w:val="20"/>
          <w:color w:val="auto"/>
        </w:rPr>
      </w:pPr>
    </w:p>
    <w:p>
      <w:pPr>
        <w:jc w:val="center"/>
        <w:ind w:right="4079"/>
        <w:spacing w:after="0"/>
        <w:rPr>
          <w:sz w:val="20"/>
          <w:szCs w:val="20"/>
          <w:color w:val="auto"/>
        </w:rPr>
      </w:pPr>
      <w:r>
        <w:rPr>
          <w:rFonts w:ascii="Times New Roman" w:cs="Times New Roman" w:eastAsia="Times New Roman" w:hAnsi="Times New Roman"/>
          <w:sz w:val="16"/>
          <w:szCs w:val="16"/>
          <w:color w:val="auto"/>
        </w:rPr>
        <w:t>First Amendment to Second Amended and Restated Credit Agreement Signature Page</w:t>
      </w:r>
    </w:p>
    <w:p>
      <w:pPr>
        <w:sectPr>
          <w:pgSz w:w="11900" w:h="16838" w:orient="portrait"/>
          <w:cols w:equalWidth="0" w:num="1">
            <w:col w:w="9659"/>
          </w:cols>
          <w:pgMar w:left="800" w:top="1399" w:right="1440" w:bottom="1440" w:gutter="0" w:footer="0" w:header="0"/>
        </w:sectPr>
      </w:pPr>
    </w:p>
    <w:bookmarkStart w:id="70" w:name="page71"/>
    <w:bookmarkEnd w:id="70"/>
    <w:p>
      <w:pPr>
        <w:spacing w:after="0" w:line="203"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0"/>
          <w:szCs w:val="20"/>
          <w:color w:val="auto"/>
        </w:rPr>
        <w:t>TRUIST BANK, as Lender</w:t>
      </w:r>
    </w:p>
    <w:p>
      <w:pPr>
        <w:spacing w:after="0" w:line="200" w:lineRule="exact"/>
        <w:rPr>
          <w:sz w:val="20"/>
          <w:szCs w:val="20"/>
          <w:color w:val="auto"/>
        </w:rPr>
      </w:pPr>
    </w:p>
    <w:p>
      <w:pPr>
        <w:spacing w:after="0" w:line="253" w:lineRule="exact"/>
        <w:rPr>
          <w:sz w:val="20"/>
          <w:szCs w:val="20"/>
          <w:color w:val="auto"/>
        </w:rPr>
      </w:pPr>
    </w:p>
    <w:p>
      <w:pPr>
        <w:ind w:left="3160"/>
        <w:spacing w:after="0"/>
        <w:tabs>
          <w:tab w:leader="none" w:pos="362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u w:val="single" w:color="auto"/>
          <w:color w:val="auto"/>
        </w:rPr>
        <w:t xml:space="preserve">/s/ William P. Rutkowski </w:t>
      </w:r>
      <w:r>
        <w:rPr>
          <w:rFonts w:ascii="Times New Roman" w:cs="Times New Roman" w:eastAsia="Times New Roman" w:hAnsi="Times New Roman"/>
          <w:sz w:val="19"/>
          <w:szCs w:val="19"/>
          <w:color w:val="auto"/>
        </w:rPr>
        <w:t>Name: William P. Rutkowski Title:</w:t>
      </w:r>
    </w:p>
    <w:p>
      <w:pPr>
        <w:ind w:left="3160"/>
        <w:spacing w:after="0"/>
        <w:rPr>
          <w:sz w:val="20"/>
          <w:szCs w:val="20"/>
          <w:color w:val="auto"/>
        </w:rPr>
      </w:pPr>
      <w:r>
        <w:rPr>
          <w:rFonts w:ascii="Times New Roman" w:cs="Times New Roman" w:eastAsia="Times New Roman" w:hAnsi="Times New Roman"/>
          <w:sz w:val="20"/>
          <w:szCs w:val="20"/>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4079"/>
        <w:spacing w:after="0"/>
        <w:rPr>
          <w:sz w:val="20"/>
          <w:szCs w:val="20"/>
          <w:color w:val="auto"/>
        </w:rPr>
      </w:pPr>
      <w:r>
        <w:rPr>
          <w:rFonts w:ascii="Times New Roman" w:cs="Times New Roman" w:eastAsia="Times New Roman" w:hAnsi="Times New Roman"/>
          <w:sz w:val="16"/>
          <w:szCs w:val="16"/>
          <w:color w:val="auto"/>
        </w:rPr>
        <w:t>Centuri Group, Inc.</w:t>
      </w:r>
    </w:p>
    <w:p>
      <w:pPr>
        <w:spacing w:after="0" w:line="23" w:lineRule="exact"/>
        <w:rPr>
          <w:sz w:val="20"/>
          <w:szCs w:val="20"/>
          <w:color w:val="auto"/>
        </w:rPr>
      </w:pPr>
    </w:p>
    <w:p>
      <w:pPr>
        <w:jc w:val="center"/>
        <w:ind w:right="4079"/>
        <w:spacing w:after="0"/>
        <w:rPr>
          <w:sz w:val="20"/>
          <w:szCs w:val="20"/>
          <w:color w:val="auto"/>
        </w:rPr>
      </w:pPr>
      <w:r>
        <w:rPr>
          <w:rFonts w:ascii="Times New Roman" w:cs="Times New Roman" w:eastAsia="Times New Roman" w:hAnsi="Times New Roman"/>
          <w:sz w:val="16"/>
          <w:szCs w:val="16"/>
          <w:color w:val="auto"/>
        </w:rPr>
        <w:t>First Amendment to Second Amended and Restated Credit Agreement Signature Page</w:t>
      </w:r>
    </w:p>
    <w:p>
      <w:pPr>
        <w:sectPr>
          <w:pgSz w:w="11900" w:h="16838" w:orient="portrait"/>
          <w:cols w:equalWidth="0" w:num="1">
            <w:col w:w="9659"/>
          </w:cols>
          <w:pgMar w:left="800" w:top="1440" w:right="1440" w:bottom="1440" w:gutter="0" w:footer="0" w:header="0"/>
        </w:sectPr>
      </w:pPr>
    </w:p>
    <w:bookmarkStart w:id="71" w:name="page72"/>
    <w:bookmarkEnd w:id="71"/>
    <w:p>
      <w:pPr>
        <w:spacing w:after="0" w:line="203"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0"/>
          <w:szCs w:val="20"/>
          <w:color w:val="auto"/>
        </w:rPr>
        <w:t>U.S. BANK NATIONAL ASSOCIATION, as Lender</w:t>
      </w:r>
    </w:p>
    <w:p>
      <w:pPr>
        <w:spacing w:after="0" w:line="200" w:lineRule="exact"/>
        <w:rPr>
          <w:sz w:val="20"/>
          <w:szCs w:val="20"/>
          <w:color w:val="auto"/>
        </w:rPr>
      </w:pPr>
    </w:p>
    <w:p>
      <w:pPr>
        <w:spacing w:after="0" w:line="259" w:lineRule="exact"/>
        <w:rPr>
          <w:sz w:val="20"/>
          <w:szCs w:val="20"/>
          <w:color w:val="auto"/>
        </w:rPr>
      </w:pPr>
    </w:p>
    <w:p>
      <w:pPr>
        <w:ind w:left="3160" w:right="879"/>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John M. Eyerman</w:t>
      </w:r>
      <w:r>
        <w:rPr>
          <w:rFonts w:ascii="Times New Roman" w:cs="Times New Roman" w:eastAsia="Times New Roman" w:hAnsi="Times New Roman"/>
          <w:sz w:val="20"/>
          <w:szCs w:val="20"/>
          <w:color w:val="auto"/>
        </w:rPr>
        <w:t xml:space="preserve"> Name: John M. Eyerman 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4079"/>
        <w:spacing w:after="0"/>
        <w:rPr>
          <w:sz w:val="20"/>
          <w:szCs w:val="20"/>
          <w:color w:val="auto"/>
        </w:rPr>
      </w:pPr>
      <w:r>
        <w:rPr>
          <w:rFonts w:ascii="Times New Roman" w:cs="Times New Roman" w:eastAsia="Times New Roman" w:hAnsi="Times New Roman"/>
          <w:sz w:val="16"/>
          <w:szCs w:val="16"/>
          <w:color w:val="auto"/>
        </w:rPr>
        <w:t>Centuri Group, Inc.</w:t>
      </w:r>
    </w:p>
    <w:p>
      <w:pPr>
        <w:spacing w:after="0" w:line="23" w:lineRule="exact"/>
        <w:rPr>
          <w:sz w:val="20"/>
          <w:szCs w:val="20"/>
          <w:color w:val="auto"/>
        </w:rPr>
      </w:pPr>
    </w:p>
    <w:p>
      <w:pPr>
        <w:jc w:val="center"/>
        <w:ind w:right="4079"/>
        <w:spacing w:after="0"/>
        <w:rPr>
          <w:sz w:val="20"/>
          <w:szCs w:val="20"/>
          <w:color w:val="auto"/>
        </w:rPr>
      </w:pPr>
      <w:r>
        <w:rPr>
          <w:rFonts w:ascii="Times New Roman" w:cs="Times New Roman" w:eastAsia="Times New Roman" w:hAnsi="Times New Roman"/>
          <w:sz w:val="16"/>
          <w:szCs w:val="16"/>
          <w:color w:val="auto"/>
        </w:rPr>
        <w:t>First Amendment to Second Amended and Restated Credit Agreement Signature Page</w:t>
      </w:r>
    </w:p>
    <w:p>
      <w:pPr>
        <w:sectPr>
          <w:pgSz w:w="11900" w:h="16838" w:orient="portrait"/>
          <w:cols w:equalWidth="0" w:num="1">
            <w:col w:w="9659"/>
          </w:cols>
          <w:pgMar w:left="800" w:top="1440" w:right="1440" w:bottom="1440" w:gutter="0" w:footer="0" w:header="0"/>
        </w:sectPr>
      </w:pPr>
    </w:p>
    <w:bookmarkStart w:id="72" w:name="page73"/>
    <w:bookmarkEnd w:id="72"/>
    <w:p>
      <w:pPr>
        <w:spacing w:after="0" w:line="203"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0"/>
          <w:szCs w:val="20"/>
          <w:color w:val="auto"/>
        </w:rPr>
        <w:t>BANK OF MONTREAL, as Lender</w:t>
      </w:r>
    </w:p>
    <w:p>
      <w:pPr>
        <w:spacing w:after="0" w:line="200" w:lineRule="exact"/>
        <w:rPr>
          <w:sz w:val="20"/>
          <w:szCs w:val="20"/>
          <w:color w:val="auto"/>
        </w:rPr>
      </w:pPr>
    </w:p>
    <w:p>
      <w:pPr>
        <w:spacing w:after="0" w:line="259" w:lineRule="exact"/>
        <w:rPr>
          <w:sz w:val="20"/>
          <w:szCs w:val="20"/>
          <w:color w:val="auto"/>
        </w:rPr>
      </w:pPr>
    </w:p>
    <w:p>
      <w:pPr>
        <w:ind w:left="3160"/>
        <w:spacing w:after="0"/>
        <w:tabs>
          <w:tab w:leader="none" w:pos="362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u w:val="single" w:color="auto"/>
          <w:color w:val="auto"/>
        </w:rPr>
        <w:t xml:space="preserve">/s/ John Armstrong </w:t>
      </w:r>
      <w:r>
        <w:rPr>
          <w:rFonts w:ascii="Times New Roman" w:cs="Times New Roman" w:eastAsia="Times New Roman" w:hAnsi="Times New Roman"/>
          <w:sz w:val="19"/>
          <w:szCs w:val="19"/>
          <w:color w:val="auto"/>
        </w:rPr>
        <w:t>Name: John Armstrong</w:t>
      </w:r>
    </w:p>
    <w:p>
      <w:pPr>
        <w:spacing w:after="0" w:line="8"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0"/>
          <w:szCs w:val="20"/>
          <w:color w:val="auto"/>
        </w:rPr>
        <w:t>Title: Managing Director, Chicago Branch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160"/>
        <w:spacing w:after="0"/>
        <w:tabs>
          <w:tab w:leader="none" w:pos="362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u w:val="single" w:color="auto"/>
          <w:color w:val="auto"/>
        </w:rPr>
        <w:t xml:space="preserve">/s/ Helen Alvarez-Hernandez </w:t>
      </w:r>
      <w:r>
        <w:rPr>
          <w:rFonts w:ascii="Times New Roman" w:cs="Times New Roman" w:eastAsia="Times New Roman" w:hAnsi="Times New Roman"/>
          <w:sz w:val="19"/>
          <w:szCs w:val="19"/>
          <w:color w:val="auto"/>
        </w:rPr>
        <w:t>Name: Helen Alvarez-Hernandez</w:t>
      </w:r>
    </w:p>
    <w:p>
      <w:pPr>
        <w:spacing w:after="0" w:line="8"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0"/>
          <w:szCs w:val="20"/>
          <w:color w:val="auto"/>
        </w:rPr>
        <w:t>Title: Managing Director, Canadian Branch</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4079"/>
        <w:spacing w:after="0"/>
        <w:rPr>
          <w:sz w:val="20"/>
          <w:szCs w:val="20"/>
          <w:color w:val="auto"/>
        </w:rPr>
      </w:pPr>
      <w:r>
        <w:rPr>
          <w:rFonts w:ascii="Times New Roman" w:cs="Times New Roman" w:eastAsia="Times New Roman" w:hAnsi="Times New Roman"/>
          <w:sz w:val="16"/>
          <w:szCs w:val="16"/>
          <w:color w:val="auto"/>
        </w:rPr>
        <w:t>Centuri Group, Inc.</w:t>
      </w:r>
    </w:p>
    <w:p>
      <w:pPr>
        <w:spacing w:after="0" w:line="23" w:lineRule="exact"/>
        <w:rPr>
          <w:sz w:val="20"/>
          <w:szCs w:val="20"/>
          <w:color w:val="auto"/>
        </w:rPr>
      </w:pPr>
    </w:p>
    <w:p>
      <w:pPr>
        <w:jc w:val="center"/>
        <w:ind w:right="4079"/>
        <w:spacing w:after="0"/>
        <w:rPr>
          <w:sz w:val="20"/>
          <w:szCs w:val="20"/>
          <w:color w:val="auto"/>
        </w:rPr>
      </w:pPr>
      <w:r>
        <w:rPr>
          <w:rFonts w:ascii="Times New Roman" w:cs="Times New Roman" w:eastAsia="Times New Roman" w:hAnsi="Times New Roman"/>
          <w:sz w:val="16"/>
          <w:szCs w:val="16"/>
          <w:color w:val="auto"/>
        </w:rPr>
        <w:t>First Amendment to Second Amended and Restated Credit Agreement Signature Page</w:t>
      </w:r>
    </w:p>
    <w:p>
      <w:pPr>
        <w:sectPr>
          <w:pgSz w:w="11900" w:h="16838" w:orient="portrait"/>
          <w:cols w:equalWidth="0" w:num="1">
            <w:col w:w="9659"/>
          </w:cols>
          <w:pgMar w:left="800" w:top="1440" w:right="1440"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20"/>
          <w:szCs w:val="20"/>
          <w:u w:val="single" w:color="auto"/>
          <w:color w:val="auto"/>
        </w:rPr>
        <w:t>ANNEX 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Amended Credit Agreement (See attached)</w:t>
      </w:r>
    </w:p>
    <w:p>
      <w:pPr>
        <w:sectPr>
          <w:pgSz w:w="11900" w:h="16838" w:orient="portrait"/>
          <w:cols w:equalWidth="0" w:num="1">
            <w:col w:w="9019"/>
          </w:cols>
          <w:pgMar w:left="1440" w:top="1399" w:right="1440" w:bottom="1440" w:gutter="0" w:footer="0" w:header="0"/>
        </w:sectPr>
      </w:pPr>
    </w:p>
    <w:bookmarkStart w:id="74" w:name="page75"/>
    <w:bookmarkEnd w:id="74"/>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u w:val="single" w:color="auto"/>
          <w:color w:val="auto"/>
        </w:rPr>
        <w:t>ANNEX B</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Amended Exhibits B, D and E (See Attached)</w:t>
      </w:r>
    </w:p>
    <w:p>
      <w:pPr>
        <w:sectPr>
          <w:pgSz w:w="11900" w:h="16838" w:orient="portrait"/>
          <w:cols w:equalWidth="0" w:num="1">
            <w:col w:w="9019"/>
          </w:cols>
          <w:pgMar w:left="1440" w:top="1440" w:right="1440" w:bottom="1440" w:gutter="0" w:footer="0" w:header="0"/>
        </w:sectPr>
      </w:pPr>
    </w:p>
    <w:bookmarkStart w:id="75" w:name="page76"/>
    <w:bookmarkEnd w:id="75"/>
    <w:p>
      <w:pPr>
        <w:ind w:left="3720"/>
        <w:spacing w:after="0"/>
        <w:rPr>
          <w:sz w:val="20"/>
          <w:szCs w:val="20"/>
          <w:color w:val="auto"/>
        </w:rPr>
      </w:pPr>
      <w:r>
        <w:rPr>
          <w:rFonts w:ascii="Times New Roman" w:cs="Times New Roman" w:eastAsia="Times New Roman" w:hAnsi="Times New Roman"/>
          <w:sz w:val="20"/>
          <w:szCs w:val="20"/>
          <w:b w:val="1"/>
          <w:bCs w:val="1"/>
          <w:color w:val="FF0000"/>
          <w:strike w:val="1"/>
        </w:rPr>
        <w:t>E</w:t>
      </w:r>
      <w:r>
        <w:rPr>
          <w:rFonts w:ascii="Times New Roman" w:cs="Times New Roman" w:eastAsia="Times New Roman" w:hAnsi="Times New Roman"/>
          <w:sz w:val="16"/>
          <w:szCs w:val="16"/>
          <w:b w:val="1"/>
          <w:bCs w:val="1"/>
          <w:color w:val="FF0000"/>
          <w:strike w:val="1"/>
        </w:rPr>
        <w:t>XECUTION</w:t>
      </w:r>
      <w:r>
        <w:rPr>
          <w:rFonts w:ascii="Times New Roman" w:cs="Times New Roman" w:eastAsia="Times New Roman" w:hAnsi="Times New Roman"/>
          <w:sz w:val="20"/>
          <w:szCs w:val="20"/>
          <w:b w:val="1"/>
          <w:bCs w:val="1"/>
          <w:color w:val="FF0000"/>
          <w:strike w:val="1"/>
        </w:rPr>
        <w:t xml:space="preserve"> V</w:t>
      </w:r>
      <w:r>
        <w:rPr>
          <w:rFonts w:ascii="Times New Roman" w:cs="Times New Roman" w:eastAsia="Times New Roman" w:hAnsi="Times New Roman"/>
          <w:sz w:val="16"/>
          <w:szCs w:val="16"/>
          <w:b w:val="1"/>
          <w:bCs w:val="1"/>
          <w:color w:val="FF0000"/>
          <w:strike w:val="1"/>
        </w:rPr>
        <w:t>ERSION</w:t>
      </w:r>
      <w:r>
        <w:rPr>
          <w:rFonts w:ascii="Times New Roman" w:cs="Times New Roman" w:eastAsia="Times New Roman" w:hAnsi="Times New Roman"/>
          <w:sz w:val="20"/>
          <w:szCs w:val="20"/>
          <w:b w:val="1"/>
          <w:bCs w:val="1"/>
          <w:u w:val="single" w:color="auto"/>
          <w:color w:val="0000FF"/>
          <w:strike w:val="1"/>
        </w:rPr>
        <w:t>E</w:t>
      </w:r>
      <w:r>
        <w:rPr>
          <w:rFonts w:ascii="Times New Roman" w:cs="Times New Roman" w:eastAsia="Times New Roman" w:hAnsi="Times New Roman"/>
          <w:sz w:val="16"/>
          <w:szCs w:val="16"/>
          <w:b w:val="1"/>
          <w:bCs w:val="1"/>
          <w:u w:val="single" w:color="auto"/>
          <w:color w:val="0000FF"/>
          <w:strike w:val="1"/>
        </w:rPr>
        <w:t>XHIBIT</w:t>
      </w:r>
      <w:r>
        <w:rPr>
          <w:rFonts w:ascii="Times New Roman" w:cs="Times New Roman" w:eastAsia="Times New Roman" w:hAnsi="Times New Roman"/>
          <w:sz w:val="20"/>
          <w:szCs w:val="20"/>
          <w:b w:val="1"/>
          <w:bCs w:val="1"/>
          <w:color w:val="FF0000"/>
          <w:strike w:val="1"/>
        </w:rPr>
        <w:t xml:space="preserve"> </w:t>
      </w:r>
      <w:r>
        <w:rPr>
          <w:rFonts w:ascii="Times New Roman" w:cs="Times New Roman" w:eastAsia="Times New Roman" w:hAnsi="Times New Roman"/>
          <w:sz w:val="20"/>
          <w:szCs w:val="20"/>
          <w:b w:val="1"/>
          <w:bCs w:val="1"/>
          <w:u w:val="single" w:color="auto"/>
          <w:color w:val="0000FF"/>
          <w:strike w:val="1"/>
        </w:rPr>
        <w:t>A</w:t>
      </w:r>
      <w:r>
        <w:rPr>
          <w:rFonts w:ascii="Times New Roman" w:cs="Times New Roman" w:eastAsia="Times New Roman" w:hAnsi="Times New Roman"/>
          <w:sz w:val="20"/>
          <w:szCs w:val="20"/>
          <w:b w:val="1"/>
          <w:bCs w:val="1"/>
          <w:color w:val="FF0000"/>
          <w:strike w:val="1"/>
        </w:rPr>
        <w:t xml:space="preserve"> </w:t>
      </w:r>
      <w:r>
        <w:rPr>
          <w:rFonts w:ascii="Times New Roman" w:cs="Times New Roman" w:eastAsia="Times New Roman" w:hAnsi="Times New Roman"/>
          <w:sz w:val="16"/>
          <w:szCs w:val="16"/>
          <w:b w:val="1"/>
          <w:bCs w:val="1"/>
          <w:u w:val="single" w:color="auto"/>
          <w:color w:val="0000FF"/>
          <w:strike w:val="1"/>
        </w:rPr>
        <w:t>TO</w:t>
      </w:r>
      <w:r>
        <w:rPr>
          <w:rFonts w:ascii="Times New Roman" w:cs="Times New Roman" w:eastAsia="Times New Roman" w:hAnsi="Times New Roman"/>
          <w:sz w:val="20"/>
          <w:szCs w:val="20"/>
          <w:b w:val="1"/>
          <w:bCs w:val="1"/>
          <w:color w:val="FF0000"/>
          <w:strike w:val="1"/>
        </w:rPr>
        <w:t xml:space="preserve"> </w:t>
      </w:r>
      <w:r>
        <w:rPr>
          <w:rFonts w:ascii="Times New Roman" w:cs="Times New Roman" w:eastAsia="Times New Roman" w:hAnsi="Times New Roman"/>
          <w:sz w:val="20"/>
          <w:szCs w:val="20"/>
          <w:b w:val="1"/>
          <w:bCs w:val="1"/>
          <w:u w:val="single" w:color="auto"/>
          <w:color w:val="0000FF"/>
          <w:strike w:val="1"/>
        </w:rPr>
        <w:t>F</w:t>
      </w:r>
      <w:r>
        <w:rPr>
          <w:rFonts w:ascii="Times New Roman" w:cs="Times New Roman" w:eastAsia="Times New Roman" w:hAnsi="Times New Roman"/>
          <w:sz w:val="16"/>
          <w:szCs w:val="16"/>
          <w:b w:val="1"/>
          <w:bCs w:val="1"/>
          <w:u w:val="single" w:color="auto"/>
          <w:color w:val="0000FF"/>
          <w:strike w:val="1"/>
        </w:rPr>
        <w:t>IRST</w:t>
      </w:r>
      <w:r>
        <w:rPr>
          <w:rFonts w:ascii="Times New Roman" w:cs="Times New Roman" w:eastAsia="Times New Roman" w:hAnsi="Times New Roman"/>
          <w:sz w:val="20"/>
          <w:szCs w:val="20"/>
          <w:b w:val="1"/>
          <w:bCs w:val="1"/>
          <w:color w:val="FF0000"/>
          <w:strike w:val="1"/>
        </w:rPr>
        <w:t xml:space="preserve"> </w:t>
      </w:r>
      <w:r>
        <w:rPr>
          <w:rFonts w:ascii="Times New Roman" w:cs="Times New Roman" w:eastAsia="Times New Roman" w:hAnsi="Times New Roman"/>
          <w:sz w:val="20"/>
          <w:szCs w:val="20"/>
          <w:b w:val="1"/>
          <w:bCs w:val="1"/>
          <w:u w:val="single" w:color="auto"/>
          <w:color w:val="0000FF"/>
          <w:strike w:val="1"/>
        </w:rPr>
        <w:t>A</w:t>
      </w:r>
      <w:r>
        <w:rPr>
          <w:rFonts w:ascii="Times New Roman" w:cs="Times New Roman" w:eastAsia="Times New Roman" w:hAnsi="Times New Roman"/>
          <w:sz w:val="16"/>
          <w:szCs w:val="16"/>
          <w:b w:val="1"/>
          <w:bCs w:val="1"/>
          <w:u w:val="single" w:color="auto"/>
          <w:color w:val="0000FF"/>
          <w:strike w:val="1"/>
        </w:rPr>
        <w:t>MENDMENT</w:t>
      </w:r>
    </w:p>
    <w:p>
      <w:pPr>
        <w:spacing w:after="0" w:line="28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Published  CUSIP  Number:  15643XAA6  Revolving  Credit  CUSIP</w:t>
      </w:r>
    </w:p>
    <w:p>
      <w:pPr>
        <w:ind w:left="4580"/>
        <w:spacing w:after="0"/>
        <w:rPr>
          <w:sz w:val="20"/>
          <w:szCs w:val="20"/>
          <w:color w:val="auto"/>
        </w:rPr>
      </w:pPr>
      <w:r>
        <w:rPr>
          <w:rFonts w:ascii="Times New Roman" w:cs="Times New Roman" w:eastAsia="Times New Roman" w:hAnsi="Times New Roman"/>
          <w:sz w:val="20"/>
          <w:szCs w:val="20"/>
          <w:color w:val="auto"/>
        </w:rPr>
        <w:t>Number: 15643XAB4 Initial Term Loan CUSIP Number: 15643XAC2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SECOND AMENDED AND RESTATED CREDIT AGREEMENT</w:t>
      </w:r>
    </w:p>
    <w:p>
      <w:pPr>
        <w:jc w:val="center"/>
        <w:ind w:right="-19"/>
        <w:spacing w:after="0" w:line="223" w:lineRule="auto"/>
        <w:rPr>
          <w:sz w:val="20"/>
          <w:szCs w:val="20"/>
          <w:color w:val="auto"/>
        </w:rPr>
      </w:pPr>
      <w:r>
        <w:rPr>
          <w:rFonts w:ascii="Times New Roman" w:cs="Times New Roman" w:eastAsia="Times New Roman" w:hAnsi="Times New Roman"/>
          <w:sz w:val="20"/>
          <w:szCs w:val="20"/>
          <w:color w:val="auto"/>
        </w:rPr>
        <w:t>dated as of August 27, 2021</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u w:val="single" w:color="auto"/>
          <w:color w:val="0000FF"/>
        </w:rPr>
        <w:t>(as amended by the First Amendment to Second Amended and Restated Credit Agreement dated as of November 4, 2022)</w:t>
      </w:r>
    </w:p>
    <w:p>
      <w:pPr>
        <w:spacing w:after="0" w:line="26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0"/>
          <w:szCs w:val="20"/>
          <w:color w:val="auto"/>
        </w:rPr>
        <w:t>by and among</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CENTURI GROUP, INC.,</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and</w:t>
      </w:r>
    </w:p>
    <w:p>
      <w:pPr>
        <w:ind w:left="4360"/>
        <w:spacing w:after="0"/>
        <w:rPr>
          <w:sz w:val="20"/>
          <w:szCs w:val="20"/>
          <w:color w:val="auto"/>
        </w:rPr>
      </w:pPr>
      <w:r>
        <w:rPr>
          <w:rFonts w:ascii="Times New Roman" w:cs="Times New Roman" w:eastAsia="Times New Roman" w:hAnsi="Times New Roman"/>
          <w:sz w:val="20"/>
          <w:szCs w:val="20"/>
          <w:b w:val="1"/>
          <w:bCs w:val="1"/>
          <w:color w:val="auto"/>
        </w:rPr>
        <w:t>each Additional Borrower,</w:t>
      </w:r>
    </w:p>
    <w:p>
      <w:pPr>
        <w:ind w:left="3500"/>
        <w:spacing w:after="0"/>
        <w:rPr>
          <w:sz w:val="20"/>
          <w:szCs w:val="20"/>
          <w:color w:val="auto"/>
        </w:rPr>
      </w:pPr>
      <w:r>
        <w:rPr>
          <w:rFonts w:ascii="Times New Roman" w:cs="Times New Roman" w:eastAsia="Times New Roman" w:hAnsi="Times New Roman"/>
          <w:sz w:val="20"/>
          <w:szCs w:val="20"/>
          <w:color w:val="auto"/>
        </w:rPr>
        <w:t>as US Borrowers,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CENTURI CANADA DIVISION INC.,</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and</w:t>
      </w:r>
    </w:p>
    <w:p>
      <w:pPr>
        <w:ind w:left="4360"/>
        <w:spacing w:after="0"/>
        <w:rPr>
          <w:sz w:val="20"/>
          <w:szCs w:val="20"/>
          <w:color w:val="auto"/>
        </w:rPr>
      </w:pPr>
      <w:r>
        <w:rPr>
          <w:rFonts w:ascii="Times New Roman" w:cs="Times New Roman" w:eastAsia="Times New Roman" w:hAnsi="Times New Roman"/>
          <w:sz w:val="20"/>
          <w:szCs w:val="20"/>
          <w:b w:val="1"/>
          <w:bCs w:val="1"/>
          <w:color w:val="auto"/>
        </w:rPr>
        <w:t>each Additional Borrower,</w:t>
      </w:r>
    </w:p>
    <w:p>
      <w:pPr>
        <w:ind w:left="3260"/>
        <w:spacing w:after="0"/>
        <w:rPr>
          <w:sz w:val="20"/>
          <w:szCs w:val="20"/>
          <w:color w:val="auto"/>
        </w:rPr>
      </w:pPr>
      <w:r>
        <w:rPr>
          <w:rFonts w:ascii="Times New Roman" w:cs="Times New Roman" w:eastAsia="Times New Roman" w:hAnsi="Times New Roman"/>
          <w:sz w:val="20"/>
          <w:szCs w:val="20"/>
          <w:color w:val="auto"/>
        </w:rPr>
        <w:t>as Canadian Borrowers,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the Lenders referred to herein, as Lenders,</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WELLS FARGO BANK, NATIONAL ASSOCIATION,</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as Administrative Agent, Swingline Lender and Issuing Lender,</w:t>
      </w: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WELLS FARGO SECURITIES, LLC and BOFA SECURITIES, INC.,</w:t>
      </w:r>
    </w:p>
    <w:p>
      <w:pPr>
        <w:jc w:val="center"/>
        <w:ind w:right="-19"/>
        <w:spacing w:after="0"/>
        <w:rPr>
          <w:sz w:val="20"/>
          <w:szCs w:val="20"/>
          <w:color w:val="auto"/>
        </w:rPr>
      </w:pPr>
      <w:r>
        <w:rPr>
          <w:rFonts w:ascii="Times New Roman" w:cs="Times New Roman" w:eastAsia="Times New Roman" w:hAnsi="Times New Roman"/>
          <w:sz w:val="20"/>
          <w:szCs w:val="20"/>
          <w:color w:val="auto"/>
        </w:rPr>
        <w:t>as Joint Lead Arrangers and Joint Bookrunners</w:t>
      </w:r>
    </w:p>
    <w:p>
      <w:pPr>
        <w:spacing w:after="0" w:line="190"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0"/>
          <w:szCs w:val="20"/>
          <w:b w:val="1"/>
          <w:bCs w:val="1"/>
          <w:color w:val="auto"/>
        </w:rPr>
        <w:t>BANK OF AMERICA, N.A.</w:t>
      </w:r>
      <w:r>
        <w:rPr>
          <w:rFonts w:ascii="Times New Roman" w:cs="Times New Roman" w:eastAsia="Times New Roman" w:hAnsi="Times New Roman"/>
          <w:sz w:val="20"/>
          <w:szCs w:val="20"/>
          <w:color w:val="auto"/>
        </w:rPr>
        <w:t>,</w:t>
      </w:r>
    </w:p>
    <w:p>
      <w:pPr>
        <w:spacing w:after="0" w:line="112"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0"/>
          <w:szCs w:val="20"/>
          <w:color w:val="auto"/>
        </w:rPr>
        <w:t>as Syndication Agent and</w:t>
      </w:r>
    </w:p>
    <w:p>
      <w:pPr>
        <w:spacing w:after="0" w:line="89"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0"/>
          <w:szCs w:val="20"/>
          <w:b w:val="1"/>
          <w:bCs w:val="1"/>
          <w:color w:val="auto"/>
        </w:rPr>
        <w:t>CANADIAN IMPERIAL BANK OF COMMERCE, PNC BANK, NATIONAL</w:t>
      </w:r>
    </w:p>
    <w:p>
      <w:pPr>
        <w:jc w:val="center"/>
        <w:ind w:right="-19"/>
        <w:spacing w:after="0" w:line="225" w:lineRule="auto"/>
        <w:rPr>
          <w:sz w:val="20"/>
          <w:szCs w:val="20"/>
          <w:color w:val="auto"/>
        </w:rPr>
      </w:pPr>
      <w:r>
        <w:rPr>
          <w:rFonts w:ascii="Times New Roman" w:cs="Times New Roman" w:eastAsia="Times New Roman" w:hAnsi="Times New Roman"/>
          <w:sz w:val="20"/>
          <w:szCs w:val="20"/>
          <w:b w:val="1"/>
          <w:bCs w:val="1"/>
          <w:color w:val="auto"/>
        </w:rPr>
        <w:t>ASSOCIATION, TRUIST BANK,</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 xml:space="preserve">U.S. BANK NATIONAL ASSOCIATION </w:t>
      </w:r>
      <w:r>
        <w:rPr>
          <w:rFonts w:ascii="Times New Roman" w:cs="Times New Roman" w:eastAsia="Times New Roman" w:hAnsi="Times New Roman"/>
          <w:sz w:val="20"/>
          <w:szCs w:val="20"/>
          <w:color w:val="auto"/>
        </w:rPr>
        <w:t>and</w:t>
      </w:r>
    </w:p>
    <w:p>
      <w:pPr>
        <w:ind w:left="4400"/>
        <w:spacing w:after="0" w:line="225" w:lineRule="auto"/>
        <w:rPr>
          <w:sz w:val="20"/>
          <w:szCs w:val="20"/>
          <w:color w:val="auto"/>
        </w:rPr>
      </w:pPr>
      <w:r>
        <w:rPr>
          <w:rFonts w:ascii="Times New Roman" w:cs="Times New Roman" w:eastAsia="Times New Roman" w:hAnsi="Times New Roman"/>
          <w:sz w:val="20"/>
          <w:szCs w:val="20"/>
          <w:b w:val="1"/>
          <w:bCs w:val="1"/>
          <w:color w:val="auto"/>
        </w:rPr>
        <w:t>BANK OF MONTREAL</w:t>
      </w:r>
      <w:r>
        <w:rPr>
          <w:rFonts w:ascii="Times New Roman" w:cs="Times New Roman" w:eastAsia="Times New Roman" w:hAnsi="Times New Roman"/>
          <w:sz w:val="20"/>
          <w:szCs w:val="20"/>
          <w:color w:val="auto"/>
        </w:rPr>
        <w:t>,</w:t>
      </w:r>
    </w:p>
    <w:p>
      <w:pPr>
        <w:ind w:left="4460"/>
        <w:spacing w:after="0"/>
        <w:rPr>
          <w:sz w:val="20"/>
          <w:szCs w:val="20"/>
          <w:color w:val="auto"/>
        </w:rPr>
      </w:pPr>
      <w:r>
        <w:rPr>
          <w:rFonts w:ascii="Times New Roman" w:cs="Times New Roman" w:eastAsia="Times New Roman" w:hAnsi="Times New Roman"/>
          <w:sz w:val="20"/>
          <w:szCs w:val="20"/>
          <w:color w:val="auto"/>
        </w:rPr>
        <w:t>as Documentation Agents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146960219_6</w:t>
      </w:r>
      <w:r>
        <w:rPr>
          <w:rFonts w:ascii="Times New Roman" w:cs="Times New Roman" w:eastAsia="Times New Roman" w:hAnsi="Times New Roman"/>
          <w:sz w:val="14"/>
          <w:szCs w:val="14"/>
          <w:u w:val="single" w:color="auto"/>
          <w:color w:val="0000FF"/>
          <w:strike w:val="1"/>
        </w:rPr>
        <w:t>165457743_4</w:t>
      </w:r>
    </w:p>
    <w:p>
      <w:pPr>
        <w:sectPr>
          <w:pgSz w:w="11900" w:h="16838" w:orient="portrait"/>
          <w:cols w:equalWidth="0" w:num="1">
            <w:col w:w="10960"/>
          </w:cols>
          <w:pgMar w:left="460" w:top="1071" w:right="479" w:bottom="1440" w:gutter="0" w:footer="0" w:header="0"/>
        </w:sectPr>
      </w:pPr>
    </w:p>
    <w:bookmarkStart w:id="76" w:name="page77"/>
    <w:bookmarkEnd w:id="76"/>
    <w:tbl>
      <w:tblPr>
        <w:tblLayout w:type="fixed"/>
        <w:tblInd w:w="700" w:type="dxa"/>
        <w:tblCellMar>
          <w:top w:w="0" w:type="dxa"/>
          <w:left w:w="0" w:type="dxa"/>
          <w:bottom w:w="0" w:type="dxa"/>
          <w:right w:w="0" w:type="dxa"/>
        </w:tblCellMar>
      </w:tblPr>
      <w:tr>
        <w:trPr>
          <w:trHeight w:val="262"/>
        </w:trPr>
        <w:tc>
          <w:tcPr>
            <w:tcW w:w="9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180" w:type="dxa"/>
            <w:vAlign w:val="bottom"/>
            <w:gridSpan w:val="22"/>
          </w:tcPr>
          <w:p>
            <w:pPr>
              <w:ind w:left="180"/>
              <w:spacing w:after="0"/>
              <w:rPr>
                <w:sz w:val="20"/>
                <w:szCs w:val="20"/>
                <w:color w:val="auto"/>
              </w:rPr>
            </w:pPr>
            <w:r>
              <w:rPr>
                <w:rFonts w:ascii="Times New Roman" w:cs="Times New Roman" w:eastAsia="Times New Roman" w:hAnsi="Times New Roman"/>
                <w:sz w:val="20"/>
                <w:szCs w:val="20"/>
                <w:b w:val="1"/>
                <w:bCs w:val="1"/>
                <w:color w:val="auto"/>
              </w:rPr>
              <w:t>TABLE OF CONTENTS</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13"/>
        </w:trPr>
        <w:tc>
          <w:tcPr>
            <w:tcW w:w="9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Page</w:t>
            </w:r>
          </w:p>
        </w:tc>
        <w:tc>
          <w:tcPr>
            <w:tcW w:w="0" w:type="dxa"/>
            <w:vAlign w:val="bottom"/>
          </w:tcPr>
          <w:p>
            <w:pPr>
              <w:spacing w:after="0"/>
              <w:rPr>
                <w:sz w:val="1"/>
                <w:szCs w:val="1"/>
                <w:color w:val="auto"/>
              </w:rPr>
            </w:pPr>
          </w:p>
        </w:tc>
      </w:tr>
      <w:tr>
        <w:trPr>
          <w:trHeight w:val="634"/>
        </w:trPr>
        <w:tc>
          <w:tcPr>
            <w:tcW w:w="9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5"/>
          </w:tcPr>
          <w:p>
            <w:pPr>
              <w:ind w:left="80"/>
              <w:spacing w:after="0"/>
              <w:rPr>
                <w:sz w:val="20"/>
                <w:szCs w:val="20"/>
                <w:color w:val="auto"/>
              </w:rPr>
            </w:pPr>
            <w:r>
              <w:rPr>
                <w:rFonts w:ascii="Times New Roman" w:cs="Times New Roman" w:eastAsia="Times New Roman" w:hAnsi="Times New Roman"/>
                <w:sz w:val="20"/>
                <w:szCs w:val="20"/>
                <w:color w:val="auto"/>
              </w:rPr>
              <w:t>ARTICLE I</w:t>
            </w:r>
          </w:p>
        </w:tc>
        <w:tc>
          <w:tcPr>
            <w:tcW w:w="120" w:type="dxa"/>
            <w:vAlign w:val="bottom"/>
          </w:tcPr>
          <w:p>
            <w:pPr>
              <w:spacing w:after="0"/>
              <w:rPr>
                <w:sz w:val="24"/>
                <w:szCs w:val="24"/>
                <w:color w:val="auto"/>
              </w:rPr>
            </w:pPr>
          </w:p>
        </w:tc>
        <w:tc>
          <w:tcPr>
            <w:tcW w:w="1340" w:type="dxa"/>
            <w:vAlign w:val="bottom"/>
            <w:gridSpan w:val="2"/>
          </w:tcPr>
          <w:p>
            <w:pPr>
              <w:jc w:val="right"/>
              <w:ind w:right="1"/>
              <w:spacing w:after="0"/>
              <w:rPr>
                <w:sz w:val="20"/>
                <w:szCs w:val="20"/>
                <w:color w:val="auto"/>
              </w:rPr>
            </w:pPr>
            <w:r>
              <w:rPr>
                <w:rFonts w:ascii="Times New Roman" w:cs="Times New Roman" w:eastAsia="Times New Roman" w:hAnsi="Times New Roman"/>
                <w:sz w:val="20"/>
                <w:szCs w:val="20"/>
                <w:color w:val="auto"/>
                <w:w w:val="98"/>
              </w:rPr>
              <w:t>DEFINITIONS</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0" w:type="dxa"/>
            <w:vAlign w:val="bottom"/>
          </w:tcPr>
          <w:p>
            <w:pPr>
              <w:spacing w:after="0"/>
              <w:rPr>
                <w:sz w:val="1"/>
                <w:szCs w:val="1"/>
                <w:color w:val="auto"/>
              </w:rPr>
            </w:pPr>
          </w:p>
        </w:tc>
      </w:tr>
      <w:tr>
        <w:trPr>
          <w:trHeight w:val="297"/>
        </w:trPr>
        <w:tc>
          <w:tcPr>
            <w:tcW w:w="21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1.1 Definitions</w:t>
            </w:r>
          </w:p>
        </w:tc>
        <w:tc>
          <w:tcPr>
            <w:tcW w:w="540" w:type="dxa"/>
            <w:vAlign w:val="bottom"/>
          </w:tcPr>
          <w:p>
            <w:pPr>
              <w:jc w:val="right"/>
              <w:ind w:right="281"/>
              <w:spacing w:after="0"/>
              <w:rPr>
                <w:sz w:val="20"/>
                <w:szCs w:val="20"/>
                <w:color w:val="auto"/>
              </w:rPr>
            </w:pPr>
            <w:r>
              <w:rPr>
                <w:rFonts w:ascii="Times New Roman" w:cs="Times New Roman" w:eastAsia="Times New Roman" w:hAnsi="Times New Roman"/>
                <w:sz w:val="20"/>
                <w:szCs w:val="20"/>
                <w:color w:val="auto"/>
              </w:rPr>
              <w:t>1</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820" w:type="dxa"/>
            <w:vAlign w:val="bottom"/>
            <w:gridSpan w:val="28"/>
          </w:tcPr>
          <w:p>
            <w:pPr>
              <w:spacing w:after="0"/>
              <w:rPr>
                <w:sz w:val="20"/>
                <w:szCs w:val="20"/>
                <w:color w:val="auto"/>
              </w:rPr>
            </w:pPr>
            <w:r>
              <w:rPr>
                <w:rFonts w:ascii="Times New Roman" w:cs="Times New Roman" w:eastAsia="Times New Roman" w:hAnsi="Times New Roman"/>
                <w:sz w:val="20"/>
                <w:szCs w:val="20"/>
                <w:color w:val="auto"/>
                <w:w w:val="98"/>
              </w:rPr>
              <w:t>SECTION 1.2 Other Definitions and Provisions .............................................................</w:t>
            </w:r>
          </w:p>
        </w:tc>
        <w:tc>
          <w:tcPr>
            <w:tcW w:w="80" w:type="dxa"/>
            <w:vAlign w:val="bottom"/>
          </w:tcPr>
          <w:p>
            <w:pPr>
              <w:spacing w:after="0"/>
              <w:rPr>
                <w:sz w:val="22"/>
                <w:szCs w:val="22"/>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FF0000"/>
                <w:strike w:val="1"/>
                <w:w w:val="99"/>
              </w:rPr>
              <w:t>49</w:t>
            </w:r>
          </w:p>
        </w:tc>
        <w:tc>
          <w:tcPr>
            <w:tcW w:w="200" w:type="dxa"/>
            <w:vAlign w:val="bottom"/>
            <w:tcBorders>
              <w:bottom w:val="single" w:sz="8" w:color="0000FF"/>
            </w:tcBorders>
            <w:gridSpan w:val="4"/>
          </w:tcPr>
          <w:p>
            <w:pPr>
              <w:jc w:val="right"/>
              <w:spacing w:after="0"/>
              <w:rPr>
                <w:sz w:val="20"/>
                <w:szCs w:val="20"/>
                <w:color w:val="auto"/>
              </w:rPr>
            </w:pPr>
            <w:r>
              <w:rPr>
                <w:rFonts w:ascii="Times New Roman" w:cs="Times New Roman" w:eastAsia="Times New Roman" w:hAnsi="Times New Roman"/>
                <w:sz w:val="20"/>
                <w:szCs w:val="20"/>
                <w:color w:val="0000FF"/>
                <w:w w:val="79"/>
              </w:rPr>
              <w:t>53</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1"/>
        </w:trPr>
        <w:tc>
          <w:tcPr>
            <w:tcW w:w="3640" w:type="dxa"/>
            <w:vAlign w:val="bottom"/>
            <w:gridSpan w:val="6"/>
          </w:tcPr>
          <w:p>
            <w:pPr>
              <w:spacing w:after="0"/>
              <w:rPr>
                <w:sz w:val="20"/>
                <w:szCs w:val="20"/>
                <w:color w:val="auto"/>
              </w:rPr>
            </w:pPr>
            <w:r>
              <w:rPr>
                <w:rFonts w:ascii="Times New Roman" w:cs="Times New Roman" w:eastAsia="Times New Roman" w:hAnsi="Times New Roman"/>
                <w:sz w:val="14"/>
                <w:szCs w:val="14"/>
                <w:color w:val="auto"/>
                <w:w w:val="74"/>
              </w:rPr>
              <w:t>SECTION 1.3 Accounting Terms ....................................................................................</w:t>
            </w: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FF0000"/>
                <w:strike w:val="1"/>
                <w:w w:val="89"/>
              </w:rPr>
              <w:t>50</w:t>
            </w:r>
          </w:p>
        </w:tc>
        <w:tc>
          <w:tcPr>
            <w:tcW w:w="200" w:type="dxa"/>
            <w:vAlign w:val="bottom"/>
            <w:tcBorders>
              <w:bottom w:val="single" w:sz="8" w:color="0000FF"/>
            </w:tcBorders>
            <w:gridSpan w:val="4"/>
          </w:tcPr>
          <w:p>
            <w:pPr>
              <w:jc w:val="right"/>
              <w:spacing w:after="0"/>
              <w:rPr>
                <w:sz w:val="20"/>
                <w:szCs w:val="20"/>
                <w:color w:val="auto"/>
              </w:rPr>
            </w:pPr>
            <w:r>
              <w:rPr>
                <w:rFonts w:ascii="Times New Roman" w:cs="Times New Roman" w:eastAsia="Times New Roman" w:hAnsi="Times New Roman"/>
                <w:sz w:val="20"/>
                <w:szCs w:val="20"/>
                <w:color w:val="0000FF"/>
                <w:w w:val="89"/>
              </w:rPr>
              <w:t>54</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3640" w:type="dxa"/>
            <w:vAlign w:val="bottom"/>
            <w:gridSpan w:val="6"/>
          </w:tcPr>
          <w:p>
            <w:pPr>
              <w:spacing w:after="0"/>
              <w:rPr>
                <w:sz w:val="20"/>
                <w:szCs w:val="20"/>
                <w:color w:val="auto"/>
              </w:rPr>
            </w:pPr>
            <w:r>
              <w:rPr>
                <w:rFonts w:ascii="Times New Roman" w:cs="Times New Roman" w:eastAsia="Times New Roman" w:hAnsi="Times New Roman"/>
                <w:sz w:val="14"/>
                <w:szCs w:val="14"/>
                <w:color w:val="auto"/>
                <w:w w:val="74"/>
              </w:rPr>
              <w:t>SECTION 1.4 UCC and PPSA Terms .............................................................................</w:t>
            </w: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FF0000"/>
                <w:strike w:val="1"/>
                <w:w w:val="89"/>
              </w:rPr>
              <w:t>50</w:t>
            </w:r>
          </w:p>
        </w:tc>
        <w:tc>
          <w:tcPr>
            <w:tcW w:w="200" w:type="dxa"/>
            <w:vAlign w:val="bottom"/>
            <w:tcBorders>
              <w:bottom w:val="single" w:sz="8" w:color="0000FF"/>
            </w:tcBorders>
            <w:gridSpan w:val="4"/>
          </w:tcPr>
          <w:p>
            <w:pPr>
              <w:jc w:val="right"/>
              <w:spacing w:after="0"/>
              <w:rPr>
                <w:sz w:val="20"/>
                <w:szCs w:val="20"/>
                <w:color w:val="auto"/>
              </w:rPr>
            </w:pPr>
            <w:r>
              <w:rPr>
                <w:rFonts w:ascii="Times New Roman" w:cs="Times New Roman" w:eastAsia="Times New Roman" w:hAnsi="Times New Roman"/>
                <w:sz w:val="20"/>
                <w:szCs w:val="20"/>
                <w:color w:val="0000FF"/>
                <w:w w:val="89"/>
              </w:rPr>
              <w:t>54</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9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SECTION</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1.5  Rounding</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4"/>
                <w:szCs w:val="4"/>
                <w:color w:val="auto"/>
                <w:w w:val="73"/>
              </w:rPr>
              <w:t>..................................................................................................</w:t>
            </w: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color w:val="FF0000"/>
                <w:strike w:val="1"/>
              </w:rPr>
              <w:t>50</w:t>
            </w:r>
          </w:p>
        </w:tc>
        <w:tc>
          <w:tcPr>
            <w:tcW w:w="2840" w:type="dxa"/>
            <w:vAlign w:val="bottom"/>
            <w:gridSpan w:val="10"/>
            <w:vMerge w:val="restart"/>
          </w:tcPr>
          <w:p>
            <w:pPr>
              <w:jc w:val="right"/>
              <w:spacing w:after="0"/>
              <w:rPr>
                <w:sz w:val="20"/>
                <w:szCs w:val="20"/>
                <w:color w:val="auto"/>
              </w:rPr>
            </w:pPr>
            <w:r>
              <w:rPr>
                <w:rFonts w:ascii="Times New Roman" w:cs="Times New Roman" w:eastAsia="Times New Roman" w:hAnsi="Times New Roman"/>
                <w:sz w:val="20"/>
                <w:szCs w:val="20"/>
                <w:color w:val="0000FF"/>
              </w:rPr>
              <w:t xml:space="preserve">54  </w:t>
            </w:r>
            <w:r>
              <w:rPr>
                <w:rFonts w:ascii="Times New Roman" w:cs="Times New Roman" w:eastAsia="Times New Roman" w:hAnsi="Times New Roman"/>
                <w:sz w:val="20"/>
                <w:szCs w:val="20"/>
                <w:color w:val="000000"/>
              </w:rPr>
              <w:t>SECTION  1.6  References  to</w:t>
            </w:r>
          </w:p>
        </w:tc>
        <w:tc>
          <w:tcPr>
            <w:tcW w:w="0" w:type="dxa"/>
            <w:vAlign w:val="bottom"/>
          </w:tcPr>
          <w:p>
            <w:pPr>
              <w:spacing w:after="0"/>
              <w:rPr>
                <w:sz w:val="1"/>
                <w:szCs w:val="1"/>
                <w:color w:val="auto"/>
              </w:rPr>
            </w:pPr>
          </w:p>
        </w:tc>
      </w:tr>
      <w:tr>
        <w:trPr>
          <w:trHeight w:val="68"/>
        </w:trPr>
        <w:tc>
          <w:tcPr>
            <w:tcW w:w="980" w:type="dxa"/>
            <w:vAlign w:val="bottom"/>
            <w:vMerge w:val="continue"/>
          </w:tcPr>
          <w:p>
            <w:pPr>
              <w:spacing w:after="0"/>
              <w:rPr>
                <w:sz w:val="5"/>
                <w:szCs w:val="5"/>
                <w:color w:val="auto"/>
              </w:rPr>
            </w:pPr>
          </w:p>
        </w:tc>
        <w:tc>
          <w:tcPr>
            <w:tcW w:w="12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gridSpan w:val="3"/>
            <w:vMerge w:val="continue"/>
          </w:tcPr>
          <w:p>
            <w:pPr>
              <w:spacing w:after="0"/>
              <w:rPr>
                <w:sz w:val="5"/>
                <w:szCs w:val="5"/>
                <w:color w:val="auto"/>
              </w:rPr>
            </w:pPr>
          </w:p>
        </w:tc>
        <w:tc>
          <w:tcPr>
            <w:tcW w:w="2840" w:type="dxa"/>
            <w:vAlign w:val="bottom"/>
            <w:gridSpan w:val="10"/>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Agreement</w:t>
            </w:r>
          </w:p>
        </w:tc>
        <w:tc>
          <w:tcPr>
            <w:tcW w:w="1200" w:type="dxa"/>
            <w:vAlign w:val="bottom"/>
          </w:tcPr>
          <w:p>
            <w:pPr>
              <w:jc w:val="right"/>
              <w:ind w:right="364"/>
              <w:spacing w:after="0"/>
              <w:rPr>
                <w:sz w:val="20"/>
                <w:szCs w:val="20"/>
                <w:color w:val="auto"/>
              </w:rPr>
            </w:pPr>
            <w:r>
              <w:rPr>
                <w:rFonts w:ascii="Times New Roman" w:cs="Times New Roman" w:eastAsia="Times New Roman" w:hAnsi="Times New Roman"/>
                <w:sz w:val="20"/>
                <w:szCs w:val="20"/>
                <w:color w:val="auto"/>
              </w:rPr>
              <w:t>and</w:t>
            </w:r>
          </w:p>
        </w:tc>
        <w:tc>
          <w:tcPr>
            <w:tcW w:w="146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w w:val="74"/>
              </w:rPr>
              <w:t>Laws.........................................................</w:t>
            </w: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FF0000"/>
                <w:strike w:val="1"/>
                <w:w w:val="89"/>
              </w:rPr>
              <w:t>51</w:t>
            </w:r>
          </w:p>
        </w:tc>
        <w:tc>
          <w:tcPr>
            <w:tcW w:w="560" w:type="dxa"/>
            <w:vAlign w:val="bottom"/>
            <w:gridSpan w:val="3"/>
          </w:tcPr>
          <w:p>
            <w:pPr>
              <w:jc w:val="right"/>
              <w:ind w:right="360"/>
              <w:spacing w:after="0"/>
              <w:rPr>
                <w:sz w:val="20"/>
                <w:szCs w:val="20"/>
                <w:color w:val="auto"/>
              </w:rPr>
            </w:pPr>
            <w:r>
              <w:rPr>
                <w:rFonts w:ascii="Times New Roman" w:cs="Times New Roman" w:eastAsia="Times New Roman" w:hAnsi="Times New Roman"/>
                <w:sz w:val="20"/>
                <w:szCs w:val="20"/>
                <w:color w:val="0000FF"/>
                <w:w w:val="89"/>
              </w:rPr>
              <w:t>54</w:t>
            </w:r>
          </w:p>
        </w:tc>
        <w:tc>
          <w:tcPr>
            <w:tcW w:w="80" w:type="dxa"/>
            <w:vAlign w:val="bottom"/>
          </w:tcPr>
          <w:p>
            <w:pPr>
              <w:spacing w:after="0"/>
              <w:rPr>
                <w:sz w:val="24"/>
                <w:szCs w:val="24"/>
                <w:color w:val="auto"/>
              </w:rPr>
            </w:pPr>
          </w:p>
        </w:tc>
        <w:tc>
          <w:tcPr>
            <w:tcW w:w="1440" w:type="dxa"/>
            <w:vAlign w:val="bottom"/>
            <w:gridSpan w:val="14"/>
          </w:tcPr>
          <w:p>
            <w:pPr>
              <w:ind w:left="120"/>
              <w:spacing w:after="0"/>
              <w:rPr>
                <w:sz w:val="20"/>
                <w:szCs w:val="20"/>
                <w:color w:val="auto"/>
              </w:rPr>
            </w:pPr>
            <w:r>
              <w:rPr>
                <w:rFonts w:ascii="Times New Roman" w:cs="Times New Roman" w:eastAsia="Times New Roman" w:hAnsi="Times New Roman"/>
                <w:sz w:val="20"/>
                <w:szCs w:val="20"/>
                <w:color w:val="auto"/>
              </w:rPr>
              <w:t>SECTION</w:t>
            </w:r>
          </w:p>
        </w:tc>
        <w:tc>
          <w:tcPr>
            <w:tcW w:w="4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1.7</w:t>
            </w:r>
          </w:p>
        </w:tc>
        <w:tc>
          <w:tcPr>
            <w:tcW w:w="120" w:type="dxa"/>
            <w:vAlign w:val="bottom"/>
          </w:tcPr>
          <w:p>
            <w:pPr>
              <w:spacing w:after="0"/>
              <w:rPr>
                <w:sz w:val="24"/>
                <w:szCs w:val="24"/>
                <w:color w:val="auto"/>
              </w:rPr>
            </w:pPr>
          </w:p>
        </w:tc>
        <w:tc>
          <w:tcPr>
            <w:tcW w:w="1340" w:type="dxa"/>
            <w:vAlign w:val="bottom"/>
            <w:gridSpan w:val="2"/>
          </w:tcPr>
          <w:p>
            <w:pPr>
              <w:jc w:val="right"/>
              <w:ind w:right="421"/>
              <w:spacing w:after="0"/>
              <w:rPr>
                <w:sz w:val="20"/>
                <w:szCs w:val="20"/>
                <w:color w:val="auto"/>
              </w:rPr>
            </w:pPr>
            <w:r>
              <w:rPr>
                <w:rFonts w:ascii="Times New Roman" w:cs="Times New Roman" w:eastAsia="Times New Roman" w:hAnsi="Times New Roman"/>
                <w:sz w:val="20"/>
                <w:szCs w:val="20"/>
                <w:color w:val="auto"/>
              </w:rPr>
              <w:t>Times</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of</w:t>
            </w:r>
          </w:p>
        </w:tc>
        <w:tc>
          <w:tcPr>
            <w:tcW w:w="0" w:type="dxa"/>
            <w:vAlign w:val="bottom"/>
          </w:tcPr>
          <w:p>
            <w:pPr>
              <w:spacing w:after="0"/>
              <w:rPr>
                <w:sz w:val="1"/>
                <w:szCs w:val="1"/>
                <w:color w:val="auto"/>
              </w:rPr>
            </w:pPr>
          </w:p>
        </w:tc>
      </w:tr>
      <w:tr>
        <w:trPr>
          <w:trHeight w:val="318"/>
        </w:trPr>
        <w:tc>
          <w:tcPr>
            <w:tcW w:w="980" w:type="dxa"/>
            <w:vAlign w:val="bottom"/>
          </w:tcPr>
          <w:p>
            <w:pPr>
              <w:spacing w:after="0"/>
              <w:rPr>
                <w:sz w:val="20"/>
                <w:szCs w:val="20"/>
                <w:color w:val="auto"/>
              </w:rPr>
            </w:pPr>
            <w:r>
              <w:rPr>
                <w:rFonts w:ascii="Times New Roman" w:cs="Times New Roman" w:eastAsia="Times New Roman" w:hAnsi="Times New Roman"/>
                <w:sz w:val="5"/>
                <w:szCs w:val="5"/>
                <w:color w:val="auto"/>
                <w:w w:val="77"/>
              </w:rPr>
              <w:t>Day............................................................................................</w:t>
            </w:r>
          </w:p>
        </w:tc>
        <w:tc>
          <w:tcPr>
            <w:tcW w:w="1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FF0000"/>
                <w:strike w:val="1"/>
              </w:rPr>
              <w:t>51</w:t>
            </w:r>
          </w:p>
        </w:tc>
        <w:tc>
          <w:tcPr>
            <w:tcW w:w="280" w:type="dxa"/>
            <w:vAlign w:val="bottom"/>
            <w:gridSpan w:val="4"/>
          </w:tcPr>
          <w:p>
            <w:pPr>
              <w:jc w:val="right"/>
              <w:ind w:right="80"/>
              <w:spacing w:after="0"/>
              <w:rPr>
                <w:sz w:val="20"/>
                <w:szCs w:val="20"/>
                <w:color w:val="auto"/>
              </w:rPr>
            </w:pPr>
            <w:r>
              <w:rPr>
                <w:rFonts w:ascii="Times New Roman" w:cs="Times New Roman" w:eastAsia="Times New Roman" w:hAnsi="Times New Roman"/>
                <w:sz w:val="20"/>
                <w:szCs w:val="20"/>
                <w:color w:val="0000FF"/>
                <w:w w:val="89"/>
              </w:rPr>
              <w:t>55</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640" w:type="dxa"/>
            <w:vAlign w:val="bottom"/>
            <w:gridSpan w:val="6"/>
          </w:tcPr>
          <w:p>
            <w:pPr>
              <w:jc w:val="right"/>
              <w:spacing w:after="0"/>
              <w:rPr>
                <w:sz w:val="20"/>
                <w:szCs w:val="20"/>
                <w:color w:val="auto"/>
              </w:rPr>
            </w:pPr>
            <w:r>
              <w:rPr>
                <w:rFonts w:ascii="Times New Roman" w:cs="Times New Roman" w:eastAsia="Times New Roman" w:hAnsi="Times New Roman"/>
                <w:sz w:val="20"/>
                <w:szCs w:val="20"/>
                <w:color w:val="auto"/>
              </w:rPr>
              <w:t>.........................................................................SECTION1.8LetterofCreditAmounts</w:t>
            </w: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FF0000"/>
                <w:strike w:val="1"/>
                <w:w w:val="89"/>
              </w:rPr>
              <w:t>51</w:t>
            </w:r>
          </w:p>
        </w:tc>
        <w:tc>
          <w:tcPr>
            <w:tcW w:w="200" w:type="dxa"/>
            <w:vAlign w:val="bottom"/>
            <w:tcBorders>
              <w:bottom w:val="single" w:sz="8" w:color="0000FF"/>
            </w:tcBorders>
            <w:gridSpan w:val="4"/>
          </w:tcPr>
          <w:p>
            <w:pPr>
              <w:jc w:val="right"/>
              <w:spacing w:after="0"/>
              <w:rPr>
                <w:sz w:val="20"/>
                <w:szCs w:val="20"/>
                <w:color w:val="auto"/>
              </w:rPr>
            </w:pPr>
            <w:r>
              <w:rPr>
                <w:rFonts w:ascii="Times New Roman" w:cs="Times New Roman" w:eastAsia="Times New Roman" w:hAnsi="Times New Roman"/>
                <w:sz w:val="20"/>
                <w:szCs w:val="20"/>
                <w:color w:val="0000FF"/>
                <w:w w:val="89"/>
              </w:rPr>
              <w:t>55</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0"/>
        </w:trPr>
        <w:tc>
          <w:tcPr>
            <w:tcW w:w="3640" w:type="dxa"/>
            <w:vAlign w:val="bottom"/>
            <w:gridSpan w:val="6"/>
          </w:tcPr>
          <w:p>
            <w:pPr>
              <w:spacing w:after="0"/>
              <w:rPr>
                <w:sz w:val="20"/>
                <w:szCs w:val="20"/>
                <w:color w:val="auto"/>
              </w:rPr>
            </w:pPr>
            <w:r>
              <w:rPr>
                <w:rFonts w:ascii="Times New Roman" w:cs="Times New Roman" w:eastAsia="Times New Roman" w:hAnsi="Times New Roman"/>
                <w:sz w:val="14"/>
                <w:szCs w:val="14"/>
                <w:color w:val="auto"/>
                <w:w w:val="74"/>
              </w:rPr>
              <w:t>SECTION 1.9 Guarantees/Earn-Outs ..............................................................................</w:t>
            </w: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FF0000"/>
                <w:strike w:val="1"/>
                <w:w w:val="89"/>
              </w:rPr>
              <w:t>51</w:t>
            </w:r>
          </w:p>
        </w:tc>
        <w:tc>
          <w:tcPr>
            <w:tcW w:w="200" w:type="dxa"/>
            <w:vAlign w:val="bottom"/>
            <w:tcBorders>
              <w:bottom w:val="single" w:sz="8" w:color="0000FF"/>
            </w:tcBorders>
            <w:gridSpan w:val="4"/>
          </w:tcPr>
          <w:p>
            <w:pPr>
              <w:jc w:val="right"/>
              <w:spacing w:after="0"/>
              <w:rPr>
                <w:sz w:val="20"/>
                <w:szCs w:val="20"/>
                <w:color w:val="auto"/>
              </w:rPr>
            </w:pPr>
            <w:r>
              <w:rPr>
                <w:rFonts w:ascii="Times New Roman" w:cs="Times New Roman" w:eastAsia="Times New Roman" w:hAnsi="Times New Roman"/>
                <w:sz w:val="20"/>
                <w:szCs w:val="20"/>
                <w:color w:val="0000FF"/>
                <w:w w:val="89"/>
              </w:rPr>
              <w:t>55</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SECTION</w:t>
            </w:r>
          </w:p>
        </w:tc>
        <w:tc>
          <w:tcPr>
            <w:tcW w:w="2660" w:type="dxa"/>
            <w:vAlign w:val="bottom"/>
            <w:gridSpan w:val="5"/>
          </w:tcPr>
          <w:p>
            <w:pPr>
              <w:ind w:left="60"/>
              <w:spacing w:after="0"/>
              <w:rPr>
                <w:sz w:val="20"/>
                <w:szCs w:val="20"/>
                <w:color w:val="auto"/>
              </w:rPr>
            </w:pPr>
            <w:r>
              <w:rPr>
                <w:rFonts w:ascii="Times New Roman" w:cs="Times New Roman" w:eastAsia="Times New Roman" w:hAnsi="Times New Roman"/>
                <w:sz w:val="20"/>
                <w:szCs w:val="20"/>
                <w:color w:val="auto"/>
              </w:rPr>
              <w:t>1.10  Alternative  Currency</w:t>
            </w:r>
          </w:p>
        </w:tc>
        <w:tc>
          <w:tcPr>
            <w:tcW w:w="3180" w:type="dxa"/>
            <w:vAlign w:val="bottom"/>
            <w:gridSpan w:val="22"/>
          </w:tcPr>
          <w:p>
            <w:pPr>
              <w:spacing w:after="0"/>
              <w:rPr>
                <w:sz w:val="20"/>
                <w:szCs w:val="20"/>
                <w:color w:val="auto"/>
              </w:rPr>
            </w:pPr>
            <w:r>
              <w:rPr>
                <w:rFonts w:ascii="Times New Roman" w:cs="Times New Roman" w:eastAsia="Times New Roman" w:hAnsi="Times New Roman"/>
                <w:sz w:val="20"/>
                <w:szCs w:val="20"/>
                <w:color w:val="auto"/>
                <w:w w:val="79"/>
              </w:rPr>
              <w:t>...................................................................Matters</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jc w:val="center"/>
              <w:spacing w:after="0"/>
              <w:rPr>
                <w:sz w:val="20"/>
                <w:szCs w:val="20"/>
                <w:color w:val="auto"/>
              </w:rPr>
            </w:pPr>
            <w:r>
              <w:rPr>
                <w:rFonts w:ascii="Times New Roman" w:cs="Times New Roman" w:eastAsia="Times New Roman" w:hAnsi="Times New Roman"/>
                <w:sz w:val="20"/>
                <w:szCs w:val="20"/>
                <w:color w:val="FF0000"/>
                <w:strike w:val="1"/>
                <w:w w:val="99"/>
              </w:rPr>
              <w:t>51</w:t>
            </w:r>
          </w:p>
        </w:tc>
        <w:tc>
          <w:tcPr>
            <w:tcW w:w="2440" w:type="dxa"/>
            <w:vAlign w:val="bottom"/>
            <w:gridSpan w:val="7"/>
          </w:tcPr>
          <w:p>
            <w:pPr>
              <w:jc w:val="right"/>
              <w:spacing w:after="0"/>
              <w:rPr>
                <w:sz w:val="20"/>
                <w:szCs w:val="20"/>
                <w:color w:val="auto"/>
              </w:rPr>
            </w:pPr>
            <w:r>
              <w:rPr>
                <w:rFonts w:ascii="Times New Roman" w:cs="Times New Roman" w:eastAsia="Times New Roman" w:hAnsi="Times New Roman"/>
                <w:sz w:val="20"/>
                <w:szCs w:val="20"/>
                <w:color w:val="0000FF"/>
              </w:rPr>
              <w:t xml:space="preserve">55  </w:t>
            </w:r>
            <w:r>
              <w:rPr>
                <w:rFonts w:ascii="Times New Roman" w:cs="Times New Roman" w:eastAsia="Times New Roman" w:hAnsi="Times New Roman"/>
                <w:sz w:val="20"/>
                <w:szCs w:val="20"/>
                <w:color w:val="000000"/>
              </w:rPr>
              <w:t>SECTION  1.11  Rates</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w w:val="74"/>
              </w:rPr>
              <w:t>.........................................................................................................</w:t>
            </w: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FF0000"/>
                <w:strike w:val="1"/>
                <w:w w:val="89"/>
              </w:rPr>
              <w:t>52</w:t>
            </w:r>
          </w:p>
        </w:tc>
        <w:tc>
          <w:tcPr>
            <w:tcW w:w="1220" w:type="dxa"/>
            <w:vAlign w:val="bottom"/>
            <w:gridSpan w:val="10"/>
            <w:vMerge w:val="restart"/>
          </w:tcPr>
          <w:p>
            <w:pPr>
              <w:spacing w:after="0"/>
              <w:rPr>
                <w:sz w:val="20"/>
                <w:szCs w:val="20"/>
                <w:color w:val="auto"/>
              </w:rPr>
            </w:pPr>
            <w:r>
              <w:rPr>
                <w:rFonts w:ascii="Times New Roman" w:cs="Times New Roman" w:eastAsia="Times New Roman" w:hAnsi="Times New Roman"/>
                <w:sz w:val="20"/>
                <w:szCs w:val="20"/>
                <w:color w:val="0000FF"/>
              </w:rPr>
              <w:t xml:space="preserve">55  </w:t>
            </w:r>
            <w:r>
              <w:rPr>
                <w:rFonts w:ascii="Times New Roman" w:cs="Times New Roman" w:eastAsia="Times New Roman" w:hAnsi="Times New Roman"/>
                <w:sz w:val="20"/>
                <w:szCs w:val="20"/>
                <w:color w:val="000000"/>
              </w:rPr>
              <w:t>SECTION</w:t>
            </w:r>
          </w:p>
        </w:tc>
        <w:tc>
          <w:tcPr>
            <w:tcW w:w="560" w:type="dxa"/>
            <w:vAlign w:val="bottom"/>
            <w:gridSpan w:val="9"/>
            <w:vMerge w:val="restart"/>
          </w:tcPr>
          <w:p>
            <w:pPr>
              <w:ind w:left="200"/>
              <w:spacing w:after="0"/>
              <w:rPr>
                <w:sz w:val="20"/>
                <w:szCs w:val="20"/>
                <w:color w:val="auto"/>
              </w:rPr>
            </w:pPr>
            <w:r>
              <w:rPr>
                <w:rFonts w:ascii="Times New Roman" w:cs="Times New Roman" w:eastAsia="Times New Roman" w:hAnsi="Times New Roman"/>
                <w:sz w:val="20"/>
                <w:szCs w:val="20"/>
                <w:color w:val="auto"/>
                <w:w w:val="97"/>
              </w:rPr>
              <w:t>1.12</w:t>
            </w:r>
          </w:p>
        </w:tc>
        <w:tc>
          <w:tcPr>
            <w:tcW w:w="180" w:type="dxa"/>
            <w:vAlign w:val="bottom"/>
            <w:vMerge w:val="restart"/>
          </w:tcPr>
          <w:p>
            <w:pPr>
              <w:spacing w:after="0"/>
              <w:rPr>
                <w:sz w:val="21"/>
                <w:szCs w:val="21"/>
                <w:color w:val="auto"/>
              </w:rPr>
            </w:pPr>
          </w:p>
        </w:tc>
        <w:tc>
          <w:tcPr>
            <w:tcW w:w="780" w:type="dxa"/>
            <w:vAlign w:val="bottom"/>
            <w:gridSpan w:val="5"/>
            <w:vMerge w:val="restart"/>
          </w:tcPr>
          <w:p>
            <w:pPr>
              <w:jc w:val="center"/>
              <w:ind w:right="120"/>
              <w:spacing w:after="0"/>
              <w:rPr>
                <w:sz w:val="20"/>
                <w:szCs w:val="20"/>
                <w:color w:val="auto"/>
              </w:rPr>
            </w:pPr>
            <w:r>
              <w:rPr>
                <w:rFonts w:ascii="Times New Roman" w:cs="Times New Roman" w:eastAsia="Times New Roman" w:hAnsi="Times New Roman"/>
                <w:sz w:val="20"/>
                <w:szCs w:val="20"/>
                <w:color w:val="auto"/>
                <w:w w:val="97"/>
              </w:rPr>
              <w:t>Limited</w:t>
            </w:r>
          </w:p>
        </w:tc>
        <w:tc>
          <w:tcPr>
            <w:tcW w:w="1000" w:type="dxa"/>
            <w:vAlign w:val="bottom"/>
            <w:gridSpan w:val="3"/>
            <w:vMerge w:val="restart"/>
          </w:tcPr>
          <w:p>
            <w:pPr>
              <w:ind w:left="60"/>
              <w:spacing w:after="0"/>
              <w:rPr>
                <w:sz w:val="20"/>
                <w:szCs w:val="20"/>
                <w:color w:val="auto"/>
              </w:rPr>
            </w:pPr>
            <w:r>
              <w:rPr>
                <w:rFonts w:ascii="Times New Roman" w:cs="Times New Roman" w:eastAsia="Times New Roman" w:hAnsi="Times New Roman"/>
                <w:sz w:val="20"/>
                <w:szCs w:val="20"/>
                <w:color w:val="auto"/>
              </w:rPr>
              <w:t>Condition</w:t>
            </w:r>
          </w:p>
        </w:tc>
        <w:tc>
          <w:tcPr>
            <w:tcW w:w="1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Acquisitions</w:t>
            </w:r>
          </w:p>
        </w:tc>
        <w:tc>
          <w:tcPr>
            <w:tcW w:w="0" w:type="dxa"/>
            <w:vAlign w:val="bottom"/>
          </w:tcPr>
          <w:p>
            <w:pPr>
              <w:spacing w:after="0"/>
              <w:rPr>
                <w:sz w:val="1"/>
                <w:szCs w:val="1"/>
                <w:color w:val="auto"/>
              </w:rPr>
            </w:pPr>
          </w:p>
        </w:tc>
      </w:tr>
      <w:tr>
        <w:trPr>
          <w:trHeight w:val="68"/>
        </w:trPr>
        <w:tc>
          <w:tcPr>
            <w:tcW w:w="9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gridSpan w:val="2"/>
            <w:vMerge w:val="continue"/>
          </w:tcPr>
          <w:p>
            <w:pPr>
              <w:spacing w:after="0"/>
              <w:rPr>
                <w:sz w:val="5"/>
                <w:szCs w:val="5"/>
                <w:color w:val="auto"/>
              </w:rPr>
            </w:pPr>
          </w:p>
        </w:tc>
        <w:tc>
          <w:tcPr>
            <w:tcW w:w="1220" w:type="dxa"/>
            <w:vAlign w:val="bottom"/>
            <w:gridSpan w:val="10"/>
            <w:vMerge w:val="continue"/>
          </w:tcPr>
          <w:p>
            <w:pPr>
              <w:spacing w:after="0"/>
              <w:rPr>
                <w:sz w:val="5"/>
                <w:szCs w:val="5"/>
                <w:color w:val="auto"/>
              </w:rPr>
            </w:pPr>
          </w:p>
        </w:tc>
        <w:tc>
          <w:tcPr>
            <w:tcW w:w="560" w:type="dxa"/>
            <w:vAlign w:val="bottom"/>
            <w:gridSpan w:val="9"/>
            <w:vMerge w:val="continue"/>
          </w:tcPr>
          <w:p>
            <w:pPr>
              <w:spacing w:after="0"/>
              <w:rPr>
                <w:sz w:val="5"/>
                <w:szCs w:val="5"/>
                <w:color w:val="auto"/>
              </w:rPr>
            </w:pPr>
          </w:p>
        </w:tc>
        <w:tc>
          <w:tcPr>
            <w:tcW w:w="180" w:type="dxa"/>
            <w:vAlign w:val="bottom"/>
            <w:vMerge w:val="continue"/>
          </w:tcPr>
          <w:p>
            <w:pPr>
              <w:spacing w:after="0"/>
              <w:rPr>
                <w:sz w:val="5"/>
                <w:szCs w:val="5"/>
                <w:color w:val="auto"/>
              </w:rPr>
            </w:pPr>
          </w:p>
        </w:tc>
        <w:tc>
          <w:tcPr>
            <w:tcW w:w="780" w:type="dxa"/>
            <w:vAlign w:val="bottom"/>
            <w:gridSpan w:val="5"/>
            <w:vMerge w:val="continue"/>
          </w:tcPr>
          <w:p>
            <w:pPr>
              <w:spacing w:after="0"/>
              <w:rPr>
                <w:sz w:val="5"/>
                <w:szCs w:val="5"/>
                <w:color w:val="auto"/>
              </w:rPr>
            </w:pPr>
          </w:p>
        </w:tc>
        <w:tc>
          <w:tcPr>
            <w:tcW w:w="1000" w:type="dxa"/>
            <w:vAlign w:val="bottom"/>
            <w:gridSpan w:val="3"/>
            <w:vMerge w:val="continue"/>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
        </w:trPr>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
                <w:szCs w:val="1"/>
                <w:color w:val="auto"/>
              </w:rPr>
              <w:t>...................................................................................................</w:t>
            </w: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color w:val="FF0000"/>
                <w:strike w:val="1"/>
                <w:w w:val="89"/>
              </w:rPr>
              <w:t>53</w:t>
            </w:r>
          </w:p>
        </w:tc>
        <w:tc>
          <w:tcPr>
            <w:tcW w:w="200" w:type="dxa"/>
            <w:vAlign w:val="bottom"/>
            <w:gridSpan w:val="4"/>
            <w:vMerge w:val="restart"/>
          </w:tcPr>
          <w:p>
            <w:pPr>
              <w:jc w:val="right"/>
              <w:spacing w:after="0"/>
              <w:rPr>
                <w:sz w:val="20"/>
                <w:szCs w:val="20"/>
                <w:color w:val="auto"/>
              </w:rPr>
            </w:pPr>
            <w:r>
              <w:rPr>
                <w:rFonts w:ascii="Times New Roman" w:cs="Times New Roman" w:eastAsia="Times New Roman" w:hAnsi="Times New Roman"/>
                <w:sz w:val="20"/>
                <w:szCs w:val="20"/>
                <w:color w:val="0000FF"/>
                <w:w w:val="89"/>
              </w:rPr>
              <w:t>56</w:t>
            </w:r>
          </w:p>
        </w:tc>
        <w:tc>
          <w:tcPr>
            <w:tcW w:w="18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7"/>
            <w:vMerge w:val="restart"/>
          </w:tcPr>
          <w:p>
            <w:pPr>
              <w:spacing w:after="0"/>
              <w:rPr>
                <w:sz w:val="20"/>
                <w:szCs w:val="20"/>
                <w:color w:val="auto"/>
              </w:rPr>
            </w:pPr>
            <w:r>
              <w:rPr>
                <w:rFonts w:ascii="Times New Roman" w:cs="Times New Roman" w:eastAsia="Times New Roman" w:hAnsi="Times New Roman"/>
                <w:sz w:val="20"/>
                <w:szCs w:val="20"/>
                <w:color w:val="auto"/>
              </w:rPr>
              <w:t>SECTION</w:t>
            </w: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1.13</w:t>
            </w:r>
          </w:p>
        </w:tc>
        <w:tc>
          <w:tcPr>
            <w:tcW w:w="0" w:type="dxa"/>
            <w:vAlign w:val="bottom"/>
          </w:tcPr>
          <w:p>
            <w:pPr>
              <w:spacing w:after="0" w:line="20" w:lineRule="exact"/>
              <w:rPr>
                <w:sz w:val="1"/>
                <w:szCs w:val="1"/>
                <w:color w:val="auto"/>
              </w:rPr>
            </w:pPr>
          </w:p>
        </w:tc>
      </w:tr>
      <w:tr>
        <w:trPr>
          <w:trHeight w:val="329"/>
        </w:trPr>
        <w:tc>
          <w:tcPr>
            <w:tcW w:w="980" w:type="dxa"/>
            <w:vAlign w:val="bottom"/>
            <w:vMerge w:val="restart"/>
          </w:tcPr>
          <w:p>
            <w:pPr>
              <w:spacing w:after="0"/>
              <w:rPr>
                <w:sz w:val="20"/>
                <w:szCs w:val="20"/>
                <w:color w:val="auto"/>
              </w:rPr>
            </w:pPr>
            <w:r>
              <w:rPr>
                <w:rFonts w:ascii="Times New Roman" w:cs="Times New Roman" w:eastAsia="Times New Roman" w:hAnsi="Times New Roman"/>
                <w:sz w:val="9"/>
                <w:szCs w:val="9"/>
                <w:color w:val="auto"/>
                <w:w w:val="94"/>
                <w:vertAlign w:val="subscript"/>
              </w:rPr>
              <w:t>Divisions</w:t>
            </w:r>
            <w:r>
              <w:rPr>
                <w:rFonts w:ascii="Times New Roman" w:cs="Times New Roman" w:eastAsia="Times New Roman" w:hAnsi="Times New Roman"/>
                <w:sz w:val="5"/>
                <w:szCs w:val="5"/>
                <w:color w:val="auto"/>
                <w:w w:val="94"/>
              </w:rPr>
              <w:t>...............................................................</w:t>
            </w:r>
          </w:p>
        </w:tc>
        <w:tc>
          <w:tcPr>
            <w:tcW w:w="1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gridSpan w:val="3"/>
            <w:vMerge w:val="continue"/>
          </w:tcPr>
          <w:p>
            <w:pPr>
              <w:spacing w:after="0"/>
              <w:rPr>
                <w:sz w:val="24"/>
                <w:szCs w:val="24"/>
                <w:color w:val="auto"/>
              </w:rPr>
            </w:pPr>
          </w:p>
        </w:tc>
        <w:tc>
          <w:tcPr>
            <w:tcW w:w="200" w:type="dxa"/>
            <w:vAlign w:val="bottom"/>
            <w:tcBorders>
              <w:bottom w:val="single" w:sz="8" w:color="0000FF"/>
            </w:tcBorders>
            <w:gridSpan w:val="4"/>
            <w:vMerge w:val="continue"/>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FF0000"/>
                <w:strike w:val="1"/>
                <w:w w:val="79"/>
              </w:rPr>
              <w:t>54</w:t>
            </w:r>
          </w:p>
        </w:tc>
        <w:tc>
          <w:tcPr>
            <w:tcW w:w="24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20"/>
                <w:szCs w:val="20"/>
                <w:color w:val="0000FF"/>
                <w:w w:val="89"/>
              </w:rPr>
              <w:t>58</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gridSpan w:val="7"/>
            <w:vMerge w:val="continue"/>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980" w:type="dxa"/>
            <w:vAlign w:val="bottom"/>
            <w:vMerge w:val="continue"/>
          </w:tcPr>
          <w:p>
            <w:pPr>
              <w:spacing w:after="0"/>
              <w:rPr>
                <w:sz w:val="24"/>
                <w:szCs w:val="24"/>
                <w:color w:val="auto"/>
              </w:rPr>
            </w:pPr>
          </w:p>
        </w:tc>
        <w:tc>
          <w:tcPr>
            <w:tcW w:w="1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gridSpan w:val="2"/>
          </w:tcPr>
          <w:p>
            <w:pPr>
              <w:spacing w:after="0"/>
              <w:rPr>
                <w:sz w:val="24"/>
                <w:szCs w:val="24"/>
                <w:color w:val="auto"/>
              </w:rPr>
            </w:pPr>
          </w:p>
        </w:tc>
        <w:tc>
          <w:tcPr>
            <w:tcW w:w="200" w:type="dxa"/>
            <w:vAlign w:val="bottom"/>
            <w:gridSpan w:val="3"/>
          </w:tcPr>
          <w:p>
            <w:pPr>
              <w:spacing w:after="0"/>
              <w:rPr>
                <w:sz w:val="24"/>
                <w:szCs w:val="24"/>
                <w:color w:val="auto"/>
              </w:rPr>
            </w:pPr>
          </w:p>
        </w:tc>
        <w:tc>
          <w:tcPr>
            <w:tcW w:w="160" w:type="dxa"/>
            <w:vAlign w:val="bottom"/>
            <w:gridSpan w:val="2"/>
          </w:tcPr>
          <w:p>
            <w:pPr>
              <w:spacing w:after="0"/>
              <w:rPr>
                <w:sz w:val="24"/>
                <w:szCs w:val="24"/>
                <w:color w:val="auto"/>
              </w:rPr>
            </w:pPr>
          </w:p>
        </w:tc>
        <w:tc>
          <w:tcPr>
            <w:tcW w:w="20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gridSpan w:val="2"/>
            <w:vMerge w:val="continue"/>
          </w:tcPr>
          <w:p>
            <w:pPr>
              <w:spacing w:after="0"/>
              <w:rPr>
                <w:sz w:val="24"/>
                <w:szCs w:val="24"/>
                <w:color w:val="auto"/>
              </w:rPr>
            </w:pPr>
          </w:p>
        </w:tc>
        <w:tc>
          <w:tcPr>
            <w:tcW w:w="24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640" w:type="dxa"/>
            <w:vAlign w:val="bottom"/>
            <w:gridSpan w:val="26"/>
          </w:tcPr>
          <w:p>
            <w:pPr>
              <w:jc w:val="right"/>
              <w:spacing w:after="0"/>
              <w:rPr>
                <w:sz w:val="20"/>
                <w:szCs w:val="20"/>
                <w:color w:val="auto"/>
              </w:rPr>
            </w:pPr>
            <w:r>
              <w:rPr>
                <w:rFonts w:ascii="Times New Roman" w:cs="Times New Roman" w:eastAsia="Times New Roman" w:hAnsi="Times New Roman"/>
                <w:sz w:val="16"/>
                <w:szCs w:val="16"/>
                <w:color w:val="auto"/>
                <w:w w:val="74"/>
              </w:rPr>
              <w:t>ARTICLE II  REVOLVING CREDIT FACILITY............................................................................</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FF0000"/>
                <w:strike w:val="1"/>
              </w:rPr>
              <w:t>54</w:t>
            </w:r>
          </w:p>
        </w:tc>
        <w:tc>
          <w:tcPr>
            <w:tcW w:w="2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89"/>
              </w:rPr>
              <w:t>58</w:t>
            </w:r>
          </w:p>
        </w:tc>
        <w:tc>
          <w:tcPr>
            <w:tcW w:w="0" w:type="dxa"/>
            <w:vAlign w:val="bottom"/>
          </w:tcPr>
          <w:p>
            <w:pPr>
              <w:spacing w:after="0"/>
              <w:rPr>
                <w:sz w:val="1"/>
                <w:szCs w:val="1"/>
                <w:color w:val="auto"/>
              </w:rPr>
            </w:pPr>
          </w:p>
        </w:tc>
      </w:tr>
      <w:tr>
        <w:trPr>
          <w:trHeight w:val="290"/>
        </w:trPr>
        <w:tc>
          <w:tcPr>
            <w:tcW w:w="3640" w:type="dxa"/>
            <w:vAlign w:val="bottom"/>
            <w:gridSpan w:val="6"/>
          </w:tcPr>
          <w:p>
            <w:pPr>
              <w:jc w:val="right"/>
              <w:spacing w:after="0"/>
              <w:rPr>
                <w:sz w:val="20"/>
                <w:szCs w:val="20"/>
                <w:color w:val="auto"/>
              </w:rPr>
            </w:pPr>
            <w:r>
              <w:rPr>
                <w:rFonts w:ascii="Times New Roman" w:cs="Times New Roman" w:eastAsia="Times New Roman" w:hAnsi="Times New Roman"/>
                <w:sz w:val="20"/>
                <w:szCs w:val="20"/>
                <w:color w:val="auto"/>
              </w:rPr>
              <w:t>...........................................................................SECTION2.1RevolvingCreditLoans</w:t>
            </w: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FF0000"/>
                <w:strike w:val="1"/>
              </w:rPr>
              <w:t>54</w:t>
            </w:r>
          </w:p>
        </w:tc>
        <w:tc>
          <w:tcPr>
            <w:tcW w:w="200" w:type="dxa"/>
            <w:vAlign w:val="bottom"/>
            <w:tcBorders>
              <w:bottom w:val="single" w:sz="8" w:color="0000FF"/>
            </w:tcBorders>
            <w:gridSpan w:val="4"/>
          </w:tcPr>
          <w:p>
            <w:pPr>
              <w:jc w:val="right"/>
              <w:spacing w:after="0"/>
              <w:rPr>
                <w:sz w:val="20"/>
                <w:szCs w:val="20"/>
                <w:color w:val="auto"/>
              </w:rPr>
            </w:pPr>
            <w:r>
              <w:rPr>
                <w:rFonts w:ascii="Times New Roman" w:cs="Times New Roman" w:eastAsia="Times New Roman" w:hAnsi="Times New Roman"/>
                <w:sz w:val="20"/>
                <w:szCs w:val="20"/>
                <w:color w:val="0000FF"/>
                <w:w w:val="89"/>
              </w:rPr>
              <w:t>58</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3640" w:type="dxa"/>
            <w:vAlign w:val="bottom"/>
            <w:gridSpan w:val="6"/>
          </w:tcPr>
          <w:p>
            <w:pPr>
              <w:spacing w:after="0"/>
              <w:rPr>
                <w:sz w:val="20"/>
                <w:szCs w:val="20"/>
                <w:color w:val="auto"/>
              </w:rPr>
            </w:pPr>
            <w:r>
              <w:rPr>
                <w:rFonts w:ascii="Times New Roman" w:cs="Times New Roman" w:eastAsia="Times New Roman" w:hAnsi="Times New Roman"/>
                <w:sz w:val="14"/>
                <w:szCs w:val="14"/>
                <w:color w:val="auto"/>
                <w:w w:val="74"/>
              </w:rPr>
              <w:t>SECTION 2.2 Swingline Loans.......................................................................................</w:t>
            </w: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FF0000"/>
                <w:strike w:val="1"/>
              </w:rPr>
              <w:t>55</w:t>
            </w:r>
          </w:p>
        </w:tc>
        <w:tc>
          <w:tcPr>
            <w:tcW w:w="2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20"/>
                <w:szCs w:val="20"/>
                <w:color w:val="0000FF"/>
                <w:w w:val="89"/>
              </w:rPr>
              <w:t>59</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6820" w:type="dxa"/>
            <w:vAlign w:val="bottom"/>
            <w:gridSpan w:val="28"/>
          </w:tcPr>
          <w:p>
            <w:pPr>
              <w:spacing w:after="0"/>
              <w:rPr>
                <w:sz w:val="20"/>
                <w:szCs w:val="20"/>
                <w:color w:val="auto"/>
              </w:rPr>
            </w:pPr>
            <w:r>
              <w:rPr>
                <w:rFonts w:ascii="Times New Roman" w:cs="Times New Roman" w:eastAsia="Times New Roman" w:hAnsi="Times New Roman"/>
                <w:sz w:val="20"/>
                <w:szCs w:val="20"/>
                <w:color w:val="auto"/>
              </w:rPr>
              <w:t>SECTION 2.3 Procedure for Advances of Revolving Credit Loans and Swingline</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2"/>
        </w:trPr>
        <w:tc>
          <w:tcPr>
            <w:tcW w:w="9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700" w:type="dxa"/>
            <w:vAlign w:val="bottom"/>
            <w:gridSpan w:val="21"/>
          </w:tcPr>
          <w:p>
            <w:pPr>
              <w:jc w:val="right"/>
              <w:spacing w:after="0"/>
              <w:rPr>
                <w:sz w:val="20"/>
                <w:szCs w:val="20"/>
                <w:color w:val="auto"/>
              </w:rPr>
            </w:pPr>
            <w:r>
              <w:rPr>
                <w:rFonts w:ascii="Times New Roman" w:cs="Times New Roman" w:eastAsia="Times New Roman" w:hAnsi="Times New Roman"/>
                <w:sz w:val="13"/>
                <w:szCs w:val="13"/>
                <w:color w:val="auto"/>
                <w:w w:val="73"/>
              </w:rPr>
              <w:t>Loans ........................................................................................................</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spacing w:after="0" w:line="212" w:lineRule="exact"/>
              <w:rPr>
                <w:sz w:val="20"/>
                <w:szCs w:val="20"/>
                <w:color w:val="auto"/>
              </w:rPr>
            </w:pPr>
            <w:r>
              <w:rPr>
                <w:rFonts w:ascii="Times New Roman" w:cs="Times New Roman" w:eastAsia="Times New Roman" w:hAnsi="Times New Roman"/>
                <w:sz w:val="20"/>
                <w:szCs w:val="20"/>
                <w:color w:val="FF0000"/>
                <w:strike w:val="1"/>
              </w:rPr>
              <w:t>56</w:t>
            </w:r>
          </w:p>
        </w:tc>
        <w:tc>
          <w:tcPr>
            <w:tcW w:w="200" w:type="dxa"/>
            <w:vAlign w:val="bottom"/>
            <w:tcBorders>
              <w:bottom w:val="single" w:sz="8" w:color="0000FF"/>
            </w:tcBorders>
          </w:tcPr>
          <w:p>
            <w:pPr>
              <w:jc w:val="right"/>
              <w:spacing w:after="0" w:line="212" w:lineRule="exact"/>
              <w:rPr>
                <w:sz w:val="20"/>
                <w:szCs w:val="20"/>
                <w:color w:val="auto"/>
              </w:rPr>
            </w:pPr>
            <w:r>
              <w:rPr>
                <w:rFonts w:ascii="Times New Roman" w:cs="Times New Roman" w:eastAsia="Times New Roman" w:hAnsi="Times New Roman"/>
                <w:sz w:val="20"/>
                <w:szCs w:val="20"/>
                <w:color w:val="0000FF"/>
                <w:w w:val="89"/>
              </w:rPr>
              <w:t>60</w:t>
            </w:r>
          </w:p>
        </w:tc>
        <w:tc>
          <w:tcPr>
            <w:tcW w:w="0" w:type="dxa"/>
            <w:vAlign w:val="bottom"/>
          </w:tcPr>
          <w:p>
            <w:pPr>
              <w:spacing w:after="0"/>
              <w:rPr>
                <w:sz w:val="1"/>
                <w:szCs w:val="1"/>
                <w:color w:val="auto"/>
              </w:rPr>
            </w:pPr>
          </w:p>
        </w:tc>
      </w:tr>
      <w:tr>
        <w:trPr>
          <w:trHeight w:val="268"/>
        </w:trPr>
        <w:tc>
          <w:tcPr>
            <w:tcW w:w="6820" w:type="dxa"/>
            <w:vAlign w:val="bottom"/>
            <w:gridSpan w:val="28"/>
          </w:tcPr>
          <w:p>
            <w:pPr>
              <w:spacing w:after="0"/>
              <w:rPr>
                <w:sz w:val="20"/>
                <w:szCs w:val="20"/>
                <w:color w:val="auto"/>
              </w:rPr>
            </w:pPr>
            <w:r>
              <w:rPr>
                <w:rFonts w:ascii="Times New Roman" w:cs="Times New Roman" w:eastAsia="Times New Roman" w:hAnsi="Times New Roman"/>
                <w:sz w:val="20"/>
                <w:szCs w:val="20"/>
                <w:color w:val="auto"/>
              </w:rPr>
              <w:t>SECTION 2.4 Repayment and Prepayment of Revolving Credit and Swingline</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2"/>
        </w:trPr>
        <w:tc>
          <w:tcPr>
            <w:tcW w:w="9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700" w:type="dxa"/>
            <w:vAlign w:val="bottom"/>
            <w:gridSpan w:val="21"/>
          </w:tcPr>
          <w:p>
            <w:pPr>
              <w:jc w:val="right"/>
              <w:spacing w:after="0"/>
              <w:rPr>
                <w:sz w:val="20"/>
                <w:szCs w:val="20"/>
                <w:color w:val="auto"/>
              </w:rPr>
            </w:pPr>
            <w:r>
              <w:rPr>
                <w:rFonts w:ascii="Times New Roman" w:cs="Times New Roman" w:eastAsia="Times New Roman" w:hAnsi="Times New Roman"/>
                <w:sz w:val="13"/>
                <w:szCs w:val="13"/>
                <w:color w:val="auto"/>
                <w:w w:val="73"/>
              </w:rPr>
              <w:t>Loans ........................................................................................................</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spacing w:after="0" w:line="212" w:lineRule="exact"/>
              <w:rPr>
                <w:sz w:val="20"/>
                <w:szCs w:val="20"/>
                <w:color w:val="auto"/>
              </w:rPr>
            </w:pPr>
            <w:r>
              <w:rPr>
                <w:rFonts w:ascii="Times New Roman" w:cs="Times New Roman" w:eastAsia="Times New Roman" w:hAnsi="Times New Roman"/>
                <w:sz w:val="20"/>
                <w:szCs w:val="20"/>
                <w:color w:val="FF0000"/>
                <w:strike w:val="1"/>
              </w:rPr>
              <w:t>57</w:t>
            </w:r>
          </w:p>
        </w:tc>
        <w:tc>
          <w:tcPr>
            <w:tcW w:w="200" w:type="dxa"/>
            <w:vAlign w:val="bottom"/>
            <w:tcBorders>
              <w:bottom w:val="single" w:sz="8" w:color="0000FF"/>
            </w:tcBorders>
          </w:tcPr>
          <w:p>
            <w:pPr>
              <w:jc w:val="right"/>
              <w:spacing w:after="0" w:line="212" w:lineRule="exact"/>
              <w:rPr>
                <w:sz w:val="20"/>
                <w:szCs w:val="20"/>
                <w:color w:val="auto"/>
              </w:rPr>
            </w:pPr>
            <w:r>
              <w:rPr>
                <w:rFonts w:ascii="Times New Roman" w:cs="Times New Roman" w:eastAsia="Times New Roman" w:hAnsi="Times New Roman"/>
                <w:sz w:val="20"/>
                <w:szCs w:val="20"/>
                <w:color w:val="0000FF"/>
                <w:w w:val="89"/>
              </w:rPr>
              <w:t>61</w:t>
            </w:r>
          </w:p>
        </w:tc>
        <w:tc>
          <w:tcPr>
            <w:tcW w:w="0" w:type="dxa"/>
            <w:vAlign w:val="bottom"/>
          </w:tcPr>
          <w:p>
            <w:pPr>
              <w:spacing w:after="0"/>
              <w:rPr>
                <w:sz w:val="1"/>
                <w:szCs w:val="1"/>
                <w:color w:val="auto"/>
              </w:rPr>
            </w:pPr>
          </w:p>
        </w:tc>
      </w:tr>
      <w:tr>
        <w:trPr>
          <w:trHeight w:val="358"/>
        </w:trPr>
        <w:tc>
          <w:tcPr>
            <w:tcW w:w="6820" w:type="dxa"/>
            <w:vAlign w:val="bottom"/>
            <w:gridSpan w:val="28"/>
          </w:tcPr>
          <w:p>
            <w:pPr>
              <w:jc w:val="right"/>
              <w:spacing w:after="0"/>
              <w:rPr>
                <w:sz w:val="20"/>
                <w:szCs w:val="20"/>
                <w:color w:val="auto"/>
              </w:rPr>
            </w:pPr>
            <w:r>
              <w:rPr>
                <w:rFonts w:ascii="Times New Roman" w:cs="Times New Roman" w:eastAsia="Times New Roman" w:hAnsi="Times New Roman"/>
                <w:sz w:val="20"/>
                <w:szCs w:val="20"/>
                <w:color w:val="auto"/>
                <w:w w:val="99"/>
              </w:rPr>
              <w:t>SECTION 2.5  Permanent Reduction of the Revolving Credit Commitment..................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gridSpan w:val="5"/>
          </w:tcPr>
          <w:p>
            <w:pPr>
              <w:jc w:val="right"/>
              <w:ind w:right="100"/>
              <w:spacing w:after="0"/>
              <w:rPr>
                <w:sz w:val="20"/>
                <w:szCs w:val="20"/>
                <w:color w:val="auto"/>
              </w:rPr>
            </w:pPr>
            <w:r>
              <w:rPr>
                <w:rFonts w:ascii="Times New Roman" w:cs="Times New Roman" w:eastAsia="Times New Roman" w:hAnsi="Times New Roman"/>
                <w:sz w:val="20"/>
                <w:szCs w:val="20"/>
                <w:color w:val="FF0000"/>
                <w:strike w:val="1"/>
              </w:rPr>
              <w:t>59</w:t>
            </w:r>
          </w:p>
        </w:tc>
        <w:tc>
          <w:tcPr>
            <w:tcW w:w="1300" w:type="dxa"/>
            <w:vAlign w:val="bottom"/>
            <w:gridSpan w:val="7"/>
          </w:tcPr>
          <w:p>
            <w:pPr>
              <w:spacing w:after="0"/>
              <w:rPr>
                <w:sz w:val="20"/>
                <w:szCs w:val="20"/>
                <w:color w:val="auto"/>
              </w:rPr>
            </w:pPr>
            <w:r>
              <w:rPr>
                <w:rFonts w:ascii="Times New Roman" w:cs="Times New Roman" w:eastAsia="Times New Roman" w:hAnsi="Times New Roman"/>
                <w:sz w:val="20"/>
                <w:szCs w:val="20"/>
                <w:color w:val="0000FF"/>
                <w:w w:val="91"/>
              </w:rPr>
              <w:t xml:space="preserve">63 </w:t>
            </w:r>
            <w:r>
              <w:rPr>
                <w:rFonts w:ascii="Times New Roman" w:cs="Times New Roman" w:eastAsia="Times New Roman" w:hAnsi="Times New Roman"/>
                <w:sz w:val="20"/>
                <w:szCs w:val="20"/>
                <w:color w:val="000000"/>
                <w:w w:val="91"/>
              </w:rPr>
              <w:t>SECTION 2.6</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Termination of</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4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80" w:type="dxa"/>
            <w:vAlign w:val="bottom"/>
          </w:tcPr>
          <w:p>
            <w:pPr>
              <w:spacing w:after="0"/>
              <w:rPr>
                <w:sz w:val="24"/>
                <w:szCs w:val="24"/>
                <w:color w:val="auto"/>
              </w:rPr>
            </w:pPr>
          </w:p>
        </w:tc>
        <w:tc>
          <w:tcPr>
            <w:tcW w:w="26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w w:val="72"/>
              </w:rPr>
              <w:t>Revolving Credit Facility ...............................................</w:t>
            </w: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FF0000"/>
                <w:strike w:val="1"/>
              </w:rPr>
              <w:t>59</w:t>
            </w:r>
          </w:p>
        </w:tc>
        <w:tc>
          <w:tcPr>
            <w:tcW w:w="1420" w:type="dxa"/>
            <w:vAlign w:val="bottom"/>
            <w:gridSpan w:val="14"/>
          </w:tcPr>
          <w:p>
            <w:pPr>
              <w:spacing w:after="0"/>
              <w:rPr>
                <w:sz w:val="20"/>
                <w:szCs w:val="20"/>
                <w:color w:val="auto"/>
              </w:rPr>
            </w:pPr>
            <w:r>
              <w:rPr>
                <w:rFonts w:ascii="Times New Roman" w:cs="Times New Roman" w:eastAsia="Times New Roman" w:hAnsi="Times New Roman"/>
                <w:sz w:val="20"/>
                <w:szCs w:val="20"/>
                <w:color w:val="0000FF"/>
              </w:rPr>
              <w:t xml:space="preserve">63 </w:t>
            </w:r>
            <w:r>
              <w:rPr>
                <w:rFonts w:ascii="Times New Roman" w:cs="Times New Roman" w:eastAsia="Times New Roman" w:hAnsi="Times New Roman"/>
                <w:sz w:val="20"/>
                <w:szCs w:val="20"/>
                <w:color w:val="000000"/>
              </w:rPr>
              <w:t>ARTICLE III</w:t>
            </w:r>
          </w:p>
        </w:tc>
        <w:tc>
          <w:tcPr>
            <w:tcW w:w="100" w:type="dxa"/>
            <w:vAlign w:val="bottom"/>
          </w:tcPr>
          <w:p>
            <w:pPr>
              <w:spacing w:after="0"/>
              <w:rPr>
                <w:sz w:val="24"/>
                <w:szCs w:val="24"/>
                <w:color w:val="auto"/>
              </w:rPr>
            </w:pPr>
          </w:p>
        </w:tc>
        <w:tc>
          <w:tcPr>
            <w:tcW w:w="2740" w:type="dxa"/>
            <w:vAlign w:val="bottom"/>
            <w:gridSpan w:val="9"/>
          </w:tcPr>
          <w:p>
            <w:pPr>
              <w:jc w:val="right"/>
              <w:spacing w:after="0"/>
              <w:rPr>
                <w:sz w:val="20"/>
                <w:szCs w:val="20"/>
                <w:color w:val="auto"/>
              </w:rPr>
            </w:pPr>
            <w:r>
              <w:rPr>
                <w:rFonts w:ascii="Times New Roman" w:cs="Times New Roman" w:eastAsia="Times New Roman" w:hAnsi="Times New Roman"/>
                <w:sz w:val="20"/>
                <w:szCs w:val="20"/>
                <w:color w:val="auto"/>
                <w:w w:val="97"/>
              </w:rPr>
              <w:t>LETTER OF CREDIT FACILITY</w:t>
            </w:r>
          </w:p>
        </w:tc>
        <w:tc>
          <w:tcPr>
            <w:tcW w:w="0" w:type="dxa"/>
            <w:vAlign w:val="bottom"/>
          </w:tcPr>
          <w:p>
            <w:pPr>
              <w:spacing w:after="0"/>
              <w:rPr>
                <w:sz w:val="1"/>
                <w:szCs w:val="1"/>
                <w:color w:val="auto"/>
              </w:rPr>
            </w:pPr>
          </w:p>
        </w:tc>
      </w:tr>
      <w:tr>
        <w:trPr>
          <w:trHeight w:val="250"/>
        </w:trPr>
        <w:tc>
          <w:tcPr>
            <w:tcW w:w="218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w w:val="99"/>
              </w:rPr>
              <w:t>SECTION 3.1 L/C Facility</w:t>
            </w: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
                <w:szCs w:val="1"/>
                <w:color w:val="auto"/>
                <w:w w:val="93"/>
              </w:rPr>
              <w:t>.............................................................................</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FF0000"/>
                <w:strike w:val="1"/>
                <w:w w:val="89"/>
              </w:rPr>
              <w:t>60</w:t>
            </w:r>
          </w:p>
        </w:tc>
        <w:tc>
          <w:tcPr>
            <w:tcW w:w="200" w:type="dxa"/>
            <w:vAlign w:val="bottom"/>
            <w:gridSpan w:val="4"/>
            <w:vMerge w:val="restart"/>
          </w:tcPr>
          <w:p>
            <w:pPr>
              <w:jc w:val="right"/>
              <w:spacing w:after="0"/>
              <w:rPr>
                <w:sz w:val="20"/>
                <w:szCs w:val="20"/>
                <w:color w:val="auto"/>
              </w:rPr>
            </w:pPr>
            <w:r>
              <w:rPr>
                <w:rFonts w:ascii="Times New Roman" w:cs="Times New Roman" w:eastAsia="Times New Roman" w:hAnsi="Times New Roman"/>
                <w:sz w:val="20"/>
                <w:szCs w:val="20"/>
                <w:color w:val="0000FF"/>
                <w:w w:val="89"/>
              </w:rPr>
              <w:t>63</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FF0000"/>
                <w:strike w:val="1"/>
              </w:rPr>
              <w:t>60</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FF"/>
                <w:w w:val="89"/>
              </w:rPr>
              <w:t>63</w:t>
            </w:r>
          </w:p>
        </w:tc>
        <w:tc>
          <w:tcPr>
            <w:tcW w:w="0" w:type="dxa"/>
            <w:vAlign w:val="bottom"/>
          </w:tcPr>
          <w:p>
            <w:pPr>
              <w:spacing w:after="0"/>
              <w:rPr>
                <w:sz w:val="1"/>
                <w:szCs w:val="1"/>
                <w:color w:val="auto"/>
              </w:rPr>
            </w:pPr>
          </w:p>
        </w:tc>
      </w:tr>
      <w:tr>
        <w:trPr>
          <w:trHeight w:val="73"/>
        </w:trPr>
        <w:tc>
          <w:tcPr>
            <w:tcW w:w="2180" w:type="dxa"/>
            <w:vAlign w:val="bottom"/>
            <w:gridSpan w:val="2"/>
            <w:vMerge w:val="continue"/>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gridSpan w:val="2"/>
            <w:vMerge w:val="continue"/>
          </w:tcPr>
          <w:p>
            <w:pPr>
              <w:spacing w:after="0"/>
              <w:rPr>
                <w:sz w:val="5"/>
                <w:szCs w:val="5"/>
                <w:color w:val="auto"/>
              </w:rPr>
            </w:pPr>
          </w:p>
        </w:tc>
        <w:tc>
          <w:tcPr>
            <w:tcW w:w="200" w:type="dxa"/>
            <w:vAlign w:val="bottom"/>
            <w:gridSpan w:val="4"/>
            <w:vMerge w:val="continue"/>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200" w:type="dxa"/>
            <w:vAlign w:val="bottom"/>
            <w:tcBorders>
              <w:bottom w:val="single" w:sz="8" w:color="0000FF"/>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2180" w:type="dxa"/>
            <w:vAlign w:val="bottom"/>
            <w:gridSpan w:val="2"/>
            <w:vMerge w:val="continue"/>
          </w:tcPr>
          <w:p>
            <w:pPr>
              <w:spacing w:after="0"/>
              <w:rPr>
                <w:sz w:val="15"/>
                <w:szCs w:val="15"/>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4"/>
                <w:szCs w:val="4"/>
                <w:color w:val="auto"/>
                <w:w w:val="76"/>
              </w:rPr>
              <w:t>..............................................................................................</w:t>
            </w: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vMerge w:val="restart"/>
          </w:tcPr>
          <w:p>
            <w:pPr>
              <w:spacing w:after="0"/>
              <w:rPr>
                <w:sz w:val="15"/>
                <w:szCs w:val="15"/>
                <w:color w:val="auto"/>
              </w:rPr>
            </w:pPr>
          </w:p>
        </w:tc>
        <w:tc>
          <w:tcPr>
            <w:tcW w:w="200" w:type="dxa"/>
            <w:vAlign w:val="bottom"/>
            <w:gridSpan w:val="2"/>
            <w:vMerge w:val="continue"/>
          </w:tcPr>
          <w:p>
            <w:pPr>
              <w:spacing w:after="0"/>
              <w:rPr>
                <w:sz w:val="15"/>
                <w:szCs w:val="15"/>
                <w:color w:val="auto"/>
              </w:rPr>
            </w:pPr>
          </w:p>
        </w:tc>
        <w:tc>
          <w:tcPr>
            <w:tcW w:w="200" w:type="dxa"/>
            <w:vAlign w:val="bottom"/>
            <w:gridSpan w:val="4"/>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2180" w:type="dxa"/>
            <w:vAlign w:val="bottom"/>
            <w:gridSpan w:val="2"/>
            <w:vMerge w:val="continue"/>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vMerge w:val="continue"/>
          </w:tcPr>
          <w:p>
            <w:pPr>
              <w:spacing w:after="0"/>
              <w:rPr>
                <w:sz w:val="5"/>
                <w:szCs w:val="5"/>
                <w:color w:val="auto"/>
              </w:rPr>
            </w:pPr>
          </w:p>
        </w:tc>
        <w:tc>
          <w:tcPr>
            <w:tcW w:w="200" w:type="dxa"/>
            <w:vAlign w:val="bottom"/>
            <w:gridSpan w:val="2"/>
            <w:vMerge w:val="continue"/>
          </w:tcPr>
          <w:p>
            <w:pPr>
              <w:spacing w:after="0"/>
              <w:rPr>
                <w:sz w:val="5"/>
                <w:szCs w:val="5"/>
                <w:color w:val="auto"/>
              </w:rPr>
            </w:pPr>
          </w:p>
        </w:tc>
        <w:tc>
          <w:tcPr>
            <w:tcW w:w="200" w:type="dxa"/>
            <w:vAlign w:val="bottom"/>
            <w:tcBorders>
              <w:bottom w:val="single" w:sz="8" w:color="0000FF"/>
            </w:tcBorders>
            <w:gridSpan w:val="4"/>
            <w:vMerge w:val="continue"/>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6820" w:type="dxa"/>
            <w:vAlign w:val="bottom"/>
            <w:gridSpan w:val="28"/>
          </w:tcPr>
          <w:p>
            <w:pPr>
              <w:spacing w:after="0"/>
              <w:rPr>
                <w:sz w:val="20"/>
                <w:szCs w:val="20"/>
                <w:color w:val="auto"/>
              </w:rPr>
            </w:pPr>
            <w:r>
              <w:rPr>
                <w:rFonts w:ascii="Times New Roman" w:cs="Times New Roman" w:eastAsia="Times New Roman" w:hAnsi="Times New Roman"/>
                <w:sz w:val="20"/>
                <w:szCs w:val="20"/>
                <w:color w:val="auto"/>
                <w:w w:val="98"/>
              </w:rPr>
              <w:t>SECTION 3.2 Procedure for Issuance of Letters of Credit..............................................</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FF0000"/>
                <w:strike w:val="1"/>
              </w:rPr>
              <w:t>61</w:t>
            </w:r>
          </w:p>
        </w:tc>
        <w:tc>
          <w:tcPr>
            <w:tcW w:w="200" w:type="dxa"/>
            <w:vAlign w:val="bottom"/>
            <w:tcBorders>
              <w:bottom w:val="single" w:sz="8" w:color="0000FF"/>
            </w:tcBorders>
            <w:gridSpan w:val="4"/>
          </w:tcPr>
          <w:p>
            <w:pPr>
              <w:jc w:val="right"/>
              <w:spacing w:after="0"/>
              <w:rPr>
                <w:sz w:val="20"/>
                <w:szCs w:val="20"/>
                <w:color w:val="auto"/>
              </w:rPr>
            </w:pPr>
            <w:r>
              <w:rPr>
                <w:rFonts w:ascii="Times New Roman" w:cs="Times New Roman" w:eastAsia="Times New Roman" w:hAnsi="Times New Roman"/>
                <w:sz w:val="20"/>
                <w:szCs w:val="20"/>
                <w:color w:val="0000FF"/>
                <w:w w:val="89"/>
              </w:rPr>
              <w:t>65</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6820" w:type="dxa"/>
            <w:vAlign w:val="bottom"/>
            <w:gridSpan w:val="28"/>
          </w:tcPr>
          <w:p>
            <w:pPr>
              <w:spacing w:after="0"/>
              <w:rPr>
                <w:sz w:val="20"/>
                <w:szCs w:val="20"/>
                <w:color w:val="auto"/>
              </w:rPr>
            </w:pPr>
            <w:r>
              <w:rPr>
                <w:rFonts w:ascii="Times New Roman" w:cs="Times New Roman" w:eastAsia="Times New Roman" w:hAnsi="Times New Roman"/>
                <w:sz w:val="20"/>
                <w:szCs w:val="20"/>
                <w:color w:val="auto"/>
                <w:w w:val="98"/>
              </w:rPr>
              <w:t>SECTION 3.3 Commissions and Other Charges .............................................................</w:t>
            </w:r>
          </w:p>
        </w:tc>
        <w:tc>
          <w:tcPr>
            <w:tcW w:w="8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FF0000"/>
                <w:strike w:val="1"/>
                <w:w w:val="89"/>
              </w:rPr>
              <w:t>61</w:t>
            </w:r>
          </w:p>
        </w:tc>
        <w:tc>
          <w:tcPr>
            <w:tcW w:w="200" w:type="dxa"/>
            <w:vAlign w:val="bottom"/>
            <w:tcBorders>
              <w:bottom w:val="single" w:sz="8" w:color="0000FF"/>
            </w:tcBorders>
            <w:gridSpan w:val="4"/>
          </w:tcPr>
          <w:p>
            <w:pPr>
              <w:jc w:val="right"/>
              <w:spacing w:after="0"/>
              <w:rPr>
                <w:sz w:val="20"/>
                <w:szCs w:val="20"/>
                <w:color w:val="auto"/>
              </w:rPr>
            </w:pPr>
            <w:r>
              <w:rPr>
                <w:rFonts w:ascii="Times New Roman" w:cs="Times New Roman" w:eastAsia="Times New Roman" w:hAnsi="Times New Roman"/>
                <w:sz w:val="20"/>
                <w:szCs w:val="20"/>
                <w:color w:val="0000FF"/>
                <w:w w:val="89"/>
              </w:rPr>
              <w:t>65</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3640" w:type="dxa"/>
            <w:vAlign w:val="bottom"/>
            <w:gridSpan w:val="6"/>
          </w:tcPr>
          <w:p>
            <w:pPr>
              <w:spacing w:after="0"/>
              <w:rPr>
                <w:sz w:val="20"/>
                <w:szCs w:val="20"/>
                <w:color w:val="auto"/>
              </w:rPr>
            </w:pPr>
            <w:r>
              <w:rPr>
                <w:rFonts w:ascii="Times New Roman" w:cs="Times New Roman" w:eastAsia="Times New Roman" w:hAnsi="Times New Roman"/>
                <w:sz w:val="14"/>
                <w:szCs w:val="14"/>
                <w:color w:val="auto"/>
                <w:w w:val="74"/>
              </w:rPr>
              <w:t>SECTION 3.4 L/C Participations.....................................................................................</w:t>
            </w: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FF0000"/>
                <w:strike w:val="1"/>
              </w:rPr>
              <w:t>62</w:t>
            </w:r>
          </w:p>
        </w:tc>
        <w:tc>
          <w:tcPr>
            <w:tcW w:w="220" w:type="dxa"/>
            <w:vAlign w:val="bottom"/>
            <w:gridSpan w:val="5"/>
          </w:tcPr>
          <w:p>
            <w:pPr>
              <w:spacing w:after="0"/>
              <w:rPr>
                <w:sz w:val="20"/>
                <w:szCs w:val="20"/>
                <w:color w:val="auto"/>
              </w:rPr>
            </w:pPr>
            <w:r>
              <w:rPr>
                <w:rFonts w:ascii="Times New Roman" w:cs="Times New Roman" w:eastAsia="Times New Roman" w:hAnsi="Times New Roman"/>
                <w:sz w:val="20"/>
                <w:szCs w:val="20"/>
                <w:color w:val="0000FF"/>
                <w:w w:val="99"/>
              </w:rPr>
              <w:t>65</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6820" w:type="dxa"/>
            <w:vAlign w:val="bottom"/>
            <w:gridSpan w:val="28"/>
          </w:tcPr>
          <w:p>
            <w:pPr>
              <w:jc w:val="center"/>
              <w:spacing w:after="0"/>
              <w:rPr>
                <w:sz w:val="20"/>
                <w:szCs w:val="20"/>
                <w:color w:val="auto"/>
              </w:rPr>
            </w:pPr>
            <w:r>
              <w:rPr>
                <w:rFonts w:ascii="Times New Roman" w:cs="Times New Roman" w:eastAsia="Times New Roman" w:hAnsi="Times New Roman"/>
                <w:sz w:val="20"/>
                <w:szCs w:val="20"/>
                <w:color w:val="auto"/>
              </w:rPr>
              <w:t>...........................................SECTION3.5ReimbursementObligationoftheBorrowers</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FF0000"/>
                <w:strike w:val="1"/>
                <w:w w:val="89"/>
              </w:rPr>
              <w:t>62</w:t>
            </w:r>
          </w:p>
        </w:tc>
        <w:tc>
          <w:tcPr>
            <w:tcW w:w="2640" w:type="dxa"/>
            <w:vAlign w:val="bottom"/>
            <w:gridSpan w:val="8"/>
          </w:tcPr>
          <w:p>
            <w:pPr>
              <w:jc w:val="right"/>
              <w:spacing w:after="0"/>
              <w:rPr>
                <w:sz w:val="20"/>
                <w:szCs w:val="20"/>
                <w:color w:val="auto"/>
              </w:rPr>
            </w:pPr>
            <w:r>
              <w:rPr>
                <w:rFonts w:ascii="Times New Roman" w:cs="Times New Roman" w:eastAsia="Times New Roman" w:hAnsi="Times New Roman"/>
                <w:sz w:val="20"/>
                <w:szCs w:val="20"/>
                <w:color w:val="0000FF"/>
              </w:rPr>
              <w:t xml:space="preserve">66  </w:t>
            </w:r>
            <w:r>
              <w:rPr>
                <w:rFonts w:ascii="Times New Roman" w:cs="Times New Roman" w:eastAsia="Times New Roman" w:hAnsi="Times New Roman"/>
                <w:sz w:val="20"/>
                <w:szCs w:val="20"/>
                <w:color w:val="000000"/>
              </w:rPr>
              <w:t>SECTION  3.6  Obligations</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100" w:type="dxa"/>
            <w:vAlign w:val="bottom"/>
            <w:gridSpan w:val="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80" w:type="dxa"/>
            <w:vAlign w:val="bottom"/>
          </w:tcPr>
          <w:p>
            <w:pPr>
              <w:spacing w:after="0"/>
              <w:rPr>
                <w:sz w:val="20"/>
                <w:szCs w:val="20"/>
                <w:color w:val="auto"/>
              </w:rPr>
            </w:pPr>
            <w:r>
              <w:rPr>
                <w:rFonts w:ascii="Times New Roman" w:cs="Times New Roman" w:eastAsia="Times New Roman" w:hAnsi="Times New Roman"/>
                <w:sz w:val="5"/>
                <w:szCs w:val="5"/>
                <w:color w:val="auto"/>
                <w:w w:val="81"/>
              </w:rPr>
              <w:t>Absolute................................................................................</w:t>
            </w:r>
          </w:p>
        </w:tc>
        <w:tc>
          <w:tcPr>
            <w:tcW w:w="1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FF0000"/>
                <w:strike w:val="1"/>
                <w:w w:val="89"/>
              </w:rPr>
              <w:t>63</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FF"/>
                <w:w w:val="89"/>
              </w:rPr>
              <w:t>67</w:t>
            </w: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gridSpan w:val="2"/>
          </w:tcPr>
          <w:p>
            <w:pPr>
              <w:spacing w:after="0"/>
              <w:rPr>
                <w:sz w:val="20"/>
                <w:szCs w:val="20"/>
                <w:color w:val="auto"/>
              </w:rPr>
            </w:pPr>
            <w:r>
              <w:rPr>
                <w:rFonts w:ascii="Times New Roman" w:cs="Times New Roman" w:eastAsia="Times New Roman" w:hAnsi="Times New Roman"/>
                <w:sz w:val="20"/>
                <w:szCs w:val="20"/>
                <w:color w:val="FF0000"/>
                <w:strike w:val="1"/>
                <w:w w:val="89"/>
              </w:rPr>
              <w:t>63</w:t>
            </w:r>
          </w:p>
        </w:tc>
        <w:tc>
          <w:tcPr>
            <w:tcW w:w="1780" w:type="dxa"/>
            <w:vAlign w:val="bottom"/>
            <w:gridSpan w:val="17"/>
          </w:tcPr>
          <w:p>
            <w:pPr>
              <w:spacing w:after="0"/>
              <w:rPr>
                <w:sz w:val="20"/>
                <w:szCs w:val="20"/>
                <w:color w:val="auto"/>
              </w:rPr>
            </w:pPr>
            <w:r>
              <w:rPr>
                <w:rFonts w:ascii="Times New Roman" w:cs="Times New Roman" w:eastAsia="Times New Roman" w:hAnsi="Times New Roman"/>
                <w:sz w:val="20"/>
                <w:szCs w:val="20"/>
                <w:color w:val="0000FF"/>
              </w:rPr>
              <w:t xml:space="preserve">67  </w:t>
            </w:r>
            <w:r>
              <w:rPr>
                <w:rFonts w:ascii="Times New Roman" w:cs="Times New Roman" w:eastAsia="Times New Roman" w:hAnsi="Times New Roman"/>
                <w:sz w:val="20"/>
                <w:szCs w:val="20"/>
                <w:color w:val="000000"/>
              </w:rPr>
              <w:t>SECTION  3.7</w:t>
            </w:r>
          </w:p>
        </w:tc>
        <w:tc>
          <w:tcPr>
            <w:tcW w:w="740" w:type="dxa"/>
            <w:vAlign w:val="bottom"/>
            <w:gridSpan w:val="10"/>
          </w:tcPr>
          <w:p>
            <w:pPr>
              <w:jc w:val="right"/>
              <w:ind w:right="260"/>
              <w:spacing w:after="0"/>
              <w:rPr>
                <w:sz w:val="20"/>
                <w:szCs w:val="20"/>
                <w:color w:val="auto"/>
              </w:rPr>
            </w:pPr>
            <w:r>
              <w:rPr>
                <w:rFonts w:ascii="Times New Roman" w:cs="Times New Roman" w:eastAsia="Times New Roman" w:hAnsi="Times New Roman"/>
                <w:sz w:val="20"/>
                <w:szCs w:val="20"/>
                <w:color w:val="auto"/>
                <w:w w:val="94"/>
              </w:rPr>
              <w:t>Effect</w:t>
            </w:r>
          </w:p>
        </w:tc>
        <w:tc>
          <w:tcPr>
            <w:tcW w:w="780" w:type="dxa"/>
            <w:vAlign w:val="bottom"/>
            <w:gridSpan w:val="5"/>
          </w:tcPr>
          <w:p>
            <w:pPr>
              <w:jc w:val="center"/>
              <w:ind w:right="60"/>
              <w:spacing w:after="0"/>
              <w:rPr>
                <w:sz w:val="20"/>
                <w:szCs w:val="20"/>
                <w:color w:val="auto"/>
              </w:rPr>
            </w:pPr>
            <w:r>
              <w:rPr>
                <w:rFonts w:ascii="Times New Roman" w:cs="Times New Roman" w:eastAsia="Times New Roman" w:hAnsi="Times New Roman"/>
                <w:sz w:val="20"/>
                <w:szCs w:val="20"/>
                <w:color w:val="auto"/>
                <w:w w:val="96"/>
              </w:rPr>
              <w:t>of  Letter</w:t>
            </w:r>
          </w:p>
        </w:tc>
        <w:tc>
          <w:tcPr>
            <w:tcW w:w="4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of</w:t>
            </w:r>
          </w:p>
        </w:tc>
        <w:tc>
          <w:tcPr>
            <w:tcW w:w="60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Credit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Application</w:t>
            </w:r>
          </w:p>
        </w:tc>
        <w:tc>
          <w:tcPr>
            <w:tcW w:w="0" w:type="dxa"/>
            <w:vAlign w:val="bottom"/>
          </w:tcPr>
          <w:p>
            <w:pPr>
              <w:spacing w:after="0"/>
              <w:rPr>
                <w:sz w:val="1"/>
                <w:szCs w:val="1"/>
                <w:color w:val="auto"/>
              </w:rPr>
            </w:pPr>
          </w:p>
        </w:tc>
      </w:tr>
      <w:tr>
        <w:trPr>
          <w:trHeight w:val="250"/>
        </w:trPr>
        <w:tc>
          <w:tcPr>
            <w:tcW w:w="2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540" w:type="dxa"/>
            <w:vAlign w:val="bottom"/>
            <w:vMerge w:val="restart"/>
          </w:tcPr>
          <w:p>
            <w:pPr>
              <w:spacing w:after="0"/>
              <w:rPr>
                <w:sz w:val="21"/>
                <w:szCs w:val="21"/>
                <w:color w:val="auto"/>
              </w:rPr>
            </w:pPr>
          </w:p>
        </w:tc>
        <w:tc>
          <w:tcPr>
            <w:tcW w:w="200" w:type="dxa"/>
            <w:vAlign w:val="bottom"/>
            <w:vMerge w:val="continue"/>
          </w:tcPr>
          <w:p>
            <w:pPr>
              <w:spacing w:after="0"/>
              <w:rPr>
                <w:sz w:val="21"/>
                <w:szCs w:val="21"/>
                <w:color w:val="auto"/>
              </w:rPr>
            </w:pPr>
          </w:p>
        </w:tc>
        <w:tc>
          <w:tcPr>
            <w:tcW w:w="200" w:type="dxa"/>
            <w:vAlign w:val="bottom"/>
            <w:vMerge w:val="continue"/>
          </w:tcPr>
          <w:p>
            <w:pPr>
              <w:spacing w:after="0"/>
              <w:rPr>
                <w:sz w:val="21"/>
                <w:szCs w:val="21"/>
                <w:color w:val="auto"/>
              </w:rPr>
            </w:pPr>
          </w:p>
        </w:tc>
        <w:tc>
          <w:tcPr>
            <w:tcW w:w="520" w:type="dxa"/>
            <w:vAlign w:val="bottom"/>
            <w:vMerge w:val="restart"/>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3"/>
        </w:trPr>
        <w:tc>
          <w:tcPr>
            <w:tcW w:w="9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200" w:type="dxa"/>
            <w:vAlign w:val="bottom"/>
            <w:vMerge w:val="continue"/>
          </w:tcPr>
          <w:p>
            <w:pPr>
              <w:spacing w:after="0"/>
              <w:rPr>
                <w:sz w:val="5"/>
                <w:szCs w:val="5"/>
                <w:color w:val="auto"/>
              </w:rPr>
            </w:pPr>
          </w:p>
        </w:tc>
        <w:tc>
          <w:tcPr>
            <w:tcW w:w="200" w:type="dxa"/>
            <w:vAlign w:val="bottom"/>
            <w:tcBorders>
              <w:bottom w:val="single" w:sz="8" w:color="0000FF"/>
            </w:tcBorders>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6820" w:type="dxa"/>
            <w:vAlign w:val="bottom"/>
            <w:gridSpan w:val="28"/>
          </w:tcPr>
          <w:p>
            <w:pPr>
              <w:spacing w:after="0"/>
              <w:rPr>
                <w:sz w:val="20"/>
                <w:szCs w:val="20"/>
                <w:color w:val="auto"/>
              </w:rPr>
            </w:pPr>
            <w:r>
              <w:rPr>
                <w:rFonts w:ascii="Times New Roman" w:cs="Times New Roman" w:eastAsia="Times New Roman" w:hAnsi="Times New Roman"/>
                <w:sz w:val="20"/>
                <w:szCs w:val="20"/>
                <w:color w:val="auto"/>
                <w:w w:val="97"/>
              </w:rPr>
              <w:t>SECTION 3.8 Removal and Resignation of Issuing Lenders ..........................................</w:t>
            </w:r>
          </w:p>
        </w:tc>
        <w:tc>
          <w:tcPr>
            <w:tcW w:w="80" w:type="dxa"/>
            <w:vAlign w:val="bottom"/>
          </w:tcPr>
          <w:p>
            <w:pPr>
              <w:spacing w:after="0"/>
              <w:rPr>
                <w:sz w:val="24"/>
                <w:szCs w:val="24"/>
                <w:color w:val="auto"/>
              </w:rPr>
            </w:pPr>
          </w:p>
        </w:tc>
        <w:tc>
          <w:tcPr>
            <w:tcW w:w="280" w:type="dxa"/>
            <w:vAlign w:val="bottom"/>
            <w:gridSpan w:val="4"/>
          </w:tcPr>
          <w:p>
            <w:pPr>
              <w:ind w:left="80"/>
              <w:spacing w:after="0"/>
              <w:rPr>
                <w:sz w:val="20"/>
                <w:szCs w:val="20"/>
                <w:color w:val="auto"/>
              </w:rPr>
            </w:pPr>
            <w:r>
              <w:rPr>
                <w:rFonts w:ascii="Times New Roman" w:cs="Times New Roman" w:eastAsia="Times New Roman" w:hAnsi="Times New Roman"/>
                <w:sz w:val="20"/>
                <w:szCs w:val="20"/>
                <w:color w:val="FF0000"/>
                <w:strike w:val="1"/>
                <w:w w:val="89"/>
              </w:rPr>
              <w:t>64</w:t>
            </w:r>
          </w:p>
        </w:tc>
        <w:tc>
          <w:tcPr>
            <w:tcW w:w="3220" w:type="dxa"/>
            <w:vAlign w:val="bottom"/>
            <w:gridSpan w:val="15"/>
          </w:tcPr>
          <w:p>
            <w:pPr>
              <w:jc w:val="right"/>
              <w:spacing w:after="0"/>
              <w:rPr>
                <w:sz w:val="20"/>
                <w:szCs w:val="20"/>
                <w:color w:val="auto"/>
              </w:rPr>
            </w:pPr>
            <w:r>
              <w:rPr>
                <w:rFonts w:ascii="Times New Roman" w:cs="Times New Roman" w:eastAsia="Times New Roman" w:hAnsi="Times New Roman"/>
                <w:sz w:val="20"/>
                <w:szCs w:val="20"/>
                <w:color w:val="0000FF"/>
                <w:w w:val="99"/>
              </w:rPr>
              <w:t xml:space="preserve">67 </w:t>
            </w:r>
            <w:r>
              <w:rPr>
                <w:rFonts w:ascii="Times New Roman" w:cs="Times New Roman" w:eastAsia="Times New Roman" w:hAnsi="Times New Roman"/>
                <w:sz w:val="20"/>
                <w:szCs w:val="20"/>
                <w:color w:val="000000"/>
                <w:w w:val="99"/>
              </w:rPr>
              <w:t>SECTION 3.9 Reporting of Letter of</w:t>
            </w:r>
          </w:p>
        </w:tc>
        <w:tc>
          <w:tcPr>
            <w:tcW w:w="0" w:type="dxa"/>
            <w:vAlign w:val="bottom"/>
          </w:tcPr>
          <w:p>
            <w:pPr>
              <w:spacing w:after="0"/>
              <w:rPr>
                <w:sz w:val="1"/>
                <w:szCs w:val="1"/>
                <w:color w:val="auto"/>
              </w:rPr>
            </w:pPr>
          </w:p>
        </w:tc>
      </w:tr>
      <w:tr>
        <w:trPr>
          <w:trHeight w:val="317"/>
        </w:trPr>
        <w:tc>
          <w:tcPr>
            <w:tcW w:w="3640" w:type="dxa"/>
            <w:vAlign w:val="bottom"/>
            <w:gridSpan w:val="6"/>
          </w:tcPr>
          <w:p>
            <w:pPr>
              <w:spacing w:after="0"/>
              <w:rPr>
                <w:sz w:val="20"/>
                <w:szCs w:val="20"/>
                <w:color w:val="auto"/>
              </w:rPr>
            </w:pPr>
            <w:r>
              <w:rPr>
                <w:rFonts w:ascii="Times New Roman" w:cs="Times New Roman" w:eastAsia="Times New Roman" w:hAnsi="Times New Roman"/>
                <w:sz w:val="20"/>
                <w:szCs w:val="20"/>
                <w:color w:val="auto"/>
                <w:w w:val="97"/>
              </w:rPr>
              <w:t>............CreditInformationandL/CCommitment</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FF0000"/>
                <w:strike w:val="1"/>
              </w:rPr>
              <w:t>64</w:t>
            </w:r>
          </w:p>
        </w:tc>
        <w:tc>
          <w:tcPr>
            <w:tcW w:w="720" w:type="dxa"/>
            <w:vAlign w:val="bottom"/>
            <w:gridSpan w:val="2"/>
          </w:tcPr>
          <w:p>
            <w:pPr>
              <w:jc w:val="right"/>
              <w:ind w:right="520"/>
              <w:spacing w:after="0"/>
              <w:rPr>
                <w:sz w:val="20"/>
                <w:szCs w:val="20"/>
                <w:color w:val="auto"/>
              </w:rPr>
            </w:pPr>
            <w:r>
              <w:rPr>
                <w:rFonts w:ascii="Times New Roman" w:cs="Times New Roman" w:eastAsia="Times New Roman" w:hAnsi="Times New Roman"/>
                <w:sz w:val="20"/>
                <w:szCs w:val="20"/>
                <w:color w:val="0000FF"/>
                <w:w w:val="89"/>
              </w:rPr>
              <w:t>68</w:t>
            </w:r>
          </w:p>
        </w:tc>
        <w:tc>
          <w:tcPr>
            <w:tcW w:w="1980" w:type="dxa"/>
            <w:vAlign w:val="bottom"/>
            <w:gridSpan w:val="19"/>
            <w:vMerge w:val="restart"/>
          </w:tcPr>
          <w:p>
            <w:pPr>
              <w:ind w:left="20"/>
              <w:spacing w:after="0"/>
              <w:rPr>
                <w:sz w:val="20"/>
                <w:szCs w:val="20"/>
                <w:color w:val="auto"/>
              </w:rPr>
            </w:pPr>
            <w:r>
              <w:rPr>
                <w:rFonts w:ascii="Times New Roman" w:cs="Times New Roman" w:eastAsia="Times New Roman" w:hAnsi="Times New Roman"/>
                <w:sz w:val="20"/>
                <w:szCs w:val="20"/>
                <w:color w:val="auto"/>
              </w:rPr>
              <w:t>i</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9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520" w:type="dxa"/>
            <w:vAlign w:val="bottom"/>
          </w:tcPr>
          <w:p>
            <w:pPr>
              <w:spacing w:after="0"/>
              <w:rPr>
                <w:sz w:val="24"/>
                <w:szCs w:val="24"/>
                <w:color w:val="auto"/>
              </w:rPr>
            </w:pPr>
          </w:p>
        </w:tc>
        <w:tc>
          <w:tcPr>
            <w:tcW w:w="1980" w:type="dxa"/>
            <w:vAlign w:val="bottom"/>
            <w:gridSpan w:val="19"/>
            <w:vMerge w:val="continue"/>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ectPr>
          <w:pgSz w:w="11900" w:h="16838" w:orient="portrait"/>
          <w:cols w:equalWidth="0" w:num="1">
            <w:col w:w="11100"/>
          </w:cols>
          <w:pgMar w:left="360" w:top="1071"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146960219_6</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100"/>
          </w:cols>
          <w:pgMar w:left="360" w:top="1071" w:right="439" w:bottom="1440" w:gutter="0" w:footer="0" w:header="0"/>
          <w:type w:val="continuous"/>
        </w:sectPr>
      </w:pPr>
    </w:p>
    <w:bookmarkStart w:id="77" w:name="page78"/>
    <w:bookmarkEnd w:id="77"/>
    <w:tbl>
      <w:tblPr>
        <w:tblLayout w:type="fixed"/>
        <w:tblInd w:w="60" w:type="dxa"/>
        <w:tblCellMar>
          <w:top w:w="0" w:type="dxa"/>
          <w:left w:w="0" w:type="dxa"/>
          <w:bottom w:w="0" w:type="dxa"/>
          <w:right w:w="0" w:type="dxa"/>
        </w:tblCellMar>
      </w:tblPr>
      <w:tr>
        <w:trPr>
          <w:trHeight w:val="262"/>
        </w:trPr>
        <w:tc>
          <w:tcPr>
            <w:tcW w:w="19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auto"/>
              </w:rPr>
              <w:t>Page</w:t>
            </w:r>
          </w:p>
        </w:tc>
        <w:tc>
          <w:tcPr>
            <w:tcW w:w="0" w:type="dxa"/>
            <w:vAlign w:val="bottom"/>
          </w:tcPr>
          <w:p>
            <w:pPr>
              <w:spacing w:after="0"/>
              <w:rPr>
                <w:sz w:val="1"/>
                <w:szCs w:val="1"/>
                <w:color w:val="auto"/>
              </w:rPr>
            </w:pPr>
          </w:p>
        </w:tc>
      </w:tr>
      <w:tr>
        <w:trPr>
          <w:trHeight w:val="710"/>
        </w:trPr>
        <w:tc>
          <w:tcPr>
            <w:tcW w:w="196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3.10</w:t>
            </w:r>
          </w:p>
        </w:tc>
        <w:tc>
          <w:tcPr>
            <w:tcW w:w="5540" w:type="dxa"/>
            <w:vAlign w:val="bottom"/>
            <w:gridSpan w:val="18"/>
          </w:tcPr>
          <w:p>
            <w:pPr>
              <w:jc w:val="right"/>
              <w:spacing w:after="0"/>
              <w:rPr>
                <w:sz w:val="20"/>
                <w:szCs w:val="20"/>
                <w:color w:val="auto"/>
              </w:rPr>
            </w:pPr>
            <w:r>
              <w:rPr>
                <w:rFonts w:ascii="Times New Roman" w:cs="Times New Roman" w:eastAsia="Times New Roman" w:hAnsi="Times New Roman"/>
                <w:sz w:val="20"/>
                <w:szCs w:val="20"/>
                <w:color w:val="auto"/>
                <w:w w:val="99"/>
              </w:rPr>
              <w:t>Letters of Credit Issued for Subsidiaries .................................................</w:t>
            </w:r>
          </w:p>
        </w:tc>
        <w:tc>
          <w:tcPr>
            <w:tcW w:w="160" w:type="dxa"/>
            <w:vAlign w:val="bottom"/>
          </w:tcPr>
          <w:p>
            <w:pPr>
              <w:spacing w:after="0"/>
              <w:rPr>
                <w:sz w:val="24"/>
                <w:szCs w:val="24"/>
                <w:color w:val="auto"/>
              </w:rPr>
            </w:pP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FF0000"/>
                <w:strike w:val="1"/>
                <w:w w:val="89"/>
              </w:rPr>
              <w:t>64</w:t>
            </w:r>
          </w:p>
        </w:tc>
        <w:tc>
          <w:tcPr>
            <w:tcW w:w="1400" w:type="dxa"/>
            <w:vAlign w:val="bottom"/>
            <w:gridSpan w:val="10"/>
          </w:tcPr>
          <w:p>
            <w:pPr>
              <w:spacing w:after="0"/>
              <w:rPr>
                <w:sz w:val="20"/>
                <w:szCs w:val="20"/>
                <w:color w:val="auto"/>
              </w:rPr>
            </w:pPr>
            <w:r>
              <w:rPr>
                <w:rFonts w:ascii="Times New Roman" w:cs="Times New Roman" w:eastAsia="Times New Roman" w:hAnsi="Times New Roman"/>
                <w:sz w:val="20"/>
                <w:szCs w:val="20"/>
                <w:color w:val="0000FF"/>
              </w:rPr>
              <w:t xml:space="preserve">68 </w:t>
            </w:r>
            <w:r>
              <w:rPr>
                <w:rFonts w:ascii="Times New Roman" w:cs="Times New Roman" w:eastAsia="Times New Roman" w:hAnsi="Times New Roman"/>
                <w:sz w:val="20"/>
                <w:szCs w:val="20"/>
                <w:color w:val="000000"/>
              </w:rPr>
              <w:t>ARTICLE IV</w:t>
            </w:r>
          </w:p>
        </w:tc>
        <w:tc>
          <w:tcPr>
            <w:tcW w:w="120" w:type="dxa"/>
            <w:vAlign w:val="bottom"/>
          </w:tcPr>
          <w:p>
            <w:pPr>
              <w:spacing w:after="0"/>
              <w:rPr>
                <w:sz w:val="24"/>
                <w:szCs w:val="24"/>
                <w:color w:val="auto"/>
              </w:rPr>
            </w:pPr>
          </w:p>
        </w:tc>
        <w:tc>
          <w:tcPr>
            <w:tcW w:w="1560" w:type="dxa"/>
            <w:vAlign w:val="bottom"/>
            <w:gridSpan w:val="3"/>
          </w:tcPr>
          <w:p>
            <w:pPr>
              <w:jc w:val="right"/>
              <w:ind w:right="321"/>
              <w:spacing w:after="0"/>
              <w:rPr>
                <w:sz w:val="20"/>
                <w:szCs w:val="20"/>
                <w:color w:val="auto"/>
              </w:rPr>
            </w:pPr>
            <w:r>
              <w:rPr>
                <w:rFonts w:ascii="Times New Roman" w:cs="Times New Roman" w:eastAsia="Times New Roman" w:hAnsi="Times New Roman"/>
                <w:sz w:val="20"/>
                <w:szCs w:val="20"/>
                <w:color w:val="auto"/>
                <w:w w:val="96"/>
              </w:rPr>
              <w:t>TERM LOAN</w:t>
            </w:r>
          </w:p>
        </w:tc>
        <w:tc>
          <w:tcPr>
            <w:tcW w:w="0" w:type="dxa"/>
            <w:vAlign w:val="bottom"/>
          </w:tcPr>
          <w:p>
            <w:pPr>
              <w:spacing w:after="0"/>
              <w:rPr>
                <w:sz w:val="1"/>
                <w:szCs w:val="1"/>
                <w:color w:val="auto"/>
              </w:rPr>
            </w:pPr>
          </w:p>
        </w:tc>
      </w:tr>
      <w:tr>
        <w:trPr>
          <w:trHeight w:val="318"/>
        </w:trPr>
        <w:tc>
          <w:tcPr>
            <w:tcW w:w="19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71"/>
              </w:rPr>
              <w:t>FACILITY ..........................................................................................</w:t>
            </w: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FF0000"/>
                <w:strike w:val="1"/>
              </w:rPr>
              <w:t>65</w:t>
            </w:r>
          </w:p>
        </w:tc>
        <w:tc>
          <w:tcPr>
            <w:tcW w:w="20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20"/>
                <w:szCs w:val="20"/>
                <w:color w:val="0000FF"/>
                <w:w w:val="89"/>
              </w:rPr>
              <w:t>69</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96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4.1</w:t>
            </w:r>
          </w:p>
        </w:tc>
        <w:tc>
          <w:tcPr>
            <w:tcW w:w="5540" w:type="dxa"/>
            <w:vAlign w:val="bottom"/>
            <w:gridSpan w:val="18"/>
          </w:tcPr>
          <w:p>
            <w:pPr>
              <w:jc w:val="right"/>
              <w:spacing w:after="0"/>
              <w:rPr>
                <w:sz w:val="20"/>
                <w:szCs w:val="20"/>
                <w:color w:val="auto"/>
              </w:rPr>
            </w:pPr>
            <w:r>
              <w:rPr>
                <w:rFonts w:ascii="Times New Roman" w:cs="Times New Roman" w:eastAsia="Times New Roman" w:hAnsi="Times New Roman"/>
                <w:sz w:val="20"/>
                <w:szCs w:val="20"/>
                <w:color w:val="auto"/>
                <w:w w:val="98"/>
              </w:rPr>
              <w:t>Initial Term Loan .....................................................................................</w:t>
            </w:r>
          </w:p>
        </w:tc>
        <w:tc>
          <w:tcPr>
            <w:tcW w:w="16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FF0000"/>
                <w:strike w:val="1"/>
                <w:w w:val="89"/>
              </w:rPr>
              <w:t>65</w:t>
            </w:r>
          </w:p>
        </w:tc>
        <w:tc>
          <w:tcPr>
            <w:tcW w:w="200" w:type="dxa"/>
            <w:vAlign w:val="bottom"/>
            <w:tcBorders>
              <w:bottom w:val="single" w:sz="8" w:color="0000FF"/>
            </w:tcBorders>
            <w:gridSpan w:val="4"/>
          </w:tcPr>
          <w:p>
            <w:pPr>
              <w:jc w:val="right"/>
              <w:spacing w:after="0"/>
              <w:rPr>
                <w:sz w:val="20"/>
                <w:szCs w:val="20"/>
                <w:color w:val="auto"/>
              </w:rPr>
            </w:pPr>
            <w:r>
              <w:rPr>
                <w:rFonts w:ascii="Times New Roman" w:cs="Times New Roman" w:eastAsia="Times New Roman" w:hAnsi="Times New Roman"/>
                <w:sz w:val="20"/>
                <w:szCs w:val="20"/>
                <w:color w:val="0000FF"/>
                <w:w w:val="79"/>
              </w:rPr>
              <w:t>69</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8"/>
        </w:trPr>
        <w:tc>
          <w:tcPr>
            <w:tcW w:w="196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4.2</w:t>
            </w:r>
          </w:p>
        </w:tc>
        <w:tc>
          <w:tcPr>
            <w:tcW w:w="5540" w:type="dxa"/>
            <w:vAlign w:val="bottom"/>
            <w:gridSpan w:val="18"/>
          </w:tcPr>
          <w:p>
            <w:pPr>
              <w:ind w:left="20"/>
              <w:spacing w:after="0"/>
              <w:rPr>
                <w:sz w:val="20"/>
                <w:szCs w:val="20"/>
                <w:color w:val="auto"/>
              </w:rPr>
            </w:pPr>
            <w:r>
              <w:rPr>
                <w:rFonts w:ascii="Times New Roman" w:cs="Times New Roman" w:eastAsia="Times New Roman" w:hAnsi="Times New Roman"/>
                <w:sz w:val="20"/>
                <w:szCs w:val="20"/>
                <w:color w:val="auto"/>
                <w:w w:val="96"/>
              </w:rPr>
              <w:t>Procedure for Advance of Initial Term Loan ..........................................</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FF0000"/>
                <w:strike w:val="1"/>
              </w:rPr>
              <w:t>65</w:t>
            </w:r>
          </w:p>
        </w:tc>
        <w:tc>
          <w:tcPr>
            <w:tcW w:w="1480" w:type="dxa"/>
            <w:vAlign w:val="bottom"/>
            <w:gridSpan w:val="11"/>
          </w:tcPr>
          <w:p>
            <w:pPr>
              <w:spacing w:after="0"/>
              <w:rPr>
                <w:sz w:val="20"/>
                <w:szCs w:val="20"/>
                <w:color w:val="auto"/>
              </w:rPr>
            </w:pPr>
            <w:r>
              <w:rPr>
                <w:rFonts w:ascii="Times New Roman" w:cs="Times New Roman" w:eastAsia="Times New Roman" w:hAnsi="Times New Roman"/>
                <w:sz w:val="20"/>
                <w:szCs w:val="20"/>
                <w:color w:val="0000FF"/>
              </w:rPr>
              <w:t xml:space="preserve">69 </w:t>
            </w:r>
            <w:r>
              <w:rPr>
                <w:rFonts w:ascii="Times New Roman" w:cs="Times New Roman" w:eastAsia="Times New Roman" w:hAnsi="Times New Roman"/>
                <w:sz w:val="20"/>
                <w:szCs w:val="20"/>
                <w:color w:val="000000"/>
              </w:rPr>
              <w:t>SECTION 4.3</w:t>
            </w:r>
          </w:p>
        </w:tc>
        <w:tc>
          <w:tcPr>
            <w:tcW w:w="168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Repayment of Term</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960" w:type="dxa"/>
            <w:vAlign w:val="bottom"/>
          </w:tcPr>
          <w:p>
            <w:pPr>
              <w:ind w:left="640"/>
              <w:spacing w:after="0"/>
              <w:rPr>
                <w:sz w:val="20"/>
                <w:szCs w:val="20"/>
                <w:color w:val="auto"/>
              </w:rPr>
            </w:pPr>
            <w:r>
              <w:rPr>
                <w:rFonts w:ascii="Times New Roman" w:cs="Times New Roman" w:eastAsia="Times New Roman" w:hAnsi="Times New Roman"/>
                <w:sz w:val="9"/>
                <w:szCs w:val="9"/>
                <w:color w:val="auto"/>
                <w:w w:val="71"/>
              </w:rPr>
              <w:t>Loans ......................................................................</w:t>
            </w: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FF0000"/>
                <w:strike w:val="1"/>
                <w:w w:val="89"/>
              </w:rPr>
              <w:t>65</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0000FF"/>
                <w:w w:val="89"/>
              </w:rPr>
              <w:t>69</w:t>
            </w:r>
          </w:p>
        </w:tc>
        <w:tc>
          <w:tcPr>
            <w:tcW w:w="280" w:type="dxa"/>
            <w:vAlign w:val="bottom"/>
            <w:vMerge w:val="restart"/>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FF0000"/>
                <w:strike w:val="1"/>
                <w:w w:val="79"/>
              </w:rPr>
              <w:t>65</w:t>
            </w:r>
          </w:p>
        </w:tc>
        <w:tc>
          <w:tcPr>
            <w:tcW w:w="4480" w:type="dxa"/>
            <w:vAlign w:val="bottom"/>
            <w:gridSpan w:val="22"/>
          </w:tcPr>
          <w:p>
            <w:pPr>
              <w:spacing w:after="0"/>
              <w:rPr>
                <w:sz w:val="20"/>
                <w:szCs w:val="20"/>
                <w:color w:val="auto"/>
              </w:rPr>
            </w:pPr>
            <w:r>
              <w:rPr>
                <w:rFonts w:ascii="Times New Roman" w:cs="Times New Roman" w:eastAsia="Times New Roman" w:hAnsi="Times New Roman"/>
                <w:sz w:val="20"/>
                <w:szCs w:val="20"/>
                <w:color w:val="0000FF"/>
              </w:rPr>
              <w:t xml:space="preserve">69 </w:t>
            </w:r>
            <w:r>
              <w:rPr>
                <w:rFonts w:ascii="Times New Roman" w:cs="Times New Roman" w:eastAsia="Times New Roman" w:hAnsi="Times New Roman"/>
                <w:sz w:val="20"/>
                <w:szCs w:val="20"/>
                <w:color w:val="000000"/>
              </w:rPr>
              <w:t>SECTION 4.4  Prepayments of Term Loans</w:t>
            </w: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56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w w:val="70"/>
              </w:rPr>
              <w:t>...................................................................</w:t>
            </w:r>
          </w:p>
        </w:tc>
        <w:tc>
          <w:tcPr>
            <w:tcW w:w="700" w:type="dxa"/>
            <w:vAlign w:val="bottom"/>
            <w:vMerge w:val="restart"/>
          </w:tcPr>
          <w:p>
            <w:pPr>
              <w:spacing w:after="0"/>
              <w:rPr>
                <w:sz w:val="21"/>
                <w:szCs w:val="21"/>
                <w:color w:val="auto"/>
              </w:rPr>
            </w:pPr>
          </w:p>
        </w:tc>
        <w:tc>
          <w:tcPr>
            <w:tcW w:w="300" w:type="dxa"/>
            <w:vAlign w:val="bottom"/>
            <w:vMerge w:val="restart"/>
          </w:tcPr>
          <w:p>
            <w:pPr>
              <w:spacing w:after="0"/>
              <w:rPr>
                <w:sz w:val="21"/>
                <w:szCs w:val="21"/>
                <w:color w:val="auto"/>
              </w:rPr>
            </w:pPr>
          </w:p>
        </w:tc>
        <w:tc>
          <w:tcPr>
            <w:tcW w:w="440" w:type="dxa"/>
            <w:vAlign w:val="bottom"/>
            <w:vMerge w:val="restart"/>
          </w:tcPr>
          <w:p>
            <w:pPr>
              <w:spacing w:after="0"/>
              <w:rPr>
                <w:sz w:val="21"/>
                <w:szCs w:val="21"/>
                <w:color w:val="auto"/>
              </w:rPr>
            </w:pPr>
          </w:p>
        </w:tc>
        <w:tc>
          <w:tcPr>
            <w:tcW w:w="200" w:type="dxa"/>
            <w:vAlign w:val="bottom"/>
            <w:vMerge w:val="continue"/>
          </w:tcPr>
          <w:p>
            <w:pPr>
              <w:spacing w:after="0"/>
              <w:rPr>
                <w:sz w:val="21"/>
                <w:szCs w:val="21"/>
                <w:color w:val="auto"/>
              </w:rPr>
            </w:pPr>
          </w:p>
        </w:tc>
        <w:tc>
          <w:tcPr>
            <w:tcW w:w="220" w:type="dxa"/>
            <w:vAlign w:val="bottom"/>
            <w:gridSpan w:val="2"/>
            <w:vMerge w:val="continue"/>
          </w:tcPr>
          <w:p>
            <w:pPr>
              <w:spacing w:after="0"/>
              <w:rPr>
                <w:sz w:val="21"/>
                <w:szCs w:val="21"/>
                <w:color w:val="auto"/>
              </w:rPr>
            </w:pPr>
          </w:p>
        </w:tc>
        <w:tc>
          <w:tcPr>
            <w:tcW w:w="28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Borders>
              <w:top w:val="single" w:sz="8" w:color="0000FF"/>
            </w:tcBorders>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3"/>
        </w:trPr>
        <w:tc>
          <w:tcPr>
            <w:tcW w:w="196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00" w:type="dxa"/>
            <w:vAlign w:val="bottom"/>
            <w:vMerge w:val="continue"/>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vMerge w:val="continue"/>
          </w:tcPr>
          <w:p>
            <w:pPr>
              <w:spacing w:after="0"/>
              <w:rPr>
                <w:sz w:val="5"/>
                <w:szCs w:val="5"/>
                <w:color w:val="auto"/>
              </w:rPr>
            </w:pPr>
          </w:p>
        </w:tc>
        <w:tc>
          <w:tcPr>
            <w:tcW w:w="220" w:type="dxa"/>
            <w:vAlign w:val="bottom"/>
            <w:tcBorders>
              <w:bottom w:val="single" w:sz="8" w:color="0000FF"/>
            </w:tcBorders>
            <w:gridSpan w:val="2"/>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44"/>
        </w:trPr>
        <w:tc>
          <w:tcPr>
            <w:tcW w:w="1960" w:type="dxa"/>
            <w:vAlign w:val="bottom"/>
            <w:vMerge w:val="restart"/>
          </w:tcPr>
          <w:p>
            <w:pPr>
              <w:ind w:left="640"/>
              <w:spacing w:after="0"/>
              <w:rPr>
                <w:sz w:val="20"/>
                <w:szCs w:val="20"/>
                <w:color w:val="auto"/>
              </w:rPr>
            </w:pPr>
            <w:r>
              <w:rPr>
                <w:rFonts w:ascii="Times New Roman" w:cs="Times New Roman" w:eastAsia="Times New Roman" w:hAnsi="Times New Roman"/>
                <w:sz w:val="20"/>
                <w:szCs w:val="20"/>
                <w:color w:val="auto"/>
              </w:rPr>
              <w:t>SECTION 5.1</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96"/>
              </w:rPr>
              <w:t>Interest</w:t>
            </w:r>
          </w:p>
        </w:tc>
        <w:tc>
          <w:tcPr>
            <w:tcW w:w="4940" w:type="dxa"/>
            <w:vAlign w:val="bottom"/>
            <w:gridSpan w:val="17"/>
          </w:tcPr>
          <w:p>
            <w:pPr>
              <w:jc w:val="right"/>
              <w:spacing w:after="0"/>
              <w:rPr>
                <w:sz w:val="20"/>
                <w:szCs w:val="20"/>
                <w:color w:val="auto"/>
              </w:rPr>
            </w:pPr>
            <w:r>
              <w:rPr>
                <w:rFonts w:ascii="Times New Roman" w:cs="Times New Roman" w:eastAsia="Times New Roman" w:hAnsi="Times New Roman"/>
                <w:sz w:val="18"/>
                <w:szCs w:val="18"/>
                <w:color w:val="auto"/>
                <w:w w:val="71"/>
              </w:rPr>
              <w:t>ARTICLE V  GENERAL LOAN PROVISIONS ..............................................................................</w:t>
            </w:r>
          </w:p>
        </w:tc>
        <w:tc>
          <w:tcPr>
            <w:tcW w:w="16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FF0000"/>
                <w:strike w:val="1"/>
                <w:w w:val="89"/>
              </w:rPr>
              <w:t>68</w:t>
            </w:r>
          </w:p>
        </w:tc>
        <w:tc>
          <w:tcPr>
            <w:tcW w:w="200" w:type="dxa"/>
            <w:vAlign w:val="bottom"/>
            <w:gridSpan w:val="4"/>
            <w:vMerge w:val="restart"/>
          </w:tcPr>
          <w:p>
            <w:pPr>
              <w:jc w:val="right"/>
              <w:spacing w:after="0"/>
              <w:rPr>
                <w:sz w:val="20"/>
                <w:szCs w:val="20"/>
                <w:color w:val="auto"/>
              </w:rPr>
            </w:pPr>
            <w:r>
              <w:rPr>
                <w:rFonts w:ascii="Times New Roman" w:cs="Times New Roman" w:eastAsia="Times New Roman" w:hAnsi="Times New Roman"/>
                <w:sz w:val="20"/>
                <w:szCs w:val="20"/>
                <w:color w:val="0000FF"/>
                <w:w w:val="79"/>
              </w:rPr>
              <w:t>72</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FF0000"/>
                <w:strike w:val="1"/>
              </w:rPr>
              <w:t>68</w:t>
            </w:r>
          </w:p>
        </w:tc>
        <w:tc>
          <w:tcPr>
            <w:tcW w:w="2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89"/>
              </w:rPr>
              <w:t>72</w:t>
            </w:r>
          </w:p>
        </w:tc>
        <w:tc>
          <w:tcPr>
            <w:tcW w:w="0" w:type="dxa"/>
            <w:vAlign w:val="bottom"/>
          </w:tcPr>
          <w:p>
            <w:pPr>
              <w:spacing w:after="0"/>
              <w:rPr>
                <w:sz w:val="1"/>
                <w:szCs w:val="1"/>
                <w:color w:val="auto"/>
              </w:rPr>
            </w:pPr>
          </w:p>
        </w:tc>
      </w:tr>
      <w:tr>
        <w:trPr>
          <w:trHeight w:val="223"/>
        </w:trPr>
        <w:tc>
          <w:tcPr>
            <w:tcW w:w="1960" w:type="dxa"/>
            <w:vAlign w:val="bottom"/>
            <w:vMerge w:val="continue"/>
          </w:tcPr>
          <w:p>
            <w:pPr>
              <w:spacing w:after="0"/>
              <w:rPr>
                <w:sz w:val="19"/>
                <w:szCs w:val="19"/>
                <w:color w:val="auto"/>
              </w:rPr>
            </w:pPr>
          </w:p>
        </w:tc>
        <w:tc>
          <w:tcPr>
            <w:tcW w:w="600" w:type="dxa"/>
            <w:vAlign w:val="bottom"/>
            <w:vMerge w:val="continue"/>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3"/>
                <w:szCs w:val="3"/>
                <w:color w:val="auto"/>
                <w:w w:val="88"/>
              </w:rPr>
              <w:t>......................................................................................................</w:t>
            </w: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vMerge w:val="restart"/>
          </w:tcPr>
          <w:p>
            <w:pPr>
              <w:spacing w:after="0"/>
              <w:rPr>
                <w:sz w:val="19"/>
                <w:szCs w:val="19"/>
                <w:color w:val="auto"/>
              </w:rPr>
            </w:pPr>
          </w:p>
        </w:tc>
        <w:tc>
          <w:tcPr>
            <w:tcW w:w="220" w:type="dxa"/>
            <w:vAlign w:val="bottom"/>
            <w:vMerge w:val="continue"/>
          </w:tcPr>
          <w:p>
            <w:pPr>
              <w:spacing w:after="0"/>
              <w:rPr>
                <w:sz w:val="19"/>
                <w:szCs w:val="19"/>
                <w:color w:val="auto"/>
              </w:rPr>
            </w:pPr>
          </w:p>
        </w:tc>
        <w:tc>
          <w:tcPr>
            <w:tcW w:w="200" w:type="dxa"/>
            <w:vAlign w:val="bottom"/>
            <w:gridSpan w:val="4"/>
            <w:vMerge w:val="continue"/>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3"/>
        </w:trPr>
        <w:tc>
          <w:tcPr>
            <w:tcW w:w="196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200" w:type="dxa"/>
            <w:vAlign w:val="bottom"/>
            <w:tcBorders>
              <w:bottom w:val="single" w:sz="8" w:color="0000FF"/>
            </w:tcBorders>
            <w:gridSpan w:val="4"/>
            <w:vMerge w:val="continue"/>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196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5.2</w:t>
            </w:r>
          </w:p>
        </w:tc>
        <w:tc>
          <w:tcPr>
            <w:tcW w:w="5540" w:type="dxa"/>
            <w:vAlign w:val="bottom"/>
            <w:gridSpan w:val="18"/>
          </w:tcPr>
          <w:p>
            <w:pPr>
              <w:jc w:val="right"/>
              <w:spacing w:after="0"/>
              <w:rPr>
                <w:sz w:val="20"/>
                <w:szCs w:val="20"/>
                <w:color w:val="auto"/>
              </w:rPr>
            </w:pPr>
            <w:r>
              <w:rPr>
                <w:rFonts w:ascii="Times New Roman" w:cs="Times New Roman" w:eastAsia="Times New Roman" w:hAnsi="Times New Roman"/>
                <w:sz w:val="20"/>
                <w:szCs w:val="20"/>
                <w:color w:val="auto"/>
                <w:w w:val="98"/>
              </w:rPr>
              <w:t>Notice and Manner of Conversion or Continuation of Loans .................</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FF0000"/>
                <w:strike w:val="1"/>
              </w:rPr>
              <w:t>71</w:t>
            </w:r>
          </w:p>
        </w:tc>
        <w:tc>
          <w:tcPr>
            <w:tcW w:w="1480" w:type="dxa"/>
            <w:vAlign w:val="bottom"/>
            <w:gridSpan w:val="11"/>
          </w:tcPr>
          <w:p>
            <w:pPr>
              <w:spacing w:after="0"/>
              <w:rPr>
                <w:sz w:val="20"/>
                <w:szCs w:val="20"/>
                <w:color w:val="auto"/>
              </w:rPr>
            </w:pPr>
            <w:r>
              <w:rPr>
                <w:rFonts w:ascii="Times New Roman" w:cs="Times New Roman" w:eastAsia="Times New Roman" w:hAnsi="Times New Roman"/>
                <w:sz w:val="20"/>
                <w:szCs w:val="20"/>
                <w:color w:val="0000FF"/>
              </w:rPr>
              <w:t xml:space="preserve">75 </w:t>
            </w:r>
            <w:r>
              <w:rPr>
                <w:rFonts w:ascii="Times New Roman" w:cs="Times New Roman" w:eastAsia="Times New Roman" w:hAnsi="Times New Roman"/>
                <w:sz w:val="20"/>
                <w:szCs w:val="20"/>
                <w:color w:val="000000"/>
              </w:rPr>
              <w:t>SECTION 5.3</w:t>
            </w:r>
          </w:p>
        </w:tc>
        <w:tc>
          <w:tcPr>
            <w:tcW w:w="1680" w:type="dxa"/>
            <w:vAlign w:val="bottom"/>
            <w:gridSpan w:val="4"/>
          </w:tcPr>
          <w:p>
            <w:pPr>
              <w:jc w:val="right"/>
              <w:ind w:right="1141"/>
              <w:spacing w:after="0"/>
              <w:rPr>
                <w:sz w:val="20"/>
                <w:szCs w:val="20"/>
                <w:color w:val="auto"/>
              </w:rPr>
            </w:pPr>
            <w:r>
              <w:rPr>
                <w:rFonts w:ascii="Times New Roman" w:cs="Times New Roman" w:eastAsia="Times New Roman" w:hAnsi="Times New Roman"/>
                <w:sz w:val="20"/>
                <w:szCs w:val="20"/>
                <w:color w:val="auto"/>
              </w:rPr>
              <w:t>Fees</w:t>
            </w:r>
          </w:p>
        </w:tc>
        <w:tc>
          <w:tcPr>
            <w:tcW w:w="0" w:type="dxa"/>
            <w:vAlign w:val="bottom"/>
          </w:tcPr>
          <w:p>
            <w:pPr>
              <w:spacing w:after="0"/>
              <w:rPr>
                <w:sz w:val="1"/>
                <w:szCs w:val="1"/>
                <w:color w:val="auto"/>
              </w:rPr>
            </w:pPr>
          </w:p>
        </w:tc>
      </w:tr>
      <w:tr>
        <w:trPr>
          <w:trHeight w:val="250"/>
        </w:trPr>
        <w:tc>
          <w:tcPr>
            <w:tcW w:w="2560" w:type="dxa"/>
            <w:vAlign w:val="bottom"/>
            <w:gridSpan w:val="2"/>
          </w:tcPr>
          <w:p>
            <w:pPr>
              <w:ind w:left="640"/>
              <w:spacing w:after="0"/>
              <w:rPr>
                <w:sz w:val="20"/>
                <w:szCs w:val="20"/>
                <w:color w:val="auto"/>
              </w:rPr>
            </w:pPr>
            <w:r>
              <w:rPr>
                <w:rFonts w:ascii="Times New Roman" w:cs="Times New Roman" w:eastAsia="Times New Roman" w:hAnsi="Times New Roman"/>
                <w:sz w:val="10"/>
                <w:szCs w:val="10"/>
                <w:color w:val="auto"/>
                <w:w w:val="73"/>
              </w:rPr>
              <w:t>........................................................................................................</w:t>
            </w:r>
          </w:p>
        </w:tc>
        <w:tc>
          <w:tcPr>
            <w:tcW w:w="700" w:type="dxa"/>
            <w:vAlign w:val="bottom"/>
            <w:vMerge w:val="restart"/>
          </w:tcPr>
          <w:p>
            <w:pPr>
              <w:spacing w:after="0"/>
              <w:rPr>
                <w:sz w:val="21"/>
                <w:szCs w:val="21"/>
                <w:color w:val="auto"/>
              </w:rPr>
            </w:pPr>
          </w:p>
        </w:tc>
        <w:tc>
          <w:tcPr>
            <w:tcW w:w="300" w:type="dxa"/>
            <w:vAlign w:val="bottom"/>
            <w:vMerge w:val="restart"/>
          </w:tcPr>
          <w:p>
            <w:pPr>
              <w:spacing w:after="0"/>
              <w:rPr>
                <w:sz w:val="21"/>
                <w:szCs w:val="21"/>
                <w:color w:val="auto"/>
              </w:rPr>
            </w:pPr>
          </w:p>
        </w:tc>
        <w:tc>
          <w:tcPr>
            <w:tcW w:w="440" w:type="dxa"/>
            <w:vAlign w:val="bottom"/>
            <w:vMerge w:val="restart"/>
          </w:tcPr>
          <w:p>
            <w:pPr>
              <w:spacing w:after="0"/>
              <w:rPr>
                <w:sz w:val="21"/>
                <w:szCs w:val="21"/>
                <w:color w:val="auto"/>
              </w:rPr>
            </w:pPr>
          </w:p>
        </w:tc>
        <w:tc>
          <w:tcPr>
            <w:tcW w:w="400" w:type="dxa"/>
            <w:vAlign w:val="bottom"/>
            <w:gridSpan w:val="2"/>
            <w:vMerge w:val="restart"/>
          </w:tcPr>
          <w:p>
            <w:pPr>
              <w:spacing w:after="0"/>
              <w:rPr>
                <w:sz w:val="21"/>
                <w:szCs w:val="21"/>
                <w:color w:val="auto"/>
              </w:rPr>
            </w:pPr>
          </w:p>
        </w:tc>
        <w:tc>
          <w:tcPr>
            <w:tcW w:w="300" w:type="dxa"/>
            <w:vAlign w:val="bottom"/>
            <w:gridSpan w:val="2"/>
            <w:vMerge w:val="restart"/>
          </w:tcPr>
          <w:p>
            <w:pPr>
              <w:spacing w:after="0"/>
              <w:rPr>
                <w:sz w:val="21"/>
                <w:szCs w:val="21"/>
                <w:color w:val="auto"/>
              </w:rPr>
            </w:pPr>
          </w:p>
        </w:tc>
        <w:tc>
          <w:tcPr>
            <w:tcW w:w="440" w:type="dxa"/>
            <w:vAlign w:val="bottom"/>
            <w:gridSpan w:val="2"/>
            <w:vMerge w:val="restart"/>
          </w:tcPr>
          <w:p>
            <w:pPr>
              <w:spacing w:after="0"/>
              <w:rPr>
                <w:sz w:val="21"/>
                <w:szCs w:val="21"/>
                <w:color w:val="auto"/>
              </w:rPr>
            </w:pPr>
          </w:p>
        </w:tc>
        <w:tc>
          <w:tcPr>
            <w:tcW w:w="400" w:type="dxa"/>
            <w:vAlign w:val="bottom"/>
            <w:vMerge w:val="restart"/>
          </w:tcPr>
          <w:p>
            <w:pPr>
              <w:spacing w:after="0"/>
              <w:rPr>
                <w:sz w:val="21"/>
                <w:szCs w:val="21"/>
                <w:color w:val="auto"/>
              </w:rPr>
            </w:pPr>
          </w:p>
        </w:tc>
        <w:tc>
          <w:tcPr>
            <w:tcW w:w="120" w:type="dxa"/>
            <w:vAlign w:val="bottom"/>
            <w:gridSpan w:val="2"/>
            <w:vMerge w:val="restart"/>
          </w:tcPr>
          <w:p>
            <w:pPr>
              <w:spacing w:after="0"/>
              <w:rPr>
                <w:sz w:val="21"/>
                <w:szCs w:val="21"/>
                <w:color w:val="auto"/>
              </w:rPr>
            </w:pPr>
          </w:p>
        </w:tc>
        <w:tc>
          <w:tcPr>
            <w:tcW w:w="60" w:type="dxa"/>
            <w:vAlign w:val="bottom"/>
            <w:vMerge w:val="restart"/>
          </w:tcPr>
          <w:p>
            <w:pPr>
              <w:spacing w:after="0"/>
              <w:rPr>
                <w:sz w:val="21"/>
                <w:szCs w:val="21"/>
                <w:color w:val="auto"/>
              </w:rPr>
            </w:pPr>
          </w:p>
        </w:tc>
        <w:tc>
          <w:tcPr>
            <w:tcW w:w="120" w:type="dxa"/>
            <w:vAlign w:val="bottom"/>
            <w:vMerge w:val="restart"/>
          </w:tcPr>
          <w:p>
            <w:pPr>
              <w:spacing w:after="0"/>
              <w:rPr>
                <w:sz w:val="21"/>
                <w:szCs w:val="21"/>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FF0000"/>
                <w:strike w:val="1"/>
                <w:w w:val="89"/>
              </w:rPr>
              <w:t>72</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FF"/>
                <w:w w:val="89"/>
              </w:rPr>
              <w:t>76</w:t>
            </w:r>
          </w:p>
        </w:tc>
        <w:tc>
          <w:tcPr>
            <w:tcW w:w="1260" w:type="dxa"/>
            <w:vAlign w:val="bottom"/>
            <w:vMerge w:val="restart"/>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3"/>
        </w:trPr>
        <w:tc>
          <w:tcPr>
            <w:tcW w:w="196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00" w:type="dxa"/>
            <w:vAlign w:val="bottom"/>
            <w:vMerge w:val="continue"/>
          </w:tcPr>
          <w:p>
            <w:pPr>
              <w:spacing w:after="0"/>
              <w:rPr>
                <w:sz w:val="5"/>
                <w:szCs w:val="5"/>
                <w:color w:val="auto"/>
              </w:rPr>
            </w:pPr>
          </w:p>
        </w:tc>
        <w:tc>
          <w:tcPr>
            <w:tcW w:w="440" w:type="dxa"/>
            <w:vAlign w:val="bottom"/>
            <w:vMerge w:val="continue"/>
          </w:tcPr>
          <w:p>
            <w:pPr>
              <w:spacing w:after="0"/>
              <w:rPr>
                <w:sz w:val="5"/>
                <w:szCs w:val="5"/>
                <w:color w:val="auto"/>
              </w:rPr>
            </w:pPr>
          </w:p>
        </w:tc>
        <w:tc>
          <w:tcPr>
            <w:tcW w:w="400" w:type="dxa"/>
            <w:vAlign w:val="bottom"/>
            <w:gridSpan w:val="2"/>
            <w:vMerge w:val="continue"/>
          </w:tcPr>
          <w:p>
            <w:pPr>
              <w:spacing w:after="0"/>
              <w:rPr>
                <w:sz w:val="5"/>
                <w:szCs w:val="5"/>
                <w:color w:val="auto"/>
              </w:rPr>
            </w:pPr>
          </w:p>
        </w:tc>
        <w:tc>
          <w:tcPr>
            <w:tcW w:w="300" w:type="dxa"/>
            <w:vAlign w:val="bottom"/>
            <w:gridSpan w:val="2"/>
            <w:vMerge w:val="continue"/>
          </w:tcPr>
          <w:p>
            <w:pPr>
              <w:spacing w:after="0"/>
              <w:rPr>
                <w:sz w:val="5"/>
                <w:szCs w:val="5"/>
                <w:color w:val="auto"/>
              </w:rPr>
            </w:pPr>
          </w:p>
        </w:tc>
        <w:tc>
          <w:tcPr>
            <w:tcW w:w="440" w:type="dxa"/>
            <w:vAlign w:val="bottom"/>
            <w:gridSpan w:val="2"/>
            <w:vMerge w:val="continue"/>
          </w:tcPr>
          <w:p>
            <w:pPr>
              <w:spacing w:after="0"/>
              <w:rPr>
                <w:sz w:val="5"/>
                <w:szCs w:val="5"/>
                <w:color w:val="auto"/>
              </w:rPr>
            </w:pPr>
          </w:p>
        </w:tc>
        <w:tc>
          <w:tcPr>
            <w:tcW w:w="400" w:type="dxa"/>
            <w:vAlign w:val="bottom"/>
            <w:vMerge w:val="continue"/>
          </w:tcPr>
          <w:p>
            <w:pPr>
              <w:spacing w:after="0"/>
              <w:rPr>
                <w:sz w:val="5"/>
                <w:szCs w:val="5"/>
                <w:color w:val="auto"/>
              </w:rPr>
            </w:pPr>
          </w:p>
        </w:tc>
        <w:tc>
          <w:tcPr>
            <w:tcW w:w="120" w:type="dxa"/>
            <w:vAlign w:val="bottom"/>
            <w:gridSpan w:val="2"/>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200" w:type="dxa"/>
            <w:vAlign w:val="bottom"/>
            <w:vMerge w:val="continue"/>
          </w:tcPr>
          <w:p>
            <w:pPr>
              <w:spacing w:after="0"/>
              <w:rPr>
                <w:sz w:val="5"/>
                <w:szCs w:val="5"/>
                <w:color w:val="auto"/>
              </w:rPr>
            </w:pPr>
          </w:p>
        </w:tc>
        <w:tc>
          <w:tcPr>
            <w:tcW w:w="200" w:type="dxa"/>
            <w:vAlign w:val="bottom"/>
            <w:tcBorders>
              <w:bottom w:val="single" w:sz="8" w:color="0000FF"/>
            </w:tcBorders>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196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5.4</w:t>
            </w:r>
          </w:p>
        </w:tc>
        <w:tc>
          <w:tcPr>
            <w:tcW w:w="5540" w:type="dxa"/>
            <w:vAlign w:val="bottom"/>
            <w:gridSpan w:val="18"/>
          </w:tcPr>
          <w:p>
            <w:pPr>
              <w:jc w:val="right"/>
              <w:spacing w:after="0"/>
              <w:rPr>
                <w:sz w:val="20"/>
                <w:szCs w:val="20"/>
                <w:color w:val="auto"/>
              </w:rPr>
            </w:pPr>
            <w:r>
              <w:rPr>
                <w:rFonts w:ascii="Times New Roman" w:cs="Times New Roman" w:eastAsia="Times New Roman" w:hAnsi="Times New Roman"/>
                <w:sz w:val="20"/>
                <w:szCs w:val="20"/>
                <w:color w:val="auto"/>
                <w:w w:val="98"/>
              </w:rPr>
              <w:t>Manner of Payment ..................................................................................</w:t>
            </w:r>
          </w:p>
        </w:tc>
        <w:tc>
          <w:tcPr>
            <w:tcW w:w="160" w:type="dxa"/>
            <w:vAlign w:val="bottom"/>
          </w:tcPr>
          <w:p>
            <w:pPr>
              <w:spacing w:after="0"/>
              <w:rPr>
                <w:sz w:val="21"/>
                <w:szCs w:val="21"/>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9"/>
                <w:szCs w:val="19"/>
                <w:color w:val="FF0000"/>
                <w:strike w:val="1"/>
                <w:w w:val="73"/>
              </w:rPr>
              <w:t>72</w:t>
            </w:r>
          </w:p>
        </w:tc>
        <w:tc>
          <w:tcPr>
            <w:tcW w:w="220" w:type="dxa"/>
            <w:vAlign w:val="bottom"/>
            <w:tcBorders>
              <w:bottom w:val="single" w:sz="8" w:color="0000FF"/>
            </w:tcBorders>
            <w:gridSpan w:val="5"/>
          </w:tcPr>
          <w:p>
            <w:pPr>
              <w:jc w:val="right"/>
              <w:spacing w:after="0"/>
              <w:rPr>
                <w:sz w:val="20"/>
                <w:szCs w:val="20"/>
                <w:color w:val="auto"/>
              </w:rPr>
            </w:pPr>
            <w:r>
              <w:rPr>
                <w:rFonts w:ascii="Times New Roman" w:cs="Times New Roman" w:eastAsia="Times New Roman" w:hAnsi="Times New Roman"/>
                <w:sz w:val="20"/>
                <w:szCs w:val="20"/>
                <w:color w:val="0000FF"/>
                <w:w w:val="99"/>
              </w:rPr>
              <w:t>77</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0"/>
        </w:trPr>
        <w:tc>
          <w:tcPr>
            <w:tcW w:w="196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5.5</w:t>
            </w:r>
          </w:p>
        </w:tc>
        <w:tc>
          <w:tcPr>
            <w:tcW w:w="5540" w:type="dxa"/>
            <w:vAlign w:val="bottom"/>
            <w:gridSpan w:val="18"/>
          </w:tcPr>
          <w:p>
            <w:pPr>
              <w:jc w:val="right"/>
              <w:spacing w:after="0"/>
              <w:rPr>
                <w:sz w:val="20"/>
                <w:szCs w:val="20"/>
                <w:color w:val="auto"/>
              </w:rPr>
            </w:pPr>
            <w:r>
              <w:rPr>
                <w:rFonts w:ascii="Times New Roman" w:cs="Times New Roman" w:eastAsia="Times New Roman" w:hAnsi="Times New Roman"/>
                <w:sz w:val="20"/>
                <w:szCs w:val="20"/>
                <w:color w:val="auto"/>
                <w:w w:val="98"/>
              </w:rPr>
              <w:t>Evidence of Indebtedness.........................................................................</w:t>
            </w:r>
          </w:p>
        </w:tc>
        <w:tc>
          <w:tcPr>
            <w:tcW w:w="16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FF0000"/>
                <w:strike w:val="1"/>
                <w:w w:val="89"/>
              </w:rPr>
              <w:t>73</w:t>
            </w:r>
          </w:p>
        </w:tc>
        <w:tc>
          <w:tcPr>
            <w:tcW w:w="200" w:type="dxa"/>
            <w:vAlign w:val="bottom"/>
            <w:tcBorders>
              <w:bottom w:val="single" w:sz="8" w:color="0000FF"/>
            </w:tcBorders>
            <w:gridSpan w:val="4"/>
          </w:tcPr>
          <w:p>
            <w:pPr>
              <w:jc w:val="right"/>
              <w:spacing w:after="0"/>
              <w:rPr>
                <w:sz w:val="20"/>
                <w:szCs w:val="20"/>
                <w:color w:val="auto"/>
              </w:rPr>
            </w:pPr>
            <w:r>
              <w:rPr>
                <w:rFonts w:ascii="Times New Roman" w:cs="Times New Roman" w:eastAsia="Times New Roman" w:hAnsi="Times New Roman"/>
                <w:sz w:val="20"/>
                <w:szCs w:val="20"/>
                <w:color w:val="0000FF"/>
                <w:w w:val="79"/>
              </w:rPr>
              <w:t>77</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96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5.6</w:t>
            </w:r>
          </w:p>
        </w:tc>
        <w:tc>
          <w:tcPr>
            <w:tcW w:w="5540" w:type="dxa"/>
            <w:vAlign w:val="bottom"/>
            <w:gridSpan w:val="18"/>
          </w:tcPr>
          <w:p>
            <w:pPr>
              <w:jc w:val="right"/>
              <w:spacing w:after="0"/>
              <w:rPr>
                <w:sz w:val="20"/>
                <w:szCs w:val="20"/>
                <w:color w:val="auto"/>
              </w:rPr>
            </w:pPr>
            <w:r>
              <w:rPr>
                <w:rFonts w:ascii="Times New Roman" w:cs="Times New Roman" w:eastAsia="Times New Roman" w:hAnsi="Times New Roman"/>
                <w:sz w:val="20"/>
                <w:szCs w:val="20"/>
                <w:color w:val="auto"/>
                <w:w w:val="98"/>
              </w:rPr>
              <w:t>Sharing of Payments by Lenders..............................................................</w:t>
            </w:r>
          </w:p>
        </w:tc>
        <w:tc>
          <w:tcPr>
            <w:tcW w:w="160" w:type="dxa"/>
            <w:vAlign w:val="bottom"/>
          </w:tcPr>
          <w:p>
            <w:pPr>
              <w:spacing w:after="0"/>
              <w:rPr>
                <w:sz w:val="24"/>
                <w:szCs w:val="24"/>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20"/>
                <w:szCs w:val="20"/>
                <w:color w:val="FF0000"/>
                <w:strike w:val="1"/>
                <w:w w:val="79"/>
              </w:rPr>
              <w:t>73</w:t>
            </w:r>
          </w:p>
        </w:tc>
        <w:tc>
          <w:tcPr>
            <w:tcW w:w="200" w:type="dxa"/>
            <w:vAlign w:val="bottom"/>
            <w:tcBorders>
              <w:bottom w:val="single" w:sz="8" w:color="0000FF"/>
            </w:tcBorders>
            <w:gridSpan w:val="4"/>
          </w:tcPr>
          <w:p>
            <w:pPr>
              <w:jc w:val="right"/>
              <w:spacing w:after="0"/>
              <w:rPr>
                <w:sz w:val="20"/>
                <w:szCs w:val="20"/>
                <w:color w:val="auto"/>
              </w:rPr>
            </w:pPr>
            <w:r>
              <w:rPr>
                <w:rFonts w:ascii="Times New Roman" w:cs="Times New Roman" w:eastAsia="Times New Roman" w:hAnsi="Times New Roman"/>
                <w:sz w:val="20"/>
                <w:szCs w:val="20"/>
                <w:color w:val="0000FF"/>
                <w:w w:val="89"/>
              </w:rPr>
              <w:t>78</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196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5.7</w:t>
            </w:r>
          </w:p>
        </w:tc>
        <w:tc>
          <w:tcPr>
            <w:tcW w:w="5540" w:type="dxa"/>
            <w:vAlign w:val="bottom"/>
            <w:gridSpan w:val="18"/>
          </w:tcPr>
          <w:p>
            <w:pPr>
              <w:jc w:val="right"/>
              <w:spacing w:after="0"/>
              <w:rPr>
                <w:sz w:val="20"/>
                <w:szCs w:val="20"/>
                <w:color w:val="auto"/>
              </w:rPr>
            </w:pPr>
            <w:r>
              <w:rPr>
                <w:rFonts w:ascii="Times New Roman" w:cs="Times New Roman" w:eastAsia="Times New Roman" w:hAnsi="Times New Roman"/>
                <w:sz w:val="20"/>
                <w:szCs w:val="20"/>
                <w:color w:val="auto"/>
                <w:w w:val="98"/>
              </w:rPr>
              <w:t>Administrative Agent’s Clawback ...........................................................</w:t>
            </w:r>
          </w:p>
        </w:tc>
        <w:tc>
          <w:tcPr>
            <w:tcW w:w="160" w:type="dxa"/>
            <w:vAlign w:val="bottom"/>
          </w:tcPr>
          <w:p>
            <w:pPr>
              <w:spacing w:after="0"/>
              <w:rPr>
                <w:sz w:val="24"/>
                <w:szCs w:val="24"/>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20"/>
                <w:szCs w:val="20"/>
                <w:color w:val="FF0000"/>
                <w:strike w:val="1"/>
                <w:w w:val="79"/>
              </w:rPr>
              <w:t>74</w:t>
            </w:r>
          </w:p>
        </w:tc>
        <w:tc>
          <w:tcPr>
            <w:tcW w:w="200" w:type="dxa"/>
            <w:vAlign w:val="bottom"/>
            <w:tcBorders>
              <w:bottom w:val="single" w:sz="8" w:color="0000FF"/>
            </w:tcBorders>
            <w:gridSpan w:val="4"/>
          </w:tcPr>
          <w:p>
            <w:pPr>
              <w:jc w:val="right"/>
              <w:spacing w:after="0"/>
              <w:rPr>
                <w:sz w:val="20"/>
                <w:szCs w:val="20"/>
                <w:color w:val="auto"/>
              </w:rPr>
            </w:pPr>
            <w:r>
              <w:rPr>
                <w:rFonts w:ascii="Times New Roman" w:cs="Times New Roman" w:eastAsia="Times New Roman" w:hAnsi="Times New Roman"/>
                <w:sz w:val="20"/>
                <w:szCs w:val="20"/>
                <w:color w:val="0000FF"/>
                <w:w w:val="89"/>
              </w:rPr>
              <w:t>78</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96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5.8</w:t>
            </w:r>
          </w:p>
        </w:tc>
        <w:tc>
          <w:tcPr>
            <w:tcW w:w="5540" w:type="dxa"/>
            <w:vAlign w:val="bottom"/>
            <w:gridSpan w:val="18"/>
          </w:tcPr>
          <w:p>
            <w:pPr>
              <w:jc w:val="right"/>
              <w:spacing w:after="0"/>
              <w:rPr>
                <w:sz w:val="20"/>
                <w:szCs w:val="20"/>
                <w:color w:val="auto"/>
              </w:rPr>
            </w:pPr>
            <w:r>
              <w:rPr>
                <w:rFonts w:ascii="Times New Roman" w:cs="Times New Roman" w:eastAsia="Times New Roman" w:hAnsi="Times New Roman"/>
                <w:sz w:val="20"/>
                <w:szCs w:val="20"/>
                <w:color w:val="auto"/>
                <w:w w:val="98"/>
              </w:rPr>
              <w:t>Changed Circumstances ...........................................................................</w:t>
            </w:r>
          </w:p>
        </w:tc>
        <w:tc>
          <w:tcPr>
            <w:tcW w:w="160" w:type="dxa"/>
            <w:vAlign w:val="bottom"/>
          </w:tcPr>
          <w:p>
            <w:pPr>
              <w:spacing w:after="0"/>
              <w:rPr>
                <w:sz w:val="24"/>
                <w:szCs w:val="24"/>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9"/>
                <w:szCs w:val="19"/>
                <w:color w:val="FF0000"/>
                <w:strike w:val="1"/>
                <w:w w:val="73"/>
              </w:rPr>
              <w:t>75</w:t>
            </w:r>
          </w:p>
        </w:tc>
        <w:tc>
          <w:tcPr>
            <w:tcW w:w="220" w:type="dxa"/>
            <w:vAlign w:val="bottom"/>
            <w:tcBorders>
              <w:bottom w:val="single" w:sz="8" w:color="0000FF"/>
            </w:tcBorders>
            <w:gridSpan w:val="5"/>
          </w:tcPr>
          <w:p>
            <w:pPr>
              <w:jc w:val="right"/>
              <w:spacing w:after="0"/>
              <w:rPr>
                <w:sz w:val="20"/>
                <w:szCs w:val="20"/>
                <w:color w:val="auto"/>
              </w:rPr>
            </w:pPr>
            <w:r>
              <w:rPr>
                <w:rFonts w:ascii="Times New Roman" w:cs="Times New Roman" w:eastAsia="Times New Roman" w:hAnsi="Times New Roman"/>
                <w:sz w:val="20"/>
                <w:szCs w:val="20"/>
                <w:color w:val="0000FF"/>
                <w:w w:val="99"/>
              </w:rPr>
              <w:t>79</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196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5.9</w:t>
            </w:r>
          </w:p>
        </w:tc>
        <w:tc>
          <w:tcPr>
            <w:tcW w:w="5540" w:type="dxa"/>
            <w:vAlign w:val="bottom"/>
            <w:gridSpan w:val="18"/>
          </w:tcPr>
          <w:p>
            <w:pPr>
              <w:jc w:val="right"/>
              <w:spacing w:after="0"/>
              <w:rPr>
                <w:sz w:val="20"/>
                <w:szCs w:val="20"/>
                <w:color w:val="auto"/>
              </w:rPr>
            </w:pPr>
            <w:r>
              <w:rPr>
                <w:rFonts w:ascii="Times New Roman" w:cs="Times New Roman" w:eastAsia="Times New Roman" w:hAnsi="Times New Roman"/>
                <w:sz w:val="20"/>
                <w:szCs w:val="20"/>
                <w:color w:val="auto"/>
                <w:w w:val="98"/>
              </w:rPr>
              <w:t>Indemnity .................................................................................................</w:t>
            </w:r>
          </w:p>
        </w:tc>
        <w:tc>
          <w:tcPr>
            <w:tcW w:w="160" w:type="dxa"/>
            <w:vAlign w:val="bottom"/>
          </w:tcPr>
          <w:p>
            <w:pPr>
              <w:spacing w:after="0"/>
              <w:rPr>
                <w:sz w:val="24"/>
                <w:szCs w:val="24"/>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20"/>
                <w:szCs w:val="20"/>
                <w:color w:val="FF0000"/>
                <w:strike w:val="1"/>
                <w:w w:val="79"/>
              </w:rPr>
              <w:t>79</w:t>
            </w:r>
          </w:p>
        </w:tc>
        <w:tc>
          <w:tcPr>
            <w:tcW w:w="200" w:type="dxa"/>
            <w:vAlign w:val="bottom"/>
            <w:tcBorders>
              <w:bottom w:val="single" w:sz="8" w:color="0000FF"/>
            </w:tcBorders>
            <w:gridSpan w:val="4"/>
          </w:tcPr>
          <w:p>
            <w:pPr>
              <w:jc w:val="right"/>
              <w:spacing w:after="0"/>
              <w:rPr>
                <w:sz w:val="20"/>
                <w:szCs w:val="20"/>
                <w:color w:val="auto"/>
              </w:rPr>
            </w:pPr>
            <w:r>
              <w:rPr>
                <w:rFonts w:ascii="Times New Roman" w:cs="Times New Roman" w:eastAsia="Times New Roman" w:hAnsi="Times New Roman"/>
                <w:sz w:val="20"/>
                <w:szCs w:val="20"/>
                <w:color w:val="0000FF"/>
                <w:w w:val="89"/>
              </w:rPr>
              <w:t>84</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196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5.10</w:t>
            </w:r>
          </w:p>
        </w:tc>
        <w:tc>
          <w:tcPr>
            <w:tcW w:w="5540" w:type="dxa"/>
            <w:vAlign w:val="bottom"/>
            <w:gridSpan w:val="18"/>
          </w:tcPr>
          <w:p>
            <w:pPr>
              <w:jc w:val="right"/>
              <w:spacing w:after="0"/>
              <w:rPr>
                <w:sz w:val="20"/>
                <w:szCs w:val="20"/>
                <w:color w:val="auto"/>
              </w:rPr>
            </w:pPr>
            <w:r>
              <w:rPr>
                <w:rFonts w:ascii="Times New Roman" w:cs="Times New Roman" w:eastAsia="Times New Roman" w:hAnsi="Times New Roman"/>
                <w:sz w:val="20"/>
                <w:szCs w:val="20"/>
                <w:color w:val="auto"/>
                <w:w w:val="99"/>
              </w:rPr>
              <w:t>Increased Costs.........................................................................................</w:t>
            </w:r>
          </w:p>
        </w:tc>
        <w:tc>
          <w:tcPr>
            <w:tcW w:w="160" w:type="dxa"/>
            <w:vAlign w:val="bottom"/>
          </w:tcPr>
          <w:p>
            <w:pPr>
              <w:spacing w:after="0"/>
              <w:rPr>
                <w:sz w:val="24"/>
                <w:szCs w:val="24"/>
                <w:color w:val="auto"/>
              </w:rPr>
            </w:pPr>
          </w:p>
        </w:tc>
        <w:tc>
          <w:tcPr>
            <w:tcW w:w="32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FF0000"/>
                <w:strike w:val="1"/>
                <w:w w:val="89"/>
              </w:rPr>
              <w:t>79</w:t>
            </w:r>
          </w:p>
        </w:tc>
        <w:tc>
          <w:tcPr>
            <w:tcW w:w="2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20"/>
                <w:szCs w:val="20"/>
                <w:color w:val="0000FF"/>
                <w:w w:val="89"/>
              </w:rPr>
              <w:t>85</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960" w:type="dxa"/>
            <w:vAlign w:val="bottom"/>
            <w:vMerge w:val="restart"/>
          </w:tcPr>
          <w:p>
            <w:pPr>
              <w:ind w:left="640"/>
              <w:spacing w:after="0"/>
              <w:rPr>
                <w:sz w:val="20"/>
                <w:szCs w:val="20"/>
                <w:color w:val="auto"/>
              </w:rPr>
            </w:pPr>
            <w:r>
              <w:rPr>
                <w:rFonts w:ascii="Times New Roman" w:cs="Times New Roman" w:eastAsia="Times New Roman" w:hAnsi="Times New Roman"/>
                <w:sz w:val="20"/>
                <w:szCs w:val="20"/>
                <w:color w:val="auto"/>
              </w:rPr>
              <w:t>SECTION 5.11</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6"/>
              </w:rPr>
              <w:t>Taxes</w:t>
            </w:r>
          </w:p>
        </w:tc>
        <w:tc>
          <w:tcPr>
            <w:tcW w:w="700" w:type="dxa"/>
            <w:vAlign w:val="bottom"/>
          </w:tcPr>
          <w:p>
            <w:pPr>
              <w:jc w:val="right"/>
              <w:spacing w:after="0"/>
              <w:rPr>
                <w:sz w:val="20"/>
                <w:szCs w:val="20"/>
                <w:color w:val="auto"/>
              </w:rPr>
            </w:pPr>
            <w:r>
              <w:rPr>
                <w:rFonts w:ascii="Times New Roman" w:cs="Times New Roman" w:eastAsia="Times New Roman" w:hAnsi="Times New Roman"/>
                <w:sz w:val="3"/>
                <w:szCs w:val="3"/>
                <w:color w:val="auto"/>
                <w:w w:val="87"/>
              </w:rPr>
              <w:t>........................................................................................................</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vMerge w:val="restart"/>
          </w:tcPr>
          <w:p>
            <w:pPr>
              <w:spacing w:after="0"/>
              <w:rPr>
                <w:sz w:val="18"/>
                <w:szCs w:val="18"/>
                <w:color w:val="auto"/>
              </w:rPr>
            </w:pPr>
          </w:p>
        </w:tc>
        <w:tc>
          <w:tcPr>
            <w:tcW w:w="300" w:type="dxa"/>
            <w:vAlign w:val="bottom"/>
            <w:gridSpan w:val="2"/>
            <w:vMerge w:val="restart"/>
          </w:tcPr>
          <w:p>
            <w:pPr>
              <w:ind w:left="100"/>
              <w:spacing w:after="0"/>
              <w:rPr>
                <w:sz w:val="20"/>
                <w:szCs w:val="20"/>
                <w:color w:val="auto"/>
              </w:rPr>
            </w:pPr>
            <w:r>
              <w:rPr>
                <w:rFonts w:ascii="Times New Roman" w:cs="Times New Roman" w:eastAsia="Times New Roman" w:hAnsi="Times New Roman"/>
                <w:sz w:val="20"/>
                <w:szCs w:val="20"/>
                <w:color w:val="FF0000"/>
                <w:strike w:val="1"/>
                <w:w w:val="89"/>
              </w:rPr>
              <w:t>81</w:t>
            </w:r>
          </w:p>
        </w:tc>
        <w:tc>
          <w:tcPr>
            <w:tcW w:w="200" w:type="dxa"/>
            <w:vAlign w:val="bottom"/>
            <w:gridSpan w:val="6"/>
            <w:vMerge w:val="restart"/>
          </w:tcPr>
          <w:p>
            <w:pPr>
              <w:jc w:val="right"/>
              <w:spacing w:after="0"/>
              <w:rPr>
                <w:sz w:val="20"/>
                <w:szCs w:val="20"/>
                <w:color w:val="auto"/>
              </w:rPr>
            </w:pPr>
            <w:r>
              <w:rPr>
                <w:rFonts w:ascii="Times New Roman" w:cs="Times New Roman" w:eastAsia="Times New Roman" w:hAnsi="Times New Roman"/>
                <w:sz w:val="20"/>
                <w:szCs w:val="20"/>
                <w:color w:val="0000FF"/>
                <w:w w:val="89"/>
              </w:rPr>
              <w:t>86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196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300" w:type="dxa"/>
            <w:vAlign w:val="bottom"/>
            <w:gridSpan w:val="2"/>
            <w:vMerge w:val="continue"/>
          </w:tcPr>
          <w:p>
            <w:pPr>
              <w:spacing w:after="0"/>
              <w:rPr>
                <w:sz w:val="5"/>
                <w:szCs w:val="5"/>
                <w:color w:val="auto"/>
              </w:rPr>
            </w:pPr>
          </w:p>
        </w:tc>
        <w:tc>
          <w:tcPr>
            <w:tcW w:w="200" w:type="dxa"/>
            <w:vAlign w:val="bottom"/>
            <w:tcBorders>
              <w:bottom w:val="single" w:sz="8" w:color="0000FF"/>
            </w:tcBorders>
            <w:gridSpan w:val="6"/>
            <w:vMerge w:val="continue"/>
          </w:tcPr>
          <w:p>
            <w:pPr>
              <w:spacing w:after="0"/>
              <w:rPr>
                <w:sz w:val="5"/>
                <w:szCs w:val="5"/>
                <w:color w:val="auto"/>
              </w:rPr>
            </w:pPr>
          </w:p>
        </w:tc>
        <w:tc>
          <w:tcPr>
            <w:tcW w:w="20" w:type="dxa"/>
            <w:vAlign w:val="bottom"/>
            <w:tcBorders>
              <w:bottom w:val="single" w:sz="8" w:color="0000FF"/>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196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5.12</w:t>
            </w:r>
          </w:p>
        </w:tc>
        <w:tc>
          <w:tcPr>
            <w:tcW w:w="5540" w:type="dxa"/>
            <w:vAlign w:val="bottom"/>
            <w:gridSpan w:val="18"/>
          </w:tcPr>
          <w:p>
            <w:pPr>
              <w:jc w:val="right"/>
              <w:spacing w:after="0"/>
              <w:rPr>
                <w:sz w:val="20"/>
                <w:szCs w:val="20"/>
                <w:color w:val="auto"/>
              </w:rPr>
            </w:pPr>
            <w:r>
              <w:rPr>
                <w:rFonts w:ascii="Times New Roman" w:cs="Times New Roman" w:eastAsia="Times New Roman" w:hAnsi="Times New Roman"/>
                <w:sz w:val="20"/>
                <w:szCs w:val="20"/>
                <w:color w:val="auto"/>
                <w:w w:val="99"/>
              </w:rPr>
              <w:t>Mitigation Obligations; Replacement of Lenders ...................................</w:t>
            </w:r>
          </w:p>
        </w:tc>
        <w:tc>
          <w:tcPr>
            <w:tcW w:w="160" w:type="dxa"/>
            <w:vAlign w:val="bottom"/>
          </w:tcPr>
          <w:p>
            <w:pPr>
              <w:spacing w:after="0"/>
              <w:rPr>
                <w:sz w:val="24"/>
                <w:szCs w:val="24"/>
                <w:color w:val="auto"/>
              </w:rPr>
            </w:pPr>
          </w:p>
        </w:tc>
        <w:tc>
          <w:tcPr>
            <w:tcW w:w="220" w:type="dxa"/>
            <w:vAlign w:val="bottom"/>
          </w:tcPr>
          <w:p>
            <w:pPr>
              <w:ind w:left="100"/>
              <w:spacing w:after="0"/>
              <w:rPr>
                <w:sz w:val="20"/>
                <w:szCs w:val="20"/>
                <w:color w:val="auto"/>
              </w:rPr>
            </w:pPr>
            <w:r>
              <w:rPr>
                <w:rFonts w:ascii="Times New Roman" w:cs="Times New Roman" w:eastAsia="Times New Roman" w:hAnsi="Times New Roman"/>
                <w:sz w:val="11"/>
                <w:szCs w:val="11"/>
                <w:color w:val="FF0000"/>
                <w:strike w:val="1"/>
                <w:w w:val="72"/>
              </w:rPr>
              <w:t>84</w:t>
            </w:r>
          </w:p>
        </w:tc>
        <w:tc>
          <w:tcPr>
            <w:tcW w:w="1600" w:type="dxa"/>
            <w:vAlign w:val="bottom"/>
            <w:gridSpan w:val="12"/>
          </w:tcPr>
          <w:p>
            <w:pPr>
              <w:ind w:left="60"/>
              <w:spacing w:after="0"/>
              <w:rPr>
                <w:sz w:val="20"/>
                <w:szCs w:val="20"/>
                <w:color w:val="auto"/>
              </w:rPr>
            </w:pPr>
            <w:r>
              <w:rPr>
                <w:rFonts w:ascii="Times New Roman" w:cs="Times New Roman" w:eastAsia="Times New Roman" w:hAnsi="Times New Roman"/>
                <w:sz w:val="20"/>
                <w:szCs w:val="20"/>
                <w:color w:val="0000FF"/>
              </w:rPr>
              <w:t xml:space="preserve">89 </w:t>
            </w:r>
            <w:r>
              <w:rPr>
                <w:rFonts w:ascii="Times New Roman" w:cs="Times New Roman" w:eastAsia="Times New Roman" w:hAnsi="Times New Roman"/>
                <w:sz w:val="20"/>
                <w:szCs w:val="20"/>
                <w:color w:val="000000"/>
              </w:rPr>
              <w:t>SECTION 5.13</w:t>
            </w:r>
          </w:p>
        </w:tc>
        <w:tc>
          <w:tcPr>
            <w:tcW w:w="1560" w:type="dxa"/>
            <w:vAlign w:val="bottom"/>
            <w:gridSpan w:val="3"/>
          </w:tcPr>
          <w:p>
            <w:pPr>
              <w:jc w:val="right"/>
              <w:ind w:right="361"/>
              <w:spacing w:after="0"/>
              <w:rPr>
                <w:sz w:val="20"/>
                <w:szCs w:val="20"/>
                <w:color w:val="auto"/>
              </w:rPr>
            </w:pPr>
            <w:r>
              <w:rPr>
                <w:rFonts w:ascii="Times New Roman" w:cs="Times New Roman" w:eastAsia="Times New Roman" w:hAnsi="Times New Roman"/>
                <w:sz w:val="20"/>
                <w:szCs w:val="20"/>
                <w:color w:val="auto"/>
              </w:rPr>
              <w:t>Incremental</w:t>
            </w:r>
          </w:p>
        </w:tc>
        <w:tc>
          <w:tcPr>
            <w:tcW w:w="0" w:type="dxa"/>
            <w:vAlign w:val="bottom"/>
          </w:tcPr>
          <w:p>
            <w:pPr>
              <w:spacing w:after="0"/>
              <w:rPr>
                <w:sz w:val="1"/>
                <w:szCs w:val="1"/>
                <w:color w:val="auto"/>
              </w:rPr>
            </w:pPr>
          </w:p>
        </w:tc>
      </w:tr>
      <w:tr>
        <w:trPr>
          <w:trHeight w:val="318"/>
        </w:trPr>
        <w:tc>
          <w:tcPr>
            <w:tcW w:w="1960" w:type="dxa"/>
            <w:vAlign w:val="bottom"/>
          </w:tcPr>
          <w:p>
            <w:pPr>
              <w:ind w:left="640"/>
              <w:spacing w:after="0"/>
              <w:rPr>
                <w:sz w:val="20"/>
                <w:szCs w:val="20"/>
                <w:color w:val="auto"/>
              </w:rPr>
            </w:pPr>
            <w:r>
              <w:rPr>
                <w:rFonts w:ascii="Times New Roman" w:cs="Times New Roman" w:eastAsia="Times New Roman" w:hAnsi="Times New Roman"/>
                <w:sz w:val="7"/>
                <w:szCs w:val="7"/>
                <w:color w:val="auto"/>
                <w:w w:val="79"/>
              </w:rPr>
              <w:t>Loans ...................................................................................</w:t>
            </w: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gridSpan w:val="2"/>
          </w:tcPr>
          <w:p>
            <w:pPr>
              <w:spacing w:after="0"/>
              <w:rPr>
                <w:sz w:val="24"/>
                <w:szCs w:val="24"/>
                <w:color w:val="auto"/>
              </w:rPr>
            </w:pPr>
          </w:p>
        </w:tc>
        <w:tc>
          <w:tcPr>
            <w:tcW w:w="300" w:type="dxa"/>
            <w:vAlign w:val="bottom"/>
            <w:gridSpan w:val="2"/>
          </w:tcPr>
          <w:p>
            <w:pPr>
              <w:spacing w:after="0"/>
              <w:rPr>
                <w:sz w:val="24"/>
                <w:szCs w:val="24"/>
                <w:color w:val="auto"/>
              </w:rPr>
            </w:pPr>
          </w:p>
        </w:tc>
        <w:tc>
          <w:tcPr>
            <w:tcW w:w="440" w:type="dxa"/>
            <w:vAlign w:val="bottom"/>
            <w:gridSpan w:val="2"/>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FF0000"/>
                <w:strike w:val="1"/>
              </w:rPr>
              <w:t>85</w:t>
            </w:r>
          </w:p>
        </w:tc>
        <w:tc>
          <w:tcPr>
            <w:tcW w:w="18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20"/>
                <w:szCs w:val="20"/>
                <w:color w:val="0000FF"/>
                <w:w w:val="79"/>
              </w:rPr>
              <w:t>91</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96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5.14</w:t>
            </w:r>
          </w:p>
        </w:tc>
        <w:tc>
          <w:tcPr>
            <w:tcW w:w="5540" w:type="dxa"/>
            <w:vAlign w:val="bottom"/>
            <w:gridSpan w:val="18"/>
          </w:tcPr>
          <w:p>
            <w:pPr>
              <w:jc w:val="right"/>
              <w:spacing w:after="0"/>
              <w:rPr>
                <w:sz w:val="20"/>
                <w:szCs w:val="20"/>
                <w:color w:val="auto"/>
              </w:rPr>
            </w:pPr>
            <w:r>
              <w:rPr>
                <w:rFonts w:ascii="Times New Roman" w:cs="Times New Roman" w:eastAsia="Times New Roman" w:hAnsi="Times New Roman"/>
                <w:sz w:val="20"/>
                <w:szCs w:val="20"/>
                <w:color w:val="auto"/>
                <w:w w:val="98"/>
              </w:rPr>
              <w:t>Cash Collateral .........................................................................................</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gridSpan w:val="3"/>
          </w:tcPr>
          <w:p>
            <w:pPr>
              <w:spacing w:after="0"/>
              <w:rPr>
                <w:sz w:val="20"/>
                <w:szCs w:val="20"/>
                <w:color w:val="auto"/>
              </w:rPr>
            </w:pPr>
            <w:r>
              <w:rPr>
                <w:rFonts w:ascii="Times New Roman" w:cs="Times New Roman" w:eastAsia="Times New Roman" w:hAnsi="Times New Roman"/>
                <w:sz w:val="16"/>
                <w:szCs w:val="16"/>
                <w:color w:val="FF0000"/>
                <w:strike w:val="1"/>
                <w:w w:val="74"/>
              </w:rPr>
              <w:t>89</w:t>
            </w:r>
          </w:p>
        </w:tc>
        <w:tc>
          <w:tcPr>
            <w:tcW w:w="1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9"/>
                <w:szCs w:val="19"/>
                <w:color w:val="0000FF"/>
                <w:w w:val="73"/>
              </w:rPr>
              <w:t>94</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0"/>
        </w:trPr>
        <w:tc>
          <w:tcPr>
            <w:tcW w:w="196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5.15</w:t>
            </w:r>
          </w:p>
        </w:tc>
        <w:tc>
          <w:tcPr>
            <w:tcW w:w="5540" w:type="dxa"/>
            <w:vAlign w:val="bottom"/>
            <w:gridSpan w:val="18"/>
          </w:tcPr>
          <w:p>
            <w:pPr>
              <w:jc w:val="right"/>
              <w:spacing w:after="0"/>
              <w:rPr>
                <w:sz w:val="20"/>
                <w:szCs w:val="20"/>
                <w:color w:val="auto"/>
              </w:rPr>
            </w:pPr>
            <w:r>
              <w:rPr>
                <w:rFonts w:ascii="Times New Roman" w:cs="Times New Roman" w:eastAsia="Times New Roman" w:hAnsi="Times New Roman"/>
                <w:sz w:val="20"/>
                <w:szCs w:val="20"/>
                <w:color w:val="auto"/>
                <w:w w:val="99"/>
              </w:rPr>
              <w:t>Defaulting Lenders...................................................................................</w:t>
            </w:r>
          </w:p>
        </w:tc>
        <w:tc>
          <w:tcPr>
            <w:tcW w:w="160" w:type="dxa"/>
            <w:vAlign w:val="bottom"/>
          </w:tcPr>
          <w:p>
            <w:pPr>
              <w:spacing w:after="0"/>
              <w:rPr>
                <w:sz w:val="24"/>
                <w:szCs w:val="24"/>
                <w:color w:val="auto"/>
              </w:rPr>
            </w:pP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FF0000"/>
                <w:strike w:val="1"/>
                <w:w w:val="89"/>
              </w:rPr>
              <w:t>90</w:t>
            </w:r>
          </w:p>
        </w:tc>
        <w:tc>
          <w:tcPr>
            <w:tcW w:w="200" w:type="dxa"/>
            <w:vAlign w:val="bottom"/>
            <w:tcBorders>
              <w:bottom w:val="single" w:sz="8" w:color="0000FF"/>
            </w:tcBorders>
            <w:gridSpan w:val="6"/>
          </w:tcPr>
          <w:p>
            <w:pPr>
              <w:jc w:val="right"/>
              <w:spacing w:after="0"/>
              <w:rPr>
                <w:sz w:val="20"/>
                <w:szCs w:val="20"/>
                <w:color w:val="auto"/>
              </w:rPr>
            </w:pPr>
            <w:r>
              <w:rPr>
                <w:rFonts w:ascii="Times New Roman" w:cs="Times New Roman" w:eastAsia="Times New Roman" w:hAnsi="Times New Roman"/>
                <w:sz w:val="20"/>
                <w:szCs w:val="20"/>
                <w:color w:val="0000FF"/>
                <w:w w:val="89"/>
              </w:rPr>
              <w:t>95</w:t>
            </w:r>
          </w:p>
        </w:tc>
        <w:tc>
          <w:tcPr>
            <w:tcW w:w="20" w:type="dxa"/>
            <w:vAlign w:val="bottom"/>
            <w:tcBorders>
              <w:bottom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96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5.16</w:t>
            </w:r>
          </w:p>
        </w:tc>
        <w:tc>
          <w:tcPr>
            <w:tcW w:w="5540" w:type="dxa"/>
            <w:vAlign w:val="bottom"/>
            <w:gridSpan w:val="18"/>
          </w:tcPr>
          <w:p>
            <w:pPr>
              <w:jc w:val="right"/>
              <w:spacing w:after="0"/>
              <w:rPr>
                <w:sz w:val="20"/>
                <w:szCs w:val="20"/>
                <w:color w:val="auto"/>
              </w:rPr>
            </w:pPr>
            <w:r>
              <w:rPr>
                <w:rFonts w:ascii="Times New Roman" w:cs="Times New Roman" w:eastAsia="Times New Roman" w:hAnsi="Times New Roman"/>
                <w:sz w:val="20"/>
                <w:szCs w:val="20"/>
                <w:color w:val="auto"/>
                <w:w w:val="98"/>
              </w:rPr>
              <w:t>Centuri as Agent for the Borrowers; Nature of Obligations.....................</w:t>
            </w:r>
          </w:p>
        </w:tc>
        <w:tc>
          <w:tcPr>
            <w:tcW w:w="160" w:type="dxa"/>
            <w:vAlign w:val="bottom"/>
          </w:tcPr>
          <w:p>
            <w:pPr>
              <w:spacing w:after="0"/>
              <w:rPr>
                <w:sz w:val="24"/>
                <w:szCs w:val="24"/>
                <w:color w:val="auto"/>
              </w:rPr>
            </w:pPr>
          </w:p>
        </w:tc>
        <w:tc>
          <w:tcPr>
            <w:tcW w:w="32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FF0000"/>
                <w:strike w:val="1"/>
                <w:w w:val="89"/>
              </w:rPr>
              <w:t>92</w:t>
            </w:r>
          </w:p>
        </w:tc>
        <w:tc>
          <w:tcPr>
            <w:tcW w:w="1500" w:type="dxa"/>
            <w:vAlign w:val="bottom"/>
            <w:gridSpan w:val="10"/>
          </w:tcPr>
          <w:p>
            <w:pPr>
              <w:spacing w:after="0"/>
              <w:rPr>
                <w:sz w:val="20"/>
                <w:szCs w:val="20"/>
                <w:color w:val="auto"/>
              </w:rPr>
            </w:pPr>
            <w:r>
              <w:rPr>
                <w:rFonts w:ascii="Times New Roman" w:cs="Times New Roman" w:eastAsia="Times New Roman" w:hAnsi="Times New Roman"/>
                <w:sz w:val="20"/>
                <w:szCs w:val="20"/>
                <w:color w:val="0000FF"/>
                <w:w w:val="99"/>
              </w:rPr>
              <w:t xml:space="preserve">97 </w:t>
            </w:r>
            <w:r>
              <w:rPr>
                <w:rFonts w:ascii="Times New Roman" w:cs="Times New Roman" w:eastAsia="Times New Roman" w:hAnsi="Times New Roman"/>
                <w:sz w:val="20"/>
                <w:szCs w:val="20"/>
                <w:color w:val="000000"/>
                <w:w w:val="99"/>
              </w:rPr>
              <w:t>SECTION 5.17</w:t>
            </w:r>
          </w:p>
        </w:tc>
        <w:tc>
          <w:tcPr>
            <w:tcW w:w="1560" w:type="dxa"/>
            <w:vAlign w:val="bottom"/>
            <w:gridSpan w:val="3"/>
          </w:tcPr>
          <w:p>
            <w:pPr>
              <w:jc w:val="right"/>
              <w:ind w:right="441"/>
              <w:spacing w:after="0"/>
              <w:rPr>
                <w:sz w:val="20"/>
                <w:szCs w:val="20"/>
                <w:color w:val="auto"/>
              </w:rPr>
            </w:pPr>
            <w:r>
              <w:rPr>
                <w:rFonts w:ascii="Times New Roman" w:cs="Times New Roman" w:eastAsia="Times New Roman" w:hAnsi="Times New Roman"/>
                <w:sz w:val="20"/>
                <w:szCs w:val="20"/>
                <w:color w:val="auto"/>
              </w:rPr>
              <w:t>Additional</w:t>
            </w:r>
          </w:p>
        </w:tc>
        <w:tc>
          <w:tcPr>
            <w:tcW w:w="0" w:type="dxa"/>
            <w:vAlign w:val="bottom"/>
          </w:tcPr>
          <w:p>
            <w:pPr>
              <w:spacing w:after="0"/>
              <w:rPr>
                <w:sz w:val="1"/>
                <w:szCs w:val="1"/>
                <w:color w:val="auto"/>
              </w:rPr>
            </w:pPr>
          </w:p>
        </w:tc>
      </w:tr>
      <w:tr>
        <w:trPr>
          <w:trHeight w:val="318"/>
        </w:trPr>
        <w:tc>
          <w:tcPr>
            <w:tcW w:w="1960" w:type="dxa"/>
            <w:vAlign w:val="bottom"/>
          </w:tcPr>
          <w:p>
            <w:pPr>
              <w:ind w:left="640"/>
              <w:spacing w:after="0"/>
              <w:rPr>
                <w:sz w:val="20"/>
                <w:szCs w:val="20"/>
                <w:color w:val="auto"/>
              </w:rPr>
            </w:pPr>
            <w:r>
              <w:rPr>
                <w:rFonts w:ascii="Times New Roman" w:cs="Times New Roman" w:eastAsia="Times New Roman" w:hAnsi="Times New Roman"/>
                <w:sz w:val="7"/>
                <w:szCs w:val="7"/>
                <w:color w:val="auto"/>
                <w:w w:val="77"/>
              </w:rPr>
              <w:t>Borrowers...............................................................................</w:t>
            </w: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gridSpan w:val="2"/>
          </w:tcPr>
          <w:p>
            <w:pPr>
              <w:spacing w:after="0"/>
              <w:rPr>
                <w:sz w:val="24"/>
                <w:szCs w:val="24"/>
                <w:color w:val="auto"/>
              </w:rPr>
            </w:pPr>
          </w:p>
        </w:tc>
        <w:tc>
          <w:tcPr>
            <w:tcW w:w="300" w:type="dxa"/>
            <w:vAlign w:val="bottom"/>
            <w:gridSpan w:val="2"/>
          </w:tcPr>
          <w:p>
            <w:pPr>
              <w:spacing w:after="0"/>
              <w:rPr>
                <w:sz w:val="24"/>
                <w:szCs w:val="24"/>
                <w:color w:val="auto"/>
              </w:rPr>
            </w:pPr>
          </w:p>
        </w:tc>
        <w:tc>
          <w:tcPr>
            <w:tcW w:w="440" w:type="dxa"/>
            <w:vAlign w:val="bottom"/>
            <w:gridSpan w:val="2"/>
          </w:tcPr>
          <w:p>
            <w:pPr>
              <w:spacing w:after="0"/>
              <w:rPr>
                <w:sz w:val="24"/>
                <w:szCs w:val="24"/>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FF0000"/>
                <w:strike w:val="1"/>
              </w:rPr>
              <w:t>92</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20"/>
                <w:szCs w:val="20"/>
                <w:color w:val="0000FF"/>
                <w:w w:val="79"/>
              </w:rPr>
              <w:t>97</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96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5.18</w:t>
            </w:r>
          </w:p>
        </w:tc>
        <w:tc>
          <w:tcPr>
            <w:tcW w:w="5540" w:type="dxa"/>
            <w:vAlign w:val="bottom"/>
            <w:gridSpan w:val="18"/>
          </w:tcPr>
          <w:p>
            <w:pPr>
              <w:jc w:val="right"/>
              <w:spacing w:after="0"/>
              <w:rPr>
                <w:sz w:val="20"/>
                <w:szCs w:val="20"/>
                <w:color w:val="auto"/>
              </w:rPr>
            </w:pPr>
            <w:r>
              <w:rPr>
                <w:rFonts w:ascii="Times New Roman" w:cs="Times New Roman" w:eastAsia="Times New Roman" w:hAnsi="Times New Roman"/>
                <w:sz w:val="20"/>
                <w:szCs w:val="20"/>
                <w:color w:val="auto"/>
                <w:w w:val="99"/>
              </w:rPr>
              <w:t>Refinancing Facilities...............................................................................</w:t>
            </w:r>
          </w:p>
        </w:tc>
        <w:tc>
          <w:tcPr>
            <w:tcW w:w="160" w:type="dxa"/>
            <w:vAlign w:val="bottom"/>
          </w:tcPr>
          <w:p>
            <w:pPr>
              <w:spacing w:after="0"/>
              <w:rPr>
                <w:sz w:val="21"/>
                <w:szCs w:val="21"/>
                <w:color w:val="auto"/>
              </w:rPr>
            </w:pPr>
          </w:p>
        </w:tc>
        <w:tc>
          <w:tcPr>
            <w:tcW w:w="32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FF0000"/>
                <w:strike w:val="1"/>
                <w:w w:val="89"/>
              </w:rPr>
              <w:t>93</w:t>
            </w:r>
          </w:p>
        </w:tc>
        <w:tc>
          <w:tcPr>
            <w:tcW w:w="180" w:type="dxa"/>
            <w:vAlign w:val="bottom"/>
            <w:tcBorders>
              <w:bottom w:val="single" w:sz="8" w:color="0000FF"/>
            </w:tcBorders>
            <w:gridSpan w:val="5"/>
          </w:tcPr>
          <w:p>
            <w:pPr>
              <w:jc w:val="right"/>
              <w:spacing w:after="0"/>
              <w:rPr>
                <w:sz w:val="20"/>
                <w:szCs w:val="20"/>
                <w:color w:val="auto"/>
              </w:rPr>
            </w:pPr>
            <w:r>
              <w:rPr>
                <w:rFonts w:ascii="Times New Roman" w:cs="Times New Roman" w:eastAsia="Times New Roman" w:hAnsi="Times New Roman"/>
                <w:sz w:val="20"/>
                <w:szCs w:val="20"/>
                <w:color w:val="0000FF"/>
                <w:w w:val="79"/>
              </w:rPr>
              <w:t>98</w:t>
            </w:r>
          </w:p>
        </w:tc>
        <w:tc>
          <w:tcPr>
            <w:tcW w:w="20" w:type="dxa"/>
            <w:vAlign w:val="bottom"/>
            <w:tcBorders>
              <w:bottom w:val="single" w:sz="8" w:color="0000FF"/>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196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5.19</w:t>
            </w:r>
          </w:p>
        </w:tc>
        <w:tc>
          <w:tcPr>
            <w:tcW w:w="5540" w:type="dxa"/>
            <w:vAlign w:val="bottom"/>
            <w:gridSpan w:val="18"/>
          </w:tcPr>
          <w:p>
            <w:pPr>
              <w:jc w:val="right"/>
              <w:spacing w:after="0"/>
              <w:rPr>
                <w:sz w:val="20"/>
                <w:szCs w:val="20"/>
                <w:color w:val="auto"/>
              </w:rPr>
            </w:pPr>
            <w:r>
              <w:rPr>
                <w:rFonts w:ascii="Times New Roman" w:cs="Times New Roman" w:eastAsia="Times New Roman" w:hAnsi="Times New Roman"/>
                <w:sz w:val="20"/>
                <w:szCs w:val="20"/>
                <w:color w:val="auto"/>
              </w:rPr>
              <w:t>Amend and Extend Transactions............................................................</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FF0000"/>
                <w:strike w:val="1"/>
              </w:rPr>
              <w:t>96</w:t>
            </w:r>
          </w:p>
        </w:tc>
        <w:tc>
          <w:tcPr>
            <w:tcW w:w="280" w:type="dxa"/>
            <w:vAlign w:val="bottom"/>
            <w:tcBorders>
              <w:bottom w:val="single" w:sz="8" w:color="0000FF"/>
            </w:tcBorders>
            <w:gridSpan w:val="7"/>
          </w:tcPr>
          <w:p>
            <w:pPr>
              <w:jc w:val="right"/>
              <w:spacing w:after="0"/>
              <w:rPr>
                <w:sz w:val="20"/>
                <w:szCs w:val="20"/>
                <w:color w:val="auto"/>
              </w:rPr>
            </w:pPr>
            <w:r>
              <w:rPr>
                <w:rFonts w:ascii="Times New Roman" w:cs="Times New Roman" w:eastAsia="Times New Roman" w:hAnsi="Times New Roman"/>
                <w:sz w:val="20"/>
                <w:szCs w:val="20"/>
                <w:color w:val="0000FF"/>
                <w:w w:val="86"/>
              </w:rPr>
              <w:t>101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1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0" w:type="dxa"/>
            <w:vAlign w:val="bottom"/>
            <w:gridSpan w:val="30"/>
          </w:tcPr>
          <w:p>
            <w:pPr>
              <w:jc w:val="right"/>
              <w:spacing w:after="0"/>
              <w:rPr>
                <w:sz w:val="20"/>
                <w:szCs w:val="20"/>
                <w:color w:val="auto"/>
              </w:rPr>
            </w:pPr>
            <w:r>
              <w:rPr>
                <w:rFonts w:ascii="Times New Roman" w:cs="Times New Roman" w:eastAsia="Times New Roman" w:hAnsi="Times New Roman"/>
                <w:sz w:val="20"/>
                <w:szCs w:val="20"/>
                <w:color w:val="auto"/>
                <w:w w:val="88"/>
              </w:rPr>
              <w:t>ARTICLE VI  CONDITIONS OF CLOSING AND BORROWING ...............................................</w:t>
            </w:r>
          </w:p>
        </w:tc>
        <w:tc>
          <w:tcPr>
            <w:tcW w:w="1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FF0000"/>
                <w:strike w:val="1"/>
              </w:rPr>
              <w:t>97</w:t>
            </w:r>
          </w:p>
        </w:tc>
        <w:tc>
          <w:tcPr>
            <w:tcW w:w="30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20"/>
                <w:szCs w:val="20"/>
                <w:color w:val="0000FF"/>
                <w:w w:val="93"/>
              </w:rPr>
              <w:t>103</w:t>
            </w:r>
          </w:p>
        </w:tc>
        <w:tc>
          <w:tcPr>
            <w:tcW w:w="0" w:type="dxa"/>
            <w:vAlign w:val="bottom"/>
          </w:tcPr>
          <w:p>
            <w:pPr>
              <w:spacing w:after="0"/>
              <w:rPr>
                <w:sz w:val="1"/>
                <w:szCs w:val="1"/>
                <w:color w:val="auto"/>
              </w:rPr>
            </w:pPr>
          </w:p>
        </w:tc>
      </w:tr>
      <w:tr>
        <w:trPr>
          <w:trHeight w:val="358"/>
        </w:trPr>
        <w:tc>
          <w:tcPr>
            <w:tcW w:w="7500" w:type="dxa"/>
            <w:vAlign w:val="bottom"/>
            <w:gridSpan w:val="19"/>
          </w:tcPr>
          <w:p>
            <w:pPr>
              <w:jc w:val="right"/>
              <w:spacing w:after="0"/>
              <w:rPr>
                <w:sz w:val="20"/>
                <w:szCs w:val="20"/>
                <w:color w:val="auto"/>
              </w:rPr>
            </w:pPr>
            <w:r>
              <w:rPr>
                <w:rFonts w:ascii="Times New Roman" w:cs="Times New Roman" w:eastAsia="Times New Roman" w:hAnsi="Times New Roman"/>
                <w:sz w:val="20"/>
                <w:szCs w:val="20"/>
                <w:color w:val="auto"/>
              </w:rPr>
              <w:t>SECTION 6.1  Conditions to Closing and Initial Extensions of Credit.........................</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gridSpan w:val="3"/>
          </w:tcPr>
          <w:p>
            <w:pPr>
              <w:spacing w:after="0"/>
              <w:rPr>
                <w:sz w:val="20"/>
                <w:szCs w:val="20"/>
                <w:color w:val="auto"/>
              </w:rPr>
            </w:pPr>
            <w:r>
              <w:rPr>
                <w:rFonts w:ascii="Times New Roman" w:cs="Times New Roman" w:eastAsia="Times New Roman" w:hAnsi="Times New Roman"/>
                <w:sz w:val="16"/>
                <w:szCs w:val="16"/>
                <w:color w:val="FF0000"/>
                <w:strike w:val="1"/>
                <w:w w:val="74"/>
              </w:rPr>
              <w:t>97</w:t>
            </w:r>
          </w:p>
        </w:tc>
        <w:tc>
          <w:tcPr>
            <w:tcW w:w="1440" w:type="dxa"/>
            <w:vAlign w:val="bottom"/>
            <w:gridSpan w:val="9"/>
          </w:tcPr>
          <w:p>
            <w:pPr>
              <w:spacing w:after="0"/>
              <w:rPr>
                <w:sz w:val="20"/>
                <w:szCs w:val="20"/>
                <w:color w:val="auto"/>
              </w:rPr>
            </w:pPr>
            <w:r>
              <w:rPr>
                <w:rFonts w:ascii="Times New Roman" w:cs="Times New Roman" w:eastAsia="Times New Roman" w:hAnsi="Times New Roman"/>
                <w:sz w:val="20"/>
                <w:szCs w:val="20"/>
                <w:color w:val="0000FF"/>
                <w:w w:val="94"/>
              </w:rPr>
              <w:t xml:space="preserve">103 </w:t>
            </w:r>
            <w:r>
              <w:rPr>
                <w:rFonts w:ascii="Times New Roman" w:cs="Times New Roman" w:eastAsia="Times New Roman" w:hAnsi="Times New Roman"/>
                <w:sz w:val="20"/>
                <w:szCs w:val="20"/>
                <w:color w:val="000000"/>
                <w:w w:val="94"/>
              </w:rPr>
              <w:t>SECTION 6.2</w:t>
            </w: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Conditions to All</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800" w:type="dxa"/>
            <w:vAlign w:val="bottom"/>
            <w:gridSpan w:val="1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right w:val="single" w:sz="8" w:color="0000FF"/>
            </w:tcBorders>
            <w:gridSpan w:val="3"/>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gridSpan w:val="6"/>
            <w:shd w:val="clear" w:color="auto" w:fill="0000FF"/>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7"/>
              </w:rPr>
              <w:t>Extensions of Credit ................................................</w:t>
            </w: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FF0000"/>
                <w:strike w:val="1"/>
              </w:rPr>
              <w:t>101</w:t>
            </w:r>
          </w:p>
        </w:tc>
        <w:tc>
          <w:tcPr>
            <w:tcW w:w="6640" w:type="dxa"/>
            <w:vAlign w:val="bottom"/>
            <w:gridSpan w:val="29"/>
          </w:tcPr>
          <w:p>
            <w:pPr>
              <w:jc w:val="right"/>
              <w:spacing w:after="0"/>
              <w:rPr>
                <w:sz w:val="20"/>
                <w:szCs w:val="20"/>
                <w:color w:val="auto"/>
              </w:rPr>
            </w:pPr>
            <w:r>
              <w:rPr>
                <w:rFonts w:ascii="Times New Roman" w:cs="Times New Roman" w:eastAsia="Times New Roman" w:hAnsi="Times New Roman"/>
                <w:sz w:val="20"/>
                <w:szCs w:val="20"/>
                <w:color w:val="0000FF"/>
                <w:w w:val="97"/>
              </w:rPr>
              <w:t xml:space="preserve">106 </w:t>
            </w:r>
            <w:r>
              <w:rPr>
                <w:rFonts w:ascii="Times New Roman" w:cs="Times New Roman" w:eastAsia="Times New Roman" w:hAnsi="Times New Roman"/>
                <w:sz w:val="20"/>
                <w:szCs w:val="20"/>
                <w:color w:val="000000"/>
                <w:w w:val="97"/>
              </w:rPr>
              <w:t>ARTICLE VII REPRESENTATIONS AND WARRANTIES OF THE CREDIT</w:t>
            </w:r>
          </w:p>
        </w:tc>
        <w:tc>
          <w:tcPr>
            <w:tcW w:w="0" w:type="dxa"/>
            <w:vAlign w:val="bottom"/>
          </w:tcPr>
          <w:p>
            <w:pPr>
              <w:spacing w:after="0"/>
              <w:rPr>
                <w:sz w:val="1"/>
                <w:szCs w:val="1"/>
                <w:color w:val="auto"/>
              </w:rPr>
            </w:pPr>
          </w:p>
        </w:tc>
      </w:tr>
      <w:tr>
        <w:trPr>
          <w:trHeight w:val="20"/>
        </w:trPr>
        <w:tc>
          <w:tcPr>
            <w:tcW w:w="25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800" w:type="dxa"/>
            <w:vAlign w:val="bottom"/>
            <w:gridSpan w:val="1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280" w:type="dxa"/>
            <w:vAlign w:val="bottom"/>
            <w:gridSpan w:val="7"/>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560" w:type="dxa"/>
            <w:vAlign w:val="bottom"/>
            <w:gridSpan w:val="2"/>
          </w:tcPr>
          <w:p>
            <w:pPr>
              <w:jc w:val="center"/>
              <w:ind w:left="1251"/>
              <w:spacing w:after="0"/>
              <w:rPr>
                <w:sz w:val="20"/>
                <w:szCs w:val="20"/>
                <w:color w:val="auto"/>
              </w:rPr>
            </w:pPr>
            <w:r>
              <w:rPr>
                <w:rFonts w:ascii="Times New Roman" w:cs="Times New Roman" w:eastAsia="Times New Roman" w:hAnsi="Times New Roman"/>
                <w:sz w:val="20"/>
                <w:szCs w:val="20"/>
                <w:color w:val="auto"/>
                <w:w w:val="96"/>
              </w:rPr>
              <w:t>PARTIES ........</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FF0000"/>
                <w:strike w:val="1"/>
              </w:rPr>
              <w:t>102</w:t>
            </w:r>
          </w:p>
        </w:tc>
        <w:tc>
          <w:tcPr>
            <w:tcW w:w="6100" w:type="dxa"/>
            <w:vAlign w:val="bottom"/>
            <w:gridSpan w:val="29"/>
          </w:tcPr>
          <w:p>
            <w:pPr>
              <w:jc w:val="right"/>
              <w:spacing w:after="0"/>
              <w:rPr>
                <w:sz w:val="20"/>
                <w:szCs w:val="20"/>
                <w:color w:val="auto"/>
              </w:rPr>
            </w:pPr>
            <w:r>
              <w:rPr>
                <w:rFonts w:ascii="Times New Roman" w:cs="Times New Roman" w:eastAsia="Times New Roman" w:hAnsi="Times New Roman"/>
                <w:sz w:val="20"/>
                <w:szCs w:val="20"/>
                <w:color w:val="0000FF"/>
                <w:w w:val="87"/>
              </w:rPr>
              <w:t xml:space="preserve">107 </w:t>
            </w:r>
            <w:r>
              <w:rPr>
                <w:rFonts w:ascii="Times New Roman" w:cs="Times New Roman" w:eastAsia="Times New Roman" w:hAnsi="Times New Roman"/>
                <w:sz w:val="20"/>
                <w:szCs w:val="20"/>
                <w:color w:val="000000"/>
                <w:w w:val="87"/>
              </w:rPr>
              <w:t>SECTION 7.1  Organization; Power; Qualification......................................................</w:t>
            </w:r>
          </w:p>
        </w:tc>
        <w:tc>
          <w:tcPr>
            <w:tcW w:w="1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FF0000"/>
                <w:strike w:val="1"/>
              </w:rPr>
              <w:t>102</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0000FF"/>
                <w:w w:val="93"/>
              </w:rPr>
              <w:t>107</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500" w:type="dxa"/>
            <w:vAlign w:val="bottom"/>
            <w:gridSpan w:val="1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96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7.2</w:t>
            </w:r>
          </w:p>
        </w:tc>
        <w:tc>
          <w:tcPr>
            <w:tcW w:w="5540" w:type="dxa"/>
            <w:vAlign w:val="bottom"/>
            <w:gridSpan w:val="18"/>
          </w:tcPr>
          <w:p>
            <w:pPr>
              <w:ind w:left="20"/>
              <w:spacing w:after="0"/>
              <w:rPr>
                <w:sz w:val="20"/>
                <w:szCs w:val="20"/>
                <w:color w:val="auto"/>
              </w:rPr>
            </w:pPr>
            <w:r>
              <w:rPr>
                <w:rFonts w:ascii="Times New Roman" w:cs="Times New Roman" w:eastAsia="Times New Roman" w:hAnsi="Times New Roman"/>
                <w:sz w:val="20"/>
                <w:szCs w:val="20"/>
                <w:color w:val="auto"/>
                <w:w w:val="93"/>
              </w:rPr>
              <w:t xml:space="preserve">Ownership ............................................................................................ </w:t>
            </w:r>
            <w:r>
              <w:rPr>
                <w:rFonts w:ascii="Times New Roman" w:cs="Times New Roman" w:eastAsia="Times New Roman" w:hAnsi="Times New Roman"/>
                <w:sz w:val="20"/>
                <w:szCs w:val="20"/>
                <w:color w:val="FF0000"/>
                <w:strike w:val="1"/>
                <w:w w:val="93"/>
              </w:rPr>
              <w:t>102</w:t>
            </w:r>
          </w:p>
        </w:tc>
        <w:tc>
          <w:tcPr>
            <w:tcW w:w="380" w:type="dxa"/>
            <w:vAlign w:val="bottom"/>
            <w:gridSpan w:val="2"/>
          </w:tcPr>
          <w:p>
            <w:pPr>
              <w:spacing w:after="0"/>
              <w:rPr>
                <w:sz w:val="21"/>
                <w:szCs w:val="21"/>
                <w:color w:val="auto"/>
              </w:rPr>
            </w:pPr>
          </w:p>
        </w:tc>
        <w:tc>
          <w:tcPr>
            <w:tcW w:w="220" w:type="dxa"/>
            <w:vAlign w:val="bottom"/>
            <w:gridSpan w:val="5"/>
          </w:tcPr>
          <w:p>
            <w:pPr>
              <w:spacing w:after="0"/>
              <w:rPr>
                <w:sz w:val="20"/>
                <w:szCs w:val="20"/>
                <w:color w:val="auto"/>
              </w:rPr>
            </w:pPr>
            <w:r>
              <w:rPr>
                <w:rFonts w:ascii="Times New Roman" w:cs="Times New Roman" w:eastAsia="Times New Roman" w:hAnsi="Times New Roman"/>
                <w:sz w:val="19"/>
                <w:szCs w:val="19"/>
                <w:color w:val="0000FF"/>
                <w:w w:val="70"/>
              </w:rPr>
              <w:t>107</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ii</w:t>
      </w:r>
    </w:p>
    <w:p>
      <w:pPr>
        <w:spacing w:after="0" w:line="200" w:lineRule="exact"/>
        <w:rPr>
          <w:sz w:val="20"/>
          <w:szCs w:val="20"/>
          <w:color w:val="auto"/>
        </w:rPr>
      </w:pPr>
    </w:p>
    <w:p>
      <w:pPr>
        <w:spacing w:after="0" w:line="3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ectPr>
          <w:pgSz w:w="11900" w:h="16838" w:orient="portrait"/>
          <w:cols w:equalWidth="0" w:num="1">
            <w:col w:w="11100"/>
          </w:cols>
          <w:pgMar w:left="360" w:top="1085"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146960219_6</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100"/>
          </w:cols>
          <w:pgMar w:left="360" w:top="1085" w:right="439" w:bottom="1440" w:gutter="0" w:footer="0" w:header="0"/>
          <w:type w:val="continuous"/>
        </w:sectPr>
      </w:pPr>
    </w:p>
    <w:bookmarkStart w:id="78" w:name="page79"/>
    <w:bookmarkEnd w:id="78"/>
    <w:tbl>
      <w:tblPr>
        <w:tblLayout w:type="fixed"/>
        <w:tblInd w:w="0" w:type="dxa"/>
        <w:tblCellMar>
          <w:top w:w="0" w:type="dxa"/>
          <w:left w:w="0" w:type="dxa"/>
          <w:bottom w:w="0" w:type="dxa"/>
          <w:right w:w="0" w:type="dxa"/>
        </w:tblCellMar>
      </w:tblPr>
      <w:tr>
        <w:trPr>
          <w:trHeight w:val="262"/>
        </w:trPr>
        <w:tc>
          <w:tcPr>
            <w:tcW w:w="280" w:type="dxa"/>
            <w:vAlign w:val="bottom"/>
          </w:tcPr>
          <w:p>
            <w:pPr>
              <w:spacing w:after="0"/>
              <w:rPr>
                <w:sz w:val="22"/>
                <w:szCs w:val="22"/>
                <w:color w:val="auto"/>
              </w:rPr>
            </w:pPr>
          </w:p>
        </w:tc>
        <w:tc>
          <w:tcPr>
            <w:tcW w:w="3880" w:type="dxa"/>
            <w:vAlign w:val="bottom"/>
            <w:gridSpan w:val="4"/>
            <w:vMerge w:val="restart"/>
          </w:tcPr>
          <w:p>
            <w:pPr>
              <w:ind w:left="340"/>
              <w:spacing w:after="0"/>
              <w:rPr>
                <w:sz w:val="20"/>
                <w:szCs w:val="20"/>
                <w:color w:val="auto"/>
              </w:rPr>
            </w:pPr>
            <w:r>
              <w:rPr>
                <w:rFonts w:ascii="Times New Roman" w:cs="Times New Roman" w:eastAsia="Times New Roman" w:hAnsi="Times New Roman"/>
                <w:sz w:val="14"/>
                <w:szCs w:val="14"/>
                <w:color w:val="auto"/>
                <w:w w:val="74"/>
              </w:rPr>
              <w:t>SECTION 7.3 Authorization; Enforceability...............................................................</w:t>
            </w:r>
          </w:p>
        </w:tc>
        <w:tc>
          <w:tcPr>
            <w:tcW w:w="7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20" w:type="dxa"/>
            <w:vAlign w:val="bottom"/>
            <w:gridSpan w:val="5"/>
            <w:vMerge w:val="restart"/>
          </w:tcPr>
          <w:p>
            <w:pPr>
              <w:jc w:val="center"/>
              <w:spacing w:after="0"/>
              <w:rPr>
                <w:sz w:val="20"/>
                <w:szCs w:val="20"/>
                <w:color w:val="auto"/>
              </w:rPr>
            </w:pPr>
            <w:r>
              <w:rPr>
                <w:rFonts w:ascii="Times New Roman" w:cs="Times New Roman" w:eastAsia="Times New Roman" w:hAnsi="Times New Roman"/>
                <w:sz w:val="20"/>
                <w:szCs w:val="20"/>
                <w:color w:val="FF0000"/>
                <w:strike w:val="1"/>
                <w:w w:val="99"/>
              </w:rPr>
              <w:t>102</w:t>
            </w:r>
          </w:p>
        </w:tc>
        <w:tc>
          <w:tcPr>
            <w:tcW w:w="300" w:type="dxa"/>
            <w:vAlign w:val="bottom"/>
            <w:gridSpan w:val="6"/>
            <w:vMerge w:val="restart"/>
          </w:tcPr>
          <w:p>
            <w:pPr>
              <w:jc w:val="right"/>
              <w:spacing w:after="0"/>
              <w:rPr>
                <w:sz w:val="20"/>
                <w:szCs w:val="20"/>
                <w:color w:val="auto"/>
              </w:rPr>
            </w:pPr>
            <w:r>
              <w:rPr>
                <w:rFonts w:ascii="Times New Roman" w:cs="Times New Roman" w:eastAsia="Times New Roman" w:hAnsi="Times New Roman"/>
                <w:sz w:val="20"/>
                <w:szCs w:val="20"/>
                <w:color w:val="0000FF"/>
                <w:w w:val="93"/>
              </w:rPr>
              <w:t>108</w:t>
            </w:r>
          </w:p>
        </w:tc>
        <w:tc>
          <w:tcPr>
            <w:tcW w:w="80" w:type="dxa"/>
            <w:vAlign w:val="bottom"/>
            <w:vMerge w:val="restart"/>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Page</w:t>
            </w:r>
          </w:p>
        </w:tc>
        <w:tc>
          <w:tcPr>
            <w:tcW w:w="0" w:type="dxa"/>
            <w:vAlign w:val="bottom"/>
          </w:tcPr>
          <w:p>
            <w:pPr>
              <w:spacing w:after="0"/>
              <w:rPr>
                <w:sz w:val="1"/>
                <w:szCs w:val="1"/>
                <w:color w:val="auto"/>
              </w:rPr>
            </w:pPr>
          </w:p>
        </w:tc>
      </w:tr>
      <w:tr>
        <w:trPr>
          <w:trHeight w:val="161"/>
        </w:trPr>
        <w:tc>
          <w:tcPr>
            <w:tcW w:w="280" w:type="dxa"/>
            <w:vAlign w:val="bottom"/>
          </w:tcPr>
          <w:p>
            <w:pPr>
              <w:spacing w:after="0"/>
              <w:rPr>
                <w:sz w:val="13"/>
                <w:szCs w:val="13"/>
                <w:color w:val="auto"/>
              </w:rPr>
            </w:pPr>
          </w:p>
        </w:tc>
        <w:tc>
          <w:tcPr>
            <w:tcW w:w="3880" w:type="dxa"/>
            <w:vAlign w:val="bottom"/>
            <w:gridSpan w:val="4"/>
            <w:vMerge w:val="continue"/>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gridSpan w:val="5"/>
            <w:vMerge w:val="continue"/>
          </w:tcPr>
          <w:p>
            <w:pPr>
              <w:spacing w:after="0"/>
              <w:rPr>
                <w:sz w:val="13"/>
                <w:szCs w:val="13"/>
                <w:color w:val="auto"/>
              </w:rPr>
            </w:pPr>
          </w:p>
        </w:tc>
        <w:tc>
          <w:tcPr>
            <w:tcW w:w="300" w:type="dxa"/>
            <w:vAlign w:val="bottom"/>
            <w:tcBorders>
              <w:bottom w:val="single" w:sz="8" w:color="0000FF"/>
            </w:tcBorders>
            <w:gridSpan w:val="6"/>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8"/>
        </w:trPr>
        <w:tc>
          <w:tcPr>
            <w:tcW w:w="280" w:type="dxa"/>
            <w:vAlign w:val="bottom"/>
          </w:tcPr>
          <w:p>
            <w:pPr>
              <w:spacing w:after="0"/>
              <w:rPr>
                <w:sz w:val="23"/>
                <w:szCs w:val="23"/>
                <w:color w:val="auto"/>
              </w:rPr>
            </w:pPr>
          </w:p>
        </w:tc>
        <w:tc>
          <w:tcPr>
            <w:tcW w:w="7880" w:type="dxa"/>
            <w:vAlign w:val="bottom"/>
            <w:gridSpan w:val="35"/>
          </w:tcPr>
          <w:p>
            <w:pPr>
              <w:ind w:left="420"/>
              <w:spacing w:after="0"/>
              <w:rPr>
                <w:sz w:val="20"/>
                <w:szCs w:val="20"/>
                <w:color w:val="auto"/>
              </w:rPr>
            </w:pPr>
            <w:r>
              <w:rPr>
                <w:rFonts w:ascii="Times New Roman" w:cs="Times New Roman" w:eastAsia="Times New Roman" w:hAnsi="Times New Roman"/>
                <w:sz w:val="20"/>
                <w:szCs w:val="20"/>
                <w:color w:val="auto"/>
              </w:rPr>
              <w:t>SECTION 7.4 Compliance of Agreement, Loan Documents and Borrowing with</w:t>
            </w: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2"/>
        </w:trPr>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w w:val="72"/>
              </w:rPr>
              <w:t>Laws, Etc..............................................................................................</w:t>
            </w: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gridSpan w:val="7"/>
          </w:tcPr>
          <w:p>
            <w:pPr>
              <w:spacing w:after="0" w:line="212" w:lineRule="exact"/>
              <w:rPr>
                <w:sz w:val="20"/>
                <w:szCs w:val="20"/>
                <w:color w:val="auto"/>
              </w:rPr>
            </w:pPr>
            <w:r>
              <w:rPr>
                <w:rFonts w:ascii="Times New Roman" w:cs="Times New Roman" w:eastAsia="Times New Roman" w:hAnsi="Times New Roman"/>
                <w:sz w:val="20"/>
                <w:szCs w:val="20"/>
                <w:color w:val="FF0000"/>
                <w:strike w:val="1"/>
                <w:w w:val="99"/>
              </w:rPr>
              <w:t>103</w:t>
            </w:r>
          </w:p>
        </w:tc>
        <w:tc>
          <w:tcPr>
            <w:tcW w:w="300" w:type="dxa"/>
            <w:vAlign w:val="bottom"/>
            <w:gridSpan w:val="4"/>
          </w:tcPr>
          <w:p>
            <w:pPr>
              <w:spacing w:after="0" w:line="212" w:lineRule="exact"/>
              <w:rPr>
                <w:sz w:val="20"/>
                <w:szCs w:val="20"/>
                <w:color w:val="auto"/>
              </w:rPr>
            </w:pPr>
            <w:r>
              <w:rPr>
                <w:rFonts w:ascii="Times New Roman" w:cs="Times New Roman" w:eastAsia="Times New Roman" w:hAnsi="Times New Roman"/>
                <w:sz w:val="20"/>
                <w:szCs w:val="20"/>
                <w:color w:val="0000FF"/>
                <w:w w:val="93"/>
              </w:rPr>
              <w:t>108</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10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280" w:type="dxa"/>
            <w:vAlign w:val="bottom"/>
          </w:tcPr>
          <w:p>
            <w:pPr>
              <w:spacing w:after="0"/>
              <w:rPr>
                <w:sz w:val="24"/>
                <w:szCs w:val="24"/>
                <w:color w:val="auto"/>
              </w:rPr>
            </w:pPr>
          </w:p>
        </w:tc>
        <w:tc>
          <w:tcPr>
            <w:tcW w:w="6700" w:type="dxa"/>
            <w:vAlign w:val="bottom"/>
            <w:gridSpan w:val="17"/>
          </w:tcPr>
          <w:p>
            <w:pPr>
              <w:ind w:left="420"/>
              <w:spacing w:after="0"/>
              <w:rPr>
                <w:sz w:val="20"/>
                <w:szCs w:val="20"/>
                <w:color w:val="auto"/>
              </w:rPr>
            </w:pPr>
            <w:r>
              <w:rPr>
                <w:rFonts w:ascii="Times New Roman" w:cs="Times New Roman" w:eastAsia="Times New Roman" w:hAnsi="Times New Roman"/>
                <w:sz w:val="20"/>
                <w:szCs w:val="20"/>
                <w:color w:val="auto"/>
                <w:w w:val="93"/>
              </w:rPr>
              <w:t>SECTION 7.5 Compliance with Law; Governmental Approvals................................</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gridSpan w:val="7"/>
          </w:tcPr>
          <w:p>
            <w:pPr>
              <w:jc w:val="right"/>
              <w:ind w:right="60"/>
              <w:spacing w:after="0"/>
              <w:rPr>
                <w:sz w:val="20"/>
                <w:szCs w:val="20"/>
                <w:color w:val="auto"/>
              </w:rPr>
            </w:pPr>
            <w:r>
              <w:rPr>
                <w:rFonts w:ascii="Times New Roman" w:cs="Times New Roman" w:eastAsia="Times New Roman" w:hAnsi="Times New Roman"/>
                <w:sz w:val="20"/>
                <w:szCs w:val="20"/>
                <w:color w:val="FF0000"/>
                <w:strike w:val="1"/>
                <w:w w:val="93"/>
              </w:rPr>
              <w:t>103</w:t>
            </w:r>
          </w:p>
        </w:tc>
        <w:tc>
          <w:tcPr>
            <w:tcW w:w="3020" w:type="dxa"/>
            <w:vAlign w:val="bottom"/>
            <w:gridSpan w:val="13"/>
          </w:tcPr>
          <w:p>
            <w:pPr>
              <w:jc w:val="right"/>
              <w:spacing w:after="0"/>
              <w:rPr>
                <w:sz w:val="20"/>
                <w:szCs w:val="20"/>
                <w:color w:val="auto"/>
              </w:rPr>
            </w:pPr>
            <w:r>
              <w:rPr>
                <w:rFonts w:ascii="Times New Roman" w:cs="Times New Roman" w:eastAsia="Times New Roman" w:hAnsi="Times New Roman"/>
                <w:sz w:val="20"/>
                <w:szCs w:val="20"/>
                <w:color w:val="0000FF"/>
              </w:rPr>
              <w:t xml:space="preserve">108 </w:t>
            </w:r>
            <w:r>
              <w:rPr>
                <w:rFonts w:ascii="Times New Roman" w:cs="Times New Roman" w:eastAsia="Times New Roman" w:hAnsi="Times New Roman"/>
                <w:sz w:val="20"/>
                <w:szCs w:val="20"/>
                <w:color w:val="000000"/>
              </w:rPr>
              <w:t>SECTION 7.6 Tax Returns and</w:t>
            </w:r>
          </w:p>
        </w:tc>
        <w:tc>
          <w:tcPr>
            <w:tcW w:w="0" w:type="dxa"/>
            <w:vAlign w:val="bottom"/>
          </w:tcPr>
          <w:p>
            <w:pPr>
              <w:spacing w:after="0"/>
              <w:rPr>
                <w:sz w:val="1"/>
                <w:szCs w:val="1"/>
                <w:color w:val="auto"/>
              </w:rPr>
            </w:pPr>
          </w:p>
        </w:tc>
      </w:tr>
      <w:tr>
        <w:trPr>
          <w:trHeight w:val="318"/>
        </w:trPr>
        <w:tc>
          <w:tcPr>
            <w:tcW w:w="280" w:type="dxa"/>
            <w:vAlign w:val="bottom"/>
          </w:tcPr>
          <w:p>
            <w:pPr>
              <w:spacing w:after="0"/>
              <w:rPr>
                <w:sz w:val="24"/>
                <w:szCs w:val="24"/>
                <w:color w:val="auto"/>
              </w:rPr>
            </w:pPr>
          </w:p>
        </w:tc>
        <w:tc>
          <w:tcPr>
            <w:tcW w:w="1660" w:type="dxa"/>
            <w:vAlign w:val="bottom"/>
            <w:gridSpan w:val="2"/>
          </w:tcPr>
          <w:p>
            <w:pPr>
              <w:ind w:left="420"/>
              <w:spacing w:after="0"/>
              <w:rPr>
                <w:sz w:val="20"/>
                <w:szCs w:val="20"/>
                <w:color w:val="auto"/>
              </w:rPr>
            </w:pPr>
            <w:r>
              <w:rPr>
                <w:rFonts w:ascii="Times New Roman" w:cs="Times New Roman" w:eastAsia="Times New Roman" w:hAnsi="Times New Roman"/>
                <w:sz w:val="8"/>
                <w:szCs w:val="8"/>
                <w:color w:val="auto"/>
                <w:w w:val="73"/>
              </w:rPr>
              <w:t>...................................................................Payments</w:t>
            </w:r>
          </w:p>
        </w:tc>
        <w:tc>
          <w:tcPr>
            <w:tcW w:w="5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FF0000"/>
                <w:strike w:val="1"/>
                <w:w w:val="99"/>
              </w:rPr>
              <w:t>103</w:t>
            </w:r>
          </w:p>
        </w:tc>
        <w:tc>
          <w:tcPr>
            <w:tcW w:w="52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0000FF"/>
                <w:w w:val="93"/>
              </w:rPr>
              <w:t>108</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80" w:type="dxa"/>
            <w:vAlign w:val="bottom"/>
          </w:tcPr>
          <w:p>
            <w:pPr>
              <w:spacing w:after="0"/>
              <w:rPr>
                <w:sz w:val="17"/>
                <w:szCs w:val="17"/>
                <w:color w:val="auto"/>
              </w:rPr>
            </w:pPr>
          </w:p>
        </w:tc>
        <w:tc>
          <w:tcPr>
            <w:tcW w:w="3880" w:type="dxa"/>
            <w:vAlign w:val="bottom"/>
            <w:gridSpan w:val="4"/>
            <w:vMerge w:val="restart"/>
          </w:tcPr>
          <w:p>
            <w:pPr>
              <w:ind w:left="420"/>
              <w:spacing w:after="0"/>
              <w:rPr>
                <w:sz w:val="20"/>
                <w:szCs w:val="20"/>
                <w:color w:val="auto"/>
              </w:rPr>
            </w:pPr>
            <w:r>
              <w:rPr>
                <w:rFonts w:ascii="Times New Roman" w:cs="Times New Roman" w:eastAsia="Times New Roman" w:hAnsi="Times New Roman"/>
                <w:sz w:val="20"/>
                <w:szCs w:val="20"/>
                <w:color w:val="auto"/>
                <w:w w:val="98"/>
              </w:rPr>
              <w:t>SECTION 7.7 Intellectual Property Matters</w:t>
            </w:r>
          </w:p>
        </w:tc>
        <w:tc>
          <w:tcPr>
            <w:tcW w:w="700" w:type="dxa"/>
            <w:vAlign w:val="bottom"/>
          </w:tcPr>
          <w:p>
            <w:pPr>
              <w:jc w:val="right"/>
              <w:spacing w:after="0"/>
              <w:rPr>
                <w:sz w:val="20"/>
                <w:szCs w:val="20"/>
                <w:color w:val="auto"/>
              </w:rPr>
            </w:pPr>
            <w:r>
              <w:rPr>
                <w:rFonts w:ascii="Times New Roman" w:cs="Times New Roman" w:eastAsia="Times New Roman" w:hAnsi="Times New Roman"/>
                <w:sz w:val="5"/>
                <w:szCs w:val="5"/>
                <w:color w:val="auto"/>
                <w:w w:val="84"/>
              </w:rPr>
              <w:t>................................................................</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vMerge w:val="restart"/>
          </w:tcPr>
          <w:p>
            <w:pPr>
              <w:spacing w:after="0"/>
              <w:rPr>
                <w:sz w:val="17"/>
                <w:szCs w:val="17"/>
                <w:color w:val="auto"/>
              </w:rPr>
            </w:pPr>
          </w:p>
        </w:tc>
        <w:tc>
          <w:tcPr>
            <w:tcW w:w="160" w:type="dxa"/>
            <w:vAlign w:val="bottom"/>
            <w:vMerge w:val="restart"/>
          </w:tcPr>
          <w:p>
            <w:pPr>
              <w:spacing w:after="0"/>
              <w:rPr>
                <w:sz w:val="17"/>
                <w:szCs w:val="17"/>
                <w:color w:val="auto"/>
              </w:rPr>
            </w:pPr>
          </w:p>
        </w:tc>
        <w:tc>
          <w:tcPr>
            <w:tcW w:w="300" w:type="dxa"/>
            <w:vAlign w:val="bottom"/>
            <w:gridSpan w:val="7"/>
            <w:vMerge w:val="restart"/>
          </w:tcPr>
          <w:p>
            <w:pPr>
              <w:jc w:val="right"/>
              <w:spacing w:after="0"/>
              <w:rPr>
                <w:sz w:val="20"/>
                <w:szCs w:val="20"/>
                <w:color w:val="auto"/>
              </w:rPr>
            </w:pPr>
            <w:r>
              <w:rPr>
                <w:rFonts w:ascii="Times New Roman" w:cs="Times New Roman" w:eastAsia="Times New Roman" w:hAnsi="Times New Roman"/>
                <w:sz w:val="20"/>
                <w:szCs w:val="20"/>
                <w:color w:val="FF0000"/>
                <w:strike w:val="1"/>
                <w:w w:val="93"/>
              </w:rPr>
              <w:t>104</w:t>
            </w:r>
          </w:p>
        </w:tc>
        <w:tc>
          <w:tcPr>
            <w:tcW w:w="360" w:type="dxa"/>
            <w:vAlign w:val="bottom"/>
            <w:gridSpan w:val="7"/>
            <w:vMerge w:val="restart"/>
          </w:tcPr>
          <w:p>
            <w:pPr>
              <w:jc w:val="right"/>
              <w:ind w:right="60"/>
              <w:spacing w:after="0"/>
              <w:rPr>
                <w:sz w:val="20"/>
                <w:szCs w:val="20"/>
                <w:color w:val="auto"/>
              </w:rPr>
            </w:pPr>
            <w:r>
              <w:rPr>
                <w:rFonts w:ascii="Times New Roman" w:cs="Times New Roman" w:eastAsia="Times New Roman" w:hAnsi="Times New Roman"/>
                <w:sz w:val="20"/>
                <w:szCs w:val="20"/>
                <w:color w:val="0000FF"/>
                <w:w w:val="93"/>
              </w:rPr>
              <w:t>109</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3"/>
        </w:trPr>
        <w:tc>
          <w:tcPr>
            <w:tcW w:w="280" w:type="dxa"/>
            <w:vAlign w:val="bottom"/>
          </w:tcPr>
          <w:p>
            <w:pPr>
              <w:spacing w:after="0"/>
              <w:rPr>
                <w:sz w:val="5"/>
                <w:szCs w:val="5"/>
                <w:color w:val="auto"/>
              </w:rPr>
            </w:pPr>
          </w:p>
        </w:tc>
        <w:tc>
          <w:tcPr>
            <w:tcW w:w="3880" w:type="dxa"/>
            <w:vAlign w:val="bottom"/>
            <w:gridSpan w:val="4"/>
            <w:vMerge w:val="continue"/>
          </w:tcPr>
          <w:p>
            <w:pPr>
              <w:spacing w:after="0"/>
              <w:rPr>
                <w:sz w:val="5"/>
                <w:szCs w:val="5"/>
                <w:color w:val="auto"/>
              </w:rPr>
            </w:pPr>
          </w:p>
        </w:tc>
        <w:tc>
          <w:tcPr>
            <w:tcW w:w="70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30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160" w:type="dxa"/>
            <w:vAlign w:val="bottom"/>
            <w:vMerge w:val="continue"/>
          </w:tcPr>
          <w:p>
            <w:pPr>
              <w:spacing w:after="0"/>
              <w:rPr>
                <w:sz w:val="5"/>
                <w:szCs w:val="5"/>
                <w:color w:val="auto"/>
              </w:rPr>
            </w:pPr>
          </w:p>
        </w:tc>
        <w:tc>
          <w:tcPr>
            <w:tcW w:w="300" w:type="dxa"/>
            <w:vAlign w:val="bottom"/>
            <w:gridSpan w:val="7"/>
            <w:vMerge w:val="continue"/>
          </w:tcPr>
          <w:p>
            <w:pPr>
              <w:spacing w:after="0"/>
              <w:rPr>
                <w:sz w:val="5"/>
                <w:szCs w:val="5"/>
                <w:color w:val="auto"/>
              </w:rPr>
            </w:pPr>
          </w:p>
        </w:tc>
        <w:tc>
          <w:tcPr>
            <w:tcW w:w="360" w:type="dxa"/>
            <w:vAlign w:val="bottom"/>
            <w:tcBorders>
              <w:bottom w:val="single" w:sz="8" w:color="0000FF"/>
            </w:tcBorders>
            <w:gridSpan w:val="7"/>
            <w:vMerge w:val="continue"/>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580" w:type="dxa"/>
            <w:vAlign w:val="bottom"/>
          </w:tcPr>
          <w:p>
            <w:pPr>
              <w:spacing w:after="0"/>
              <w:rPr>
                <w:sz w:val="5"/>
                <w:szCs w:val="5"/>
                <w:color w:val="auto"/>
              </w:rPr>
            </w:pPr>
          </w:p>
        </w:tc>
        <w:tc>
          <w:tcPr>
            <w:tcW w:w="46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280" w:type="dxa"/>
            <w:vAlign w:val="bottom"/>
          </w:tcPr>
          <w:p>
            <w:pPr>
              <w:spacing w:after="0"/>
              <w:rPr>
                <w:sz w:val="24"/>
                <w:szCs w:val="24"/>
                <w:color w:val="auto"/>
              </w:rPr>
            </w:pPr>
          </w:p>
        </w:tc>
        <w:tc>
          <w:tcPr>
            <w:tcW w:w="3880" w:type="dxa"/>
            <w:vAlign w:val="bottom"/>
            <w:gridSpan w:val="4"/>
          </w:tcPr>
          <w:p>
            <w:pPr>
              <w:ind w:left="420"/>
              <w:spacing w:after="0"/>
              <w:rPr>
                <w:sz w:val="20"/>
                <w:szCs w:val="20"/>
                <w:color w:val="auto"/>
              </w:rPr>
            </w:pPr>
            <w:r>
              <w:rPr>
                <w:rFonts w:ascii="Times New Roman" w:cs="Times New Roman" w:eastAsia="Times New Roman" w:hAnsi="Times New Roman"/>
                <w:sz w:val="14"/>
                <w:szCs w:val="14"/>
                <w:color w:val="auto"/>
                <w:w w:val="72"/>
              </w:rPr>
              <w:t>SECTION 7.8 Environmental Matters .........................................................................</w:t>
            </w: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gridSpan w:val="7"/>
          </w:tcPr>
          <w:p>
            <w:pPr>
              <w:jc w:val="right"/>
              <w:spacing w:after="0"/>
              <w:rPr>
                <w:sz w:val="20"/>
                <w:szCs w:val="20"/>
                <w:color w:val="auto"/>
              </w:rPr>
            </w:pPr>
            <w:r>
              <w:rPr>
                <w:rFonts w:ascii="Times New Roman" w:cs="Times New Roman" w:eastAsia="Times New Roman" w:hAnsi="Times New Roman"/>
                <w:sz w:val="20"/>
                <w:szCs w:val="20"/>
                <w:color w:val="FF0000"/>
                <w:strike w:val="1"/>
                <w:w w:val="93"/>
              </w:rPr>
              <w:t>104</w:t>
            </w:r>
          </w:p>
        </w:tc>
        <w:tc>
          <w:tcPr>
            <w:tcW w:w="360" w:type="dxa"/>
            <w:vAlign w:val="bottom"/>
            <w:tcBorders>
              <w:bottom w:val="single" w:sz="8" w:color="0000FF"/>
            </w:tcBorders>
            <w:gridSpan w:val="7"/>
          </w:tcPr>
          <w:p>
            <w:pPr>
              <w:jc w:val="right"/>
              <w:ind w:right="60"/>
              <w:spacing w:after="0"/>
              <w:rPr>
                <w:sz w:val="20"/>
                <w:szCs w:val="20"/>
                <w:color w:val="auto"/>
              </w:rPr>
            </w:pPr>
            <w:r>
              <w:rPr>
                <w:rFonts w:ascii="Times New Roman" w:cs="Times New Roman" w:eastAsia="Times New Roman" w:hAnsi="Times New Roman"/>
                <w:sz w:val="20"/>
                <w:szCs w:val="20"/>
                <w:color w:val="0000FF"/>
                <w:w w:val="93"/>
              </w:rPr>
              <w:t>109</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280" w:type="dxa"/>
            <w:vAlign w:val="bottom"/>
          </w:tcPr>
          <w:p>
            <w:pPr>
              <w:spacing w:after="0"/>
              <w:rPr>
                <w:sz w:val="24"/>
                <w:szCs w:val="24"/>
                <w:color w:val="auto"/>
              </w:rPr>
            </w:pPr>
          </w:p>
        </w:tc>
        <w:tc>
          <w:tcPr>
            <w:tcW w:w="3880" w:type="dxa"/>
            <w:vAlign w:val="bottom"/>
            <w:gridSpan w:val="4"/>
          </w:tcPr>
          <w:p>
            <w:pPr>
              <w:ind w:left="420"/>
              <w:spacing w:after="0"/>
              <w:rPr>
                <w:sz w:val="20"/>
                <w:szCs w:val="20"/>
                <w:color w:val="auto"/>
              </w:rPr>
            </w:pPr>
            <w:r>
              <w:rPr>
                <w:rFonts w:ascii="Times New Roman" w:cs="Times New Roman" w:eastAsia="Times New Roman" w:hAnsi="Times New Roman"/>
                <w:sz w:val="14"/>
                <w:szCs w:val="14"/>
                <w:color w:val="auto"/>
                <w:w w:val="73"/>
              </w:rPr>
              <w:t>SECTION 7.9 Employee Benefit Matters....................................................................</w:t>
            </w: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gridSpan w:val="7"/>
          </w:tcPr>
          <w:p>
            <w:pPr>
              <w:jc w:val="right"/>
              <w:spacing w:after="0"/>
              <w:rPr>
                <w:sz w:val="20"/>
                <w:szCs w:val="20"/>
                <w:color w:val="auto"/>
              </w:rPr>
            </w:pPr>
            <w:r>
              <w:rPr>
                <w:rFonts w:ascii="Times New Roman" w:cs="Times New Roman" w:eastAsia="Times New Roman" w:hAnsi="Times New Roman"/>
                <w:sz w:val="20"/>
                <w:szCs w:val="20"/>
                <w:color w:val="FF0000"/>
                <w:strike w:val="1"/>
              </w:rPr>
              <w:t>105</w:t>
            </w:r>
          </w:p>
        </w:tc>
        <w:tc>
          <w:tcPr>
            <w:tcW w:w="280" w:type="dxa"/>
            <w:vAlign w:val="bottom"/>
            <w:tcBorders>
              <w:bottom w:val="single" w:sz="8" w:color="0000FF"/>
            </w:tcBorders>
            <w:gridSpan w:val="6"/>
          </w:tcPr>
          <w:p>
            <w:pPr>
              <w:jc w:val="right"/>
              <w:spacing w:after="0"/>
              <w:rPr>
                <w:sz w:val="20"/>
                <w:szCs w:val="20"/>
                <w:color w:val="auto"/>
              </w:rPr>
            </w:pPr>
            <w:r>
              <w:rPr>
                <w:rFonts w:ascii="Times New Roman" w:cs="Times New Roman" w:eastAsia="Times New Roman" w:hAnsi="Times New Roman"/>
                <w:sz w:val="20"/>
                <w:szCs w:val="20"/>
                <w:color w:val="0000FF"/>
                <w:w w:val="86"/>
              </w:rPr>
              <w:t>110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280" w:type="dxa"/>
            <w:vAlign w:val="bottom"/>
          </w:tcPr>
          <w:p>
            <w:pPr>
              <w:spacing w:after="0"/>
              <w:rPr>
                <w:sz w:val="24"/>
                <w:szCs w:val="24"/>
                <w:color w:val="auto"/>
              </w:rPr>
            </w:pPr>
          </w:p>
        </w:tc>
        <w:tc>
          <w:tcPr>
            <w:tcW w:w="3880" w:type="dxa"/>
            <w:vAlign w:val="bottom"/>
            <w:gridSpan w:val="4"/>
          </w:tcPr>
          <w:p>
            <w:pPr>
              <w:ind w:left="420"/>
              <w:spacing w:after="0"/>
              <w:rPr>
                <w:sz w:val="20"/>
                <w:szCs w:val="20"/>
                <w:color w:val="auto"/>
              </w:rPr>
            </w:pPr>
            <w:r>
              <w:rPr>
                <w:rFonts w:ascii="Times New Roman" w:cs="Times New Roman" w:eastAsia="Times New Roman" w:hAnsi="Times New Roman"/>
                <w:sz w:val="14"/>
                <w:szCs w:val="14"/>
                <w:color w:val="auto"/>
                <w:w w:val="71"/>
              </w:rPr>
              <w:t>SECTION 7.10 Margin Stock ........................................................................................</w:t>
            </w: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gridSpan w:val="7"/>
          </w:tcPr>
          <w:p>
            <w:pPr>
              <w:jc w:val="right"/>
              <w:spacing w:after="0"/>
              <w:rPr>
                <w:sz w:val="20"/>
                <w:szCs w:val="20"/>
                <w:color w:val="auto"/>
              </w:rPr>
            </w:pPr>
            <w:r>
              <w:rPr>
                <w:rFonts w:ascii="Times New Roman" w:cs="Times New Roman" w:eastAsia="Times New Roman" w:hAnsi="Times New Roman"/>
                <w:sz w:val="20"/>
                <w:szCs w:val="20"/>
                <w:color w:val="FF0000"/>
                <w:strike w:val="1"/>
                <w:w w:val="93"/>
              </w:rPr>
              <w:t>106</w:t>
            </w:r>
          </w:p>
        </w:tc>
        <w:tc>
          <w:tcPr>
            <w:tcW w:w="2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20"/>
                <w:szCs w:val="20"/>
                <w:color w:val="0000FF"/>
                <w:w w:val="86"/>
              </w:rPr>
              <w:t>111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80" w:type="dxa"/>
            <w:vAlign w:val="bottom"/>
          </w:tcPr>
          <w:p>
            <w:pPr>
              <w:spacing w:after="0"/>
              <w:rPr>
                <w:sz w:val="24"/>
                <w:szCs w:val="24"/>
                <w:color w:val="auto"/>
              </w:rPr>
            </w:pPr>
          </w:p>
        </w:tc>
        <w:tc>
          <w:tcPr>
            <w:tcW w:w="3880" w:type="dxa"/>
            <w:vAlign w:val="bottom"/>
            <w:gridSpan w:val="4"/>
          </w:tcPr>
          <w:p>
            <w:pPr>
              <w:ind w:left="420"/>
              <w:spacing w:after="0"/>
              <w:rPr>
                <w:sz w:val="20"/>
                <w:szCs w:val="20"/>
                <w:color w:val="auto"/>
              </w:rPr>
            </w:pPr>
            <w:r>
              <w:rPr>
                <w:rFonts w:ascii="Times New Roman" w:cs="Times New Roman" w:eastAsia="Times New Roman" w:hAnsi="Times New Roman"/>
                <w:sz w:val="14"/>
                <w:szCs w:val="14"/>
                <w:color w:val="auto"/>
                <w:w w:val="72"/>
              </w:rPr>
              <w:t>SECTION 7.11 Government Regulation .......................................................................</w:t>
            </w: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gridSpan w:val="8"/>
          </w:tcPr>
          <w:p>
            <w:pPr>
              <w:jc w:val="right"/>
              <w:spacing w:after="0"/>
              <w:rPr>
                <w:sz w:val="20"/>
                <w:szCs w:val="20"/>
                <w:color w:val="auto"/>
              </w:rPr>
            </w:pPr>
            <w:r>
              <w:rPr>
                <w:rFonts w:ascii="Times New Roman" w:cs="Times New Roman" w:eastAsia="Times New Roman" w:hAnsi="Times New Roman"/>
                <w:sz w:val="20"/>
                <w:szCs w:val="20"/>
                <w:color w:val="FF0000"/>
                <w:strike w:val="1"/>
                <w:w w:val="99"/>
              </w:rPr>
              <w:t>106</w:t>
            </w:r>
          </w:p>
        </w:tc>
        <w:tc>
          <w:tcPr>
            <w:tcW w:w="2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20"/>
                <w:szCs w:val="20"/>
                <w:color w:val="0000FF"/>
                <w:w w:val="73"/>
              </w:rPr>
              <w:t>111</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280" w:type="dxa"/>
            <w:vAlign w:val="bottom"/>
          </w:tcPr>
          <w:p>
            <w:pPr>
              <w:spacing w:after="0"/>
              <w:rPr>
                <w:sz w:val="24"/>
                <w:szCs w:val="24"/>
                <w:color w:val="auto"/>
              </w:rPr>
            </w:pPr>
          </w:p>
        </w:tc>
        <w:tc>
          <w:tcPr>
            <w:tcW w:w="3880" w:type="dxa"/>
            <w:vAlign w:val="bottom"/>
            <w:gridSpan w:val="4"/>
          </w:tcPr>
          <w:p>
            <w:pPr>
              <w:ind w:left="420"/>
              <w:spacing w:after="0"/>
              <w:rPr>
                <w:sz w:val="20"/>
                <w:szCs w:val="20"/>
                <w:color w:val="auto"/>
              </w:rPr>
            </w:pPr>
            <w:r>
              <w:rPr>
                <w:rFonts w:ascii="Times New Roman" w:cs="Times New Roman" w:eastAsia="Times New Roman" w:hAnsi="Times New Roman"/>
                <w:sz w:val="14"/>
                <w:szCs w:val="14"/>
                <w:color w:val="auto"/>
                <w:w w:val="72"/>
              </w:rPr>
              <w:t>SECTION 7.12 [Intentionally Omitted].........................................................................</w:t>
            </w: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gridSpan w:val="7"/>
          </w:tcPr>
          <w:p>
            <w:pPr>
              <w:jc w:val="right"/>
              <w:spacing w:after="0"/>
              <w:rPr>
                <w:sz w:val="20"/>
                <w:szCs w:val="20"/>
                <w:color w:val="auto"/>
              </w:rPr>
            </w:pPr>
            <w:r>
              <w:rPr>
                <w:rFonts w:ascii="Times New Roman" w:cs="Times New Roman" w:eastAsia="Times New Roman" w:hAnsi="Times New Roman"/>
                <w:sz w:val="20"/>
                <w:szCs w:val="20"/>
                <w:color w:val="FF0000"/>
                <w:strike w:val="1"/>
                <w:w w:val="93"/>
              </w:rPr>
              <w:t>106</w:t>
            </w:r>
          </w:p>
        </w:tc>
        <w:tc>
          <w:tcPr>
            <w:tcW w:w="3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20"/>
                <w:szCs w:val="20"/>
                <w:color w:val="0000FF"/>
                <w:w w:val="86"/>
              </w:rPr>
              <w:t>112</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80" w:type="dxa"/>
            <w:vAlign w:val="bottom"/>
          </w:tcPr>
          <w:p>
            <w:pPr>
              <w:spacing w:after="0"/>
              <w:rPr>
                <w:sz w:val="24"/>
                <w:szCs w:val="24"/>
                <w:color w:val="auto"/>
              </w:rPr>
            </w:pPr>
          </w:p>
        </w:tc>
        <w:tc>
          <w:tcPr>
            <w:tcW w:w="3880" w:type="dxa"/>
            <w:vAlign w:val="bottom"/>
            <w:gridSpan w:val="4"/>
          </w:tcPr>
          <w:p>
            <w:pPr>
              <w:ind w:left="420"/>
              <w:spacing w:after="0"/>
              <w:rPr>
                <w:sz w:val="20"/>
                <w:szCs w:val="20"/>
                <w:color w:val="auto"/>
              </w:rPr>
            </w:pPr>
            <w:r>
              <w:rPr>
                <w:rFonts w:ascii="Times New Roman" w:cs="Times New Roman" w:eastAsia="Times New Roman" w:hAnsi="Times New Roman"/>
                <w:sz w:val="14"/>
                <w:szCs w:val="14"/>
                <w:color w:val="auto"/>
                <w:w w:val="72"/>
              </w:rPr>
              <w:t>SECTION 7.13 Employee Relations..............................................................................</w:t>
            </w: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gridSpan w:val="7"/>
          </w:tcPr>
          <w:p>
            <w:pPr>
              <w:jc w:val="right"/>
              <w:spacing w:after="0"/>
              <w:rPr>
                <w:sz w:val="20"/>
                <w:szCs w:val="20"/>
                <w:color w:val="auto"/>
              </w:rPr>
            </w:pPr>
            <w:r>
              <w:rPr>
                <w:rFonts w:ascii="Times New Roman" w:cs="Times New Roman" w:eastAsia="Times New Roman" w:hAnsi="Times New Roman"/>
                <w:sz w:val="20"/>
                <w:szCs w:val="20"/>
                <w:color w:val="FF0000"/>
                <w:strike w:val="1"/>
                <w:w w:val="93"/>
              </w:rPr>
              <w:t>106</w:t>
            </w:r>
          </w:p>
        </w:tc>
        <w:tc>
          <w:tcPr>
            <w:tcW w:w="3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20"/>
                <w:szCs w:val="20"/>
                <w:color w:val="0000FF"/>
                <w:w w:val="86"/>
              </w:rPr>
              <w:t>112</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280" w:type="dxa"/>
            <w:vAlign w:val="bottom"/>
          </w:tcPr>
          <w:p>
            <w:pPr>
              <w:spacing w:after="0"/>
              <w:rPr>
                <w:sz w:val="24"/>
                <w:szCs w:val="24"/>
                <w:color w:val="auto"/>
              </w:rPr>
            </w:pPr>
          </w:p>
        </w:tc>
        <w:tc>
          <w:tcPr>
            <w:tcW w:w="3880" w:type="dxa"/>
            <w:vAlign w:val="bottom"/>
            <w:gridSpan w:val="4"/>
          </w:tcPr>
          <w:p>
            <w:pPr>
              <w:ind w:left="420"/>
              <w:spacing w:after="0"/>
              <w:rPr>
                <w:sz w:val="20"/>
                <w:szCs w:val="20"/>
                <w:color w:val="auto"/>
              </w:rPr>
            </w:pPr>
            <w:r>
              <w:rPr>
                <w:rFonts w:ascii="Times New Roman" w:cs="Times New Roman" w:eastAsia="Times New Roman" w:hAnsi="Times New Roman"/>
                <w:sz w:val="14"/>
                <w:szCs w:val="14"/>
                <w:color w:val="auto"/>
                <w:w w:val="72"/>
              </w:rPr>
              <w:t>SECTION 7.14 Burdensome Provisions........................................................................</w:t>
            </w: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gridSpan w:val="7"/>
          </w:tcPr>
          <w:p>
            <w:pPr>
              <w:jc w:val="right"/>
              <w:spacing w:after="0"/>
              <w:rPr>
                <w:sz w:val="20"/>
                <w:szCs w:val="20"/>
                <w:color w:val="auto"/>
              </w:rPr>
            </w:pPr>
            <w:r>
              <w:rPr>
                <w:rFonts w:ascii="Times New Roman" w:cs="Times New Roman" w:eastAsia="Times New Roman" w:hAnsi="Times New Roman"/>
                <w:sz w:val="20"/>
                <w:szCs w:val="20"/>
                <w:color w:val="FF0000"/>
                <w:strike w:val="1"/>
                <w:w w:val="93"/>
              </w:rPr>
              <w:t>107</w:t>
            </w:r>
          </w:p>
        </w:tc>
        <w:tc>
          <w:tcPr>
            <w:tcW w:w="3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20"/>
                <w:szCs w:val="20"/>
                <w:color w:val="0000FF"/>
                <w:w w:val="86"/>
              </w:rPr>
              <w:t>112</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280" w:type="dxa"/>
            <w:vAlign w:val="bottom"/>
          </w:tcPr>
          <w:p>
            <w:pPr>
              <w:spacing w:after="0"/>
              <w:rPr>
                <w:sz w:val="24"/>
                <w:szCs w:val="24"/>
                <w:color w:val="auto"/>
              </w:rPr>
            </w:pPr>
          </w:p>
        </w:tc>
        <w:tc>
          <w:tcPr>
            <w:tcW w:w="3880" w:type="dxa"/>
            <w:vAlign w:val="bottom"/>
            <w:gridSpan w:val="4"/>
          </w:tcPr>
          <w:p>
            <w:pPr>
              <w:ind w:left="420"/>
              <w:spacing w:after="0"/>
              <w:rPr>
                <w:sz w:val="20"/>
                <w:szCs w:val="20"/>
                <w:color w:val="auto"/>
              </w:rPr>
            </w:pPr>
            <w:r>
              <w:rPr>
                <w:rFonts w:ascii="Times New Roman" w:cs="Times New Roman" w:eastAsia="Times New Roman" w:hAnsi="Times New Roman"/>
                <w:sz w:val="14"/>
                <w:szCs w:val="14"/>
                <w:color w:val="auto"/>
                <w:w w:val="72"/>
              </w:rPr>
              <w:t>SECTION 7.15 Financial Statements ............................................................................</w:t>
            </w: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gridSpan w:val="8"/>
          </w:tcPr>
          <w:p>
            <w:pPr>
              <w:jc w:val="right"/>
              <w:spacing w:after="0"/>
              <w:rPr>
                <w:sz w:val="20"/>
                <w:szCs w:val="20"/>
                <w:color w:val="auto"/>
              </w:rPr>
            </w:pPr>
            <w:r>
              <w:rPr>
                <w:rFonts w:ascii="Times New Roman" w:cs="Times New Roman" w:eastAsia="Times New Roman" w:hAnsi="Times New Roman"/>
                <w:sz w:val="20"/>
                <w:szCs w:val="20"/>
                <w:color w:val="FF0000"/>
                <w:strike w:val="1"/>
                <w:w w:val="99"/>
              </w:rPr>
              <w:t>107</w:t>
            </w:r>
          </w:p>
        </w:tc>
        <w:tc>
          <w:tcPr>
            <w:tcW w:w="2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20"/>
                <w:szCs w:val="20"/>
                <w:color w:val="0000FF"/>
                <w:w w:val="73"/>
              </w:rPr>
              <w:t>112</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280" w:type="dxa"/>
            <w:vAlign w:val="bottom"/>
          </w:tcPr>
          <w:p>
            <w:pPr>
              <w:spacing w:after="0"/>
              <w:rPr>
                <w:sz w:val="24"/>
                <w:szCs w:val="24"/>
                <w:color w:val="auto"/>
              </w:rPr>
            </w:pPr>
          </w:p>
        </w:tc>
        <w:tc>
          <w:tcPr>
            <w:tcW w:w="220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auto"/>
              </w:rPr>
              <w:t>SECTION  7.16  No</w:t>
            </w:r>
          </w:p>
        </w:tc>
        <w:tc>
          <w:tcPr>
            <w:tcW w:w="16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Material  Adverse</w:t>
            </w:r>
          </w:p>
        </w:tc>
        <w:tc>
          <w:tcPr>
            <w:tcW w:w="2820" w:type="dxa"/>
            <w:vAlign w:val="bottom"/>
            <w:gridSpan w:val="13"/>
          </w:tcPr>
          <w:p>
            <w:pPr>
              <w:spacing w:after="0"/>
              <w:rPr>
                <w:sz w:val="20"/>
                <w:szCs w:val="20"/>
                <w:color w:val="auto"/>
              </w:rPr>
            </w:pPr>
            <w:r>
              <w:rPr>
                <w:rFonts w:ascii="Times New Roman" w:cs="Times New Roman" w:eastAsia="Times New Roman" w:hAnsi="Times New Roman"/>
                <w:sz w:val="20"/>
                <w:szCs w:val="20"/>
                <w:color w:val="auto"/>
                <w:w w:val="74"/>
              </w:rPr>
              <w:t>...............................................................Change</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gridSpan w:val="5"/>
          </w:tcPr>
          <w:p>
            <w:pPr>
              <w:ind w:left="20"/>
              <w:spacing w:after="0"/>
              <w:rPr>
                <w:sz w:val="20"/>
                <w:szCs w:val="20"/>
                <w:color w:val="auto"/>
              </w:rPr>
            </w:pPr>
            <w:r>
              <w:rPr>
                <w:rFonts w:ascii="Times New Roman" w:cs="Times New Roman" w:eastAsia="Times New Roman" w:hAnsi="Times New Roman"/>
                <w:sz w:val="20"/>
                <w:szCs w:val="20"/>
                <w:color w:val="FF0000"/>
                <w:strike w:val="1"/>
                <w:w w:val="93"/>
              </w:rPr>
              <w:t>107</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0000FF"/>
                <w:w w:val="86"/>
              </w:rPr>
              <w:t>112</w:t>
            </w: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SECTION</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7.17</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Solvency</w:t>
            </w:r>
          </w:p>
        </w:tc>
        <w:tc>
          <w:tcPr>
            <w:tcW w:w="0" w:type="dxa"/>
            <w:vAlign w:val="bottom"/>
          </w:tcPr>
          <w:p>
            <w:pPr>
              <w:spacing w:after="0"/>
              <w:rPr>
                <w:sz w:val="1"/>
                <w:szCs w:val="1"/>
                <w:color w:val="auto"/>
              </w:rPr>
            </w:pPr>
          </w:p>
        </w:tc>
      </w:tr>
      <w:tr>
        <w:trPr>
          <w:trHeight w:val="331"/>
        </w:trPr>
        <w:tc>
          <w:tcPr>
            <w:tcW w:w="280" w:type="dxa"/>
            <w:vAlign w:val="bottom"/>
          </w:tcPr>
          <w:p>
            <w:pPr>
              <w:spacing w:after="0"/>
              <w:rPr>
                <w:sz w:val="24"/>
                <w:szCs w:val="24"/>
                <w:color w:val="auto"/>
              </w:rPr>
            </w:pPr>
          </w:p>
        </w:tc>
        <w:tc>
          <w:tcPr>
            <w:tcW w:w="3880" w:type="dxa"/>
            <w:vAlign w:val="bottom"/>
            <w:gridSpan w:val="4"/>
            <w:vMerge w:val="restart"/>
          </w:tcPr>
          <w:p>
            <w:pPr>
              <w:ind w:left="420"/>
              <w:spacing w:after="0"/>
              <w:rPr>
                <w:sz w:val="20"/>
                <w:szCs w:val="20"/>
                <w:color w:val="auto"/>
              </w:rPr>
            </w:pPr>
            <w:r>
              <w:rPr>
                <w:rFonts w:ascii="Times New Roman" w:cs="Times New Roman" w:eastAsia="Times New Roman" w:hAnsi="Times New Roman"/>
                <w:sz w:val="9"/>
                <w:szCs w:val="9"/>
                <w:color w:val="auto"/>
                <w:w w:val="71"/>
              </w:rPr>
              <w:t>.................................................................................</w:t>
            </w:r>
            <w:r>
              <w:rPr>
                <w:rFonts w:ascii="Times New Roman" w:cs="Times New Roman" w:eastAsia="Times New Roman" w:hAnsi="Times New Roman"/>
                <w:sz w:val="10"/>
                <w:szCs w:val="10"/>
                <w:color w:val="auto"/>
                <w:w w:val="71"/>
                <w:vertAlign w:val="subscript"/>
              </w:rPr>
              <w:t>SECTION</w:t>
            </w:r>
            <w:r>
              <w:rPr>
                <w:rFonts w:ascii="Times New Roman" w:cs="Times New Roman" w:eastAsia="Times New Roman" w:hAnsi="Times New Roman"/>
                <w:sz w:val="9"/>
                <w:szCs w:val="9"/>
                <w:color w:val="auto"/>
                <w:w w:val="71"/>
              </w:rPr>
              <w:t>...............................................................................................</w:t>
            </w:r>
            <w:r>
              <w:rPr>
                <w:rFonts w:ascii="Times New Roman" w:cs="Times New Roman" w:eastAsia="Times New Roman" w:hAnsi="Times New Roman"/>
                <w:sz w:val="10"/>
                <w:szCs w:val="10"/>
                <w:color w:val="auto"/>
                <w:w w:val="71"/>
                <w:vertAlign w:val="subscript"/>
              </w:rPr>
              <w:t>7.18TitletoProperties</w:t>
            </w: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gridSpan w:val="2"/>
          </w:tcPr>
          <w:p>
            <w:pPr>
              <w:spacing w:after="0"/>
              <w:rPr>
                <w:sz w:val="24"/>
                <w:szCs w:val="24"/>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FF0000"/>
                <w:strike w:val="1"/>
              </w:rPr>
              <w:t>107</w:t>
            </w:r>
          </w:p>
        </w:tc>
        <w:tc>
          <w:tcPr>
            <w:tcW w:w="32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0000FF"/>
                <w:w w:val="86"/>
              </w:rPr>
              <w:t>112</w:t>
            </w: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gridSpan w:val="7"/>
            <w:vMerge w:val="restart"/>
          </w:tcPr>
          <w:p>
            <w:pPr>
              <w:jc w:val="right"/>
              <w:spacing w:after="0"/>
              <w:rPr>
                <w:sz w:val="20"/>
                <w:szCs w:val="20"/>
                <w:color w:val="auto"/>
              </w:rPr>
            </w:pPr>
            <w:r>
              <w:rPr>
                <w:rFonts w:ascii="Times New Roman" w:cs="Times New Roman" w:eastAsia="Times New Roman" w:hAnsi="Times New Roman"/>
                <w:sz w:val="20"/>
                <w:szCs w:val="20"/>
                <w:color w:val="FF0000"/>
                <w:strike w:val="1"/>
                <w:w w:val="93"/>
              </w:rPr>
              <w:t>107</w:t>
            </w:r>
          </w:p>
        </w:tc>
        <w:tc>
          <w:tcPr>
            <w:tcW w:w="280" w:type="dxa"/>
            <w:vAlign w:val="bottom"/>
            <w:gridSpan w:val="6"/>
            <w:vMerge w:val="restart"/>
          </w:tcPr>
          <w:p>
            <w:pPr>
              <w:spacing w:after="0"/>
              <w:rPr>
                <w:sz w:val="20"/>
                <w:szCs w:val="20"/>
                <w:color w:val="auto"/>
              </w:rPr>
            </w:pPr>
            <w:r>
              <w:rPr>
                <w:rFonts w:ascii="Times New Roman" w:cs="Times New Roman" w:eastAsia="Times New Roman" w:hAnsi="Times New Roman"/>
                <w:sz w:val="20"/>
                <w:szCs w:val="20"/>
                <w:color w:val="0000FF"/>
                <w:w w:val="86"/>
              </w:rPr>
              <w:t>112</w:t>
            </w:r>
          </w:p>
        </w:tc>
        <w:tc>
          <w:tcPr>
            <w:tcW w:w="60" w:type="dxa"/>
            <w:vAlign w:val="bottom"/>
            <w:vMerge w:val="restart"/>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80" w:type="dxa"/>
            <w:vAlign w:val="bottom"/>
          </w:tcPr>
          <w:p>
            <w:pPr>
              <w:spacing w:after="0"/>
              <w:rPr>
                <w:sz w:val="21"/>
                <w:szCs w:val="21"/>
                <w:color w:val="auto"/>
              </w:rPr>
            </w:pPr>
          </w:p>
        </w:tc>
        <w:tc>
          <w:tcPr>
            <w:tcW w:w="3880" w:type="dxa"/>
            <w:vAlign w:val="bottom"/>
            <w:gridSpan w:val="4"/>
            <w:vMerge w:val="continue"/>
          </w:tcPr>
          <w:p>
            <w:pPr>
              <w:spacing w:after="0"/>
              <w:rPr>
                <w:sz w:val="21"/>
                <w:szCs w:val="21"/>
                <w:color w:val="auto"/>
              </w:rPr>
            </w:pPr>
          </w:p>
        </w:tc>
        <w:tc>
          <w:tcPr>
            <w:tcW w:w="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gridSpan w:val="7"/>
            <w:vMerge w:val="continue"/>
          </w:tcPr>
          <w:p>
            <w:pPr>
              <w:spacing w:after="0"/>
              <w:rPr>
                <w:sz w:val="21"/>
                <w:szCs w:val="21"/>
                <w:color w:val="auto"/>
              </w:rPr>
            </w:pPr>
          </w:p>
        </w:tc>
        <w:tc>
          <w:tcPr>
            <w:tcW w:w="280" w:type="dxa"/>
            <w:vAlign w:val="bottom"/>
            <w:tcBorders>
              <w:bottom w:val="single" w:sz="8" w:color="0000FF"/>
            </w:tcBorders>
            <w:gridSpan w:val="6"/>
            <w:vMerge w:val="continue"/>
          </w:tcPr>
          <w:p>
            <w:pPr>
              <w:spacing w:after="0"/>
              <w:rPr>
                <w:sz w:val="21"/>
                <w:szCs w:val="21"/>
                <w:color w:val="auto"/>
              </w:rPr>
            </w:pPr>
          </w:p>
        </w:tc>
        <w:tc>
          <w:tcPr>
            <w:tcW w:w="6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5"/>
        </w:trPr>
        <w:tc>
          <w:tcPr>
            <w:tcW w:w="280" w:type="dxa"/>
            <w:vAlign w:val="bottom"/>
          </w:tcPr>
          <w:p>
            <w:pPr>
              <w:spacing w:after="0"/>
              <w:rPr>
                <w:sz w:val="24"/>
                <w:szCs w:val="24"/>
                <w:color w:val="auto"/>
              </w:rPr>
            </w:pPr>
          </w:p>
        </w:tc>
        <w:tc>
          <w:tcPr>
            <w:tcW w:w="3880" w:type="dxa"/>
            <w:vAlign w:val="bottom"/>
            <w:gridSpan w:val="4"/>
          </w:tcPr>
          <w:p>
            <w:pPr>
              <w:ind w:left="420"/>
              <w:spacing w:after="0"/>
              <w:rPr>
                <w:sz w:val="20"/>
                <w:szCs w:val="20"/>
                <w:color w:val="auto"/>
              </w:rPr>
            </w:pPr>
            <w:r>
              <w:rPr>
                <w:rFonts w:ascii="Times New Roman" w:cs="Times New Roman" w:eastAsia="Times New Roman" w:hAnsi="Times New Roman"/>
                <w:sz w:val="14"/>
                <w:szCs w:val="14"/>
                <w:color w:val="auto"/>
                <w:w w:val="71"/>
              </w:rPr>
              <w:t>SECTION 7.19 Litigation ..............................................................................................</w:t>
            </w: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gridSpan w:val="7"/>
          </w:tcPr>
          <w:p>
            <w:pPr>
              <w:jc w:val="right"/>
              <w:ind w:right="60"/>
              <w:spacing w:after="0"/>
              <w:rPr>
                <w:sz w:val="20"/>
                <w:szCs w:val="20"/>
                <w:color w:val="auto"/>
              </w:rPr>
            </w:pPr>
            <w:r>
              <w:rPr>
                <w:rFonts w:ascii="Times New Roman" w:cs="Times New Roman" w:eastAsia="Times New Roman" w:hAnsi="Times New Roman"/>
                <w:sz w:val="20"/>
                <w:szCs w:val="20"/>
                <w:color w:val="FF0000"/>
                <w:strike w:val="1"/>
                <w:w w:val="93"/>
              </w:rPr>
              <w:t>107</w:t>
            </w:r>
          </w:p>
        </w:tc>
        <w:tc>
          <w:tcPr>
            <w:tcW w:w="3020" w:type="dxa"/>
            <w:vAlign w:val="bottom"/>
            <w:gridSpan w:val="13"/>
          </w:tcPr>
          <w:p>
            <w:pPr>
              <w:jc w:val="right"/>
              <w:spacing w:after="0"/>
              <w:rPr>
                <w:sz w:val="20"/>
                <w:szCs w:val="20"/>
                <w:color w:val="auto"/>
              </w:rPr>
            </w:pPr>
            <w:r>
              <w:rPr>
                <w:rFonts w:ascii="Times New Roman" w:cs="Times New Roman" w:eastAsia="Times New Roman" w:hAnsi="Times New Roman"/>
                <w:sz w:val="20"/>
                <w:szCs w:val="20"/>
                <w:color w:val="0000FF"/>
              </w:rPr>
              <w:t xml:space="preserve">112 </w:t>
            </w:r>
            <w:r>
              <w:rPr>
                <w:rFonts w:ascii="Times New Roman" w:cs="Times New Roman" w:eastAsia="Times New Roman" w:hAnsi="Times New Roman"/>
                <w:sz w:val="20"/>
                <w:szCs w:val="20"/>
                <w:color w:val="000000"/>
              </w:rPr>
              <w:t>SECTION 7.20 Anti-Corruption</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80" w:type="dxa"/>
            <w:vAlign w:val="bottom"/>
          </w:tcPr>
          <w:p>
            <w:pPr>
              <w:spacing w:after="0"/>
              <w:rPr>
                <w:sz w:val="24"/>
                <w:szCs w:val="24"/>
                <w:color w:val="auto"/>
              </w:rPr>
            </w:pPr>
          </w:p>
        </w:tc>
        <w:tc>
          <w:tcPr>
            <w:tcW w:w="1660" w:type="dxa"/>
            <w:vAlign w:val="bottom"/>
            <w:gridSpan w:val="2"/>
          </w:tcPr>
          <w:p>
            <w:pPr>
              <w:ind w:left="420"/>
              <w:spacing w:after="0"/>
              <w:rPr>
                <w:sz w:val="20"/>
                <w:szCs w:val="20"/>
                <w:color w:val="auto"/>
              </w:rPr>
            </w:pPr>
            <w:r>
              <w:rPr>
                <w:rFonts w:ascii="Times New Roman" w:cs="Times New Roman" w:eastAsia="Times New Roman" w:hAnsi="Times New Roman"/>
                <w:sz w:val="20"/>
                <w:szCs w:val="20"/>
                <w:color w:val="auto"/>
              </w:rPr>
              <w:t>Laws    and</w:t>
            </w: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73"/>
              </w:rPr>
              <w:t>Sanctions    ...................................................</w:t>
            </w: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gridSpan w:val="2"/>
          </w:tcPr>
          <w:p>
            <w:pPr>
              <w:spacing w:after="0"/>
              <w:rPr>
                <w:sz w:val="24"/>
                <w:szCs w:val="24"/>
                <w:color w:val="auto"/>
              </w:rPr>
            </w:pPr>
          </w:p>
        </w:tc>
        <w:tc>
          <w:tcPr>
            <w:tcW w:w="300" w:type="dxa"/>
            <w:vAlign w:val="bottom"/>
            <w:gridSpan w:val="2"/>
          </w:tcPr>
          <w:p>
            <w:pPr>
              <w:spacing w:after="0"/>
              <w:rPr>
                <w:sz w:val="24"/>
                <w:szCs w:val="24"/>
                <w:color w:val="auto"/>
              </w:rPr>
            </w:pPr>
          </w:p>
        </w:tc>
        <w:tc>
          <w:tcPr>
            <w:tcW w:w="280" w:type="dxa"/>
            <w:vAlign w:val="bottom"/>
            <w:gridSpan w:val="2"/>
          </w:tcPr>
          <w:p>
            <w:pPr>
              <w:spacing w:after="0"/>
              <w:rPr>
                <w:sz w:val="24"/>
                <w:szCs w:val="24"/>
                <w:color w:val="auto"/>
              </w:rPr>
            </w:pPr>
          </w:p>
        </w:tc>
        <w:tc>
          <w:tcPr>
            <w:tcW w:w="100" w:type="dxa"/>
            <w:vAlign w:val="bottom"/>
            <w:gridSpan w:val="2"/>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FF0000"/>
                <w:strike w:val="1"/>
                <w:w w:val="93"/>
              </w:rPr>
              <w:t>107</w:t>
            </w:r>
          </w:p>
        </w:tc>
        <w:tc>
          <w:tcPr>
            <w:tcW w:w="60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0000FF"/>
                <w:w w:val="93"/>
              </w:rPr>
              <w:t>113</w:t>
            </w:r>
          </w:p>
        </w:tc>
        <w:tc>
          <w:tcPr>
            <w:tcW w:w="1100" w:type="dxa"/>
            <w:vAlign w:val="bottom"/>
            <w:gridSpan w:val="16"/>
          </w:tcPr>
          <w:p>
            <w:pPr>
              <w:jc w:val="center"/>
              <w:ind w:right="180"/>
              <w:spacing w:after="0"/>
              <w:rPr>
                <w:sz w:val="20"/>
                <w:szCs w:val="20"/>
                <w:color w:val="auto"/>
              </w:rPr>
            </w:pPr>
            <w:r>
              <w:rPr>
                <w:rFonts w:ascii="Times New Roman" w:cs="Times New Roman" w:eastAsia="Times New Roman" w:hAnsi="Times New Roman"/>
                <w:sz w:val="20"/>
                <w:szCs w:val="20"/>
                <w:color w:val="auto"/>
                <w:w w:val="99"/>
              </w:rPr>
              <w:t>SECTION</w:t>
            </w:r>
          </w:p>
        </w:tc>
        <w:tc>
          <w:tcPr>
            <w:tcW w:w="80" w:type="dxa"/>
            <w:vAlign w:val="bottom"/>
            <w:gridSpan w:val="2"/>
          </w:tcPr>
          <w:p>
            <w:pPr>
              <w:spacing w:after="0"/>
              <w:rPr>
                <w:sz w:val="24"/>
                <w:szCs w:val="24"/>
                <w:color w:val="auto"/>
              </w:rPr>
            </w:pPr>
          </w:p>
        </w:tc>
        <w:tc>
          <w:tcPr>
            <w:tcW w:w="600" w:type="dxa"/>
            <w:vAlign w:val="bottom"/>
            <w:gridSpan w:val="6"/>
          </w:tcPr>
          <w:p>
            <w:pPr>
              <w:ind w:left="40"/>
              <w:spacing w:after="0"/>
              <w:rPr>
                <w:sz w:val="20"/>
                <w:szCs w:val="20"/>
                <w:color w:val="auto"/>
              </w:rPr>
            </w:pPr>
            <w:r>
              <w:rPr>
                <w:rFonts w:ascii="Times New Roman" w:cs="Times New Roman" w:eastAsia="Times New Roman" w:hAnsi="Times New Roman"/>
                <w:sz w:val="20"/>
                <w:szCs w:val="20"/>
                <w:color w:val="auto"/>
              </w:rPr>
              <w:t>7.21</w:t>
            </w:r>
          </w:p>
        </w:tc>
        <w:tc>
          <w:tcPr>
            <w:tcW w:w="60" w:type="dxa"/>
            <w:vAlign w:val="bottom"/>
          </w:tcPr>
          <w:p>
            <w:pPr>
              <w:spacing w:after="0"/>
              <w:rPr>
                <w:sz w:val="24"/>
                <w:szCs w:val="24"/>
                <w:color w:val="auto"/>
              </w:rPr>
            </w:pP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Absence</w:t>
            </w:r>
          </w:p>
        </w:tc>
        <w:tc>
          <w:tcPr>
            <w:tcW w:w="46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of</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Defaults</w:t>
            </w:r>
          </w:p>
        </w:tc>
        <w:tc>
          <w:tcPr>
            <w:tcW w:w="0" w:type="dxa"/>
            <w:vAlign w:val="bottom"/>
          </w:tcPr>
          <w:p>
            <w:pPr>
              <w:spacing w:after="0"/>
              <w:rPr>
                <w:sz w:val="1"/>
                <w:szCs w:val="1"/>
                <w:color w:val="auto"/>
              </w:rPr>
            </w:pPr>
          </w:p>
        </w:tc>
      </w:tr>
      <w:tr>
        <w:trPr>
          <w:trHeight w:val="318"/>
        </w:trPr>
        <w:tc>
          <w:tcPr>
            <w:tcW w:w="280" w:type="dxa"/>
            <w:vAlign w:val="bottom"/>
          </w:tcPr>
          <w:p>
            <w:pPr>
              <w:spacing w:after="0"/>
              <w:rPr>
                <w:sz w:val="24"/>
                <w:szCs w:val="24"/>
                <w:color w:val="auto"/>
              </w:rPr>
            </w:pPr>
          </w:p>
        </w:tc>
        <w:tc>
          <w:tcPr>
            <w:tcW w:w="3880" w:type="dxa"/>
            <w:vAlign w:val="bottom"/>
            <w:gridSpan w:val="4"/>
            <w:vMerge w:val="restart"/>
          </w:tcPr>
          <w:p>
            <w:pPr>
              <w:ind w:left="420"/>
              <w:spacing w:after="0"/>
              <w:rPr>
                <w:sz w:val="20"/>
                <w:szCs w:val="20"/>
                <w:color w:val="auto"/>
              </w:rPr>
            </w:pPr>
            <w:r>
              <w:rPr>
                <w:rFonts w:ascii="Times New Roman" w:cs="Times New Roman" w:eastAsia="Times New Roman" w:hAnsi="Times New Roman"/>
                <w:sz w:val="10"/>
                <w:szCs w:val="10"/>
                <w:color w:val="auto"/>
                <w:w w:val="70"/>
              </w:rPr>
              <w:t>...................................................................</w:t>
            </w:r>
            <w:r>
              <w:rPr>
                <w:rFonts w:ascii="Times New Roman" w:cs="Times New Roman" w:eastAsia="Times New Roman" w:hAnsi="Times New Roman"/>
                <w:sz w:val="12"/>
                <w:szCs w:val="12"/>
                <w:color w:val="auto"/>
                <w:w w:val="70"/>
                <w:vertAlign w:val="subscript"/>
              </w:rPr>
              <w:t>SECTION</w:t>
            </w:r>
            <w:r>
              <w:rPr>
                <w:rFonts w:ascii="Times New Roman" w:cs="Times New Roman" w:eastAsia="Times New Roman" w:hAnsi="Times New Roman"/>
                <w:sz w:val="10"/>
                <w:szCs w:val="10"/>
                <w:color w:val="auto"/>
                <w:w w:val="70"/>
              </w:rPr>
              <w:t>.............................................................................</w:t>
            </w:r>
            <w:r>
              <w:rPr>
                <w:rFonts w:ascii="Times New Roman" w:cs="Times New Roman" w:eastAsia="Times New Roman" w:hAnsi="Times New Roman"/>
                <w:sz w:val="12"/>
                <w:szCs w:val="12"/>
                <w:color w:val="auto"/>
                <w:w w:val="70"/>
                <w:vertAlign w:val="subscript"/>
              </w:rPr>
              <w:t>7.22SeniorIndebtednessStatus</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FF0000"/>
                <w:strike w:val="1"/>
              </w:rPr>
              <w:t>108</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0000FF"/>
                <w:w w:val="93"/>
              </w:rPr>
              <w:t>113</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gridSpan w:val="7"/>
            <w:vMerge w:val="restart"/>
          </w:tcPr>
          <w:p>
            <w:pPr>
              <w:jc w:val="right"/>
              <w:spacing w:after="0"/>
              <w:rPr>
                <w:sz w:val="20"/>
                <w:szCs w:val="20"/>
                <w:color w:val="auto"/>
              </w:rPr>
            </w:pPr>
            <w:r>
              <w:rPr>
                <w:rFonts w:ascii="Times New Roman" w:cs="Times New Roman" w:eastAsia="Times New Roman" w:hAnsi="Times New Roman"/>
                <w:sz w:val="20"/>
                <w:szCs w:val="20"/>
                <w:color w:val="FF0000"/>
                <w:strike w:val="1"/>
                <w:w w:val="93"/>
              </w:rPr>
              <w:t>108</w:t>
            </w:r>
          </w:p>
        </w:tc>
        <w:tc>
          <w:tcPr>
            <w:tcW w:w="300" w:type="dxa"/>
            <w:vAlign w:val="bottom"/>
            <w:gridSpan w:val="6"/>
            <w:vMerge w:val="restart"/>
          </w:tcPr>
          <w:p>
            <w:pPr>
              <w:spacing w:after="0"/>
              <w:rPr>
                <w:sz w:val="20"/>
                <w:szCs w:val="20"/>
                <w:color w:val="auto"/>
              </w:rPr>
            </w:pPr>
            <w:r>
              <w:rPr>
                <w:rFonts w:ascii="Times New Roman" w:cs="Times New Roman" w:eastAsia="Times New Roman" w:hAnsi="Times New Roman"/>
                <w:sz w:val="20"/>
                <w:szCs w:val="20"/>
                <w:color w:val="0000FF"/>
                <w:w w:val="86"/>
              </w:rPr>
              <w:t>113</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80" w:type="dxa"/>
            <w:vAlign w:val="bottom"/>
          </w:tcPr>
          <w:p>
            <w:pPr>
              <w:spacing w:after="0"/>
              <w:rPr>
                <w:sz w:val="21"/>
                <w:szCs w:val="21"/>
                <w:color w:val="auto"/>
              </w:rPr>
            </w:pPr>
          </w:p>
        </w:tc>
        <w:tc>
          <w:tcPr>
            <w:tcW w:w="3880" w:type="dxa"/>
            <w:vAlign w:val="bottom"/>
            <w:gridSpan w:val="4"/>
            <w:vMerge w:val="continue"/>
          </w:tcPr>
          <w:p>
            <w:pPr>
              <w:spacing w:after="0"/>
              <w:rPr>
                <w:sz w:val="21"/>
                <w:szCs w:val="21"/>
                <w:color w:val="auto"/>
              </w:rPr>
            </w:pPr>
          </w:p>
        </w:tc>
        <w:tc>
          <w:tcPr>
            <w:tcW w:w="700" w:type="dxa"/>
            <w:vAlign w:val="bottom"/>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gridSpan w:val="7"/>
            <w:vMerge w:val="continue"/>
          </w:tcPr>
          <w:p>
            <w:pPr>
              <w:spacing w:after="0"/>
              <w:rPr>
                <w:sz w:val="21"/>
                <w:szCs w:val="21"/>
                <w:color w:val="auto"/>
              </w:rPr>
            </w:pPr>
          </w:p>
        </w:tc>
        <w:tc>
          <w:tcPr>
            <w:tcW w:w="300" w:type="dxa"/>
            <w:vAlign w:val="bottom"/>
            <w:tcBorders>
              <w:bottom w:val="single" w:sz="8" w:color="0000FF"/>
            </w:tcBorders>
            <w:gridSpan w:val="6"/>
            <w:vMerge w:val="continue"/>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0"/>
        </w:trPr>
        <w:tc>
          <w:tcPr>
            <w:tcW w:w="280" w:type="dxa"/>
            <w:vAlign w:val="bottom"/>
          </w:tcPr>
          <w:p>
            <w:pPr>
              <w:spacing w:after="0"/>
              <w:rPr>
                <w:sz w:val="24"/>
                <w:szCs w:val="24"/>
                <w:color w:val="auto"/>
              </w:rPr>
            </w:pPr>
          </w:p>
        </w:tc>
        <w:tc>
          <w:tcPr>
            <w:tcW w:w="3880" w:type="dxa"/>
            <w:vAlign w:val="bottom"/>
            <w:gridSpan w:val="4"/>
          </w:tcPr>
          <w:p>
            <w:pPr>
              <w:ind w:left="420"/>
              <w:spacing w:after="0"/>
              <w:rPr>
                <w:sz w:val="20"/>
                <w:szCs w:val="20"/>
                <w:color w:val="auto"/>
              </w:rPr>
            </w:pPr>
            <w:r>
              <w:rPr>
                <w:rFonts w:ascii="Times New Roman" w:cs="Times New Roman" w:eastAsia="Times New Roman" w:hAnsi="Times New Roman"/>
                <w:sz w:val="14"/>
                <w:szCs w:val="14"/>
                <w:color w:val="auto"/>
                <w:w w:val="72"/>
              </w:rPr>
              <w:t>SECTION 7.23 Disclosure.............................................................................................</w:t>
            </w: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gridSpan w:val="2"/>
          </w:tcPr>
          <w:p>
            <w:pPr>
              <w:spacing w:after="0"/>
              <w:rPr>
                <w:sz w:val="24"/>
                <w:szCs w:val="24"/>
                <w:color w:val="auto"/>
              </w:rPr>
            </w:pPr>
          </w:p>
        </w:tc>
        <w:tc>
          <w:tcPr>
            <w:tcW w:w="300" w:type="dxa"/>
            <w:vAlign w:val="bottom"/>
            <w:gridSpan w:val="7"/>
          </w:tcPr>
          <w:p>
            <w:pPr>
              <w:jc w:val="right"/>
              <w:spacing w:after="0"/>
              <w:rPr>
                <w:sz w:val="20"/>
                <w:szCs w:val="20"/>
                <w:color w:val="auto"/>
              </w:rPr>
            </w:pPr>
            <w:r>
              <w:rPr>
                <w:rFonts w:ascii="Times New Roman" w:cs="Times New Roman" w:eastAsia="Times New Roman" w:hAnsi="Times New Roman"/>
                <w:sz w:val="20"/>
                <w:szCs w:val="20"/>
                <w:color w:val="FF0000"/>
                <w:strike w:val="1"/>
                <w:w w:val="93"/>
              </w:rPr>
              <w:t>108</w:t>
            </w:r>
          </w:p>
        </w:tc>
        <w:tc>
          <w:tcPr>
            <w:tcW w:w="3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20"/>
                <w:szCs w:val="20"/>
                <w:color w:val="0000FF"/>
                <w:w w:val="86"/>
              </w:rPr>
              <w:t>113</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80" w:type="dxa"/>
            <w:vAlign w:val="bottom"/>
          </w:tcPr>
          <w:p>
            <w:pPr>
              <w:spacing w:after="0"/>
              <w:rPr>
                <w:sz w:val="24"/>
                <w:szCs w:val="24"/>
                <w:color w:val="auto"/>
              </w:rPr>
            </w:pPr>
          </w:p>
        </w:tc>
        <w:tc>
          <w:tcPr>
            <w:tcW w:w="3880" w:type="dxa"/>
            <w:vAlign w:val="bottom"/>
            <w:gridSpan w:val="4"/>
          </w:tcPr>
          <w:p>
            <w:pPr>
              <w:ind w:left="420"/>
              <w:spacing w:after="0"/>
              <w:rPr>
                <w:sz w:val="20"/>
                <w:szCs w:val="20"/>
                <w:color w:val="auto"/>
              </w:rPr>
            </w:pPr>
            <w:r>
              <w:rPr>
                <w:rFonts w:ascii="Times New Roman" w:cs="Times New Roman" w:eastAsia="Times New Roman" w:hAnsi="Times New Roman"/>
                <w:sz w:val="14"/>
                <w:szCs w:val="14"/>
                <w:color w:val="auto"/>
                <w:w w:val="72"/>
              </w:rPr>
              <w:t>SECTION 7.24 Insurance ..............................................................................................</w:t>
            </w: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gridSpan w:val="2"/>
          </w:tcPr>
          <w:p>
            <w:pPr>
              <w:spacing w:after="0"/>
              <w:rPr>
                <w:sz w:val="24"/>
                <w:szCs w:val="24"/>
                <w:color w:val="auto"/>
              </w:rPr>
            </w:pPr>
          </w:p>
        </w:tc>
        <w:tc>
          <w:tcPr>
            <w:tcW w:w="340" w:type="dxa"/>
            <w:vAlign w:val="bottom"/>
            <w:gridSpan w:val="8"/>
          </w:tcPr>
          <w:p>
            <w:pPr>
              <w:jc w:val="right"/>
              <w:spacing w:after="0"/>
              <w:rPr>
                <w:sz w:val="20"/>
                <w:szCs w:val="20"/>
                <w:color w:val="auto"/>
              </w:rPr>
            </w:pPr>
            <w:r>
              <w:rPr>
                <w:rFonts w:ascii="Times New Roman" w:cs="Times New Roman" w:eastAsia="Times New Roman" w:hAnsi="Times New Roman"/>
                <w:sz w:val="20"/>
                <w:szCs w:val="20"/>
                <w:color w:val="FF0000"/>
                <w:strike w:val="1"/>
                <w:w w:val="99"/>
              </w:rPr>
              <w:t>109</w:t>
            </w:r>
          </w:p>
        </w:tc>
        <w:tc>
          <w:tcPr>
            <w:tcW w:w="280" w:type="dxa"/>
            <w:vAlign w:val="bottom"/>
            <w:gridSpan w:val="6"/>
          </w:tcPr>
          <w:p>
            <w:pPr>
              <w:spacing w:after="0"/>
              <w:rPr>
                <w:sz w:val="20"/>
                <w:szCs w:val="20"/>
                <w:color w:val="auto"/>
              </w:rPr>
            </w:pPr>
            <w:r>
              <w:rPr>
                <w:rFonts w:ascii="Times New Roman" w:cs="Times New Roman" w:eastAsia="Times New Roman" w:hAnsi="Times New Roman"/>
                <w:sz w:val="20"/>
                <w:szCs w:val="20"/>
                <w:color w:val="0000FF"/>
                <w:w w:val="86"/>
              </w:rPr>
              <w:t>114</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10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416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w w:val="72"/>
              </w:rPr>
              <w:t>ARTICLE VIII AFFIRMATIVE COVENANTS .............................................................................</w:t>
            </w: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gridSpan w:val="3"/>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gridSpan w:val="2"/>
          </w:tcPr>
          <w:p>
            <w:pPr>
              <w:spacing w:after="0"/>
              <w:rPr>
                <w:sz w:val="24"/>
                <w:szCs w:val="24"/>
                <w:color w:val="auto"/>
              </w:rPr>
            </w:pPr>
          </w:p>
        </w:tc>
        <w:tc>
          <w:tcPr>
            <w:tcW w:w="300" w:type="dxa"/>
            <w:vAlign w:val="bottom"/>
            <w:gridSpan w:val="6"/>
          </w:tcPr>
          <w:p>
            <w:pPr>
              <w:spacing w:after="0"/>
              <w:rPr>
                <w:sz w:val="20"/>
                <w:szCs w:val="20"/>
                <w:color w:val="auto"/>
              </w:rPr>
            </w:pPr>
            <w:r>
              <w:rPr>
                <w:rFonts w:ascii="Times New Roman" w:cs="Times New Roman" w:eastAsia="Times New Roman" w:hAnsi="Times New Roman"/>
                <w:sz w:val="20"/>
                <w:szCs w:val="20"/>
                <w:color w:val="FF0000"/>
                <w:strike w:val="1"/>
                <w:w w:val="86"/>
              </w:rPr>
              <w:t>109</w:t>
            </w:r>
          </w:p>
        </w:tc>
        <w:tc>
          <w:tcPr>
            <w:tcW w:w="320" w:type="dxa"/>
            <w:vAlign w:val="bottom"/>
            <w:gridSpan w:val="5"/>
          </w:tcPr>
          <w:p>
            <w:pPr>
              <w:jc w:val="right"/>
              <w:ind w:right="20"/>
              <w:spacing w:after="0"/>
              <w:rPr>
                <w:sz w:val="20"/>
                <w:szCs w:val="20"/>
                <w:color w:val="auto"/>
              </w:rPr>
            </w:pPr>
            <w:r>
              <w:rPr>
                <w:rFonts w:ascii="Times New Roman" w:cs="Times New Roman" w:eastAsia="Times New Roman" w:hAnsi="Times New Roman"/>
                <w:sz w:val="20"/>
                <w:szCs w:val="20"/>
                <w:color w:val="0000FF"/>
                <w:w w:val="93"/>
              </w:rPr>
              <w:t>114</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280" w:type="dxa"/>
            <w:vAlign w:val="bottom"/>
          </w:tcPr>
          <w:p>
            <w:pPr>
              <w:spacing w:after="0"/>
              <w:rPr>
                <w:sz w:val="24"/>
                <w:szCs w:val="24"/>
                <w:color w:val="auto"/>
              </w:rPr>
            </w:pPr>
          </w:p>
        </w:tc>
        <w:tc>
          <w:tcPr>
            <w:tcW w:w="6700" w:type="dxa"/>
            <w:vAlign w:val="bottom"/>
            <w:gridSpan w:val="17"/>
          </w:tcPr>
          <w:p>
            <w:pPr>
              <w:ind w:left="420"/>
              <w:spacing w:after="0"/>
              <w:rPr>
                <w:sz w:val="20"/>
                <w:szCs w:val="20"/>
                <w:color w:val="auto"/>
              </w:rPr>
            </w:pPr>
            <w:r>
              <w:rPr>
                <w:rFonts w:ascii="Times New Roman" w:cs="Times New Roman" w:eastAsia="Times New Roman" w:hAnsi="Times New Roman"/>
                <w:sz w:val="20"/>
                <w:szCs w:val="20"/>
                <w:color w:val="auto"/>
                <w:w w:val="96"/>
              </w:rPr>
              <w:t>........................................................SECTION8.1FinancialStatementsandBudgets</w:t>
            </w:r>
          </w:p>
        </w:tc>
        <w:tc>
          <w:tcPr>
            <w:tcW w:w="280" w:type="dxa"/>
            <w:vAlign w:val="bottom"/>
          </w:tcPr>
          <w:p>
            <w:pPr>
              <w:spacing w:after="0"/>
              <w:rPr>
                <w:sz w:val="24"/>
                <w:szCs w:val="24"/>
                <w:color w:val="auto"/>
              </w:rPr>
            </w:pPr>
          </w:p>
        </w:tc>
        <w:tc>
          <w:tcPr>
            <w:tcW w:w="440" w:type="dxa"/>
            <w:vAlign w:val="bottom"/>
            <w:gridSpan w:val="7"/>
          </w:tcPr>
          <w:p>
            <w:pPr>
              <w:jc w:val="right"/>
              <w:spacing w:after="0"/>
              <w:rPr>
                <w:sz w:val="20"/>
                <w:szCs w:val="20"/>
                <w:color w:val="auto"/>
              </w:rPr>
            </w:pPr>
            <w:r>
              <w:rPr>
                <w:rFonts w:ascii="Times New Roman" w:cs="Times New Roman" w:eastAsia="Times New Roman" w:hAnsi="Times New Roman"/>
                <w:sz w:val="20"/>
                <w:szCs w:val="20"/>
                <w:color w:val="FF0000"/>
                <w:strike w:val="1"/>
              </w:rPr>
              <w:t>109</w:t>
            </w:r>
          </w:p>
        </w:tc>
        <w:tc>
          <w:tcPr>
            <w:tcW w:w="280" w:type="dxa"/>
            <w:vAlign w:val="bottom"/>
            <w:tcBorders>
              <w:bottom w:val="single" w:sz="8" w:color="0000FF"/>
            </w:tcBorders>
            <w:gridSpan w:val="6"/>
          </w:tcPr>
          <w:p>
            <w:pPr>
              <w:jc w:val="right"/>
              <w:spacing w:after="0"/>
              <w:rPr>
                <w:sz w:val="20"/>
                <w:szCs w:val="20"/>
                <w:color w:val="auto"/>
              </w:rPr>
            </w:pPr>
            <w:r>
              <w:rPr>
                <w:rFonts w:ascii="Times New Roman" w:cs="Times New Roman" w:eastAsia="Times New Roman" w:hAnsi="Times New Roman"/>
                <w:sz w:val="20"/>
                <w:szCs w:val="20"/>
                <w:color w:val="0000FF"/>
                <w:w w:val="86"/>
              </w:rPr>
              <w:t>114</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80" w:type="dxa"/>
            <w:vAlign w:val="bottom"/>
          </w:tcPr>
          <w:p>
            <w:pPr>
              <w:spacing w:after="0"/>
              <w:rPr>
                <w:sz w:val="24"/>
                <w:szCs w:val="24"/>
                <w:color w:val="auto"/>
              </w:rPr>
            </w:pPr>
          </w:p>
        </w:tc>
        <w:tc>
          <w:tcPr>
            <w:tcW w:w="3880" w:type="dxa"/>
            <w:vAlign w:val="bottom"/>
            <w:gridSpan w:val="4"/>
          </w:tcPr>
          <w:p>
            <w:pPr>
              <w:ind w:left="420"/>
              <w:spacing w:after="0"/>
              <w:rPr>
                <w:sz w:val="20"/>
                <w:szCs w:val="20"/>
                <w:color w:val="auto"/>
              </w:rPr>
            </w:pPr>
            <w:r>
              <w:rPr>
                <w:rFonts w:ascii="Times New Roman" w:cs="Times New Roman" w:eastAsia="Times New Roman" w:hAnsi="Times New Roman"/>
                <w:sz w:val="14"/>
                <w:szCs w:val="14"/>
                <w:color w:val="auto"/>
                <w:w w:val="73"/>
              </w:rPr>
              <w:t>SECTION 8.2 Certificates; Other Reports...................................................................</w:t>
            </w: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gridSpan w:val="6"/>
          </w:tcPr>
          <w:p>
            <w:pPr>
              <w:jc w:val="right"/>
              <w:spacing w:after="0"/>
              <w:rPr>
                <w:sz w:val="20"/>
                <w:szCs w:val="20"/>
                <w:color w:val="auto"/>
              </w:rPr>
            </w:pPr>
            <w:r>
              <w:rPr>
                <w:rFonts w:ascii="Times New Roman" w:cs="Times New Roman" w:eastAsia="Times New Roman" w:hAnsi="Times New Roman"/>
                <w:sz w:val="20"/>
                <w:szCs w:val="20"/>
                <w:color w:val="FF0000"/>
                <w:strike w:val="1"/>
              </w:rPr>
              <w:t>110</w:t>
            </w:r>
          </w:p>
        </w:tc>
        <w:tc>
          <w:tcPr>
            <w:tcW w:w="2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20"/>
                <w:szCs w:val="20"/>
                <w:color w:val="0000FF"/>
                <w:w w:val="86"/>
              </w:rPr>
              <w:t>115</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280" w:type="dxa"/>
            <w:vAlign w:val="bottom"/>
          </w:tcPr>
          <w:p>
            <w:pPr>
              <w:spacing w:after="0"/>
              <w:rPr>
                <w:sz w:val="24"/>
                <w:szCs w:val="24"/>
                <w:color w:val="auto"/>
              </w:rPr>
            </w:pPr>
          </w:p>
        </w:tc>
        <w:tc>
          <w:tcPr>
            <w:tcW w:w="6700" w:type="dxa"/>
            <w:vAlign w:val="bottom"/>
            <w:gridSpan w:val="17"/>
          </w:tcPr>
          <w:p>
            <w:pPr>
              <w:ind w:left="420"/>
              <w:spacing w:after="0"/>
              <w:rPr>
                <w:sz w:val="20"/>
                <w:szCs w:val="20"/>
                <w:color w:val="auto"/>
              </w:rPr>
            </w:pPr>
            <w:r>
              <w:rPr>
                <w:rFonts w:ascii="Times New Roman" w:cs="Times New Roman" w:eastAsia="Times New Roman" w:hAnsi="Times New Roman"/>
                <w:sz w:val="20"/>
                <w:szCs w:val="20"/>
                <w:color w:val="auto"/>
                <w:w w:val="92"/>
              </w:rPr>
              <w:t>SECTION 8.3 Notice of Litigation and Other Matters ................................................</w:t>
            </w:r>
          </w:p>
        </w:tc>
        <w:tc>
          <w:tcPr>
            <w:tcW w:w="280" w:type="dxa"/>
            <w:vAlign w:val="bottom"/>
          </w:tcPr>
          <w:p>
            <w:pPr>
              <w:spacing w:after="0"/>
              <w:rPr>
                <w:sz w:val="24"/>
                <w:szCs w:val="24"/>
                <w:color w:val="auto"/>
              </w:rPr>
            </w:pPr>
          </w:p>
        </w:tc>
        <w:tc>
          <w:tcPr>
            <w:tcW w:w="440" w:type="dxa"/>
            <w:vAlign w:val="bottom"/>
            <w:gridSpan w:val="7"/>
          </w:tcPr>
          <w:p>
            <w:pPr>
              <w:jc w:val="right"/>
              <w:spacing w:after="0"/>
              <w:rPr>
                <w:sz w:val="20"/>
                <w:szCs w:val="20"/>
                <w:color w:val="auto"/>
              </w:rPr>
            </w:pPr>
            <w:r>
              <w:rPr>
                <w:rFonts w:ascii="Times New Roman" w:cs="Times New Roman" w:eastAsia="Times New Roman" w:hAnsi="Times New Roman"/>
                <w:sz w:val="20"/>
                <w:szCs w:val="20"/>
                <w:color w:val="FF0000"/>
                <w:strike w:val="1"/>
              </w:rPr>
              <w:t>111</w:t>
            </w:r>
          </w:p>
        </w:tc>
        <w:tc>
          <w:tcPr>
            <w:tcW w:w="3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20"/>
                <w:szCs w:val="20"/>
                <w:color w:val="0000FF"/>
                <w:w w:val="93"/>
              </w:rPr>
              <w:t>117</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80" w:type="dxa"/>
            <w:vAlign w:val="bottom"/>
          </w:tcPr>
          <w:p>
            <w:pPr>
              <w:spacing w:after="0"/>
              <w:rPr>
                <w:sz w:val="24"/>
                <w:szCs w:val="24"/>
                <w:color w:val="auto"/>
              </w:rPr>
            </w:pPr>
          </w:p>
        </w:tc>
        <w:tc>
          <w:tcPr>
            <w:tcW w:w="6700" w:type="dxa"/>
            <w:vAlign w:val="bottom"/>
            <w:gridSpan w:val="17"/>
          </w:tcPr>
          <w:p>
            <w:pPr>
              <w:ind w:left="420"/>
              <w:spacing w:after="0"/>
              <w:rPr>
                <w:sz w:val="20"/>
                <w:szCs w:val="20"/>
                <w:color w:val="auto"/>
              </w:rPr>
            </w:pPr>
            <w:r>
              <w:rPr>
                <w:rFonts w:ascii="Times New Roman" w:cs="Times New Roman" w:eastAsia="Times New Roman" w:hAnsi="Times New Roman"/>
                <w:sz w:val="20"/>
                <w:szCs w:val="20"/>
                <w:color w:val="auto"/>
                <w:w w:val="92"/>
              </w:rPr>
              <w:t>SECTION 8.4 Preservation of Corporate Existence and Related Matters ...................</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gridSpan w:val="7"/>
          </w:tcPr>
          <w:p>
            <w:pPr>
              <w:jc w:val="right"/>
              <w:spacing w:after="0"/>
              <w:rPr>
                <w:sz w:val="20"/>
                <w:szCs w:val="20"/>
                <w:color w:val="auto"/>
              </w:rPr>
            </w:pPr>
            <w:r>
              <w:rPr>
                <w:rFonts w:ascii="Times New Roman" w:cs="Times New Roman" w:eastAsia="Times New Roman" w:hAnsi="Times New Roman"/>
                <w:sz w:val="20"/>
                <w:szCs w:val="20"/>
                <w:color w:val="FF0000"/>
                <w:strike w:val="1"/>
              </w:rPr>
              <w:t>112</w:t>
            </w:r>
          </w:p>
        </w:tc>
        <w:tc>
          <w:tcPr>
            <w:tcW w:w="2940" w:type="dxa"/>
            <w:vAlign w:val="bottom"/>
            <w:gridSpan w:val="11"/>
          </w:tcPr>
          <w:p>
            <w:pPr>
              <w:jc w:val="right"/>
              <w:spacing w:after="0"/>
              <w:rPr>
                <w:sz w:val="20"/>
                <w:szCs w:val="20"/>
                <w:color w:val="auto"/>
              </w:rPr>
            </w:pPr>
            <w:r>
              <w:rPr>
                <w:rFonts w:ascii="Times New Roman" w:cs="Times New Roman" w:eastAsia="Times New Roman" w:hAnsi="Times New Roman"/>
                <w:sz w:val="20"/>
                <w:szCs w:val="20"/>
                <w:color w:val="0000FF"/>
              </w:rPr>
              <w:t xml:space="preserve">118 </w:t>
            </w:r>
            <w:r>
              <w:rPr>
                <w:rFonts w:ascii="Times New Roman" w:cs="Times New Roman" w:eastAsia="Times New Roman" w:hAnsi="Times New Roman"/>
                <w:sz w:val="20"/>
                <w:szCs w:val="20"/>
                <w:color w:val="000000"/>
              </w:rPr>
              <w:t>SECTION 8.5 Maintenance of</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4"/>
            <w:shd w:val="clear" w:color="auto" w:fill="0000FF"/>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80" w:type="dxa"/>
            <w:vAlign w:val="bottom"/>
          </w:tcPr>
          <w:p>
            <w:pPr>
              <w:spacing w:after="0"/>
              <w:rPr>
                <w:sz w:val="24"/>
                <w:szCs w:val="24"/>
                <w:color w:val="auto"/>
              </w:rPr>
            </w:pPr>
          </w:p>
        </w:tc>
        <w:tc>
          <w:tcPr>
            <w:tcW w:w="1660" w:type="dxa"/>
            <w:vAlign w:val="bottom"/>
            <w:gridSpan w:val="2"/>
          </w:tcPr>
          <w:p>
            <w:pPr>
              <w:ind w:left="420"/>
              <w:spacing w:after="0"/>
              <w:rPr>
                <w:sz w:val="20"/>
                <w:szCs w:val="20"/>
                <w:color w:val="auto"/>
              </w:rPr>
            </w:pPr>
            <w:r>
              <w:rPr>
                <w:rFonts w:ascii="Times New Roman" w:cs="Times New Roman" w:eastAsia="Times New Roman" w:hAnsi="Times New Roman"/>
                <w:sz w:val="20"/>
                <w:szCs w:val="20"/>
                <w:color w:val="auto"/>
              </w:rPr>
              <w:t>Property</w:t>
            </w:r>
          </w:p>
        </w:tc>
        <w:tc>
          <w:tcPr>
            <w:tcW w:w="540" w:type="dxa"/>
            <w:vAlign w:val="bottom"/>
          </w:tcPr>
          <w:p>
            <w:pPr>
              <w:spacing w:after="0"/>
              <w:rPr>
                <w:sz w:val="20"/>
                <w:szCs w:val="20"/>
                <w:color w:val="auto"/>
              </w:rPr>
            </w:pPr>
            <w:r>
              <w:rPr>
                <w:rFonts w:ascii="Times New Roman" w:cs="Times New Roman" w:eastAsia="Times New Roman" w:hAnsi="Times New Roman"/>
                <w:sz w:val="20"/>
                <w:szCs w:val="20"/>
                <w:color w:val="auto"/>
              </w:rPr>
              <w:t>and</w:t>
            </w:r>
          </w:p>
        </w:tc>
        <w:tc>
          <w:tcPr>
            <w:tcW w:w="16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86"/>
              </w:rPr>
              <w:t>Licenses</w:t>
            </w:r>
            <w:r>
              <w:rPr>
                <w:rFonts w:ascii="Times New Roman" w:cs="Times New Roman" w:eastAsia="Times New Roman" w:hAnsi="Times New Roman"/>
                <w:sz w:val="5"/>
                <w:szCs w:val="5"/>
                <w:color w:val="auto"/>
                <w:w w:val="86"/>
              </w:rPr>
              <w:t>................................................</w:t>
            </w: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FF0000"/>
                <w:strike w:val="1"/>
                <w:w w:val="93"/>
              </w:rPr>
              <w:t>113</w:t>
            </w:r>
          </w:p>
        </w:tc>
        <w:tc>
          <w:tcPr>
            <w:tcW w:w="34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20"/>
                <w:szCs w:val="20"/>
                <w:color w:val="0000FF"/>
                <w:w w:val="86"/>
              </w:rPr>
              <w:t>118</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FF0000"/>
                <w:strike w:val="1"/>
                <w:w w:val="86"/>
              </w:rPr>
              <w:t>113</w:t>
            </w:r>
          </w:p>
        </w:tc>
        <w:tc>
          <w:tcPr>
            <w:tcW w:w="320" w:type="dxa"/>
            <w:vAlign w:val="bottom"/>
            <w:gridSpan w:val="5"/>
          </w:tcPr>
          <w:p>
            <w:pPr>
              <w:jc w:val="center"/>
              <w:ind w:right="20"/>
              <w:spacing w:after="0"/>
              <w:rPr>
                <w:sz w:val="20"/>
                <w:szCs w:val="20"/>
                <w:color w:val="auto"/>
              </w:rPr>
            </w:pPr>
            <w:r>
              <w:rPr>
                <w:rFonts w:ascii="Times New Roman" w:cs="Times New Roman" w:eastAsia="Times New Roman" w:hAnsi="Times New Roman"/>
                <w:sz w:val="20"/>
                <w:szCs w:val="20"/>
                <w:color w:val="0000FF"/>
                <w:w w:val="99"/>
              </w:rPr>
              <w:t>118</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SECTION</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w:t>
            </w:r>
          </w:p>
        </w:tc>
        <w:tc>
          <w:tcPr>
            <w:tcW w:w="4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Insurance</w:t>
            </w:r>
          </w:p>
        </w:tc>
        <w:tc>
          <w:tcPr>
            <w:tcW w:w="0" w:type="dxa"/>
            <w:vAlign w:val="bottom"/>
          </w:tcPr>
          <w:p>
            <w:pPr>
              <w:spacing w:after="0"/>
              <w:rPr>
                <w:sz w:val="1"/>
                <w:szCs w:val="1"/>
                <w:color w:val="auto"/>
              </w:rPr>
            </w:pPr>
          </w:p>
        </w:tc>
      </w:tr>
      <w:tr>
        <w:trPr>
          <w:trHeight w:val="250"/>
        </w:trPr>
        <w:tc>
          <w:tcPr>
            <w:tcW w:w="2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4"/>
                <w:szCs w:val="4"/>
                <w:color w:val="auto"/>
                <w:w w:val="80"/>
              </w:rPr>
              <w:t>..............................................................................................</w:t>
            </w:r>
          </w:p>
        </w:tc>
        <w:tc>
          <w:tcPr>
            <w:tcW w:w="8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240" w:type="dxa"/>
            <w:vAlign w:val="bottom"/>
            <w:gridSpan w:val="4"/>
            <w:vMerge w:val="restart"/>
          </w:tcPr>
          <w:p>
            <w:pPr>
              <w:spacing w:after="0"/>
              <w:rPr>
                <w:sz w:val="21"/>
                <w:szCs w:val="21"/>
                <w:color w:val="auto"/>
              </w:rPr>
            </w:pPr>
          </w:p>
        </w:tc>
        <w:tc>
          <w:tcPr>
            <w:tcW w:w="300" w:type="dxa"/>
            <w:vAlign w:val="bottom"/>
            <w:gridSpan w:val="2"/>
            <w:vMerge w:val="continue"/>
          </w:tcPr>
          <w:p>
            <w:pPr>
              <w:spacing w:after="0"/>
              <w:rPr>
                <w:sz w:val="21"/>
                <w:szCs w:val="21"/>
                <w:color w:val="auto"/>
              </w:rPr>
            </w:pPr>
          </w:p>
        </w:tc>
        <w:tc>
          <w:tcPr>
            <w:tcW w:w="340" w:type="dxa"/>
            <w:vAlign w:val="bottom"/>
            <w:gridSpan w:val="3"/>
            <w:vMerge w:val="continue"/>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8"/>
        </w:trPr>
        <w:tc>
          <w:tcPr>
            <w:tcW w:w="280" w:type="dxa"/>
            <w:vAlign w:val="bottom"/>
          </w:tcPr>
          <w:p>
            <w:pPr>
              <w:spacing w:after="0"/>
              <w:rPr>
                <w:sz w:val="5"/>
                <w:szCs w:val="5"/>
                <w:color w:val="auto"/>
              </w:rPr>
            </w:pPr>
          </w:p>
        </w:tc>
        <w:tc>
          <w:tcPr>
            <w:tcW w:w="780" w:type="dxa"/>
            <w:vAlign w:val="bottom"/>
          </w:tcPr>
          <w:p>
            <w:pPr>
              <w:spacing w:after="0"/>
              <w:rPr>
                <w:sz w:val="5"/>
                <w:szCs w:val="5"/>
                <w:color w:val="auto"/>
              </w:rPr>
            </w:pPr>
          </w:p>
        </w:tc>
        <w:tc>
          <w:tcPr>
            <w:tcW w:w="8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240" w:type="dxa"/>
            <w:vAlign w:val="bottom"/>
            <w:gridSpan w:val="4"/>
            <w:vMerge w:val="continue"/>
          </w:tcPr>
          <w:p>
            <w:pPr>
              <w:spacing w:after="0"/>
              <w:rPr>
                <w:sz w:val="5"/>
                <w:szCs w:val="5"/>
                <w:color w:val="auto"/>
              </w:rPr>
            </w:pPr>
          </w:p>
        </w:tc>
        <w:tc>
          <w:tcPr>
            <w:tcW w:w="300" w:type="dxa"/>
            <w:vAlign w:val="bottom"/>
            <w:gridSpan w:val="2"/>
            <w:vMerge w:val="continue"/>
          </w:tcPr>
          <w:p>
            <w:pPr>
              <w:spacing w:after="0"/>
              <w:rPr>
                <w:sz w:val="5"/>
                <w:szCs w:val="5"/>
                <w:color w:val="auto"/>
              </w:rPr>
            </w:pPr>
          </w:p>
        </w:tc>
        <w:tc>
          <w:tcPr>
            <w:tcW w:w="340" w:type="dxa"/>
            <w:vAlign w:val="bottom"/>
            <w:gridSpan w:val="3"/>
            <w:vMerge w:val="continue"/>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30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580" w:type="dxa"/>
            <w:vAlign w:val="bottom"/>
          </w:tcPr>
          <w:p>
            <w:pPr>
              <w:spacing w:after="0"/>
              <w:rPr>
                <w:sz w:val="5"/>
                <w:szCs w:val="5"/>
                <w:color w:val="auto"/>
              </w:rPr>
            </w:pPr>
          </w:p>
        </w:tc>
        <w:tc>
          <w:tcPr>
            <w:tcW w:w="46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40" w:type="dxa"/>
            <w:vAlign w:val="bottom"/>
            <w:gridSpan w:val="9"/>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80" w:type="dxa"/>
            <w:vAlign w:val="bottom"/>
          </w:tcPr>
          <w:p>
            <w:pPr>
              <w:spacing w:after="0"/>
              <w:rPr>
                <w:sz w:val="22"/>
                <w:szCs w:val="22"/>
                <w:color w:val="auto"/>
              </w:rPr>
            </w:pPr>
          </w:p>
        </w:tc>
        <w:tc>
          <w:tcPr>
            <w:tcW w:w="6700" w:type="dxa"/>
            <w:vAlign w:val="bottom"/>
            <w:gridSpan w:val="17"/>
          </w:tcPr>
          <w:p>
            <w:pPr>
              <w:ind w:left="420"/>
              <w:spacing w:after="0"/>
              <w:rPr>
                <w:sz w:val="20"/>
                <w:szCs w:val="20"/>
                <w:color w:val="auto"/>
              </w:rPr>
            </w:pPr>
            <w:r>
              <w:rPr>
                <w:rFonts w:ascii="Times New Roman" w:cs="Times New Roman" w:eastAsia="Times New Roman" w:hAnsi="Times New Roman"/>
                <w:sz w:val="20"/>
                <w:szCs w:val="20"/>
                <w:color w:val="auto"/>
                <w:w w:val="93"/>
              </w:rPr>
              <w:t>SECTION 8.7 Accounting Methods and Financial Records........................................</w:t>
            </w:r>
          </w:p>
        </w:tc>
        <w:tc>
          <w:tcPr>
            <w:tcW w:w="280" w:type="dxa"/>
            <w:vAlign w:val="bottom"/>
          </w:tcPr>
          <w:p>
            <w:pPr>
              <w:spacing w:after="0"/>
              <w:rPr>
                <w:sz w:val="22"/>
                <w:szCs w:val="22"/>
                <w:color w:val="auto"/>
              </w:rPr>
            </w:pPr>
          </w:p>
        </w:tc>
        <w:tc>
          <w:tcPr>
            <w:tcW w:w="440" w:type="dxa"/>
            <w:vAlign w:val="bottom"/>
            <w:gridSpan w:val="7"/>
          </w:tcPr>
          <w:p>
            <w:pPr>
              <w:jc w:val="right"/>
              <w:spacing w:after="0"/>
              <w:rPr>
                <w:sz w:val="20"/>
                <w:szCs w:val="20"/>
                <w:color w:val="auto"/>
              </w:rPr>
            </w:pPr>
            <w:r>
              <w:rPr>
                <w:rFonts w:ascii="Times New Roman" w:cs="Times New Roman" w:eastAsia="Times New Roman" w:hAnsi="Times New Roman"/>
                <w:sz w:val="20"/>
                <w:szCs w:val="20"/>
                <w:color w:val="FF0000"/>
                <w:strike w:val="1"/>
              </w:rPr>
              <w:t>113</w:t>
            </w:r>
          </w:p>
        </w:tc>
        <w:tc>
          <w:tcPr>
            <w:tcW w:w="280" w:type="dxa"/>
            <w:vAlign w:val="bottom"/>
            <w:tcBorders>
              <w:bottom w:val="single" w:sz="8" w:color="0000FF"/>
            </w:tcBorders>
            <w:gridSpan w:val="6"/>
          </w:tcPr>
          <w:p>
            <w:pPr>
              <w:jc w:val="right"/>
              <w:spacing w:after="0"/>
              <w:rPr>
                <w:sz w:val="20"/>
                <w:szCs w:val="20"/>
                <w:color w:val="auto"/>
              </w:rPr>
            </w:pPr>
            <w:r>
              <w:rPr>
                <w:rFonts w:ascii="Times New Roman" w:cs="Times New Roman" w:eastAsia="Times New Roman" w:hAnsi="Times New Roman"/>
                <w:sz w:val="20"/>
                <w:szCs w:val="20"/>
                <w:color w:val="0000FF"/>
                <w:w w:val="86"/>
              </w:rPr>
              <w:t>118</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280" w:type="dxa"/>
            <w:vAlign w:val="bottom"/>
          </w:tcPr>
          <w:p>
            <w:pPr>
              <w:spacing w:after="0"/>
              <w:rPr>
                <w:sz w:val="24"/>
                <w:szCs w:val="24"/>
                <w:color w:val="auto"/>
              </w:rPr>
            </w:pPr>
          </w:p>
        </w:tc>
        <w:tc>
          <w:tcPr>
            <w:tcW w:w="6700" w:type="dxa"/>
            <w:vAlign w:val="bottom"/>
            <w:gridSpan w:val="17"/>
          </w:tcPr>
          <w:p>
            <w:pPr>
              <w:ind w:left="420"/>
              <w:spacing w:after="0"/>
              <w:rPr>
                <w:sz w:val="20"/>
                <w:szCs w:val="20"/>
                <w:color w:val="auto"/>
              </w:rPr>
            </w:pPr>
            <w:r>
              <w:rPr>
                <w:rFonts w:ascii="Times New Roman" w:cs="Times New Roman" w:eastAsia="Times New Roman" w:hAnsi="Times New Roman"/>
                <w:sz w:val="20"/>
                <w:szCs w:val="20"/>
                <w:color w:val="auto"/>
                <w:w w:val="93"/>
              </w:rPr>
              <w:t>SECTION 8.8 Payment of Taxes and Other Obligations.............................................</w:t>
            </w:r>
          </w:p>
        </w:tc>
        <w:tc>
          <w:tcPr>
            <w:tcW w:w="280" w:type="dxa"/>
            <w:vAlign w:val="bottom"/>
          </w:tcPr>
          <w:p>
            <w:pPr>
              <w:spacing w:after="0"/>
              <w:rPr>
                <w:sz w:val="24"/>
                <w:szCs w:val="24"/>
                <w:color w:val="auto"/>
              </w:rPr>
            </w:pPr>
          </w:p>
        </w:tc>
        <w:tc>
          <w:tcPr>
            <w:tcW w:w="420" w:type="dxa"/>
            <w:vAlign w:val="bottom"/>
            <w:gridSpan w:val="6"/>
          </w:tcPr>
          <w:p>
            <w:pPr>
              <w:jc w:val="right"/>
              <w:spacing w:after="0"/>
              <w:rPr>
                <w:sz w:val="20"/>
                <w:szCs w:val="20"/>
                <w:color w:val="auto"/>
              </w:rPr>
            </w:pPr>
            <w:r>
              <w:rPr>
                <w:rFonts w:ascii="Times New Roman" w:cs="Times New Roman" w:eastAsia="Times New Roman" w:hAnsi="Times New Roman"/>
                <w:sz w:val="20"/>
                <w:szCs w:val="20"/>
                <w:color w:val="FF0000"/>
                <w:strike w:val="1"/>
              </w:rPr>
              <w:t>113</w:t>
            </w:r>
          </w:p>
        </w:tc>
        <w:tc>
          <w:tcPr>
            <w:tcW w:w="20" w:type="dxa"/>
            <w:vAlign w:val="bottom"/>
          </w:tcPr>
          <w:p>
            <w:pPr>
              <w:spacing w:after="0"/>
              <w:rPr>
                <w:sz w:val="24"/>
                <w:szCs w:val="24"/>
                <w:color w:val="auto"/>
              </w:rPr>
            </w:pPr>
          </w:p>
        </w:tc>
        <w:tc>
          <w:tcPr>
            <w:tcW w:w="2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20"/>
                <w:szCs w:val="20"/>
                <w:color w:val="0000FF"/>
                <w:w w:val="79"/>
              </w:rPr>
              <w:t>118</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280" w:type="dxa"/>
            <w:vAlign w:val="bottom"/>
          </w:tcPr>
          <w:p>
            <w:pPr>
              <w:spacing w:after="0"/>
              <w:rPr>
                <w:sz w:val="24"/>
                <w:szCs w:val="24"/>
                <w:color w:val="auto"/>
              </w:rPr>
            </w:pPr>
          </w:p>
        </w:tc>
        <w:tc>
          <w:tcPr>
            <w:tcW w:w="6700" w:type="dxa"/>
            <w:vAlign w:val="bottom"/>
            <w:gridSpan w:val="17"/>
          </w:tcPr>
          <w:p>
            <w:pPr>
              <w:ind w:left="420"/>
              <w:spacing w:after="0"/>
              <w:rPr>
                <w:sz w:val="20"/>
                <w:szCs w:val="20"/>
                <w:color w:val="auto"/>
              </w:rPr>
            </w:pPr>
            <w:r>
              <w:rPr>
                <w:rFonts w:ascii="Times New Roman" w:cs="Times New Roman" w:eastAsia="Times New Roman" w:hAnsi="Times New Roman"/>
                <w:sz w:val="20"/>
                <w:szCs w:val="20"/>
                <w:color w:val="auto"/>
                <w:w w:val="93"/>
              </w:rPr>
              <w:t>SECTION 8.9 Compliance with Laws and Approvals ................................................</w:t>
            </w:r>
          </w:p>
        </w:tc>
        <w:tc>
          <w:tcPr>
            <w:tcW w:w="280" w:type="dxa"/>
            <w:vAlign w:val="bottom"/>
          </w:tcPr>
          <w:p>
            <w:pPr>
              <w:spacing w:after="0"/>
              <w:rPr>
                <w:sz w:val="24"/>
                <w:szCs w:val="24"/>
                <w:color w:val="auto"/>
              </w:rPr>
            </w:pPr>
          </w:p>
        </w:tc>
        <w:tc>
          <w:tcPr>
            <w:tcW w:w="440" w:type="dxa"/>
            <w:vAlign w:val="bottom"/>
            <w:gridSpan w:val="7"/>
          </w:tcPr>
          <w:p>
            <w:pPr>
              <w:jc w:val="right"/>
              <w:spacing w:after="0"/>
              <w:rPr>
                <w:sz w:val="20"/>
                <w:szCs w:val="20"/>
                <w:color w:val="auto"/>
              </w:rPr>
            </w:pPr>
            <w:r>
              <w:rPr>
                <w:rFonts w:ascii="Times New Roman" w:cs="Times New Roman" w:eastAsia="Times New Roman" w:hAnsi="Times New Roman"/>
                <w:sz w:val="20"/>
                <w:szCs w:val="20"/>
                <w:color w:val="FF0000"/>
                <w:strike w:val="1"/>
              </w:rPr>
              <w:t>113</w:t>
            </w:r>
          </w:p>
        </w:tc>
        <w:tc>
          <w:tcPr>
            <w:tcW w:w="280" w:type="dxa"/>
            <w:vAlign w:val="bottom"/>
            <w:tcBorders>
              <w:bottom w:val="single" w:sz="8" w:color="0000FF"/>
            </w:tcBorders>
            <w:gridSpan w:val="6"/>
          </w:tcPr>
          <w:p>
            <w:pPr>
              <w:jc w:val="right"/>
              <w:spacing w:after="0"/>
              <w:rPr>
                <w:sz w:val="20"/>
                <w:szCs w:val="20"/>
                <w:color w:val="auto"/>
              </w:rPr>
            </w:pPr>
            <w:r>
              <w:rPr>
                <w:rFonts w:ascii="Times New Roman" w:cs="Times New Roman" w:eastAsia="Times New Roman" w:hAnsi="Times New Roman"/>
                <w:sz w:val="20"/>
                <w:szCs w:val="20"/>
                <w:color w:val="0000FF"/>
                <w:w w:val="86"/>
              </w:rPr>
              <w:t>119</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7"/>
        </w:trPr>
        <w:tc>
          <w:tcPr>
            <w:tcW w:w="2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iii</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FF0000"/>
                <w:strike w:val="1"/>
                <w:w w:val="98"/>
              </w:rPr>
              <w:t>146960219_6</w:t>
            </w: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280" w:type="dxa"/>
            <w:vAlign w:val="bottom"/>
            <w:vMerge w:val="continue"/>
          </w:tcPr>
          <w:p>
            <w:pPr>
              <w:spacing w:after="0"/>
              <w:rPr>
                <w:sz w:val="13"/>
                <w:szCs w:val="13"/>
                <w:color w:val="auto"/>
              </w:rPr>
            </w:pPr>
          </w:p>
        </w:tc>
        <w:tc>
          <w:tcPr>
            <w:tcW w:w="780" w:type="dxa"/>
            <w:vAlign w:val="bottom"/>
            <w:tcBorders>
              <w:bottom w:val="single" w:sz="8" w:color="0000FF"/>
            </w:tcBorders>
          </w:tcPr>
          <w:p>
            <w:pPr>
              <w:jc w:val="right"/>
              <w:spacing w:after="0" w:line="158" w:lineRule="exact"/>
              <w:rPr>
                <w:sz w:val="20"/>
                <w:szCs w:val="20"/>
                <w:color w:val="auto"/>
              </w:rPr>
            </w:pPr>
            <w:r>
              <w:rPr>
                <w:rFonts w:ascii="Times New Roman" w:cs="Times New Roman" w:eastAsia="Times New Roman" w:hAnsi="Times New Roman"/>
                <w:sz w:val="14"/>
                <w:szCs w:val="14"/>
                <w:color w:val="0000FF"/>
                <w:w w:val="98"/>
              </w:rPr>
              <w:t>165457743_4</w:t>
            </w:r>
          </w:p>
        </w:tc>
        <w:tc>
          <w:tcPr>
            <w:tcW w:w="8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60" w:top="1085" w:right="439" w:bottom="1440" w:gutter="0" w:footer="0" w:header="0"/>
        </w:sectPr>
      </w:pPr>
    </w:p>
    <w:bookmarkStart w:id="79" w:name="page80"/>
    <w:bookmarkEnd w:id="79"/>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62"/>
        </w:trPr>
        <w:tc>
          <w:tcPr>
            <w:tcW w:w="17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2220" w:type="dxa"/>
            <w:vAlign w:val="bottom"/>
            <w:gridSpan w:val="19"/>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w w:val="98"/>
              </w:rPr>
              <w:t>TABLE OF CONTENTS</w:t>
            </w: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27"/>
        </w:trPr>
        <w:tc>
          <w:tcPr>
            <w:tcW w:w="17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Page</w:t>
            </w:r>
          </w:p>
        </w:tc>
        <w:tc>
          <w:tcPr>
            <w:tcW w:w="0" w:type="dxa"/>
            <w:vAlign w:val="bottom"/>
          </w:tcPr>
          <w:p>
            <w:pPr>
              <w:spacing w:after="0"/>
              <w:rPr>
                <w:sz w:val="1"/>
                <w:szCs w:val="1"/>
                <w:color w:val="auto"/>
              </w:rPr>
            </w:pPr>
          </w:p>
        </w:tc>
      </w:tr>
      <w:tr>
        <w:trPr>
          <w:trHeight w:val="642"/>
        </w:trPr>
        <w:tc>
          <w:tcPr>
            <w:tcW w:w="4460" w:type="dxa"/>
            <w:vAlign w:val="bottom"/>
            <w:gridSpan w:val="3"/>
          </w:tcPr>
          <w:p>
            <w:pPr>
              <w:ind w:left="640"/>
              <w:spacing w:after="0"/>
              <w:rPr>
                <w:sz w:val="20"/>
                <w:szCs w:val="20"/>
                <w:color w:val="auto"/>
              </w:rPr>
            </w:pPr>
            <w:r>
              <w:rPr>
                <w:rFonts w:ascii="Times New Roman" w:cs="Times New Roman" w:eastAsia="Times New Roman" w:hAnsi="Times New Roman"/>
                <w:sz w:val="15"/>
                <w:szCs w:val="15"/>
                <w:color w:val="auto"/>
                <w:w w:val="74"/>
              </w:rPr>
              <w:t>SECTION 8.10 Environmental Laws ............................................................................</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FF0000"/>
                <w:strike w:val="1"/>
                <w:w w:val="86"/>
              </w:rPr>
              <w:t>113</w:t>
            </w:r>
          </w:p>
        </w:tc>
        <w:tc>
          <w:tcPr>
            <w:tcW w:w="3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20"/>
                <w:szCs w:val="20"/>
                <w:color w:val="0000FF"/>
                <w:w w:val="93"/>
              </w:rPr>
              <w:t>119</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6680" w:type="dxa"/>
            <w:vAlign w:val="bottom"/>
            <w:gridSpan w:val="22"/>
          </w:tcPr>
          <w:p>
            <w:pPr>
              <w:ind w:left="640"/>
              <w:spacing w:after="0"/>
              <w:rPr>
                <w:sz w:val="20"/>
                <w:szCs w:val="20"/>
                <w:color w:val="auto"/>
              </w:rPr>
            </w:pPr>
            <w:r>
              <w:rPr>
                <w:rFonts w:ascii="Times New Roman" w:cs="Times New Roman" w:eastAsia="Times New Roman" w:hAnsi="Times New Roman"/>
                <w:sz w:val="20"/>
                <w:szCs w:val="20"/>
                <w:color w:val="auto"/>
                <w:w w:val="88"/>
              </w:rPr>
              <w:t>SECTION 8.11 Compliance with ERISA and Canadian Pension Laws........................</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gridSpan w:val="6"/>
          </w:tcPr>
          <w:p>
            <w:pPr>
              <w:jc w:val="right"/>
              <w:spacing w:after="0"/>
              <w:rPr>
                <w:sz w:val="20"/>
                <w:szCs w:val="20"/>
                <w:color w:val="auto"/>
              </w:rPr>
            </w:pPr>
            <w:r>
              <w:rPr>
                <w:rFonts w:ascii="Times New Roman" w:cs="Times New Roman" w:eastAsia="Times New Roman" w:hAnsi="Times New Roman"/>
                <w:sz w:val="20"/>
                <w:szCs w:val="20"/>
                <w:color w:val="FF0000"/>
                <w:strike w:val="1"/>
                <w:w w:val="93"/>
              </w:rPr>
              <w:t>114</w:t>
            </w:r>
          </w:p>
        </w:tc>
        <w:tc>
          <w:tcPr>
            <w:tcW w:w="3260" w:type="dxa"/>
            <w:vAlign w:val="bottom"/>
            <w:gridSpan w:val="16"/>
          </w:tcPr>
          <w:p>
            <w:pPr>
              <w:jc w:val="right"/>
              <w:spacing w:after="0"/>
              <w:rPr>
                <w:sz w:val="20"/>
                <w:szCs w:val="20"/>
                <w:color w:val="auto"/>
              </w:rPr>
            </w:pPr>
            <w:r>
              <w:rPr>
                <w:rFonts w:ascii="Times New Roman" w:cs="Times New Roman" w:eastAsia="Times New Roman" w:hAnsi="Times New Roman"/>
                <w:sz w:val="20"/>
                <w:szCs w:val="20"/>
                <w:color w:val="0000FF"/>
                <w:w w:val="97"/>
              </w:rPr>
              <w:t xml:space="preserve">119 </w:t>
            </w:r>
            <w:r>
              <w:rPr>
                <w:rFonts w:ascii="Times New Roman" w:cs="Times New Roman" w:eastAsia="Times New Roman" w:hAnsi="Times New Roman"/>
                <w:sz w:val="20"/>
                <w:szCs w:val="20"/>
                <w:color w:val="000000"/>
                <w:w w:val="97"/>
              </w:rPr>
              <w:t>SECTION 8.12 Maintenance of Debt</w:t>
            </w:r>
          </w:p>
        </w:tc>
        <w:tc>
          <w:tcPr>
            <w:tcW w:w="0" w:type="dxa"/>
            <w:vAlign w:val="bottom"/>
          </w:tcPr>
          <w:p>
            <w:pPr>
              <w:spacing w:after="0"/>
              <w:rPr>
                <w:sz w:val="1"/>
                <w:szCs w:val="1"/>
                <w:color w:val="auto"/>
              </w:rPr>
            </w:pPr>
          </w:p>
        </w:tc>
      </w:tr>
      <w:tr>
        <w:trPr>
          <w:trHeight w:val="304"/>
        </w:trPr>
        <w:tc>
          <w:tcPr>
            <w:tcW w:w="1760" w:type="dxa"/>
            <w:vAlign w:val="bottom"/>
          </w:tcPr>
          <w:p>
            <w:pPr>
              <w:ind w:left="640"/>
              <w:spacing w:after="0"/>
              <w:rPr>
                <w:sz w:val="20"/>
                <w:szCs w:val="20"/>
                <w:color w:val="auto"/>
              </w:rPr>
            </w:pPr>
            <w:r>
              <w:rPr>
                <w:rFonts w:ascii="Times New Roman" w:cs="Times New Roman" w:eastAsia="Times New Roman" w:hAnsi="Times New Roman"/>
                <w:sz w:val="8"/>
                <w:szCs w:val="8"/>
                <w:color w:val="auto"/>
                <w:w w:val="72"/>
              </w:rPr>
              <w:t>Ratings ...............................................................</w:t>
            </w:r>
          </w:p>
        </w:tc>
        <w:tc>
          <w:tcPr>
            <w:tcW w:w="1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FF0000"/>
                <w:strike w:val="1"/>
                <w:w w:val="93"/>
              </w:rPr>
              <w:t>114</w:t>
            </w:r>
          </w:p>
        </w:tc>
        <w:tc>
          <w:tcPr>
            <w:tcW w:w="300" w:type="dxa"/>
            <w:vAlign w:val="bottom"/>
            <w:gridSpan w:val="4"/>
          </w:tcPr>
          <w:p>
            <w:pPr>
              <w:jc w:val="right"/>
              <w:ind w:right="20"/>
              <w:spacing w:after="0"/>
              <w:rPr>
                <w:sz w:val="20"/>
                <w:szCs w:val="20"/>
                <w:color w:val="auto"/>
              </w:rPr>
            </w:pPr>
            <w:r>
              <w:rPr>
                <w:rFonts w:ascii="Times New Roman" w:cs="Times New Roman" w:eastAsia="Times New Roman" w:hAnsi="Times New Roman"/>
                <w:sz w:val="20"/>
                <w:szCs w:val="20"/>
                <w:color w:val="0000FF"/>
                <w:w w:val="86"/>
              </w:rPr>
              <w:t>119</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46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auto"/>
              </w:rPr>
              <w:t>...........................................................................SECTION8.13VisitsandInspections</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80" w:type="dxa"/>
            <w:vAlign w:val="bottom"/>
            <w:gridSpan w:val="6"/>
          </w:tcPr>
          <w:p>
            <w:pPr>
              <w:ind w:left="80"/>
              <w:spacing w:after="0"/>
              <w:rPr>
                <w:sz w:val="20"/>
                <w:szCs w:val="20"/>
                <w:color w:val="auto"/>
              </w:rPr>
            </w:pPr>
            <w:r>
              <w:rPr>
                <w:rFonts w:ascii="Times New Roman" w:cs="Times New Roman" w:eastAsia="Times New Roman" w:hAnsi="Times New Roman"/>
                <w:sz w:val="20"/>
                <w:szCs w:val="20"/>
                <w:color w:val="FF0000"/>
                <w:strike w:val="1"/>
                <w:w w:val="93"/>
              </w:rPr>
              <w:t>114</w:t>
            </w:r>
          </w:p>
        </w:tc>
        <w:tc>
          <w:tcPr>
            <w:tcW w:w="280" w:type="dxa"/>
            <w:vAlign w:val="bottom"/>
            <w:gridSpan w:val="5"/>
          </w:tcPr>
          <w:p>
            <w:pPr>
              <w:spacing w:after="0"/>
              <w:rPr>
                <w:sz w:val="20"/>
                <w:szCs w:val="20"/>
                <w:color w:val="auto"/>
              </w:rPr>
            </w:pPr>
            <w:r>
              <w:rPr>
                <w:rFonts w:ascii="Times New Roman" w:cs="Times New Roman" w:eastAsia="Times New Roman" w:hAnsi="Times New Roman"/>
                <w:sz w:val="20"/>
                <w:szCs w:val="20"/>
                <w:color w:val="0000FF"/>
                <w:w w:val="86"/>
              </w:rPr>
              <w:t>119</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4"/>
        </w:trPr>
        <w:tc>
          <w:tcPr>
            <w:tcW w:w="6680" w:type="dxa"/>
            <w:vAlign w:val="bottom"/>
            <w:gridSpan w:val="22"/>
          </w:tcPr>
          <w:p>
            <w:pPr>
              <w:ind w:left="640"/>
              <w:spacing w:after="0"/>
              <w:rPr>
                <w:sz w:val="20"/>
                <w:szCs w:val="20"/>
                <w:color w:val="auto"/>
              </w:rPr>
            </w:pPr>
            <w:r>
              <w:rPr>
                <w:rFonts w:ascii="Times New Roman" w:cs="Times New Roman" w:eastAsia="Times New Roman" w:hAnsi="Times New Roman"/>
                <w:sz w:val="20"/>
                <w:szCs w:val="20"/>
                <w:color w:val="auto"/>
                <w:w w:val="85"/>
              </w:rPr>
              <w:t>SECTION  8.14  Additional  Subsidiaries  and  Collateral.................................................</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FF0000"/>
                <w:strike w:val="1"/>
                <w:w w:val="99"/>
              </w:rPr>
              <w:t>115</w:t>
            </w:r>
          </w:p>
        </w:tc>
        <w:tc>
          <w:tcPr>
            <w:tcW w:w="30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20"/>
                <w:szCs w:val="20"/>
                <w:color w:val="0000FF"/>
                <w:w w:val="93"/>
              </w:rPr>
              <w:t>120</w:t>
            </w:r>
          </w:p>
        </w:tc>
        <w:tc>
          <w:tcPr>
            <w:tcW w:w="1000" w:type="dxa"/>
            <w:vAlign w:val="bottom"/>
          </w:tcPr>
          <w:p>
            <w:pPr>
              <w:ind w:left="160"/>
              <w:spacing w:after="0"/>
              <w:rPr>
                <w:sz w:val="20"/>
                <w:szCs w:val="20"/>
                <w:color w:val="auto"/>
              </w:rPr>
            </w:pPr>
            <w:r>
              <w:rPr>
                <w:rFonts w:ascii="Times New Roman" w:cs="Times New Roman" w:eastAsia="Times New Roman" w:hAnsi="Times New Roman"/>
                <w:sz w:val="20"/>
                <w:szCs w:val="20"/>
                <w:color w:val="auto"/>
                <w:w w:val="97"/>
              </w:rPr>
              <w:t>SECTION</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8.15</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Use  of</w:t>
            </w:r>
          </w:p>
        </w:tc>
        <w:tc>
          <w:tcPr>
            <w:tcW w:w="0" w:type="dxa"/>
            <w:vAlign w:val="bottom"/>
          </w:tcPr>
          <w:p>
            <w:pPr>
              <w:spacing w:after="0"/>
              <w:rPr>
                <w:sz w:val="1"/>
                <w:szCs w:val="1"/>
                <w:color w:val="auto"/>
              </w:rPr>
            </w:pPr>
          </w:p>
        </w:tc>
      </w:tr>
      <w:tr>
        <w:trPr>
          <w:trHeight w:val="331"/>
        </w:trPr>
        <w:tc>
          <w:tcPr>
            <w:tcW w:w="1760" w:type="dxa"/>
            <w:vAlign w:val="bottom"/>
          </w:tcPr>
          <w:p>
            <w:pPr>
              <w:ind w:left="640"/>
              <w:spacing w:after="0"/>
              <w:rPr>
                <w:sz w:val="20"/>
                <w:szCs w:val="20"/>
                <w:color w:val="auto"/>
              </w:rPr>
            </w:pPr>
            <w:r>
              <w:rPr>
                <w:rFonts w:ascii="Times New Roman" w:cs="Times New Roman" w:eastAsia="Times New Roman" w:hAnsi="Times New Roman"/>
                <w:sz w:val="5"/>
                <w:szCs w:val="5"/>
                <w:color w:val="auto"/>
                <w:w w:val="89"/>
              </w:rPr>
              <w:t>....................................................................................Proceeds</w:t>
            </w:r>
          </w:p>
        </w:tc>
        <w:tc>
          <w:tcPr>
            <w:tcW w:w="1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gridSpan w:val="2"/>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FF0000"/>
                <w:strike w:val="1"/>
                <w:w w:val="93"/>
              </w:rPr>
              <w:t>116</w:t>
            </w:r>
          </w:p>
        </w:tc>
        <w:tc>
          <w:tcPr>
            <w:tcW w:w="38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0000FF"/>
                <w:w w:val="93"/>
              </w:rPr>
              <w:t>122</w:t>
            </w: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4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..........................................................................SECTION8.16CorporateGovernance</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80" w:type="dxa"/>
            <w:vAlign w:val="bottom"/>
            <w:gridSpan w:val="6"/>
          </w:tcPr>
          <w:p>
            <w:pPr>
              <w:jc w:val="right"/>
              <w:spacing w:after="0"/>
              <w:rPr>
                <w:sz w:val="20"/>
                <w:szCs w:val="20"/>
                <w:color w:val="auto"/>
              </w:rPr>
            </w:pPr>
            <w:r>
              <w:rPr>
                <w:rFonts w:ascii="Times New Roman" w:cs="Times New Roman" w:eastAsia="Times New Roman" w:hAnsi="Times New Roman"/>
                <w:sz w:val="20"/>
                <w:szCs w:val="20"/>
                <w:color w:val="FF0000"/>
                <w:strike w:val="1"/>
              </w:rPr>
              <w:t>117</w:t>
            </w:r>
          </w:p>
        </w:tc>
        <w:tc>
          <w:tcPr>
            <w:tcW w:w="320" w:type="dxa"/>
            <w:vAlign w:val="bottom"/>
            <w:gridSpan w:val="6"/>
          </w:tcPr>
          <w:p>
            <w:pPr>
              <w:spacing w:after="0"/>
              <w:rPr>
                <w:sz w:val="20"/>
                <w:szCs w:val="20"/>
                <w:color w:val="auto"/>
              </w:rPr>
            </w:pPr>
            <w:r>
              <w:rPr>
                <w:rFonts w:ascii="Times New Roman" w:cs="Times New Roman" w:eastAsia="Times New Roman" w:hAnsi="Times New Roman"/>
                <w:sz w:val="20"/>
                <w:szCs w:val="20"/>
                <w:color w:val="0000FF"/>
                <w:w w:val="93"/>
              </w:rPr>
              <w:t>122</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1"/>
        </w:trPr>
        <w:tc>
          <w:tcPr>
            <w:tcW w:w="4460" w:type="dxa"/>
            <w:vAlign w:val="bottom"/>
            <w:gridSpan w:val="3"/>
          </w:tcPr>
          <w:p>
            <w:pPr>
              <w:ind w:left="640"/>
              <w:spacing w:after="0"/>
              <w:rPr>
                <w:sz w:val="20"/>
                <w:szCs w:val="20"/>
                <w:color w:val="auto"/>
              </w:rPr>
            </w:pPr>
            <w:r>
              <w:rPr>
                <w:rFonts w:ascii="Times New Roman" w:cs="Times New Roman" w:eastAsia="Times New Roman" w:hAnsi="Times New Roman"/>
                <w:sz w:val="15"/>
                <w:szCs w:val="15"/>
                <w:color w:val="auto"/>
                <w:w w:val="74"/>
              </w:rPr>
              <w:t>SECTION 8.17 Further Assurances...............................................................................</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gridSpan w:val="5"/>
          </w:tcPr>
          <w:p>
            <w:pPr>
              <w:ind w:left="80"/>
              <w:spacing w:after="0"/>
              <w:rPr>
                <w:sz w:val="20"/>
                <w:szCs w:val="20"/>
                <w:color w:val="auto"/>
              </w:rPr>
            </w:pPr>
            <w:r>
              <w:rPr>
                <w:rFonts w:ascii="Times New Roman" w:cs="Times New Roman" w:eastAsia="Times New Roman" w:hAnsi="Times New Roman"/>
                <w:sz w:val="20"/>
                <w:szCs w:val="20"/>
                <w:color w:val="FF0000"/>
                <w:strike w:val="1"/>
                <w:w w:val="86"/>
              </w:rPr>
              <w:t>117</w:t>
            </w:r>
          </w:p>
        </w:tc>
        <w:tc>
          <w:tcPr>
            <w:tcW w:w="340" w:type="dxa"/>
            <w:vAlign w:val="bottom"/>
            <w:tcBorders>
              <w:top w:val="single" w:sz="8" w:color="0000FF"/>
            </w:tcBorders>
            <w:gridSpan w:val="7"/>
          </w:tcPr>
          <w:p>
            <w:pPr>
              <w:jc w:val="right"/>
              <w:ind w:right="40"/>
              <w:spacing w:after="0"/>
              <w:rPr>
                <w:sz w:val="20"/>
                <w:szCs w:val="20"/>
                <w:color w:val="auto"/>
              </w:rPr>
            </w:pPr>
            <w:r>
              <w:rPr>
                <w:rFonts w:ascii="Times New Roman" w:cs="Times New Roman" w:eastAsia="Times New Roman" w:hAnsi="Times New Roman"/>
                <w:sz w:val="20"/>
                <w:szCs w:val="20"/>
                <w:color w:val="0000FF"/>
                <w:w w:val="93"/>
              </w:rPr>
              <w:t>122</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7340" w:type="dxa"/>
            <w:vAlign w:val="bottom"/>
            <w:gridSpan w:val="23"/>
          </w:tcPr>
          <w:p>
            <w:pPr>
              <w:ind w:left="640"/>
              <w:spacing w:after="0"/>
              <w:rPr>
                <w:sz w:val="20"/>
                <w:szCs w:val="20"/>
                <w:color w:val="auto"/>
              </w:rPr>
            </w:pPr>
            <w:r>
              <w:rPr>
                <w:rFonts w:ascii="Times New Roman" w:cs="Times New Roman" w:eastAsia="Times New Roman" w:hAnsi="Times New Roman"/>
                <w:sz w:val="20"/>
                <w:szCs w:val="20"/>
                <w:color w:val="auto"/>
              </w:rPr>
              <w:t>SECTION 8.18 Compliance with Anti-Corruption Laws; Beneficial Ownership</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760" w:type="dxa"/>
            <w:vAlign w:val="bottom"/>
          </w:tcPr>
          <w:p>
            <w:pPr>
              <w:spacing w:after="0"/>
              <w:rPr>
                <w:sz w:val="19"/>
                <w:szCs w:val="19"/>
                <w:color w:val="auto"/>
              </w:rPr>
            </w:pPr>
          </w:p>
        </w:tc>
        <w:tc>
          <w:tcPr>
            <w:tcW w:w="5580" w:type="dxa"/>
            <w:vAlign w:val="bottom"/>
            <w:gridSpan w:val="22"/>
          </w:tcPr>
          <w:p>
            <w:pPr>
              <w:ind w:left="500"/>
              <w:spacing w:after="0" w:line="224" w:lineRule="exact"/>
              <w:rPr>
                <w:sz w:val="20"/>
                <w:szCs w:val="20"/>
                <w:color w:val="auto"/>
              </w:rPr>
            </w:pPr>
            <w:r>
              <w:rPr>
                <w:rFonts w:ascii="Times New Roman" w:cs="Times New Roman" w:eastAsia="Times New Roman" w:hAnsi="Times New Roman"/>
                <w:sz w:val="20"/>
                <w:szCs w:val="20"/>
                <w:color w:val="auto"/>
                <w:w w:val="92"/>
              </w:rPr>
              <w:t>Regulation, Anti-Money Laundering Laws and Sanctions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gridSpan w:val="5"/>
          </w:tcPr>
          <w:p>
            <w:pPr>
              <w:jc w:val="right"/>
              <w:spacing w:after="0" w:line="224" w:lineRule="exact"/>
              <w:rPr>
                <w:sz w:val="20"/>
                <w:szCs w:val="20"/>
                <w:color w:val="auto"/>
              </w:rPr>
            </w:pPr>
            <w:r>
              <w:rPr>
                <w:rFonts w:ascii="Times New Roman" w:cs="Times New Roman" w:eastAsia="Times New Roman" w:hAnsi="Times New Roman"/>
                <w:sz w:val="20"/>
                <w:szCs w:val="20"/>
                <w:color w:val="FF0000"/>
                <w:strike w:val="1"/>
                <w:w w:val="79"/>
              </w:rPr>
              <w:t>117</w:t>
            </w:r>
          </w:p>
        </w:tc>
        <w:tc>
          <w:tcPr>
            <w:tcW w:w="1680" w:type="dxa"/>
            <w:vAlign w:val="bottom"/>
            <w:gridSpan w:val="9"/>
          </w:tcPr>
          <w:p>
            <w:pPr>
              <w:spacing w:after="0" w:line="224" w:lineRule="exact"/>
              <w:rPr>
                <w:sz w:val="20"/>
                <w:szCs w:val="20"/>
                <w:color w:val="auto"/>
              </w:rPr>
            </w:pPr>
            <w:r>
              <w:rPr>
                <w:rFonts w:ascii="Times New Roman" w:cs="Times New Roman" w:eastAsia="Times New Roman" w:hAnsi="Times New Roman"/>
                <w:sz w:val="20"/>
                <w:szCs w:val="20"/>
                <w:color w:val="0000FF"/>
              </w:rPr>
              <w:t xml:space="preserve">122 </w:t>
            </w:r>
            <w:r>
              <w:rPr>
                <w:rFonts w:ascii="Times New Roman" w:cs="Times New Roman" w:eastAsia="Times New Roman" w:hAnsi="Times New Roman"/>
                <w:sz w:val="20"/>
                <w:szCs w:val="20"/>
                <w:color w:val="000000"/>
              </w:rPr>
              <w:t>SECTION 8.19</w:t>
            </w:r>
          </w:p>
        </w:tc>
        <w:tc>
          <w:tcPr>
            <w:tcW w:w="1320" w:type="dxa"/>
            <w:vAlign w:val="bottom"/>
            <w:gridSpan w:val="2"/>
          </w:tcPr>
          <w:p>
            <w:pPr>
              <w:jc w:val="right"/>
              <w:ind w:right="101"/>
              <w:spacing w:after="0" w:line="224" w:lineRule="exact"/>
              <w:rPr>
                <w:sz w:val="20"/>
                <w:szCs w:val="20"/>
                <w:color w:val="auto"/>
              </w:rPr>
            </w:pPr>
            <w:r>
              <w:rPr>
                <w:rFonts w:ascii="Times New Roman" w:cs="Times New Roman" w:eastAsia="Times New Roman" w:hAnsi="Times New Roman"/>
                <w:sz w:val="20"/>
                <w:szCs w:val="20"/>
                <w:color w:val="auto"/>
              </w:rPr>
              <w:t>Post-Closing</w:t>
            </w:r>
          </w:p>
        </w:tc>
        <w:tc>
          <w:tcPr>
            <w:tcW w:w="0" w:type="dxa"/>
            <w:vAlign w:val="bottom"/>
          </w:tcPr>
          <w:p>
            <w:pPr>
              <w:spacing w:after="0"/>
              <w:rPr>
                <w:sz w:val="1"/>
                <w:szCs w:val="1"/>
                <w:color w:val="auto"/>
              </w:rPr>
            </w:pPr>
          </w:p>
        </w:tc>
      </w:tr>
      <w:tr>
        <w:trPr>
          <w:trHeight w:val="318"/>
        </w:trPr>
        <w:tc>
          <w:tcPr>
            <w:tcW w:w="1760" w:type="dxa"/>
            <w:vAlign w:val="bottom"/>
          </w:tcPr>
          <w:p>
            <w:pPr>
              <w:ind w:left="640"/>
              <w:spacing w:after="0"/>
              <w:rPr>
                <w:sz w:val="20"/>
                <w:szCs w:val="20"/>
                <w:color w:val="auto"/>
              </w:rPr>
            </w:pPr>
            <w:r>
              <w:rPr>
                <w:rFonts w:ascii="Times New Roman" w:cs="Times New Roman" w:eastAsia="Times New Roman" w:hAnsi="Times New Roman"/>
                <w:sz w:val="7"/>
                <w:szCs w:val="7"/>
                <w:color w:val="auto"/>
                <w:w w:val="71"/>
              </w:rPr>
              <w:t>Matters ...........................................................................</w:t>
            </w:r>
          </w:p>
        </w:tc>
        <w:tc>
          <w:tcPr>
            <w:tcW w:w="1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gridSpan w:val="2"/>
          </w:tcPr>
          <w:p>
            <w:pPr>
              <w:spacing w:after="0"/>
              <w:rPr>
                <w:sz w:val="24"/>
                <w:szCs w:val="24"/>
                <w:color w:val="auto"/>
              </w:rPr>
            </w:pP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FF0000"/>
                <w:strike w:val="1"/>
                <w:w w:val="86"/>
              </w:rPr>
              <w:t>117</w:t>
            </w:r>
          </w:p>
        </w:tc>
        <w:tc>
          <w:tcPr>
            <w:tcW w:w="380" w:type="dxa"/>
            <w:vAlign w:val="bottom"/>
            <w:gridSpan w:val="5"/>
          </w:tcPr>
          <w:p>
            <w:pPr>
              <w:jc w:val="center"/>
              <w:ind w:right="80"/>
              <w:spacing w:after="0"/>
              <w:rPr>
                <w:sz w:val="20"/>
                <w:szCs w:val="20"/>
                <w:color w:val="auto"/>
              </w:rPr>
            </w:pPr>
            <w:r>
              <w:rPr>
                <w:rFonts w:ascii="Times New Roman" w:cs="Times New Roman" w:eastAsia="Times New Roman" w:hAnsi="Times New Roman"/>
                <w:sz w:val="20"/>
                <w:szCs w:val="20"/>
                <w:color w:val="0000FF"/>
                <w:w w:val="99"/>
              </w:rPr>
              <w:t>122</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460" w:type="dxa"/>
            <w:vAlign w:val="bottom"/>
            <w:gridSpan w:val="3"/>
          </w:tcPr>
          <w:p>
            <w:pPr>
              <w:spacing w:after="0"/>
              <w:rPr>
                <w:sz w:val="20"/>
                <w:szCs w:val="20"/>
                <w:color w:val="auto"/>
              </w:rPr>
            </w:pPr>
            <w:r>
              <w:rPr>
                <w:rFonts w:ascii="Times New Roman" w:cs="Times New Roman" w:eastAsia="Times New Roman" w:hAnsi="Times New Roman"/>
                <w:sz w:val="16"/>
                <w:szCs w:val="16"/>
                <w:color w:val="auto"/>
                <w:w w:val="74"/>
              </w:rPr>
              <w:t>....................................................................................ARTICLEIXNEGATIVECOVENANTS</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gridSpan w:val="2"/>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gridSpan w:val="5"/>
          </w:tcPr>
          <w:p>
            <w:pPr>
              <w:spacing w:after="0"/>
              <w:rPr>
                <w:sz w:val="20"/>
                <w:szCs w:val="20"/>
                <w:color w:val="auto"/>
              </w:rPr>
            </w:pPr>
            <w:r>
              <w:rPr>
                <w:rFonts w:ascii="Times New Roman" w:cs="Times New Roman" w:eastAsia="Times New Roman" w:hAnsi="Times New Roman"/>
                <w:sz w:val="20"/>
                <w:szCs w:val="20"/>
                <w:color w:val="FF0000"/>
                <w:strike w:val="1"/>
                <w:w w:val="73"/>
              </w:rPr>
              <w:t>117</w:t>
            </w:r>
          </w:p>
        </w:tc>
        <w:tc>
          <w:tcPr>
            <w:tcW w:w="360" w:type="dxa"/>
            <w:vAlign w:val="bottom"/>
            <w:gridSpan w:val="5"/>
          </w:tcPr>
          <w:p>
            <w:pPr>
              <w:spacing w:after="0"/>
              <w:rPr>
                <w:sz w:val="20"/>
                <w:szCs w:val="20"/>
                <w:color w:val="auto"/>
              </w:rPr>
            </w:pPr>
            <w:r>
              <w:rPr>
                <w:rFonts w:ascii="Times New Roman" w:cs="Times New Roman" w:eastAsia="Times New Roman" w:hAnsi="Times New Roman"/>
                <w:sz w:val="20"/>
                <w:szCs w:val="20"/>
                <w:color w:val="0000FF"/>
              </w:rPr>
              <w:t>122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900" w:type="dxa"/>
            <w:vAlign w:val="bottom"/>
            <w:gridSpan w:val="2"/>
            <w:vMerge w:val="restart"/>
          </w:tcPr>
          <w:p>
            <w:pPr>
              <w:ind w:left="640"/>
              <w:spacing w:after="0"/>
              <w:rPr>
                <w:sz w:val="20"/>
                <w:szCs w:val="20"/>
                <w:color w:val="auto"/>
              </w:rPr>
            </w:pPr>
            <w:r>
              <w:rPr>
                <w:rFonts w:ascii="Times New Roman" w:cs="Times New Roman" w:eastAsia="Times New Roman" w:hAnsi="Times New Roman"/>
                <w:sz w:val="20"/>
                <w:szCs w:val="20"/>
                <w:color w:val="auto"/>
              </w:rPr>
              <w:t>SECTION 9.1 Indebtedness</w:t>
            </w:r>
          </w:p>
        </w:tc>
        <w:tc>
          <w:tcPr>
            <w:tcW w:w="1560" w:type="dxa"/>
            <w:vAlign w:val="bottom"/>
          </w:tcPr>
          <w:p>
            <w:pPr>
              <w:jc w:val="right"/>
              <w:spacing w:after="0"/>
              <w:rPr>
                <w:sz w:val="20"/>
                <w:szCs w:val="20"/>
                <w:color w:val="auto"/>
              </w:rPr>
            </w:pPr>
            <w:r>
              <w:rPr>
                <w:rFonts w:ascii="Times New Roman" w:cs="Times New Roman" w:eastAsia="Times New Roman" w:hAnsi="Times New Roman"/>
                <w:sz w:val="9"/>
                <w:szCs w:val="9"/>
                <w:color w:val="auto"/>
                <w:w w:val="76"/>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gridSpan w:val="4"/>
            <w:vMerge w:val="restart"/>
          </w:tcPr>
          <w:p>
            <w:pPr>
              <w:ind w:left="20"/>
              <w:spacing w:after="0"/>
              <w:rPr>
                <w:sz w:val="20"/>
                <w:szCs w:val="20"/>
                <w:color w:val="auto"/>
              </w:rPr>
            </w:pPr>
            <w:r>
              <w:rPr>
                <w:rFonts w:ascii="Times New Roman" w:cs="Times New Roman" w:eastAsia="Times New Roman" w:hAnsi="Times New Roman"/>
                <w:sz w:val="20"/>
                <w:szCs w:val="20"/>
                <w:color w:val="FF0000"/>
                <w:strike w:val="1"/>
                <w:w w:val="99"/>
              </w:rPr>
              <w:t>117</w:t>
            </w:r>
          </w:p>
        </w:tc>
        <w:tc>
          <w:tcPr>
            <w:tcW w:w="260" w:type="dxa"/>
            <w:vAlign w:val="bottom"/>
            <w:gridSpan w:val="5"/>
            <w:vMerge w:val="restart"/>
          </w:tcPr>
          <w:p>
            <w:pPr>
              <w:jc w:val="right"/>
              <w:spacing w:after="0"/>
              <w:rPr>
                <w:sz w:val="20"/>
                <w:szCs w:val="20"/>
                <w:color w:val="auto"/>
              </w:rPr>
            </w:pPr>
            <w:r>
              <w:rPr>
                <w:rFonts w:ascii="Times New Roman" w:cs="Times New Roman" w:eastAsia="Times New Roman" w:hAnsi="Times New Roman"/>
                <w:sz w:val="20"/>
                <w:szCs w:val="20"/>
                <w:color w:val="0000FF"/>
                <w:w w:val="79"/>
              </w:rPr>
              <w:t>123</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3"/>
        </w:trPr>
        <w:tc>
          <w:tcPr>
            <w:tcW w:w="2900" w:type="dxa"/>
            <w:vAlign w:val="bottom"/>
            <w:gridSpan w:val="2"/>
            <w:vMerge w:val="continue"/>
          </w:tcPr>
          <w:p>
            <w:pPr>
              <w:spacing w:after="0"/>
              <w:rPr>
                <w:sz w:val="5"/>
                <w:szCs w:val="5"/>
                <w:color w:val="auto"/>
              </w:rPr>
            </w:pPr>
          </w:p>
        </w:tc>
        <w:tc>
          <w:tcPr>
            <w:tcW w:w="1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340" w:type="dxa"/>
            <w:vAlign w:val="bottom"/>
            <w:gridSpan w:val="4"/>
            <w:vMerge w:val="continue"/>
          </w:tcPr>
          <w:p>
            <w:pPr>
              <w:spacing w:after="0"/>
              <w:rPr>
                <w:sz w:val="5"/>
                <w:szCs w:val="5"/>
                <w:color w:val="auto"/>
              </w:rPr>
            </w:pPr>
          </w:p>
        </w:tc>
        <w:tc>
          <w:tcPr>
            <w:tcW w:w="260" w:type="dxa"/>
            <w:vAlign w:val="bottom"/>
            <w:tcBorders>
              <w:bottom w:val="single" w:sz="8" w:color="0000FF"/>
            </w:tcBorders>
            <w:gridSpan w:val="5"/>
            <w:vMerge w:val="continue"/>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2900" w:type="dxa"/>
            <w:vAlign w:val="bottom"/>
            <w:gridSpan w:val="2"/>
          </w:tcPr>
          <w:p>
            <w:pPr>
              <w:ind w:left="640"/>
              <w:spacing w:after="0"/>
              <w:rPr>
                <w:sz w:val="20"/>
                <w:szCs w:val="20"/>
                <w:color w:val="auto"/>
              </w:rPr>
            </w:pPr>
            <w:r>
              <w:rPr>
                <w:rFonts w:ascii="Times New Roman" w:cs="Times New Roman" w:eastAsia="Times New Roman" w:hAnsi="Times New Roman"/>
                <w:sz w:val="9"/>
                <w:szCs w:val="9"/>
                <w:color w:val="auto"/>
                <w:w w:val="73"/>
              </w:rPr>
              <w:t>SECTION 9.2 Liens .....................................................................................................</w:t>
            </w: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gridSpan w:val="4"/>
          </w:tcPr>
          <w:p>
            <w:pPr>
              <w:ind w:left="20"/>
              <w:spacing w:after="0"/>
              <w:rPr>
                <w:sz w:val="20"/>
                <w:szCs w:val="20"/>
                <w:color w:val="auto"/>
              </w:rPr>
            </w:pPr>
            <w:r>
              <w:rPr>
                <w:rFonts w:ascii="Times New Roman" w:cs="Times New Roman" w:eastAsia="Times New Roman" w:hAnsi="Times New Roman"/>
                <w:sz w:val="20"/>
                <w:szCs w:val="20"/>
                <w:color w:val="FF0000"/>
                <w:strike w:val="1"/>
                <w:w w:val="99"/>
              </w:rPr>
              <w:t>121</w:t>
            </w:r>
          </w:p>
        </w:tc>
        <w:tc>
          <w:tcPr>
            <w:tcW w:w="2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20"/>
                <w:szCs w:val="20"/>
                <w:color w:val="0000FF"/>
                <w:w w:val="86"/>
              </w:rPr>
              <w:t>126</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900" w:type="dxa"/>
            <w:vAlign w:val="bottom"/>
            <w:gridSpan w:val="2"/>
          </w:tcPr>
          <w:p>
            <w:pPr>
              <w:ind w:left="640"/>
              <w:spacing w:after="0"/>
              <w:rPr>
                <w:sz w:val="20"/>
                <w:szCs w:val="20"/>
                <w:color w:val="auto"/>
              </w:rPr>
            </w:pPr>
            <w:r>
              <w:rPr>
                <w:rFonts w:ascii="Times New Roman" w:cs="Times New Roman" w:eastAsia="Times New Roman" w:hAnsi="Times New Roman"/>
                <w:sz w:val="9"/>
                <w:szCs w:val="9"/>
                <w:color w:val="auto"/>
                <w:w w:val="74"/>
              </w:rPr>
              <w:t>SECTION 9.3 Investments...........................................................................................</w:t>
            </w: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gridSpan w:val="2"/>
          </w:tcPr>
          <w:p>
            <w:pPr>
              <w:spacing w:after="0"/>
              <w:rPr>
                <w:sz w:val="20"/>
                <w:szCs w:val="20"/>
                <w:color w:val="auto"/>
              </w:rPr>
            </w:pPr>
            <w:r>
              <w:rPr>
                <w:rFonts w:ascii="Times New Roman" w:cs="Times New Roman" w:eastAsia="Times New Roman" w:hAnsi="Times New Roman"/>
                <w:sz w:val="20"/>
                <w:szCs w:val="20"/>
                <w:color w:val="FF0000"/>
                <w:strike w:val="1"/>
                <w:w w:val="93"/>
              </w:rPr>
              <w:t>123</w:t>
            </w:r>
          </w:p>
        </w:tc>
        <w:tc>
          <w:tcPr>
            <w:tcW w:w="2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20"/>
                <w:szCs w:val="20"/>
                <w:color w:val="0000FF"/>
                <w:w w:val="86"/>
              </w:rPr>
              <w:t>128</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4460" w:type="dxa"/>
            <w:vAlign w:val="bottom"/>
            <w:gridSpan w:val="3"/>
          </w:tcPr>
          <w:p>
            <w:pPr>
              <w:ind w:left="640"/>
              <w:spacing w:after="0"/>
              <w:rPr>
                <w:sz w:val="20"/>
                <w:szCs w:val="20"/>
                <w:color w:val="auto"/>
              </w:rPr>
            </w:pPr>
            <w:r>
              <w:rPr>
                <w:rFonts w:ascii="Times New Roman" w:cs="Times New Roman" w:eastAsia="Times New Roman" w:hAnsi="Times New Roman"/>
                <w:sz w:val="16"/>
                <w:szCs w:val="16"/>
                <w:color w:val="auto"/>
                <w:w w:val="70"/>
              </w:rPr>
              <w:t>SECTION 9.4 Fundamental Changes ..........................................................................</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gridSpan w:val="4"/>
          </w:tcPr>
          <w:p>
            <w:pPr>
              <w:ind w:left="20"/>
              <w:spacing w:after="0"/>
              <w:rPr>
                <w:sz w:val="20"/>
                <w:szCs w:val="20"/>
                <w:color w:val="auto"/>
              </w:rPr>
            </w:pPr>
            <w:r>
              <w:rPr>
                <w:rFonts w:ascii="Times New Roman" w:cs="Times New Roman" w:eastAsia="Times New Roman" w:hAnsi="Times New Roman"/>
                <w:sz w:val="20"/>
                <w:szCs w:val="20"/>
                <w:color w:val="FF0000"/>
                <w:strike w:val="1"/>
                <w:w w:val="99"/>
              </w:rPr>
              <w:t>124</w:t>
            </w:r>
          </w:p>
        </w:tc>
        <w:tc>
          <w:tcPr>
            <w:tcW w:w="260" w:type="dxa"/>
            <w:vAlign w:val="bottom"/>
            <w:tcBorders>
              <w:bottom w:val="single" w:sz="8" w:color="0000FF"/>
            </w:tcBorders>
            <w:gridSpan w:val="5"/>
          </w:tcPr>
          <w:p>
            <w:pPr>
              <w:jc w:val="right"/>
              <w:spacing w:after="0"/>
              <w:rPr>
                <w:sz w:val="20"/>
                <w:szCs w:val="20"/>
                <w:color w:val="auto"/>
              </w:rPr>
            </w:pPr>
            <w:r>
              <w:rPr>
                <w:rFonts w:ascii="Times New Roman" w:cs="Times New Roman" w:eastAsia="Times New Roman" w:hAnsi="Times New Roman"/>
                <w:sz w:val="20"/>
                <w:szCs w:val="20"/>
                <w:color w:val="0000FF"/>
                <w:w w:val="79"/>
              </w:rPr>
              <w:t>130</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4460" w:type="dxa"/>
            <w:vAlign w:val="bottom"/>
            <w:gridSpan w:val="3"/>
          </w:tcPr>
          <w:p>
            <w:pPr>
              <w:ind w:left="640"/>
              <w:spacing w:after="0"/>
              <w:rPr>
                <w:sz w:val="20"/>
                <w:szCs w:val="20"/>
                <w:color w:val="auto"/>
              </w:rPr>
            </w:pPr>
            <w:r>
              <w:rPr>
                <w:rFonts w:ascii="Times New Roman" w:cs="Times New Roman" w:eastAsia="Times New Roman" w:hAnsi="Times New Roman"/>
                <w:sz w:val="16"/>
                <w:szCs w:val="16"/>
                <w:color w:val="auto"/>
                <w:w w:val="70"/>
              </w:rPr>
              <w:t>SECTION 9.5 Asset Dispositions ................................................................................</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gridSpan w:val="4"/>
          </w:tcPr>
          <w:p>
            <w:pPr>
              <w:ind w:left="20"/>
              <w:spacing w:after="0"/>
              <w:rPr>
                <w:sz w:val="20"/>
                <w:szCs w:val="20"/>
                <w:color w:val="auto"/>
              </w:rPr>
            </w:pPr>
            <w:r>
              <w:rPr>
                <w:rFonts w:ascii="Times New Roman" w:cs="Times New Roman" w:eastAsia="Times New Roman" w:hAnsi="Times New Roman"/>
                <w:sz w:val="20"/>
                <w:szCs w:val="20"/>
                <w:color w:val="FF0000"/>
                <w:strike w:val="1"/>
                <w:w w:val="99"/>
              </w:rPr>
              <w:t>125</w:t>
            </w:r>
          </w:p>
        </w:tc>
        <w:tc>
          <w:tcPr>
            <w:tcW w:w="320" w:type="dxa"/>
            <w:vAlign w:val="bottom"/>
            <w:gridSpan w:val="7"/>
          </w:tcPr>
          <w:p>
            <w:pPr>
              <w:spacing w:after="0"/>
              <w:rPr>
                <w:sz w:val="20"/>
                <w:szCs w:val="20"/>
                <w:color w:val="auto"/>
              </w:rPr>
            </w:pPr>
            <w:r>
              <w:rPr>
                <w:rFonts w:ascii="Times New Roman" w:cs="Times New Roman" w:eastAsia="Times New Roman" w:hAnsi="Times New Roman"/>
                <w:sz w:val="20"/>
                <w:szCs w:val="20"/>
                <w:color w:val="0000FF"/>
                <w:w w:val="99"/>
              </w:rPr>
              <w:t>131</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460" w:type="dxa"/>
            <w:vAlign w:val="bottom"/>
            <w:gridSpan w:val="3"/>
          </w:tcPr>
          <w:p>
            <w:pPr>
              <w:ind w:left="640"/>
              <w:spacing w:after="0"/>
              <w:rPr>
                <w:sz w:val="20"/>
                <w:szCs w:val="20"/>
                <w:color w:val="auto"/>
              </w:rPr>
            </w:pPr>
            <w:r>
              <w:rPr>
                <w:rFonts w:ascii="Times New Roman" w:cs="Times New Roman" w:eastAsia="Times New Roman" w:hAnsi="Times New Roman"/>
                <w:sz w:val="16"/>
                <w:szCs w:val="16"/>
                <w:color w:val="auto"/>
                <w:w w:val="70"/>
              </w:rPr>
              <w:t>SECTION 9.6 Restricted Payments .............................................................................</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gridSpan w:val="4"/>
          </w:tcPr>
          <w:p>
            <w:pPr>
              <w:ind w:left="20"/>
              <w:spacing w:after="0"/>
              <w:rPr>
                <w:sz w:val="20"/>
                <w:szCs w:val="20"/>
                <w:color w:val="auto"/>
              </w:rPr>
            </w:pPr>
            <w:r>
              <w:rPr>
                <w:rFonts w:ascii="Times New Roman" w:cs="Times New Roman" w:eastAsia="Times New Roman" w:hAnsi="Times New Roman"/>
                <w:sz w:val="20"/>
                <w:szCs w:val="20"/>
                <w:color w:val="FF0000"/>
                <w:strike w:val="1"/>
                <w:w w:val="99"/>
              </w:rPr>
              <w:t>126</w:t>
            </w:r>
          </w:p>
        </w:tc>
        <w:tc>
          <w:tcPr>
            <w:tcW w:w="260" w:type="dxa"/>
            <w:vAlign w:val="bottom"/>
            <w:tcBorders>
              <w:top w:val="single" w:sz="8" w:color="0000FF"/>
              <w:bottom w:val="single" w:sz="8" w:color="0000FF"/>
            </w:tcBorders>
            <w:gridSpan w:val="5"/>
          </w:tcPr>
          <w:p>
            <w:pPr>
              <w:jc w:val="right"/>
              <w:spacing w:after="0"/>
              <w:rPr>
                <w:sz w:val="20"/>
                <w:szCs w:val="20"/>
                <w:color w:val="auto"/>
              </w:rPr>
            </w:pPr>
            <w:r>
              <w:rPr>
                <w:rFonts w:ascii="Times New Roman" w:cs="Times New Roman" w:eastAsia="Times New Roman" w:hAnsi="Times New Roman"/>
                <w:sz w:val="20"/>
                <w:szCs w:val="20"/>
                <w:color w:val="0000FF"/>
                <w:w w:val="79"/>
              </w:rPr>
              <w:t>132</w:t>
            </w:r>
          </w:p>
        </w:tc>
        <w:tc>
          <w:tcPr>
            <w:tcW w:w="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4460" w:type="dxa"/>
            <w:vAlign w:val="bottom"/>
            <w:gridSpan w:val="3"/>
          </w:tcPr>
          <w:p>
            <w:pPr>
              <w:ind w:left="640"/>
              <w:spacing w:after="0"/>
              <w:rPr>
                <w:sz w:val="20"/>
                <w:szCs w:val="20"/>
                <w:color w:val="auto"/>
              </w:rPr>
            </w:pPr>
            <w:r>
              <w:rPr>
                <w:rFonts w:ascii="Times New Roman" w:cs="Times New Roman" w:eastAsia="Times New Roman" w:hAnsi="Times New Roman"/>
                <w:sz w:val="16"/>
                <w:szCs w:val="16"/>
                <w:color w:val="auto"/>
                <w:w w:val="70"/>
              </w:rPr>
              <w:t>SECTION 9.7 Transactions with Affiliates .................................................................</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gridSpan w:val="3"/>
          </w:tcPr>
          <w:p>
            <w:pPr>
              <w:spacing w:after="0"/>
              <w:rPr>
                <w:sz w:val="20"/>
                <w:szCs w:val="20"/>
                <w:color w:val="auto"/>
              </w:rPr>
            </w:pPr>
            <w:r>
              <w:rPr>
                <w:rFonts w:ascii="Times New Roman" w:cs="Times New Roman" w:eastAsia="Times New Roman" w:hAnsi="Times New Roman"/>
                <w:sz w:val="20"/>
                <w:szCs w:val="20"/>
                <w:color w:val="FF0000"/>
                <w:strike w:val="1"/>
                <w:w w:val="99"/>
              </w:rPr>
              <w:t>127</w:t>
            </w:r>
          </w:p>
        </w:tc>
        <w:tc>
          <w:tcPr>
            <w:tcW w:w="280" w:type="dxa"/>
            <w:vAlign w:val="bottom"/>
            <w:tcBorders>
              <w:bottom w:val="single" w:sz="8" w:color="0000FF"/>
            </w:tcBorders>
            <w:gridSpan w:val="6"/>
          </w:tcPr>
          <w:p>
            <w:pPr>
              <w:jc w:val="right"/>
              <w:spacing w:after="0"/>
              <w:rPr>
                <w:sz w:val="20"/>
                <w:szCs w:val="20"/>
                <w:color w:val="auto"/>
              </w:rPr>
            </w:pPr>
            <w:r>
              <w:rPr>
                <w:rFonts w:ascii="Times New Roman" w:cs="Times New Roman" w:eastAsia="Times New Roman" w:hAnsi="Times New Roman"/>
                <w:sz w:val="20"/>
                <w:szCs w:val="20"/>
                <w:color w:val="0000FF"/>
                <w:w w:val="86"/>
              </w:rPr>
              <w:t>133</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6680" w:type="dxa"/>
            <w:vAlign w:val="bottom"/>
            <w:gridSpan w:val="22"/>
          </w:tcPr>
          <w:p>
            <w:pPr>
              <w:ind w:left="640"/>
              <w:spacing w:after="0"/>
              <w:rPr>
                <w:sz w:val="20"/>
                <w:szCs w:val="20"/>
                <w:color w:val="auto"/>
              </w:rPr>
            </w:pPr>
            <w:r>
              <w:rPr>
                <w:rFonts w:ascii="Times New Roman" w:cs="Times New Roman" w:eastAsia="Times New Roman" w:hAnsi="Times New Roman"/>
                <w:sz w:val="20"/>
                <w:szCs w:val="20"/>
                <w:color w:val="auto"/>
                <w:w w:val="89"/>
              </w:rPr>
              <w:t>SECTION 9.8 Accounting Changes; Organizational Documents................................</w:t>
            </w:r>
          </w:p>
        </w:tc>
        <w:tc>
          <w:tcPr>
            <w:tcW w:w="660" w:type="dxa"/>
            <w:vAlign w:val="bottom"/>
          </w:tcPr>
          <w:p>
            <w:pPr>
              <w:spacing w:after="0"/>
              <w:rPr>
                <w:sz w:val="24"/>
                <w:szCs w:val="24"/>
                <w:color w:val="auto"/>
              </w:rPr>
            </w:pPr>
          </w:p>
        </w:tc>
        <w:tc>
          <w:tcPr>
            <w:tcW w:w="340" w:type="dxa"/>
            <w:vAlign w:val="bottom"/>
            <w:gridSpan w:val="4"/>
          </w:tcPr>
          <w:p>
            <w:pPr>
              <w:spacing w:after="0"/>
              <w:rPr>
                <w:sz w:val="20"/>
                <w:szCs w:val="20"/>
                <w:color w:val="auto"/>
              </w:rPr>
            </w:pPr>
            <w:r>
              <w:rPr>
                <w:rFonts w:ascii="Times New Roman" w:cs="Times New Roman" w:eastAsia="Times New Roman" w:hAnsi="Times New Roman"/>
                <w:sz w:val="20"/>
                <w:szCs w:val="20"/>
                <w:color w:val="FF0000"/>
                <w:strike w:val="1"/>
              </w:rPr>
              <w:t>128</w:t>
            </w:r>
          </w:p>
        </w:tc>
        <w:tc>
          <w:tcPr>
            <w:tcW w:w="260" w:type="dxa"/>
            <w:vAlign w:val="bottom"/>
            <w:tcBorders>
              <w:bottom w:val="single" w:sz="8" w:color="0000FF"/>
            </w:tcBorders>
            <w:gridSpan w:val="5"/>
          </w:tcPr>
          <w:p>
            <w:pPr>
              <w:jc w:val="right"/>
              <w:spacing w:after="0"/>
              <w:rPr>
                <w:sz w:val="20"/>
                <w:szCs w:val="20"/>
                <w:color w:val="auto"/>
              </w:rPr>
            </w:pPr>
            <w:r>
              <w:rPr>
                <w:rFonts w:ascii="Times New Roman" w:cs="Times New Roman" w:eastAsia="Times New Roman" w:hAnsi="Times New Roman"/>
                <w:sz w:val="20"/>
                <w:szCs w:val="20"/>
                <w:color w:val="0000FF"/>
                <w:w w:val="79"/>
              </w:rPr>
              <w:t>133</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6680" w:type="dxa"/>
            <w:vAlign w:val="bottom"/>
            <w:gridSpan w:val="22"/>
          </w:tcPr>
          <w:p>
            <w:pPr>
              <w:ind w:left="640"/>
              <w:spacing w:after="0"/>
              <w:rPr>
                <w:sz w:val="20"/>
                <w:szCs w:val="20"/>
                <w:color w:val="auto"/>
              </w:rPr>
            </w:pPr>
            <w:r>
              <w:rPr>
                <w:rFonts w:ascii="Times New Roman" w:cs="Times New Roman" w:eastAsia="Times New Roman" w:hAnsi="Times New Roman"/>
                <w:sz w:val="20"/>
                <w:szCs w:val="20"/>
                <w:color w:val="auto"/>
                <w:w w:val="89"/>
              </w:rPr>
              <w:t>SECTION 9.9 Payments and Modifications of Junior Indebtedness ...........................</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gridSpan w:val="6"/>
          </w:tcPr>
          <w:p>
            <w:pPr>
              <w:jc w:val="right"/>
              <w:spacing w:after="0"/>
              <w:rPr>
                <w:sz w:val="20"/>
                <w:szCs w:val="20"/>
                <w:color w:val="auto"/>
              </w:rPr>
            </w:pPr>
            <w:r>
              <w:rPr>
                <w:rFonts w:ascii="Times New Roman" w:cs="Times New Roman" w:eastAsia="Times New Roman" w:hAnsi="Times New Roman"/>
                <w:sz w:val="20"/>
                <w:szCs w:val="20"/>
                <w:color w:val="FF0000"/>
                <w:strike w:val="1"/>
                <w:w w:val="93"/>
              </w:rPr>
              <w:t>128</w:t>
            </w:r>
          </w:p>
        </w:tc>
        <w:tc>
          <w:tcPr>
            <w:tcW w:w="3260" w:type="dxa"/>
            <w:vAlign w:val="bottom"/>
            <w:gridSpan w:val="16"/>
          </w:tcPr>
          <w:p>
            <w:pPr>
              <w:jc w:val="right"/>
              <w:spacing w:after="0"/>
              <w:rPr>
                <w:sz w:val="20"/>
                <w:szCs w:val="20"/>
                <w:color w:val="auto"/>
              </w:rPr>
            </w:pPr>
            <w:r>
              <w:rPr>
                <w:rFonts w:ascii="Times New Roman" w:cs="Times New Roman" w:eastAsia="Times New Roman" w:hAnsi="Times New Roman"/>
                <w:sz w:val="20"/>
                <w:szCs w:val="20"/>
                <w:color w:val="0000FF"/>
                <w:w w:val="98"/>
              </w:rPr>
              <w:t xml:space="preserve">134 </w:t>
            </w:r>
            <w:r>
              <w:rPr>
                <w:rFonts w:ascii="Times New Roman" w:cs="Times New Roman" w:eastAsia="Times New Roman" w:hAnsi="Times New Roman"/>
                <w:sz w:val="20"/>
                <w:szCs w:val="20"/>
                <w:color w:val="000000"/>
                <w:w w:val="98"/>
              </w:rPr>
              <w:t>SECTION 9.10 No Further Negative</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00" w:type="dxa"/>
            <w:vAlign w:val="bottom"/>
            <w:tcBorders>
              <w:right w:val="single" w:sz="8" w:color="0000FF"/>
            </w:tcBorders>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76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Pledges;</w:t>
            </w:r>
          </w:p>
        </w:tc>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Restrictive</w:t>
            </w: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7"/>
              </w:rPr>
              <w:t>Agreements........................</w:t>
            </w:r>
          </w:p>
        </w:tc>
        <w:tc>
          <w:tcPr>
            <w:tcW w:w="140" w:type="dxa"/>
            <w:vAlign w:val="bottom"/>
          </w:tcPr>
          <w:p>
            <w:pPr>
              <w:spacing w:after="0"/>
              <w:rPr>
                <w:sz w:val="24"/>
                <w:szCs w:val="24"/>
                <w:color w:val="auto"/>
              </w:rPr>
            </w:pPr>
          </w:p>
        </w:tc>
        <w:tc>
          <w:tcPr>
            <w:tcW w:w="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FF0000"/>
                <w:strike w:val="1"/>
                <w:w w:val="93"/>
              </w:rPr>
              <w:t>130</w:t>
            </w:r>
          </w:p>
        </w:tc>
        <w:tc>
          <w:tcPr>
            <w:tcW w:w="300" w:type="dxa"/>
            <w:vAlign w:val="bottom"/>
            <w:gridSpan w:val="4"/>
            <w:vMerge w:val="restart"/>
          </w:tcPr>
          <w:p>
            <w:pPr>
              <w:jc w:val="right"/>
              <w:spacing w:after="0"/>
              <w:rPr>
                <w:sz w:val="20"/>
                <w:szCs w:val="20"/>
                <w:color w:val="auto"/>
              </w:rPr>
            </w:pPr>
            <w:r>
              <w:rPr>
                <w:rFonts w:ascii="Times New Roman" w:cs="Times New Roman" w:eastAsia="Times New Roman" w:hAnsi="Times New Roman"/>
                <w:sz w:val="20"/>
                <w:szCs w:val="20"/>
                <w:color w:val="0000FF"/>
                <w:w w:val="93"/>
              </w:rPr>
              <w:t>135</w:t>
            </w:r>
          </w:p>
        </w:tc>
        <w:tc>
          <w:tcPr>
            <w:tcW w:w="40" w:type="dxa"/>
            <w:vAlign w:val="bottom"/>
          </w:tcPr>
          <w:p>
            <w:pPr>
              <w:spacing w:after="0"/>
              <w:rPr>
                <w:sz w:val="24"/>
                <w:szCs w:val="24"/>
                <w:color w:val="auto"/>
              </w:rPr>
            </w:pPr>
          </w:p>
        </w:tc>
        <w:tc>
          <w:tcPr>
            <w:tcW w:w="20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FF0000"/>
                <w:strike w:val="1"/>
              </w:rPr>
              <w:t>129</w:t>
            </w:r>
          </w:p>
        </w:tc>
        <w:tc>
          <w:tcPr>
            <w:tcW w:w="740" w:type="dxa"/>
            <w:vAlign w:val="bottom"/>
            <w:gridSpan w:val="3"/>
          </w:tcPr>
          <w:p>
            <w:pPr>
              <w:jc w:val="right"/>
              <w:ind w:right="440"/>
              <w:spacing w:after="0"/>
              <w:rPr>
                <w:sz w:val="20"/>
                <w:szCs w:val="20"/>
                <w:color w:val="auto"/>
              </w:rPr>
            </w:pPr>
            <w:r>
              <w:rPr>
                <w:rFonts w:ascii="Times New Roman" w:cs="Times New Roman" w:eastAsia="Times New Roman" w:hAnsi="Times New Roman"/>
                <w:sz w:val="20"/>
                <w:szCs w:val="20"/>
                <w:color w:val="0000FF"/>
                <w:w w:val="93"/>
              </w:rPr>
              <w:t>134</w:t>
            </w:r>
          </w:p>
        </w:tc>
        <w:tc>
          <w:tcPr>
            <w:tcW w:w="1100" w:type="dxa"/>
            <w:vAlign w:val="bottom"/>
            <w:gridSpan w:val="8"/>
          </w:tcPr>
          <w:p>
            <w:pPr>
              <w:jc w:val="right"/>
              <w:ind w:right="181"/>
              <w:spacing w:after="0"/>
              <w:rPr>
                <w:sz w:val="20"/>
                <w:szCs w:val="20"/>
                <w:color w:val="auto"/>
              </w:rPr>
            </w:pPr>
            <w:r>
              <w:rPr>
                <w:rFonts w:ascii="Times New Roman" w:cs="Times New Roman" w:eastAsia="Times New Roman" w:hAnsi="Times New Roman"/>
                <w:sz w:val="20"/>
                <w:szCs w:val="20"/>
                <w:color w:val="auto"/>
                <w:w w:val="94"/>
              </w:rPr>
              <w:t>SECTION</w:t>
            </w:r>
          </w:p>
        </w:tc>
        <w:tc>
          <w:tcPr>
            <w:tcW w:w="160" w:type="dxa"/>
            <w:vAlign w:val="bottom"/>
            <w:gridSpan w:val="2"/>
          </w:tcPr>
          <w:p>
            <w:pPr>
              <w:spacing w:after="0"/>
              <w:rPr>
                <w:sz w:val="24"/>
                <w:szCs w:val="24"/>
                <w:color w:val="auto"/>
              </w:rPr>
            </w:pPr>
          </w:p>
        </w:tc>
        <w:tc>
          <w:tcPr>
            <w:tcW w:w="400" w:type="dxa"/>
            <w:vAlign w:val="bottom"/>
            <w:gridSpan w:val="7"/>
          </w:tcPr>
          <w:p>
            <w:pPr>
              <w:ind w:left="20"/>
              <w:spacing w:after="0"/>
              <w:rPr>
                <w:sz w:val="20"/>
                <w:szCs w:val="20"/>
                <w:color w:val="auto"/>
              </w:rPr>
            </w:pPr>
            <w:r>
              <w:rPr>
                <w:rFonts w:ascii="Times New Roman" w:cs="Times New Roman" w:eastAsia="Times New Roman" w:hAnsi="Times New Roman"/>
                <w:sz w:val="20"/>
                <w:szCs w:val="20"/>
                <w:color w:val="auto"/>
              </w:rPr>
              <w:t>9.11</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Nature</w:t>
            </w:r>
          </w:p>
        </w:tc>
        <w:tc>
          <w:tcPr>
            <w:tcW w:w="56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w w:val="83"/>
              </w:rPr>
              <w:t>of</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Business</w:t>
            </w:r>
          </w:p>
        </w:tc>
        <w:tc>
          <w:tcPr>
            <w:tcW w:w="0" w:type="dxa"/>
            <w:vAlign w:val="bottom"/>
          </w:tcPr>
          <w:p>
            <w:pPr>
              <w:spacing w:after="0"/>
              <w:rPr>
                <w:sz w:val="1"/>
                <w:szCs w:val="1"/>
                <w:color w:val="auto"/>
              </w:rPr>
            </w:pPr>
          </w:p>
        </w:tc>
      </w:tr>
      <w:tr>
        <w:trPr>
          <w:trHeight w:val="323"/>
        </w:trPr>
        <w:tc>
          <w:tcPr>
            <w:tcW w:w="44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w w:val="72"/>
              </w:rPr>
              <w:t>....................................................................................</w:t>
            </w:r>
            <w:r>
              <w:rPr>
                <w:rFonts w:ascii="Times New Roman" w:cs="Times New Roman" w:eastAsia="Times New Roman" w:hAnsi="Times New Roman"/>
                <w:sz w:val="35"/>
                <w:szCs w:val="35"/>
                <w:color w:val="auto"/>
                <w:w w:val="72"/>
                <w:vertAlign w:val="subscript"/>
              </w:rPr>
              <w:t>SECTION</w:t>
            </w:r>
            <w:r>
              <w:rPr>
                <w:rFonts w:ascii="Times New Roman" w:cs="Times New Roman" w:eastAsia="Times New Roman" w:hAnsi="Times New Roman"/>
                <w:sz w:val="18"/>
                <w:szCs w:val="18"/>
                <w:color w:val="auto"/>
                <w:w w:val="72"/>
              </w:rPr>
              <w:t>...............................................................................</w:t>
            </w:r>
            <w:r>
              <w:rPr>
                <w:rFonts w:ascii="Times New Roman" w:cs="Times New Roman" w:eastAsia="Times New Roman" w:hAnsi="Times New Roman"/>
                <w:sz w:val="35"/>
                <w:szCs w:val="35"/>
                <w:color w:val="auto"/>
                <w:w w:val="72"/>
                <w:vertAlign w:val="subscript"/>
              </w:rPr>
              <w:t>9.12SaleLeasebacks</w:t>
            </w:r>
          </w:p>
        </w:tc>
        <w:tc>
          <w:tcPr>
            <w:tcW w:w="140" w:type="dxa"/>
            <w:vAlign w:val="bottom"/>
          </w:tcPr>
          <w:p>
            <w:pPr>
              <w:spacing w:after="0"/>
              <w:rPr>
                <w:sz w:val="24"/>
                <w:szCs w:val="24"/>
                <w:color w:val="auto"/>
              </w:rPr>
            </w:pPr>
          </w:p>
        </w:tc>
        <w:tc>
          <w:tcPr>
            <w:tcW w:w="300" w:type="dxa"/>
            <w:vAlign w:val="bottom"/>
            <w:gridSpan w:val="2"/>
            <w:vMerge w:val="continue"/>
          </w:tcPr>
          <w:p>
            <w:pPr>
              <w:spacing w:after="0"/>
              <w:rPr>
                <w:sz w:val="24"/>
                <w:szCs w:val="24"/>
                <w:color w:val="auto"/>
              </w:rPr>
            </w:pPr>
          </w:p>
        </w:tc>
        <w:tc>
          <w:tcPr>
            <w:tcW w:w="300" w:type="dxa"/>
            <w:vAlign w:val="bottom"/>
            <w:tcBorders>
              <w:bottom w:val="single" w:sz="8" w:color="0000FF"/>
            </w:tcBorders>
            <w:gridSpan w:val="4"/>
            <w:vMerge w:val="continue"/>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gridSpan w:val="5"/>
            <w:vMerge w:val="restart"/>
          </w:tcPr>
          <w:p>
            <w:pPr>
              <w:jc w:val="right"/>
              <w:spacing w:after="0"/>
              <w:rPr>
                <w:sz w:val="20"/>
                <w:szCs w:val="20"/>
                <w:color w:val="auto"/>
              </w:rPr>
            </w:pPr>
            <w:r>
              <w:rPr>
                <w:rFonts w:ascii="Times New Roman" w:cs="Times New Roman" w:eastAsia="Times New Roman" w:hAnsi="Times New Roman"/>
                <w:sz w:val="20"/>
                <w:szCs w:val="20"/>
                <w:color w:val="FF0000"/>
                <w:strike w:val="1"/>
                <w:w w:val="86"/>
              </w:rPr>
              <w:t>130</w:t>
            </w:r>
          </w:p>
        </w:tc>
        <w:tc>
          <w:tcPr>
            <w:tcW w:w="320" w:type="dxa"/>
            <w:vAlign w:val="bottom"/>
            <w:gridSpan w:val="6"/>
            <w:vMerge w:val="restart"/>
          </w:tcPr>
          <w:p>
            <w:pPr>
              <w:spacing w:after="0"/>
              <w:rPr>
                <w:sz w:val="20"/>
                <w:szCs w:val="20"/>
                <w:color w:val="auto"/>
              </w:rPr>
            </w:pPr>
            <w:r>
              <w:rPr>
                <w:rFonts w:ascii="Times New Roman" w:cs="Times New Roman" w:eastAsia="Times New Roman" w:hAnsi="Times New Roman"/>
                <w:sz w:val="20"/>
                <w:szCs w:val="20"/>
                <w:color w:val="0000FF"/>
                <w:w w:val="93"/>
              </w:rPr>
              <w:t>135</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4460" w:type="dxa"/>
            <w:vAlign w:val="bottom"/>
            <w:gridSpan w:val="3"/>
            <w:vMerge w:val="continue"/>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gridSpan w:val="5"/>
            <w:vMerge w:val="continue"/>
          </w:tcPr>
          <w:p>
            <w:pPr>
              <w:spacing w:after="0"/>
              <w:rPr>
                <w:sz w:val="22"/>
                <w:szCs w:val="22"/>
                <w:color w:val="auto"/>
              </w:rPr>
            </w:pPr>
          </w:p>
        </w:tc>
        <w:tc>
          <w:tcPr>
            <w:tcW w:w="320" w:type="dxa"/>
            <w:vAlign w:val="bottom"/>
            <w:tcBorders>
              <w:bottom w:val="single" w:sz="8" w:color="0000FF"/>
            </w:tcBorders>
            <w:gridSpan w:val="6"/>
            <w:vMerge w:val="continue"/>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4460" w:type="dxa"/>
            <w:vAlign w:val="bottom"/>
            <w:gridSpan w:val="3"/>
          </w:tcPr>
          <w:p>
            <w:pPr>
              <w:ind w:left="640"/>
              <w:spacing w:after="0"/>
              <w:rPr>
                <w:sz w:val="20"/>
                <w:szCs w:val="20"/>
                <w:color w:val="auto"/>
              </w:rPr>
            </w:pPr>
            <w:r>
              <w:rPr>
                <w:rFonts w:ascii="Times New Roman" w:cs="Times New Roman" w:eastAsia="Times New Roman" w:hAnsi="Times New Roman"/>
                <w:sz w:val="15"/>
                <w:szCs w:val="15"/>
                <w:color w:val="auto"/>
                <w:w w:val="74"/>
              </w:rPr>
              <w:t>SECTION 9.13 Financial Covenants .............................................................................</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gridSpan w:val="6"/>
          </w:tcPr>
          <w:p>
            <w:pPr>
              <w:ind w:left="20"/>
              <w:spacing w:after="0"/>
              <w:rPr>
                <w:sz w:val="20"/>
                <w:szCs w:val="20"/>
                <w:color w:val="auto"/>
              </w:rPr>
            </w:pPr>
            <w:r>
              <w:rPr>
                <w:rFonts w:ascii="Times New Roman" w:cs="Times New Roman" w:eastAsia="Times New Roman" w:hAnsi="Times New Roman"/>
                <w:sz w:val="20"/>
                <w:szCs w:val="20"/>
                <w:color w:val="FF0000"/>
                <w:strike w:val="1"/>
                <w:w w:val="93"/>
              </w:rPr>
              <w:t>130</w:t>
            </w:r>
          </w:p>
        </w:tc>
        <w:tc>
          <w:tcPr>
            <w:tcW w:w="280" w:type="dxa"/>
            <w:vAlign w:val="bottom"/>
            <w:gridSpan w:val="6"/>
          </w:tcPr>
          <w:p>
            <w:pPr>
              <w:spacing w:after="0"/>
              <w:rPr>
                <w:sz w:val="20"/>
                <w:szCs w:val="20"/>
                <w:color w:val="auto"/>
              </w:rPr>
            </w:pPr>
            <w:r>
              <w:rPr>
                <w:rFonts w:ascii="Times New Roman" w:cs="Times New Roman" w:eastAsia="Times New Roman" w:hAnsi="Times New Roman"/>
                <w:sz w:val="20"/>
                <w:szCs w:val="20"/>
                <w:color w:val="0000FF"/>
                <w:w w:val="86"/>
              </w:rPr>
              <w:t>135</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4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00" w:type="dxa"/>
            <w:vAlign w:val="bottom"/>
            <w:tcBorders>
              <w:right w:val="single" w:sz="8" w:color="0000FF"/>
            </w:tcBorders>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60" w:type="dxa"/>
            <w:vAlign w:val="bottom"/>
            <w:gridSpan w:val="3"/>
            <w:vMerge w:val="restart"/>
          </w:tcPr>
          <w:p>
            <w:pPr>
              <w:ind w:left="640"/>
              <w:spacing w:after="0"/>
              <w:rPr>
                <w:sz w:val="20"/>
                <w:szCs w:val="20"/>
                <w:color w:val="auto"/>
              </w:rPr>
            </w:pPr>
            <w:r>
              <w:rPr>
                <w:rFonts w:ascii="Times New Roman" w:cs="Times New Roman" w:eastAsia="Times New Roman" w:hAnsi="Times New Roman"/>
                <w:sz w:val="20"/>
                <w:szCs w:val="20"/>
                <w:color w:val="auto"/>
                <w:w w:val="98"/>
              </w:rPr>
              <w:t>SECTION 9.14 Disposal of Subsidiary Interests</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
                <w:szCs w:val="2"/>
                <w:color w:val="auto"/>
                <w:w w:val="94"/>
              </w:rPr>
              <w:t>...........................................................</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vMerge w:val="restart"/>
          </w:tcPr>
          <w:p>
            <w:pPr>
              <w:spacing w:after="0"/>
              <w:rPr>
                <w:sz w:val="19"/>
                <w:szCs w:val="19"/>
                <w:color w:val="auto"/>
              </w:rPr>
            </w:pPr>
          </w:p>
        </w:tc>
        <w:tc>
          <w:tcPr>
            <w:tcW w:w="340" w:type="dxa"/>
            <w:vAlign w:val="bottom"/>
            <w:gridSpan w:val="6"/>
            <w:vMerge w:val="restart"/>
          </w:tcPr>
          <w:p>
            <w:pPr>
              <w:ind w:left="20"/>
              <w:spacing w:after="0"/>
              <w:rPr>
                <w:sz w:val="20"/>
                <w:szCs w:val="20"/>
                <w:color w:val="auto"/>
              </w:rPr>
            </w:pPr>
            <w:r>
              <w:rPr>
                <w:rFonts w:ascii="Times New Roman" w:cs="Times New Roman" w:eastAsia="Times New Roman" w:hAnsi="Times New Roman"/>
                <w:sz w:val="20"/>
                <w:szCs w:val="20"/>
                <w:color w:val="FF0000"/>
                <w:strike w:val="1"/>
                <w:w w:val="93"/>
              </w:rPr>
              <w:t>131</w:t>
            </w:r>
          </w:p>
        </w:tc>
        <w:tc>
          <w:tcPr>
            <w:tcW w:w="280" w:type="dxa"/>
            <w:vAlign w:val="bottom"/>
            <w:gridSpan w:val="6"/>
            <w:vMerge w:val="restart"/>
          </w:tcPr>
          <w:p>
            <w:pPr>
              <w:spacing w:after="0"/>
              <w:rPr>
                <w:sz w:val="20"/>
                <w:szCs w:val="20"/>
                <w:color w:val="auto"/>
              </w:rPr>
            </w:pPr>
            <w:r>
              <w:rPr>
                <w:rFonts w:ascii="Times New Roman" w:cs="Times New Roman" w:eastAsia="Times New Roman" w:hAnsi="Times New Roman"/>
                <w:sz w:val="20"/>
                <w:szCs w:val="20"/>
                <w:color w:val="0000FF"/>
                <w:w w:val="86"/>
              </w:rPr>
              <w:t>136</w:t>
            </w:r>
          </w:p>
        </w:tc>
        <w:tc>
          <w:tcPr>
            <w:tcW w:w="40" w:type="dxa"/>
            <w:vAlign w:val="bottom"/>
            <w:vMerge w:val="restart"/>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3"/>
        </w:trPr>
        <w:tc>
          <w:tcPr>
            <w:tcW w:w="446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340" w:type="dxa"/>
            <w:vAlign w:val="bottom"/>
            <w:gridSpan w:val="6"/>
            <w:vMerge w:val="continue"/>
          </w:tcPr>
          <w:p>
            <w:pPr>
              <w:spacing w:after="0"/>
              <w:rPr>
                <w:sz w:val="5"/>
                <w:szCs w:val="5"/>
                <w:color w:val="auto"/>
              </w:rPr>
            </w:pPr>
          </w:p>
        </w:tc>
        <w:tc>
          <w:tcPr>
            <w:tcW w:w="280" w:type="dxa"/>
            <w:vAlign w:val="bottom"/>
            <w:tcBorders>
              <w:bottom w:val="single" w:sz="8" w:color="0000FF"/>
            </w:tcBorders>
            <w:gridSpan w:val="6"/>
            <w:vMerge w:val="continue"/>
          </w:tcPr>
          <w:p>
            <w:pPr>
              <w:spacing w:after="0"/>
              <w:rPr>
                <w:sz w:val="5"/>
                <w:szCs w:val="5"/>
                <w:color w:val="auto"/>
              </w:rPr>
            </w:pPr>
          </w:p>
        </w:tc>
        <w:tc>
          <w:tcPr>
            <w:tcW w:w="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44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w w:val="72"/>
              </w:rPr>
              <w:t>ARTICLE X  DEFAULT AND REMEDIES.................................................................................</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gridSpan w:val="3"/>
          </w:tcPr>
          <w:p>
            <w:pPr>
              <w:spacing w:after="0"/>
              <w:rPr>
                <w:sz w:val="24"/>
                <w:szCs w:val="24"/>
                <w:color w:val="auto"/>
              </w:rPr>
            </w:pPr>
          </w:p>
        </w:tc>
        <w:tc>
          <w:tcPr>
            <w:tcW w:w="26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FF0000"/>
                <w:strike w:val="1"/>
                <w:w w:val="79"/>
              </w:rPr>
              <w:t>131</w:t>
            </w:r>
          </w:p>
        </w:tc>
        <w:tc>
          <w:tcPr>
            <w:tcW w:w="400" w:type="dxa"/>
            <w:vAlign w:val="bottom"/>
            <w:gridSpan w:val="7"/>
          </w:tcPr>
          <w:p>
            <w:pPr>
              <w:spacing w:after="0"/>
              <w:rPr>
                <w:sz w:val="20"/>
                <w:szCs w:val="20"/>
                <w:color w:val="auto"/>
              </w:rPr>
            </w:pPr>
            <w:r>
              <w:rPr>
                <w:rFonts w:ascii="Times New Roman" w:cs="Times New Roman" w:eastAsia="Times New Roman" w:hAnsi="Times New Roman"/>
                <w:sz w:val="20"/>
                <w:szCs w:val="20"/>
                <w:color w:val="0000FF"/>
              </w:rPr>
              <w:t>136</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4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Borders>
              <w:righ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460" w:type="dxa"/>
            <w:vAlign w:val="bottom"/>
            <w:gridSpan w:val="3"/>
          </w:tcPr>
          <w:p>
            <w:pPr>
              <w:ind w:left="640"/>
              <w:spacing w:after="0"/>
              <w:rPr>
                <w:sz w:val="20"/>
                <w:szCs w:val="20"/>
                <w:color w:val="auto"/>
              </w:rPr>
            </w:pPr>
            <w:r>
              <w:rPr>
                <w:rFonts w:ascii="Times New Roman" w:cs="Times New Roman" w:eastAsia="Times New Roman" w:hAnsi="Times New Roman"/>
                <w:sz w:val="15"/>
                <w:szCs w:val="15"/>
                <w:color w:val="auto"/>
                <w:w w:val="74"/>
              </w:rPr>
              <w:t>SECTION 10.1 Events of Default..................................................................................</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gridSpan w:val="6"/>
          </w:tcPr>
          <w:p>
            <w:pPr>
              <w:jc w:val="right"/>
              <w:spacing w:after="0"/>
              <w:rPr>
                <w:sz w:val="20"/>
                <w:szCs w:val="20"/>
                <w:color w:val="auto"/>
              </w:rPr>
            </w:pPr>
            <w:r>
              <w:rPr>
                <w:rFonts w:ascii="Times New Roman" w:cs="Times New Roman" w:eastAsia="Times New Roman" w:hAnsi="Times New Roman"/>
                <w:sz w:val="20"/>
                <w:szCs w:val="20"/>
                <w:color w:val="FF0000"/>
                <w:strike w:val="1"/>
              </w:rPr>
              <w:t>131</w:t>
            </w:r>
          </w:p>
        </w:tc>
        <w:tc>
          <w:tcPr>
            <w:tcW w:w="3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20"/>
                <w:szCs w:val="20"/>
                <w:color w:val="0000FF"/>
                <w:w w:val="93"/>
              </w:rPr>
              <w:t>136</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2900" w:type="dxa"/>
            <w:vAlign w:val="bottom"/>
            <w:gridSpan w:val="2"/>
          </w:tcPr>
          <w:p>
            <w:pPr>
              <w:ind w:left="640"/>
              <w:spacing w:after="0"/>
              <w:rPr>
                <w:sz w:val="20"/>
                <w:szCs w:val="20"/>
                <w:color w:val="auto"/>
              </w:rPr>
            </w:pPr>
            <w:r>
              <w:rPr>
                <w:rFonts w:ascii="Times New Roman" w:cs="Times New Roman" w:eastAsia="Times New Roman" w:hAnsi="Times New Roman"/>
                <w:sz w:val="9"/>
                <w:szCs w:val="9"/>
                <w:color w:val="auto"/>
                <w:w w:val="72"/>
              </w:rPr>
              <w:t>SECTION 10.2 Remedies ..............................................................................................</w:t>
            </w: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gridSpan w:val="6"/>
          </w:tcPr>
          <w:p>
            <w:pPr>
              <w:ind w:left="20"/>
              <w:spacing w:after="0"/>
              <w:rPr>
                <w:sz w:val="20"/>
                <w:szCs w:val="20"/>
                <w:color w:val="auto"/>
              </w:rPr>
            </w:pPr>
            <w:r>
              <w:rPr>
                <w:rFonts w:ascii="Times New Roman" w:cs="Times New Roman" w:eastAsia="Times New Roman" w:hAnsi="Times New Roman"/>
                <w:sz w:val="20"/>
                <w:szCs w:val="20"/>
                <w:color w:val="FF0000"/>
                <w:strike w:val="1"/>
                <w:w w:val="93"/>
              </w:rPr>
              <w:t>133</w:t>
            </w:r>
          </w:p>
        </w:tc>
        <w:tc>
          <w:tcPr>
            <w:tcW w:w="280" w:type="dxa"/>
            <w:vAlign w:val="bottom"/>
            <w:gridSpan w:val="6"/>
          </w:tcPr>
          <w:p>
            <w:pPr>
              <w:spacing w:after="0"/>
              <w:rPr>
                <w:sz w:val="20"/>
                <w:szCs w:val="20"/>
                <w:color w:val="auto"/>
              </w:rPr>
            </w:pPr>
            <w:r>
              <w:rPr>
                <w:rFonts w:ascii="Times New Roman" w:cs="Times New Roman" w:eastAsia="Times New Roman" w:hAnsi="Times New Roman"/>
                <w:sz w:val="20"/>
                <w:szCs w:val="20"/>
                <w:color w:val="0000FF"/>
                <w:w w:val="86"/>
              </w:rPr>
              <w:t>138</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940" w:type="dxa"/>
            <w:vAlign w:val="bottom"/>
            <w:gridSpan w:val="7"/>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260" w:type="dxa"/>
            <w:vAlign w:val="bottom"/>
            <w:tcBorders>
              <w:right w:val="single" w:sz="8" w:color="0000FF"/>
            </w:tcBorders>
            <w:gridSpan w:val="5"/>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5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6680" w:type="dxa"/>
            <w:vAlign w:val="bottom"/>
            <w:gridSpan w:val="22"/>
          </w:tcPr>
          <w:p>
            <w:pPr>
              <w:ind w:left="640"/>
              <w:spacing w:after="0"/>
              <w:rPr>
                <w:sz w:val="20"/>
                <w:szCs w:val="20"/>
                <w:color w:val="auto"/>
              </w:rPr>
            </w:pPr>
            <w:r>
              <w:rPr>
                <w:rFonts w:ascii="Times New Roman" w:cs="Times New Roman" w:eastAsia="Times New Roman" w:hAnsi="Times New Roman"/>
                <w:sz w:val="20"/>
                <w:szCs w:val="20"/>
                <w:color w:val="auto"/>
                <w:w w:val="88"/>
              </w:rPr>
              <w:t>SECTION 10.3 Rights and Remedies Cumulative; Non-Waiver; etc............................</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gridSpan w:val="8"/>
          </w:tcPr>
          <w:p>
            <w:pPr>
              <w:jc w:val="right"/>
              <w:spacing w:after="0"/>
              <w:rPr>
                <w:sz w:val="20"/>
                <w:szCs w:val="20"/>
                <w:color w:val="auto"/>
              </w:rPr>
            </w:pPr>
            <w:r>
              <w:rPr>
                <w:rFonts w:ascii="Times New Roman" w:cs="Times New Roman" w:eastAsia="Times New Roman" w:hAnsi="Times New Roman"/>
                <w:sz w:val="20"/>
                <w:szCs w:val="20"/>
                <w:color w:val="FF0000"/>
                <w:strike w:val="1"/>
              </w:rPr>
              <w:t>134</w:t>
            </w:r>
          </w:p>
        </w:tc>
        <w:tc>
          <w:tcPr>
            <w:tcW w:w="2800" w:type="dxa"/>
            <w:vAlign w:val="bottom"/>
            <w:gridSpan w:val="8"/>
          </w:tcPr>
          <w:p>
            <w:pPr>
              <w:jc w:val="right"/>
              <w:spacing w:after="0"/>
              <w:rPr>
                <w:sz w:val="20"/>
                <w:szCs w:val="20"/>
                <w:color w:val="auto"/>
              </w:rPr>
            </w:pPr>
            <w:r>
              <w:rPr>
                <w:rFonts w:ascii="Times New Roman" w:cs="Times New Roman" w:eastAsia="Times New Roman" w:hAnsi="Times New Roman"/>
                <w:sz w:val="20"/>
                <w:szCs w:val="20"/>
                <w:color w:val="0000FF"/>
              </w:rPr>
              <w:t xml:space="preserve">139 </w:t>
            </w:r>
            <w:r>
              <w:rPr>
                <w:rFonts w:ascii="Times New Roman" w:cs="Times New Roman" w:eastAsia="Times New Roman" w:hAnsi="Times New Roman"/>
                <w:sz w:val="20"/>
                <w:szCs w:val="20"/>
                <w:color w:val="000000"/>
              </w:rPr>
              <w:t>SECTION 10.4 Crediting of</w:t>
            </w:r>
          </w:p>
        </w:tc>
        <w:tc>
          <w:tcPr>
            <w:tcW w:w="0" w:type="dxa"/>
            <w:vAlign w:val="bottom"/>
          </w:tcPr>
          <w:p>
            <w:pPr>
              <w:spacing w:after="0"/>
              <w:rPr>
                <w:sz w:val="1"/>
                <w:szCs w:val="1"/>
                <w:color w:val="auto"/>
              </w:rPr>
            </w:pPr>
          </w:p>
        </w:tc>
      </w:tr>
      <w:tr>
        <w:trPr>
          <w:trHeight w:val="331"/>
        </w:trPr>
        <w:tc>
          <w:tcPr>
            <w:tcW w:w="290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w w:val="72"/>
              </w:rPr>
              <w:t>....................................................PaymentsandProceeds</w:t>
            </w:r>
          </w:p>
        </w:tc>
        <w:tc>
          <w:tcPr>
            <w:tcW w:w="1560" w:type="dxa"/>
            <w:vAlign w:val="bottom"/>
          </w:tcPr>
          <w:p>
            <w:pPr>
              <w:spacing w:after="0"/>
              <w:rPr>
                <w:sz w:val="24"/>
                <w:szCs w:val="24"/>
                <w:color w:val="auto"/>
              </w:rPr>
            </w:pPr>
          </w:p>
        </w:tc>
        <w:tc>
          <w:tcPr>
            <w:tcW w:w="480" w:type="dxa"/>
            <w:vAlign w:val="bottom"/>
            <w:gridSpan w:val="4"/>
          </w:tcPr>
          <w:p>
            <w:pPr>
              <w:spacing w:after="0"/>
              <w:rPr>
                <w:sz w:val="24"/>
                <w:szCs w:val="24"/>
                <w:color w:val="auto"/>
              </w:rPr>
            </w:pPr>
          </w:p>
        </w:tc>
        <w:tc>
          <w:tcPr>
            <w:tcW w:w="120" w:type="dxa"/>
            <w:vAlign w:val="bottom"/>
            <w:gridSpan w:val="2"/>
          </w:tcPr>
          <w:p>
            <w:pPr>
              <w:spacing w:after="0"/>
              <w:rPr>
                <w:sz w:val="24"/>
                <w:szCs w:val="24"/>
                <w:color w:val="auto"/>
              </w:rPr>
            </w:pPr>
          </w:p>
        </w:tc>
        <w:tc>
          <w:tcPr>
            <w:tcW w:w="38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FF0000"/>
                <w:strike w:val="1"/>
              </w:rPr>
              <w:t>134</w:t>
            </w:r>
          </w:p>
        </w:tc>
        <w:tc>
          <w:tcPr>
            <w:tcW w:w="280" w:type="dxa"/>
            <w:vAlign w:val="bottom"/>
            <w:tcBorders>
              <w:bottom w:val="single" w:sz="8" w:color="0000FF"/>
            </w:tcBorders>
            <w:gridSpan w:val="4"/>
          </w:tcPr>
          <w:p>
            <w:pPr>
              <w:jc w:val="right"/>
              <w:spacing w:after="0"/>
              <w:rPr>
                <w:sz w:val="20"/>
                <w:szCs w:val="20"/>
                <w:color w:val="auto"/>
              </w:rPr>
            </w:pPr>
            <w:r>
              <w:rPr>
                <w:rFonts w:ascii="Times New Roman" w:cs="Times New Roman" w:eastAsia="Times New Roman" w:hAnsi="Times New Roman"/>
                <w:sz w:val="20"/>
                <w:szCs w:val="20"/>
                <w:color w:val="0000FF"/>
                <w:w w:val="86"/>
              </w:rPr>
              <w:t>140</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6680" w:type="dxa"/>
            <w:vAlign w:val="bottom"/>
            <w:gridSpan w:val="22"/>
          </w:tcPr>
          <w:p>
            <w:pPr>
              <w:ind w:left="640"/>
              <w:spacing w:after="0"/>
              <w:rPr>
                <w:sz w:val="20"/>
                <w:szCs w:val="20"/>
                <w:color w:val="auto"/>
              </w:rPr>
            </w:pPr>
            <w:r>
              <w:rPr>
                <w:rFonts w:ascii="Times New Roman" w:cs="Times New Roman" w:eastAsia="Times New Roman" w:hAnsi="Times New Roman"/>
                <w:sz w:val="20"/>
                <w:szCs w:val="20"/>
                <w:color w:val="auto"/>
                <w:w w:val="88"/>
              </w:rPr>
              <w:t>SECTION 10.5 Administrative Agent May File Proofs of Claim .................................</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gridSpan w:val="7"/>
          </w:tcPr>
          <w:p>
            <w:pPr>
              <w:jc w:val="right"/>
              <w:spacing w:after="0"/>
              <w:rPr>
                <w:sz w:val="20"/>
                <w:szCs w:val="20"/>
                <w:color w:val="auto"/>
              </w:rPr>
            </w:pPr>
            <w:r>
              <w:rPr>
                <w:rFonts w:ascii="Times New Roman" w:cs="Times New Roman" w:eastAsia="Times New Roman" w:hAnsi="Times New Roman"/>
                <w:sz w:val="20"/>
                <w:szCs w:val="20"/>
                <w:color w:val="FF0000"/>
                <w:strike w:val="1"/>
                <w:w w:val="99"/>
              </w:rPr>
              <w:t>136</w:t>
            </w:r>
          </w:p>
        </w:tc>
        <w:tc>
          <w:tcPr>
            <w:tcW w:w="2940" w:type="dxa"/>
            <w:vAlign w:val="bottom"/>
            <w:gridSpan w:val="9"/>
          </w:tcPr>
          <w:p>
            <w:pPr>
              <w:jc w:val="right"/>
              <w:spacing w:after="0"/>
              <w:rPr>
                <w:sz w:val="20"/>
                <w:szCs w:val="20"/>
                <w:color w:val="auto"/>
              </w:rPr>
            </w:pPr>
            <w:r>
              <w:rPr>
                <w:rFonts w:ascii="Times New Roman" w:cs="Times New Roman" w:eastAsia="Times New Roman" w:hAnsi="Times New Roman"/>
                <w:sz w:val="20"/>
                <w:szCs w:val="20"/>
                <w:color w:val="0000FF"/>
              </w:rPr>
              <w:t xml:space="preserve">141 </w:t>
            </w:r>
            <w:r>
              <w:rPr>
                <w:rFonts w:ascii="Times New Roman" w:cs="Times New Roman" w:eastAsia="Times New Roman" w:hAnsi="Times New Roman"/>
                <w:sz w:val="20"/>
                <w:szCs w:val="20"/>
                <w:color w:val="000000"/>
              </w:rPr>
              <w:t>SECTION 10.6 Credit Bidding</w:t>
            </w:r>
          </w:p>
        </w:tc>
        <w:tc>
          <w:tcPr>
            <w:tcW w:w="0" w:type="dxa"/>
            <w:vAlign w:val="bottom"/>
          </w:tcPr>
          <w:p>
            <w:pPr>
              <w:spacing w:after="0"/>
              <w:rPr>
                <w:sz w:val="1"/>
                <w:szCs w:val="1"/>
                <w:color w:val="auto"/>
              </w:rPr>
            </w:pPr>
          </w:p>
        </w:tc>
      </w:tr>
      <w:tr>
        <w:trPr>
          <w:trHeight w:val="250"/>
        </w:trPr>
        <w:tc>
          <w:tcPr>
            <w:tcW w:w="290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w w:val="74"/>
              </w:rPr>
              <w:t>......................................................................................</w:t>
            </w:r>
          </w:p>
        </w:tc>
        <w:tc>
          <w:tcPr>
            <w:tcW w:w="1560" w:type="dxa"/>
            <w:vAlign w:val="bottom"/>
          </w:tcPr>
          <w:p>
            <w:pPr>
              <w:spacing w:after="0"/>
              <w:rPr>
                <w:sz w:val="21"/>
                <w:szCs w:val="21"/>
                <w:color w:val="auto"/>
              </w:rPr>
            </w:pPr>
          </w:p>
        </w:tc>
        <w:tc>
          <w:tcPr>
            <w:tcW w:w="480" w:type="dxa"/>
            <w:vAlign w:val="bottom"/>
            <w:gridSpan w:val="4"/>
            <w:vMerge w:val="restart"/>
          </w:tcPr>
          <w:p>
            <w:pPr>
              <w:spacing w:after="0"/>
              <w:rPr>
                <w:sz w:val="21"/>
                <w:szCs w:val="21"/>
                <w:color w:val="auto"/>
              </w:rPr>
            </w:pPr>
          </w:p>
        </w:tc>
        <w:tc>
          <w:tcPr>
            <w:tcW w:w="300" w:type="dxa"/>
            <w:vAlign w:val="bottom"/>
            <w:gridSpan w:val="4"/>
            <w:vMerge w:val="restart"/>
          </w:tcPr>
          <w:p>
            <w:pPr>
              <w:jc w:val="right"/>
              <w:spacing w:after="0"/>
              <w:rPr>
                <w:sz w:val="20"/>
                <w:szCs w:val="20"/>
                <w:color w:val="auto"/>
              </w:rPr>
            </w:pPr>
            <w:r>
              <w:rPr>
                <w:rFonts w:ascii="Times New Roman" w:cs="Times New Roman" w:eastAsia="Times New Roman" w:hAnsi="Times New Roman"/>
                <w:sz w:val="20"/>
                <w:szCs w:val="20"/>
                <w:color w:val="FF0000"/>
                <w:strike w:val="1"/>
                <w:w w:val="93"/>
              </w:rPr>
              <w:t>137</w:t>
            </w:r>
          </w:p>
        </w:tc>
        <w:tc>
          <w:tcPr>
            <w:tcW w:w="32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20"/>
                <w:szCs w:val="20"/>
                <w:color w:val="0000FF"/>
                <w:w w:val="93"/>
              </w:rPr>
              <w:t>142</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8"/>
        </w:trPr>
        <w:tc>
          <w:tcPr>
            <w:tcW w:w="17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560" w:type="dxa"/>
            <w:vAlign w:val="bottom"/>
          </w:tcPr>
          <w:p>
            <w:pPr>
              <w:spacing w:after="0"/>
              <w:rPr>
                <w:sz w:val="5"/>
                <w:szCs w:val="5"/>
                <w:color w:val="auto"/>
              </w:rPr>
            </w:pPr>
          </w:p>
        </w:tc>
        <w:tc>
          <w:tcPr>
            <w:tcW w:w="480" w:type="dxa"/>
            <w:vAlign w:val="bottom"/>
            <w:gridSpan w:val="4"/>
            <w:vMerge w:val="continue"/>
          </w:tcPr>
          <w:p>
            <w:pPr>
              <w:spacing w:after="0"/>
              <w:rPr>
                <w:sz w:val="5"/>
                <w:szCs w:val="5"/>
                <w:color w:val="auto"/>
              </w:rPr>
            </w:pPr>
          </w:p>
        </w:tc>
        <w:tc>
          <w:tcPr>
            <w:tcW w:w="300" w:type="dxa"/>
            <w:vAlign w:val="bottom"/>
            <w:gridSpan w:val="4"/>
            <w:vMerge w:val="continue"/>
          </w:tcPr>
          <w:p>
            <w:pPr>
              <w:spacing w:after="0"/>
              <w:rPr>
                <w:sz w:val="5"/>
                <w:szCs w:val="5"/>
                <w:color w:val="auto"/>
              </w:rPr>
            </w:pPr>
          </w:p>
        </w:tc>
        <w:tc>
          <w:tcPr>
            <w:tcW w:w="32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00"/>
          </w:cols>
          <w:pgMar w:left="360" w:top="1085" w:right="43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right"/>
        <w:ind w:right="10040"/>
        <w:spacing w:after="0"/>
        <w:rPr>
          <w:sz w:val="20"/>
          <w:szCs w:val="20"/>
          <w:color w:val="auto"/>
        </w:rPr>
      </w:pPr>
      <w:r>
        <w:rPr>
          <w:rFonts w:ascii="Times New Roman" w:cs="Times New Roman" w:eastAsia="Times New Roman" w:hAnsi="Times New Roman"/>
          <w:sz w:val="14"/>
          <w:szCs w:val="14"/>
          <w:color w:val="FF0000"/>
          <w:strike w:val="1"/>
        </w:rPr>
        <w:t>146960219_6</w:t>
      </w:r>
    </w:p>
    <w:p>
      <w:pPr>
        <w:ind w:left="260" w:hanging="256"/>
        <w:spacing w:after="0" w:line="229" w:lineRule="auto"/>
        <w:tabs>
          <w:tab w:leader="none" w:pos="26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100"/>
          </w:cols>
          <w:pgMar w:left="360" w:top="1085" w:right="439" w:bottom="1440" w:gutter="0" w:footer="0" w:header="0"/>
          <w:type w:val="continuous"/>
        </w:sectPr>
      </w:pPr>
    </w:p>
    <w:bookmarkStart w:id="80" w:name="page81"/>
    <w:bookmarkEnd w:id="80"/>
    <w:tbl>
      <w:tblPr>
        <w:tblLayout w:type="fixed"/>
        <w:tblInd w:w="40" w:type="dxa"/>
        <w:tblCellMar>
          <w:top w:w="0" w:type="dxa"/>
          <w:left w:w="0" w:type="dxa"/>
          <w:bottom w:w="0" w:type="dxa"/>
          <w:right w:w="0" w:type="dxa"/>
        </w:tblCellMar>
      </w:tblPr>
      <w:tr>
        <w:trPr>
          <w:trHeight w:val="262"/>
        </w:trPr>
        <w:tc>
          <w:tcPr>
            <w:tcW w:w="16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520" w:type="dxa"/>
            <w:vAlign w:val="bottom"/>
            <w:gridSpan w:val="21"/>
          </w:tcPr>
          <w:p>
            <w:pPr>
              <w:jc w:val="center"/>
              <w:ind w:right="400"/>
              <w:spacing w:after="0"/>
              <w:rPr>
                <w:sz w:val="20"/>
                <w:szCs w:val="20"/>
                <w:color w:val="auto"/>
              </w:rPr>
            </w:pPr>
            <w:r>
              <w:rPr>
                <w:rFonts w:ascii="Times New Roman" w:cs="Times New Roman" w:eastAsia="Times New Roman" w:hAnsi="Times New Roman"/>
                <w:sz w:val="20"/>
                <w:szCs w:val="20"/>
                <w:b w:val="1"/>
                <w:bCs w:val="1"/>
                <w:color w:val="auto"/>
                <w:w w:val="98"/>
              </w:rPr>
              <w:t>TABLE OF CONTENTS</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27"/>
        </w:trPr>
        <w:tc>
          <w:tcPr>
            <w:tcW w:w="1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Page</w:t>
            </w:r>
          </w:p>
        </w:tc>
        <w:tc>
          <w:tcPr>
            <w:tcW w:w="0" w:type="dxa"/>
            <w:vAlign w:val="bottom"/>
          </w:tcPr>
          <w:p>
            <w:pPr>
              <w:spacing w:after="0"/>
              <w:rPr>
                <w:sz w:val="1"/>
                <w:szCs w:val="1"/>
                <w:color w:val="auto"/>
              </w:rPr>
            </w:pPr>
          </w:p>
        </w:tc>
      </w:tr>
      <w:tr>
        <w:trPr>
          <w:trHeight w:val="642"/>
        </w:trPr>
        <w:tc>
          <w:tcPr>
            <w:tcW w:w="4400" w:type="dxa"/>
            <w:vAlign w:val="bottom"/>
            <w:gridSpan w:val="9"/>
          </w:tcPr>
          <w:p>
            <w:pPr>
              <w:ind w:left="640"/>
              <w:spacing w:after="0"/>
              <w:rPr>
                <w:sz w:val="20"/>
                <w:szCs w:val="20"/>
                <w:color w:val="auto"/>
              </w:rPr>
            </w:pPr>
            <w:r>
              <w:rPr>
                <w:rFonts w:ascii="Times New Roman" w:cs="Times New Roman" w:eastAsia="Times New Roman" w:hAnsi="Times New Roman"/>
                <w:sz w:val="15"/>
                <w:szCs w:val="15"/>
                <w:color w:val="auto"/>
                <w:w w:val="73"/>
              </w:rPr>
              <w:t>SECTION 10.7 Judgment Currency ..............................................................................</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gridSpan w:val="4"/>
          </w:tcPr>
          <w:p>
            <w:pPr>
              <w:ind w:left="140"/>
              <w:spacing w:after="0"/>
              <w:rPr>
                <w:sz w:val="20"/>
                <w:szCs w:val="20"/>
                <w:color w:val="auto"/>
              </w:rPr>
            </w:pPr>
            <w:r>
              <w:rPr>
                <w:rFonts w:ascii="Times New Roman" w:cs="Times New Roman" w:eastAsia="Times New Roman" w:hAnsi="Times New Roman"/>
                <w:sz w:val="20"/>
                <w:szCs w:val="20"/>
                <w:color w:val="FF0000"/>
                <w:strike w:val="1"/>
              </w:rPr>
              <w:t>137</w:t>
            </w:r>
          </w:p>
        </w:tc>
        <w:tc>
          <w:tcPr>
            <w:tcW w:w="22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74"/>
              </w:rPr>
              <w:t>143</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4400" w:type="dxa"/>
            <w:vAlign w:val="bottom"/>
            <w:gridSpan w:val="9"/>
          </w:tcPr>
          <w:p>
            <w:pPr>
              <w:spacing w:after="0"/>
              <w:rPr>
                <w:sz w:val="20"/>
                <w:szCs w:val="20"/>
                <w:color w:val="auto"/>
              </w:rPr>
            </w:pPr>
            <w:r>
              <w:rPr>
                <w:rFonts w:ascii="Times New Roman" w:cs="Times New Roman" w:eastAsia="Times New Roman" w:hAnsi="Times New Roman"/>
                <w:sz w:val="16"/>
                <w:szCs w:val="16"/>
                <w:color w:val="auto"/>
                <w:w w:val="70"/>
              </w:rPr>
              <w:t>ARTICLE XI  THE ADMINISTRATIVE AGENT ........................................................................</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FF0000"/>
                <w:strike w:val="1"/>
                <w:w w:val="70"/>
              </w:rPr>
              <w:t>138</w:t>
            </w:r>
          </w:p>
        </w:tc>
        <w:tc>
          <w:tcPr>
            <w:tcW w:w="3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20"/>
                <w:szCs w:val="20"/>
                <w:color w:val="0000FF"/>
                <w:w w:val="93"/>
              </w:rPr>
              <w:t>143</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400" w:type="dxa"/>
            <w:vAlign w:val="bottom"/>
            <w:gridSpan w:val="9"/>
          </w:tcPr>
          <w:p>
            <w:pPr>
              <w:ind w:left="640"/>
              <w:spacing w:after="0"/>
              <w:rPr>
                <w:sz w:val="20"/>
                <w:szCs w:val="20"/>
                <w:color w:val="auto"/>
              </w:rPr>
            </w:pPr>
            <w:r>
              <w:rPr>
                <w:rFonts w:ascii="Times New Roman" w:cs="Times New Roman" w:eastAsia="Times New Roman" w:hAnsi="Times New Roman"/>
                <w:sz w:val="16"/>
                <w:szCs w:val="16"/>
                <w:color w:val="auto"/>
                <w:w w:val="70"/>
              </w:rPr>
              <w:t>..................................................................SECTION11.1AppointmentandAuthority</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gridSpan w:val="3"/>
          </w:tcPr>
          <w:p>
            <w:pPr>
              <w:jc w:val="center"/>
              <w:ind w:left="21"/>
              <w:spacing w:after="0"/>
              <w:rPr>
                <w:sz w:val="20"/>
                <w:szCs w:val="20"/>
                <w:color w:val="auto"/>
              </w:rPr>
            </w:pPr>
            <w:r>
              <w:rPr>
                <w:rFonts w:ascii="Times New Roman" w:cs="Times New Roman" w:eastAsia="Times New Roman" w:hAnsi="Times New Roman"/>
                <w:sz w:val="20"/>
                <w:szCs w:val="20"/>
                <w:color w:val="FF0000"/>
                <w:strike w:val="1"/>
                <w:w w:val="99"/>
              </w:rPr>
              <w:t>138</w:t>
            </w:r>
          </w:p>
        </w:tc>
        <w:tc>
          <w:tcPr>
            <w:tcW w:w="3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20"/>
                <w:szCs w:val="20"/>
                <w:color w:val="0000FF"/>
                <w:w w:val="99"/>
              </w:rPr>
              <w:t>143</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400" w:type="dxa"/>
            <w:vAlign w:val="bottom"/>
            <w:gridSpan w:val="9"/>
          </w:tcPr>
          <w:p>
            <w:pPr>
              <w:ind w:left="640"/>
              <w:spacing w:after="0"/>
              <w:rPr>
                <w:sz w:val="20"/>
                <w:szCs w:val="20"/>
                <w:color w:val="auto"/>
              </w:rPr>
            </w:pPr>
            <w:r>
              <w:rPr>
                <w:rFonts w:ascii="Times New Roman" w:cs="Times New Roman" w:eastAsia="Times New Roman" w:hAnsi="Times New Roman"/>
                <w:sz w:val="15"/>
                <w:szCs w:val="15"/>
                <w:color w:val="auto"/>
                <w:w w:val="72"/>
              </w:rPr>
              <w:t>SECTION 11.2 Rights as a Lender ................................................................................</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gridSpan w:val="4"/>
          </w:tcPr>
          <w:p>
            <w:pPr>
              <w:ind w:left="160"/>
              <w:spacing w:after="0"/>
              <w:rPr>
                <w:sz w:val="20"/>
                <w:szCs w:val="20"/>
                <w:color w:val="auto"/>
              </w:rPr>
            </w:pPr>
            <w:r>
              <w:rPr>
                <w:rFonts w:ascii="Times New Roman" w:cs="Times New Roman" w:eastAsia="Times New Roman" w:hAnsi="Times New Roman"/>
                <w:sz w:val="20"/>
                <w:szCs w:val="20"/>
                <w:color w:val="FF0000"/>
                <w:strike w:val="1"/>
              </w:rPr>
              <w:t>138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w w:val="74"/>
              </w:rPr>
              <w:t>144</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90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4400" w:type="dxa"/>
            <w:vAlign w:val="bottom"/>
            <w:gridSpan w:val="9"/>
          </w:tcPr>
          <w:p>
            <w:pPr>
              <w:ind w:left="640"/>
              <w:spacing w:after="0"/>
              <w:rPr>
                <w:sz w:val="20"/>
                <w:szCs w:val="20"/>
                <w:color w:val="auto"/>
              </w:rPr>
            </w:pPr>
            <w:r>
              <w:rPr>
                <w:rFonts w:ascii="Times New Roman" w:cs="Times New Roman" w:eastAsia="Times New Roman" w:hAnsi="Times New Roman"/>
                <w:sz w:val="15"/>
                <w:szCs w:val="15"/>
                <w:color w:val="auto"/>
                <w:w w:val="73"/>
              </w:rPr>
              <w:t>SECTION 11.3 Exculpatory Provisions ........................................................................</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gridSpan w:val="4"/>
          </w:tcPr>
          <w:p>
            <w:pPr>
              <w:jc w:val="right"/>
              <w:ind w:right="1"/>
              <w:spacing w:after="0"/>
              <w:rPr>
                <w:sz w:val="20"/>
                <w:szCs w:val="20"/>
                <w:color w:val="auto"/>
              </w:rPr>
            </w:pPr>
            <w:r>
              <w:rPr>
                <w:rFonts w:ascii="Times New Roman" w:cs="Times New Roman" w:eastAsia="Times New Roman" w:hAnsi="Times New Roman"/>
                <w:sz w:val="20"/>
                <w:szCs w:val="20"/>
                <w:color w:val="FF0000"/>
                <w:strike w:val="1"/>
              </w:rPr>
              <w:t>138</w:t>
            </w:r>
          </w:p>
        </w:tc>
        <w:tc>
          <w:tcPr>
            <w:tcW w:w="2980" w:type="dxa"/>
            <w:vAlign w:val="bottom"/>
            <w:gridSpan w:val="15"/>
          </w:tcPr>
          <w:p>
            <w:pPr>
              <w:jc w:val="right"/>
              <w:spacing w:after="0"/>
              <w:rPr>
                <w:sz w:val="20"/>
                <w:szCs w:val="20"/>
                <w:color w:val="auto"/>
              </w:rPr>
            </w:pPr>
            <w:r>
              <w:rPr>
                <w:rFonts w:ascii="Times New Roman" w:cs="Times New Roman" w:eastAsia="Times New Roman" w:hAnsi="Times New Roman"/>
                <w:sz w:val="20"/>
                <w:szCs w:val="20"/>
                <w:color w:val="0000FF"/>
              </w:rPr>
              <w:t xml:space="preserve">144 </w:t>
            </w:r>
            <w:r>
              <w:rPr>
                <w:rFonts w:ascii="Times New Roman" w:cs="Times New Roman" w:eastAsia="Times New Roman" w:hAnsi="Times New Roman"/>
                <w:sz w:val="20"/>
                <w:szCs w:val="20"/>
                <w:color w:val="000000"/>
              </w:rPr>
              <w:t>SECTION 11.4 Reliance by the</w:t>
            </w:r>
          </w:p>
        </w:tc>
        <w:tc>
          <w:tcPr>
            <w:tcW w:w="0" w:type="dxa"/>
            <w:vAlign w:val="bottom"/>
          </w:tcPr>
          <w:p>
            <w:pPr>
              <w:spacing w:after="0"/>
              <w:rPr>
                <w:sz w:val="1"/>
                <w:szCs w:val="1"/>
                <w:color w:val="auto"/>
              </w:rPr>
            </w:pPr>
          </w:p>
        </w:tc>
      </w:tr>
      <w:tr>
        <w:trPr>
          <w:trHeight w:val="20"/>
        </w:trPr>
        <w:tc>
          <w:tcPr>
            <w:tcW w:w="21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120" w:type="dxa"/>
            <w:vAlign w:val="bottom"/>
            <w:gridSpan w:val="2"/>
            <w:vMerge w:val="restart"/>
          </w:tcPr>
          <w:p>
            <w:pPr>
              <w:ind w:left="640"/>
              <w:spacing w:after="0"/>
              <w:rPr>
                <w:sz w:val="20"/>
                <w:szCs w:val="20"/>
                <w:color w:val="auto"/>
              </w:rPr>
            </w:pPr>
            <w:r>
              <w:rPr>
                <w:rFonts w:ascii="Times New Roman" w:cs="Times New Roman" w:eastAsia="Times New Roman" w:hAnsi="Times New Roman"/>
                <w:sz w:val="20"/>
                <w:szCs w:val="20"/>
                <w:color w:val="auto"/>
              </w:rPr>
              <w:t>Administrative</w:t>
            </w:r>
          </w:p>
        </w:tc>
        <w:tc>
          <w:tcPr>
            <w:tcW w:w="780" w:type="dxa"/>
            <w:vAlign w:val="bottom"/>
            <w:vMerge w:val="restart"/>
          </w:tcPr>
          <w:p>
            <w:pPr>
              <w:ind w:left="220"/>
              <w:spacing w:after="0"/>
              <w:rPr>
                <w:sz w:val="20"/>
                <w:szCs w:val="20"/>
                <w:color w:val="auto"/>
              </w:rPr>
            </w:pPr>
            <w:r>
              <w:rPr>
                <w:rFonts w:ascii="Times New Roman" w:cs="Times New Roman" w:eastAsia="Times New Roman" w:hAnsi="Times New Roman"/>
                <w:sz w:val="20"/>
                <w:szCs w:val="20"/>
                <w:color w:val="auto"/>
              </w:rPr>
              <w:t>Agent</w:t>
            </w:r>
          </w:p>
        </w:tc>
        <w:tc>
          <w:tcPr>
            <w:tcW w:w="800" w:type="dxa"/>
            <w:vAlign w:val="bottom"/>
          </w:tcPr>
          <w:p>
            <w:pPr>
              <w:jc w:val="right"/>
              <w:spacing w:after="0"/>
              <w:rPr>
                <w:sz w:val="20"/>
                <w:szCs w:val="20"/>
                <w:color w:val="auto"/>
              </w:rPr>
            </w:pPr>
            <w:r>
              <w:rPr>
                <w:rFonts w:ascii="Times New Roman" w:cs="Times New Roman" w:eastAsia="Times New Roman" w:hAnsi="Times New Roman"/>
                <w:sz w:val="9"/>
                <w:szCs w:val="9"/>
                <w:color w:val="auto"/>
                <w:w w:val="70"/>
              </w:rPr>
              <w:t>.................................................</w:t>
            </w: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vMerge w:val="restart"/>
          </w:tcPr>
          <w:p>
            <w:pPr>
              <w:spacing w:after="0"/>
              <w:rPr>
                <w:sz w:val="22"/>
                <w:szCs w:val="22"/>
                <w:color w:val="auto"/>
              </w:rPr>
            </w:pPr>
          </w:p>
        </w:tc>
        <w:tc>
          <w:tcPr>
            <w:tcW w:w="300" w:type="dxa"/>
            <w:vAlign w:val="bottom"/>
            <w:vMerge w:val="restart"/>
          </w:tcPr>
          <w:p>
            <w:pPr>
              <w:spacing w:after="0"/>
              <w:rPr>
                <w:sz w:val="22"/>
                <w:szCs w:val="22"/>
                <w:color w:val="auto"/>
              </w:rPr>
            </w:pPr>
          </w:p>
        </w:tc>
        <w:tc>
          <w:tcPr>
            <w:tcW w:w="120" w:type="dxa"/>
            <w:vAlign w:val="bottom"/>
            <w:vMerge w:val="restart"/>
          </w:tcPr>
          <w:p>
            <w:pPr>
              <w:spacing w:after="0"/>
              <w:rPr>
                <w:sz w:val="22"/>
                <w:szCs w:val="22"/>
                <w:color w:val="auto"/>
              </w:rPr>
            </w:pPr>
          </w:p>
        </w:tc>
        <w:tc>
          <w:tcPr>
            <w:tcW w:w="160" w:type="dxa"/>
            <w:vAlign w:val="bottom"/>
            <w:vMerge w:val="restart"/>
          </w:tcPr>
          <w:p>
            <w:pPr>
              <w:spacing w:after="0"/>
              <w:rPr>
                <w:sz w:val="22"/>
                <w:szCs w:val="22"/>
                <w:color w:val="auto"/>
              </w:rPr>
            </w:pPr>
          </w:p>
        </w:tc>
        <w:tc>
          <w:tcPr>
            <w:tcW w:w="60" w:type="dxa"/>
            <w:vAlign w:val="bottom"/>
            <w:vMerge w:val="restart"/>
          </w:tcPr>
          <w:p>
            <w:pPr>
              <w:spacing w:after="0"/>
              <w:rPr>
                <w:sz w:val="22"/>
                <w:szCs w:val="22"/>
                <w:color w:val="auto"/>
              </w:rPr>
            </w:pPr>
          </w:p>
        </w:tc>
        <w:tc>
          <w:tcPr>
            <w:tcW w:w="60" w:type="dxa"/>
            <w:vAlign w:val="bottom"/>
            <w:vMerge w:val="restart"/>
          </w:tcPr>
          <w:p>
            <w:pPr>
              <w:spacing w:after="0"/>
              <w:rPr>
                <w:sz w:val="22"/>
                <w:szCs w:val="22"/>
                <w:color w:val="auto"/>
              </w:rPr>
            </w:pPr>
          </w:p>
        </w:tc>
        <w:tc>
          <w:tcPr>
            <w:tcW w:w="140" w:type="dxa"/>
            <w:vAlign w:val="bottom"/>
            <w:vMerge w:val="restart"/>
          </w:tcPr>
          <w:p>
            <w:pPr>
              <w:spacing w:after="0"/>
              <w:rPr>
                <w:sz w:val="22"/>
                <w:szCs w:val="22"/>
                <w:color w:val="auto"/>
              </w:rPr>
            </w:pPr>
          </w:p>
        </w:tc>
        <w:tc>
          <w:tcPr>
            <w:tcW w:w="160" w:type="dxa"/>
            <w:vAlign w:val="bottom"/>
            <w:vMerge w:val="restart"/>
          </w:tcPr>
          <w:p>
            <w:pPr>
              <w:spacing w:after="0"/>
              <w:rPr>
                <w:sz w:val="22"/>
                <w:szCs w:val="22"/>
                <w:color w:val="auto"/>
              </w:rPr>
            </w:pPr>
          </w:p>
        </w:tc>
        <w:tc>
          <w:tcPr>
            <w:tcW w:w="140" w:type="dxa"/>
            <w:vAlign w:val="bottom"/>
            <w:vMerge w:val="restart"/>
          </w:tcPr>
          <w:p>
            <w:pPr>
              <w:spacing w:after="0"/>
              <w:rPr>
                <w:sz w:val="22"/>
                <w:szCs w:val="22"/>
                <w:color w:val="auto"/>
              </w:rPr>
            </w:pPr>
          </w:p>
        </w:tc>
        <w:tc>
          <w:tcPr>
            <w:tcW w:w="140" w:type="dxa"/>
            <w:vAlign w:val="bottom"/>
            <w:vMerge w:val="restart"/>
          </w:tcPr>
          <w:p>
            <w:pPr>
              <w:spacing w:after="0"/>
              <w:rPr>
                <w:sz w:val="22"/>
                <w:szCs w:val="22"/>
                <w:color w:val="auto"/>
              </w:rPr>
            </w:pPr>
          </w:p>
        </w:tc>
        <w:tc>
          <w:tcPr>
            <w:tcW w:w="160" w:type="dxa"/>
            <w:vAlign w:val="bottom"/>
            <w:vMerge w:val="restart"/>
          </w:tcPr>
          <w:p>
            <w:pPr>
              <w:spacing w:after="0"/>
              <w:rPr>
                <w:sz w:val="22"/>
                <w:szCs w:val="22"/>
                <w:color w:val="auto"/>
              </w:rPr>
            </w:pPr>
          </w:p>
        </w:tc>
        <w:tc>
          <w:tcPr>
            <w:tcW w:w="100" w:type="dxa"/>
            <w:vAlign w:val="bottom"/>
            <w:vMerge w:val="restart"/>
          </w:tcPr>
          <w:p>
            <w:pPr>
              <w:spacing w:after="0"/>
              <w:rPr>
                <w:sz w:val="22"/>
                <w:szCs w:val="22"/>
                <w:color w:val="auto"/>
              </w:rPr>
            </w:pPr>
          </w:p>
        </w:tc>
        <w:tc>
          <w:tcPr>
            <w:tcW w:w="40" w:type="dxa"/>
            <w:vAlign w:val="bottom"/>
            <w:vMerge w:val="restart"/>
          </w:tcPr>
          <w:p>
            <w:pPr>
              <w:spacing w:after="0"/>
              <w:rPr>
                <w:sz w:val="22"/>
                <w:szCs w:val="22"/>
                <w:color w:val="auto"/>
              </w:rPr>
            </w:pPr>
          </w:p>
        </w:tc>
        <w:tc>
          <w:tcPr>
            <w:tcW w:w="200" w:type="dxa"/>
            <w:vAlign w:val="bottom"/>
            <w:vMerge w:val="restart"/>
          </w:tcPr>
          <w:p>
            <w:pPr>
              <w:spacing w:after="0"/>
              <w:rPr>
                <w:sz w:val="22"/>
                <w:szCs w:val="22"/>
                <w:color w:val="auto"/>
              </w:rPr>
            </w:pPr>
          </w:p>
        </w:tc>
        <w:tc>
          <w:tcPr>
            <w:tcW w:w="300" w:type="dxa"/>
            <w:vAlign w:val="bottom"/>
            <w:gridSpan w:val="4"/>
            <w:vMerge w:val="restart"/>
          </w:tcPr>
          <w:p>
            <w:pPr>
              <w:jc w:val="right"/>
              <w:spacing w:after="0"/>
              <w:rPr>
                <w:sz w:val="20"/>
                <w:szCs w:val="20"/>
                <w:color w:val="auto"/>
              </w:rPr>
            </w:pPr>
            <w:r>
              <w:rPr>
                <w:rFonts w:ascii="Times New Roman" w:cs="Times New Roman" w:eastAsia="Times New Roman" w:hAnsi="Times New Roman"/>
                <w:sz w:val="20"/>
                <w:szCs w:val="20"/>
                <w:color w:val="FF0000"/>
                <w:strike w:val="1"/>
                <w:w w:val="93"/>
              </w:rPr>
              <w:t>140</w:t>
            </w:r>
          </w:p>
        </w:tc>
        <w:tc>
          <w:tcPr>
            <w:tcW w:w="300" w:type="dxa"/>
            <w:vAlign w:val="bottom"/>
            <w:gridSpan w:val="3"/>
            <w:vMerge w:val="restart"/>
          </w:tcPr>
          <w:p>
            <w:pPr>
              <w:jc w:val="right"/>
              <w:spacing w:after="0"/>
              <w:rPr>
                <w:sz w:val="20"/>
                <w:szCs w:val="20"/>
                <w:color w:val="auto"/>
              </w:rPr>
            </w:pPr>
            <w:r>
              <w:rPr>
                <w:rFonts w:ascii="Times New Roman" w:cs="Times New Roman" w:eastAsia="Times New Roman" w:hAnsi="Times New Roman"/>
                <w:sz w:val="20"/>
                <w:szCs w:val="20"/>
                <w:color w:val="0000FF"/>
                <w:w w:val="93"/>
              </w:rPr>
              <w:t>145</w:t>
            </w:r>
          </w:p>
        </w:tc>
        <w:tc>
          <w:tcPr>
            <w:tcW w:w="140" w:type="dxa"/>
            <w:vAlign w:val="bottom"/>
            <w:vMerge w:val="restart"/>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gridSpan w:val="14"/>
            <w:vMerge w:val="restart"/>
          </w:tcPr>
          <w:p>
            <w:pPr>
              <w:ind w:left="20"/>
              <w:spacing w:after="0"/>
              <w:rPr>
                <w:sz w:val="20"/>
                <w:szCs w:val="20"/>
                <w:color w:val="auto"/>
              </w:rPr>
            </w:pPr>
            <w:r>
              <w:rPr>
                <w:rFonts w:ascii="Times New Roman" w:cs="Times New Roman" w:eastAsia="Times New Roman" w:hAnsi="Times New Roman"/>
                <w:sz w:val="20"/>
                <w:szCs w:val="20"/>
                <w:color w:val="auto"/>
              </w:rPr>
              <w:t>SECTION</w:t>
            </w:r>
          </w:p>
        </w:tc>
        <w:tc>
          <w:tcPr>
            <w:tcW w:w="700" w:type="dxa"/>
            <w:vAlign w:val="bottom"/>
            <w:gridSpan w:val="4"/>
            <w:vMerge w:val="restart"/>
          </w:tcPr>
          <w:p>
            <w:pPr>
              <w:ind w:left="140"/>
              <w:spacing w:after="0"/>
              <w:rPr>
                <w:sz w:val="20"/>
                <w:szCs w:val="20"/>
                <w:color w:val="auto"/>
              </w:rPr>
            </w:pPr>
            <w:r>
              <w:rPr>
                <w:rFonts w:ascii="Times New Roman" w:cs="Times New Roman" w:eastAsia="Times New Roman" w:hAnsi="Times New Roman"/>
                <w:sz w:val="20"/>
                <w:szCs w:val="20"/>
                <w:color w:val="auto"/>
              </w:rPr>
              <w:t>11.5</w:t>
            </w:r>
          </w:p>
        </w:tc>
        <w:tc>
          <w:tcPr>
            <w:tcW w:w="1320" w:type="dxa"/>
            <w:vAlign w:val="bottom"/>
            <w:gridSpan w:val="2"/>
            <w:vMerge w:val="restart"/>
          </w:tcPr>
          <w:p>
            <w:pPr>
              <w:ind w:left="280"/>
              <w:spacing w:after="0"/>
              <w:rPr>
                <w:sz w:val="20"/>
                <w:szCs w:val="20"/>
                <w:color w:val="auto"/>
              </w:rPr>
            </w:pPr>
            <w:r>
              <w:rPr>
                <w:rFonts w:ascii="Times New Roman" w:cs="Times New Roman" w:eastAsia="Times New Roman" w:hAnsi="Times New Roman"/>
                <w:sz w:val="20"/>
                <w:szCs w:val="20"/>
                <w:color w:val="auto"/>
              </w:rPr>
              <w:t>Delegation</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of</w:t>
            </w:r>
          </w:p>
        </w:tc>
        <w:tc>
          <w:tcPr>
            <w:tcW w:w="0" w:type="dxa"/>
            <w:vAlign w:val="bottom"/>
          </w:tcPr>
          <w:p>
            <w:pPr>
              <w:spacing w:after="0"/>
              <w:rPr>
                <w:sz w:val="1"/>
                <w:szCs w:val="1"/>
                <w:color w:val="auto"/>
              </w:rPr>
            </w:pPr>
          </w:p>
        </w:tc>
      </w:tr>
      <w:tr>
        <w:trPr>
          <w:trHeight w:val="73"/>
        </w:trPr>
        <w:tc>
          <w:tcPr>
            <w:tcW w:w="212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vMerge w:val="continue"/>
          </w:tcPr>
          <w:p>
            <w:pPr>
              <w:spacing w:after="0"/>
              <w:rPr>
                <w:sz w:val="5"/>
                <w:szCs w:val="5"/>
                <w:color w:val="auto"/>
              </w:rPr>
            </w:pPr>
          </w:p>
        </w:tc>
        <w:tc>
          <w:tcPr>
            <w:tcW w:w="300" w:type="dxa"/>
            <w:vAlign w:val="bottom"/>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60" w:type="dxa"/>
            <w:vAlign w:val="bottom"/>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160" w:type="dxa"/>
            <w:vAlign w:val="bottom"/>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160" w:type="dxa"/>
            <w:vAlign w:val="bottom"/>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40" w:type="dxa"/>
            <w:vAlign w:val="bottom"/>
            <w:vMerge w:val="continue"/>
          </w:tcPr>
          <w:p>
            <w:pPr>
              <w:spacing w:after="0"/>
              <w:rPr>
                <w:sz w:val="5"/>
                <w:szCs w:val="5"/>
                <w:color w:val="auto"/>
              </w:rPr>
            </w:pPr>
          </w:p>
        </w:tc>
        <w:tc>
          <w:tcPr>
            <w:tcW w:w="200" w:type="dxa"/>
            <w:vAlign w:val="bottom"/>
            <w:vMerge w:val="continue"/>
          </w:tcPr>
          <w:p>
            <w:pPr>
              <w:spacing w:after="0"/>
              <w:rPr>
                <w:sz w:val="5"/>
                <w:szCs w:val="5"/>
                <w:color w:val="auto"/>
              </w:rPr>
            </w:pPr>
          </w:p>
        </w:tc>
        <w:tc>
          <w:tcPr>
            <w:tcW w:w="300" w:type="dxa"/>
            <w:vAlign w:val="bottom"/>
            <w:gridSpan w:val="4"/>
            <w:vMerge w:val="continue"/>
          </w:tcPr>
          <w:p>
            <w:pPr>
              <w:spacing w:after="0"/>
              <w:rPr>
                <w:sz w:val="5"/>
                <w:szCs w:val="5"/>
                <w:color w:val="auto"/>
              </w:rPr>
            </w:pPr>
          </w:p>
        </w:tc>
        <w:tc>
          <w:tcPr>
            <w:tcW w:w="300" w:type="dxa"/>
            <w:vAlign w:val="bottom"/>
            <w:tcBorders>
              <w:bottom w:val="single" w:sz="8" w:color="0000FF"/>
            </w:tcBorders>
            <w:gridSpan w:val="3"/>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20" w:type="dxa"/>
            <w:vAlign w:val="bottom"/>
            <w:gridSpan w:val="14"/>
            <w:vMerge w:val="continue"/>
          </w:tcPr>
          <w:p>
            <w:pPr>
              <w:spacing w:after="0"/>
              <w:rPr>
                <w:sz w:val="5"/>
                <w:szCs w:val="5"/>
                <w:color w:val="auto"/>
              </w:rPr>
            </w:pPr>
          </w:p>
        </w:tc>
        <w:tc>
          <w:tcPr>
            <w:tcW w:w="700" w:type="dxa"/>
            <w:vAlign w:val="bottom"/>
            <w:gridSpan w:val="4"/>
            <w:vMerge w:val="continue"/>
          </w:tcPr>
          <w:p>
            <w:pPr>
              <w:spacing w:after="0"/>
              <w:rPr>
                <w:sz w:val="5"/>
                <w:szCs w:val="5"/>
                <w:color w:val="auto"/>
              </w:rPr>
            </w:pPr>
          </w:p>
        </w:tc>
        <w:tc>
          <w:tcPr>
            <w:tcW w:w="1320" w:type="dxa"/>
            <w:vAlign w:val="bottom"/>
            <w:gridSpan w:val="2"/>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1600" w:type="dxa"/>
            <w:vAlign w:val="bottom"/>
          </w:tcPr>
          <w:p>
            <w:pPr>
              <w:ind w:left="640"/>
              <w:spacing w:after="0"/>
              <w:rPr>
                <w:sz w:val="20"/>
                <w:szCs w:val="20"/>
                <w:color w:val="auto"/>
              </w:rPr>
            </w:pPr>
            <w:r>
              <w:rPr>
                <w:rFonts w:ascii="Times New Roman" w:cs="Times New Roman" w:eastAsia="Times New Roman" w:hAnsi="Times New Roman"/>
                <w:sz w:val="5"/>
                <w:szCs w:val="5"/>
                <w:color w:val="auto"/>
                <w:w w:val="85"/>
              </w:rPr>
              <w:t>Duties.............................................................................</w:t>
            </w: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FF0000"/>
                <w:strike w:val="1"/>
                <w:w w:val="93"/>
              </w:rPr>
              <w:t>140</w:t>
            </w:r>
          </w:p>
        </w:tc>
        <w:tc>
          <w:tcPr>
            <w:tcW w:w="1700" w:type="dxa"/>
            <w:vAlign w:val="bottom"/>
            <w:gridSpan w:val="15"/>
          </w:tcPr>
          <w:p>
            <w:pPr>
              <w:spacing w:after="0"/>
              <w:rPr>
                <w:sz w:val="20"/>
                <w:szCs w:val="20"/>
                <w:color w:val="auto"/>
              </w:rPr>
            </w:pPr>
            <w:r>
              <w:rPr>
                <w:rFonts w:ascii="Times New Roman" w:cs="Times New Roman" w:eastAsia="Times New Roman" w:hAnsi="Times New Roman"/>
                <w:sz w:val="20"/>
                <w:szCs w:val="20"/>
                <w:color w:val="0000FF"/>
              </w:rPr>
              <w:t xml:space="preserve">146   </w:t>
            </w:r>
            <w:r>
              <w:rPr>
                <w:rFonts w:ascii="Times New Roman" w:cs="Times New Roman" w:eastAsia="Times New Roman" w:hAnsi="Times New Roman"/>
                <w:sz w:val="20"/>
                <w:szCs w:val="20"/>
                <w:color w:val="000000"/>
              </w:rPr>
              <w:t>SECTION</w:t>
            </w:r>
          </w:p>
        </w:tc>
        <w:tc>
          <w:tcPr>
            <w:tcW w:w="540" w:type="dxa"/>
            <w:vAlign w:val="bottom"/>
            <w:gridSpan w:val="4"/>
          </w:tcPr>
          <w:p>
            <w:pPr>
              <w:jc w:val="center"/>
              <w:spacing w:after="0"/>
              <w:rPr>
                <w:sz w:val="20"/>
                <w:szCs w:val="20"/>
                <w:color w:val="auto"/>
              </w:rPr>
            </w:pPr>
            <w:r>
              <w:rPr>
                <w:rFonts w:ascii="Times New Roman" w:cs="Times New Roman" w:eastAsia="Times New Roman" w:hAnsi="Times New Roman"/>
                <w:sz w:val="20"/>
                <w:szCs w:val="20"/>
                <w:color w:val="auto"/>
                <w:w w:val="97"/>
              </w:rPr>
              <w:t>11.6</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gridSpan w:val="12"/>
          </w:tcPr>
          <w:p>
            <w:pPr>
              <w:ind w:left="20"/>
              <w:spacing w:after="0"/>
              <w:rPr>
                <w:sz w:val="20"/>
                <w:szCs w:val="20"/>
                <w:color w:val="auto"/>
              </w:rPr>
            </w:pPr>
            <w:r>
              <w:rPr>
                <w:rFonts w:ascii="Times New Roman" w:cs="Times New Roman" w:eastAsia="Times New Roman" w:hAnsi="Times New Roman"/>
                <w:sz w:val="20"/>
                <w:szCs w:val="20"/>
                <w:color w:val="auto"/>
              </w:rPr>
              <w:t>Resignation</w:t>
            </w:r>
          </w:p>
        </w:tc>
        <w:tc>
          <w:tcPr>
            <w:tcW w:w="620" w:type="dxa"/>
            <w:vAlign w:val="bottom"/>
          </w:tcPr>
          <w:p>
            <w:pPr>
              <w:jc w:val="center"/>
              <w:ind w:right="101"/>
              <w:spacing w:after="0"/>
              <w:rPr>
                <w:sz w:val="20"/>
                <w:szCs w:val="20"/>
                <w:color w:val="auto"/>
              </w:rPr>
            </w:pPr>
            <w:r>
              <w:rPr>
                <w:rFonts w:ascii="Times New Roman" w:cs="Times New Roman" w:eastAsia="Times New Roman" w:hAnsi="Times New Roman"/>
                <w:sz w:val="20"/>
                <w:szCs w:val="20"/>
                <w:color w:val="auto"/>
              </w:rPr>
              <w:t>of</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8"/>
              </w:rPr>
              <w:t>Administrative</w:t>
            </w:r>
          </w:p>
        </w:tc>
        <w:tc>
          <w:tcPr>
            <w:tcW w:w="0" w:type="dxa"/>
            <w:vAlign w:val="bottom"/>
          </w:tcPr>
          <w:p>
            <w:pPr>
              <w:spacing w:after="0"/>
              <w:rPr>
                <w:sz w:val="1"/>
                <w:szCs w:val="1"/>
                <w:color w:val="auto"/>
              </w:rPr>
            </w:pPr>
          </w:p>
        </w:tc>
      </w:tr>
      <w:tr>
        <w:trPr>
          <w:trHeight w:val="318"/>
        </w:trPr>
        <w:tc>
          <w:tcPr>
            <w:tcW w:w="1600" w:type="dxa"/>
            <w:vAlign w:val="bottom"/>
          </w:tcPr>
          <w:p>
            <w:pPr>
              <w:ind w:left="640"/>
              <w:spacing w:after="0"/>
              <w:rPr>
                <w:sz w:val="20"/>
                <w:szCs w:val="20"/>
                <w:color w:val="auto"/>
              </w:rPr>
            </w:pPr>
            <w:r>
              <w:rPr>
                <w:rFonts w:ascii="Times New Roman" w:cs="Times New Roman" w:eastAsia="Times New Roman" w:hAnsi="Times New Roman"/>
                <w:sz w:val="8"/>
                <w:szCs w:val="8"/>
                <w:color w:val="auto"/>
                <w:w w:val="77"/>
              </w:rPr>
              <w:t>Agent...................................................</w:t>
            </w: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FF0000"/>
                <w:strike w:val="1"/>
                <w:w w:val="93"/>
              </w:rPr>
              <w:t>140</w:t>
            </w:r>
          </w:p>
        </w:tc>
        <w:tc>
          <w:tcPr>
            <w:tcW w:w="30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20"/>
                <w:szCs w:val="20"/>
                <w:color w:val="0000FF"/>
                <w:w w:val="93"/>
              </w:rPr>
              <w:t>146</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6980" w:type="dxa"/>
            <w:vAlign w:val="bottom"/>
            <w:gridSpan w:val="31"/>
          </w:tcPr>
          <w:p>
            <w:pPr>
              <w:ind w:left="640"/>
              <w:spacing w:after="0"/>
              <w:rPr>
                <w:sz w:val="20"/>
                <w:szCs w:val="20"/>
                <w:color w:val="auto"/>
              </w:rPr>
            </w:pPr>
            <w:r>
              <w:rPr>
                <w:rFonts w:ascii="Times New Roman" w:cs="Times New Roman" w:eastAsia="Times New Roman" w:hAnsi="Times New Roman"/>
                <w:sz w:val="20"/>
                <w:szCs w:val="20"/>
                <w:color w:val="auto"/>
                <w:w w:val="92"/>
              </w:rPr>
              <w:t>SECTION 11.7 Non-Reliance on Administrative Agent and Other Lenders ................</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gridSpan w:val="4"/>
          </w:tcPr>
          <w:p>
            <w:pPr>
              <w:ind w:left="140"/>
              <w:spacing w:after="0"/>
              <w:rPr>
                <w:sz w:val="20"/>
                <w:szCs w:val="20"/>
                <w:color w:val="auto"/>
              </w:rPr>
            </w:pPr>
            <w:r>
              <w:rPr>
                <w:rFonts w:ascii="Times New Roman" w:cs="Times New Roman" w:eastAsia="Times New Roman" w:hAnsi="Times New Roman"/>
                <w:sz w:val="20"/>
                <w:szCs w:val="20"/>
                <w:color w:val="FF0000"/>
                <w:strike w:val="1"/>
              </w:rPr>
              <w:t>141</w:t>
            </w:r>
          </w:p>
        </w:tc>
        <w:tc>
          <w:tcPr>
            <w:tcW w:w="3200" w:type="dxa"/>
            <w:vAlign w:val="bottom"/>
            <w:gridSpan w:val="17"/>
          </w:tcPr>
          <w:p>
            <w:pPr>
              <w:jc w:val="right"/>
              <w:spacing w:after="0"/>
              <w:rPr>
                <w:sz w:val="20"/>
                <w:szCs w:val="20"/>
                <w:color w:val="auto"/>
              </w:rPr>
            </w:pPr>
            <w:r>
              <w:rPr>
                <w:rFonts w:ascii="Times New Roman" w:cs="Times New Roman" w:eastAsia="Times New Roman" w:hAnsi="Times New Roman"/>
                <w:sz w:val="20"/>
                <w:szCs w:val="20"/>
                <w:color w:val="0000FF"/>
                <w:w w:val="95"/>
              </w:rPr>
              <w:t xml:space="preserve">147 </w:t>
            </w:r>
            <w:r>
              <w:rPr>
                <w:rFonts w:ascii="Times New Roman" w:cs="Times New Roman" w:eastAsia="Times New Roman" w:hAnsi="Times New Roman"/>
                <w:sz w:val="20"/>
                <w:szCs w:val="20"/>
                <w:color w:val="000000"/>
                <w:w w:val="95"/>
              </w:rPr>
              <w:t>SECTION 11.8 No Other Duties, Etc</w:t>
            </w:r>
          </w:p>
        </w:tc>
        <w:tc>
          <w:tcPr>
            <w:tcW w:w="0" w:type="dxa"/>
            <w:vAlign w:val="bottom"/>
          </w:tcPr>
          <w:p>
            <w:pPr>
              <w:spacing w:after="0"/>
              <w:rPr>
                <w:sz w:val="1"/>
                <w:szCs w:val="1"/>
                <w:color w:val="auto"/>
              </w:rPr>
            </w:pPr>
          </w:p>
        </w:tc>
      </w:tr>
      <w:tr>
        <w:trPr>
          <w:trHeight w:val="250"/>
        </w:trPr>
        <w:tc>
          <w:tcPr>
            <w:tcW w:w="2120" w:type="dxa"/>
            <w:vAlign w:val="bottom"/>
            <w:gridSpan w:val="2"/>
          </w:tcPr>
          <w:p>
            <w:pPr>
              <w:ind w:left="640"/>
              <w:spacing w:after="0"/>
              <w:rPr>
                <w:sz w:val="20"/>
                <w:szCs w:val="20"/>
                <w:color w:val="auto"/>
              </w:rPr>
            </w:pPr>
            <w:r>
              <w:rPr>
                <w:rFonts w:ascii="Times New Roman" w:cs="Times New Roman" w:eastAsia="Times New Roman" w:hAnsi="Times New Roman"/>
                <w:sz w:val="10"/>
                <w:szCs w:val="10"/>
                <w:color w:val="auto"/>
                <w:w w:val="76"/>
              </w:rPr>
              <w:t>............................................................................</w:t>
            </w:r>
          </w:p>
        </w:tc>
        <w:tc>
          <w:tcPr>
            <w:tcW w:w="7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vMerge w:val="restart"/>
          </w:tcPr>
          <w:p>
            <w:pPr>
              <w:spacing w:after="0"/>
              <w:rPr>
                <w:sz w:val="21"/>
                <w:szCs w:val="21"/>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FF0000"/>
                <w:strike w:val="1"/>
                <w:w w:val="93"/>
              </w:rPr>
              <w:t>142</w:t>
            </w:r>
          </w:p>
        </w:tc>
        <w:tc>
          <w:tcPr>
            <w:tcW w:w="34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20"/>
                <w:szCs w:val="20"/>
                <w:color w:val="0000FF"/>
                <w:w w:val="86"/>
              </w:rPr>
              <w:t>148</w:t>
            </w:r>
          </w:p>
        </w:tc>
        <w:tc>
          <w:tcPr>
            <w:tcW w:w="60" w:type="dxa"/>
            <w:vAlign w:val="bottom"/>
            <w:vMerge w:val="restart"/>
          </w:tcPr>
          <w:p>
            <w:pPr>
              <w:spacing w:after="0"/>
              <w:rPr>
                <w:sz w:val="21"/>
                <w:szCs w:val="21"/>
                <w:color w:val="auto"/>
              </w:rPr>
            </w:pPr>
          </w:p>
        </w:tc>
        <w:tc>
          <w:tcPr>
            <w:tcW w:w="140" w:type="dxa"/>
            <w:vAlign w:val="bottom"/>
            <w:vMerge w:val="restart"/>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40" w:type="dxa"/>
            <w:vAlign w:val="bottom"/>
            <w:tcBorders>
              <w:top w:val="single" w:sz="8" w:color="0000FF"/>
            </w:tcBorders>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8"/>
        </w:trPr>
        <w:tc>
          <w:tcPr>
            <w:tcW w:w="1600" w:type="dxa"/>
            <w:vAlign w:val="bottom"/>
          </w:tcPr>
          <w:p>
            <w:pPr>
              <w:spacing w:after="0"/>
              <w:rPr>
                <w:sz w:val="5"/>
                <w:szCs w:val="5"/>
                <w:color w:val="auto"/>
              </w:rPr>
            </w:pPr>
          </w:p>
        </w:tc>
        <w:tc>
          <w:tcPr>
            <w:tcW w:w="52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vMerge w:val="continue"/>
          </w:tcPr>
          <w:p>
            <w:pPr>
              <w:spacing w:after="0"/>
              <w:rPr>
                <w:sz w:val="5"/>
                <w:szCs w:val="5"/>
                <w:color w:val="auto"/>
              </w:rPr>
            </w:pPr>
          </w:p>
        </w:tc>
        <w:tc>
          <w:tcPr>
            <w:tcW w:w="300" w:type="dxa"/>
            <w:vAlign w:val="bottom"/>
            <w:vMerge w:val="continue"/>
          </w:tcPr>
          <w:p>
            <w:pPr>
              <w:spacing w:after="0"/>
              <w:rPr>
                <w:sz w:val="5"/>
                <w:szCs w:val="5"/>
                <w:color w:val="auto"/>
              </w:rPr>
            </w:pPr>
          </w:p>
        </w:tc>
        <w:tc>
          <w:tcPr>
            <w:tcW w:w="340" w:type="dxa"/>
            <w:vAlign w:val="bottom"/>
            <w:gridSpan w:val="3"/>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90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440" w:type="dxa"/>
            <w:vAlign w:val="bottom"/>
            <w:gridSpan w:val="26"/>
          </w:tcPr>
          <w:p>
            <w:pPr>
              <w:ind w:left="640"/>
              <w:spacing w:after="0"/>
              <w:rPr>
                <w:sz w:val="20"/>
                <w:szCs w:val="20"/>
                <w:color w:val="auto"/>
              </w:rPr>
            </w:pPr>
            <w:r>
              <w:rPr>
                <w:rFonts w:ascii="Times New Roman" w:cs="Times New Roman" w:eastAsia="Times New Roman" w:hAnsi="Times New Roman"/>
                <w:sz w:val="20"/>
                <w:szCs w:val="20"/>
                <w:color w:val="auto"/>
                <w:w w:val="84"/>
              </w:rPr>
              <w:t>SECTION 11.9 Collateral and Guaranty Matters ..........................................................</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gridSpan w:val="4"/>
          </w:tcPr>
          <w:p>
            <w:pPr>
              <w:ind w:left="140"/>
              <w:spacing w:after="0"/>
              <w:rPr>
                <w:sz w:val="20"/>
                <w:szCs w:val="20"/>
                <w:color w:val="auto"/>
              </w:rPr>
            </w:pPr>
            <w:r>
              <w:rPr>
                <w:rFonts w:ascii="Times New Roman" w:cs="Times New Roman" w:eastAsia="Times New Roman" w:hAnsi="Times New Roman"/>
                <w:sz w:val="20"/>
                <w:szCs w:val="20"/>
                <w:color w:val="FF0000"/>
                <w:strike w:val="1"/>
              </w:rPr>
              <w:t>142</w:t>
            </w:r>
          </w:p>
        </w:tc>
        <w:tc>
          <w:tcPr>
            <w:tcW w:w="22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74"/>
              </w:rPr>
              <w:t>148</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6980" w:type="dxa"/>
            <w:vAlign w:val="bottom"/>
            <w:gridSpan w:val="31"/>
          </w:tcPr>
          <w:p>
            <w:pPr>
              <w:ind w:left="640"/>
              <w:spacing w:after="0"/>
              <w:rPr>
                <w:sz w:val="20"/>
                <w:szCs w:val="20"/>
                <w:color w:val="auto"/>
              </w:rPr>
            </w:pPr>
            <w:r>
              <w:rPr>
                <w:rFonts w:ascii="Times New Roman" w:cs="Times New Roman" w:eastAsia="Times New Roman" w:hAnsi="Times New Roman"/>
                <w:sz w:val="20"/>
                <w:szCs w:val="20"/>
                <w:color w:val="auto"/>
              </w:rPr>
              <w:t>SECTION 11.10  Secured Hedge Agreements and Secured Cash Management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6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80" w:type="dxa"/>
            <w:vAlign w:val="bottom"/>
            <w:gridSpan w:val="7"/>
          </w:tcPr>
          <w:p>
            <w:pPr>
              <w:ind w:left="140"/>
              <w:spacing w:after="0"/>
              <w:rPr>
                <w:sz w:val="20"/>
                <w:szCs w:val="20"/>
                <w:color w:val="auto"/>
              </w:rPr>
            </w:pPr>
            <w:r>
              <w:rPr>
                <w:rFonts w:ascii="Times New Roman" w:cs="Times New Roman" w:eastAsia="Times New Roman" w:hAnsi="Times New Roman"/>
                <w:sz w:val="11"/>
                <w:szCs w:val="11"/>
                <w:color w:val="auto"/>
                <w:w w:val="70"/>
              </w:rPr>
              <w:t>Agreements..........................................................................................</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gridSpan w:val="3"/>
          </w:tcPr>
          <w:p>
            <w:pPr>
              <w:spacing w:after="0" w:line="203" w:lineRule="exact"/>
              <w:rPr>
                <w:sz w:val="20"/>
                <w:szCs w:val="20"/>
                <w:color w:val="auto"/>
              </w:rPr>
            </w:pPr>
            <w:r>
              <w:rPr>
                <w:rFonts w:ascii="Times New Roman" w:cs="Times New Roman" w:eastAsia="Times New Roman" w:hAnsi="Times New Roman"/>
                <w:sz w:val="20"/>
                <w:szCs w:val="20"/>
                <w:color w:val="FF0000"/>
                <w:strike w:val="1"/>
                <w:w w:val="99"/>
              </w:rPr>
              <w:t>143</w:t>
            </w:r>
          </w:p>
        </w:tc>
        <w:tc>
          <w:tcPr>
            <w:tcW w:w="260" w:type="dxa"/>
            <w:vAlign w:val="bottom"/>
            <w:tcBorders>
              <w:bottom w:val="single" w:sz="8" w:color="0000FF"/>
            </w:tcBorders>
            <w:gridSpan w:val="3"/>
          </w:tcPr>
          <w:p>
            <w:pPr>
              <w:jc w:val="right"/>
              <w:spacing w:after="0" w:line="203" w:lineRule="exact"/>
              <w:rPr>
                <w:sz w:val="20"/>
                <w:szCs w:val="20"/>
                <w:color w:val="auto"/>
              </w:rPr>
            </w:pPr>
            <w:r>
              <w:rPr>
                <w:rFonts w:ascii="Times New Roman" w:cs="Times New Roman" w:eastAsia="Times New Roman" w:hAnsi="Times New Roman"/>
                <w:sz w:val="20"/>
                <w:szCs w:val="20"/>
                <w:color w:val="0000FF"/>
                <w:w w:val="79"/>
              </w:rPr>
              <w:t>149</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0"/>
        </w:trPr>
        <w:tc>
          <w:tcPr>
            <w:tcW w:w="4400" w:type="dxa"/>
            <w:vAlign w:val="bottom"/>
            <w:gridSpan w:val="9"/>
          </w:tcPr>
          <w:p>
            <w:pPr>
              <w:ind w:left="640"/>
              <w:spacing w:after="0"/>
              <w:rPr>
                <w:sz w:val="20"/>
                <w:szCs w:val="20"/>
                <w:color w:val="auto"/>
              </w:rPr>
            </w:pPr>
            <w:r>
              <w:rPr>
                <w:rFonts w:ascii="Times New Roman" w:cs="Times New Roman" w:eastAsia="Times New Roman" w:hAnsi="Times New Roman"/>
                <w:sz w:val="15"/>
                <w:szCs w:val="15"/>
                <w:color w:val="auto"/>
                <w:w w:val="72"/>
              </w:rPr>
              <w:t>SECTION 11.11 Erroneous Payments.............................................................................</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gridSpan w:val="4"/>
          </w:tcPr>
          <w:p>
            <w:pPr>
              <w:ind w:left="200"/>
              <w:spacing w:after="0"/>
              <w:rPr>
                <w:sz w:val="20"/>
                <w:szCs w:val="20"/>
                <w:color w:val="auto"/>
              </w:rPr>
            </w:pPr>
            <w:r>
              <w:rPr>
                <w:rFonts w:ascii="Times New Roman" w:cs="Times New Roman" w:eastAsia="Times New Roman" w:hAnsi="Times New Roman"/>
                <w:sz w:val="20"/>
                <w:szCs w:val="20"/>
                <w:color w:val="FF0000"/>
                <w:strike w:val="1"/>
                <w:w w:val="99"/>
              </w:rPr>
              <w:t>144</w:t>
            </w:r>
          </w:p>
        </w:tc>
        <w:tc>
          <w:tcPr>
            <w:tcW w:w="30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20"/>
                <w:szCs w:val="20"/>
                <w:color w:val="0000FF"/>
                <w:w w:val="79"/>
              </w:rPr>
              <w:t>149</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90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color w:val="auto"/>
                <w:w w:val="99"/>
              </w:rPr>
              <w:t>ARTICLE XII MISCELLANEOUS</w:t>
            </w:r>
          </w:p>
        </w:tc>
        <w:tc>
          <w:tcPr>
            <w:tcW w:w="800" w:type="dxa"/>
            <w:vAlign w:val="bottom"/>
          </w:tcPr>
          <w:p>
            <w:pPr>
              <w:jc w:val="right"/>
              <w:spacing w:after="0"/>
              <w:rPr>
                <w:sz w:val="20"/>
                <w:szCs w:val="20"/>
                <w:color w:val="auto"/>
              </w:rPr>
            </w:pPr>
            <w:r>
              <w:rPr>
                <w:rFonts w:ascii="Times New Roman" w:cs="Times New Roman" w:eastAsia="Times New Roman" w:hAnsi="Times New Roman"/>
                <w:sz w:val="4"/>
                <w:szCs w:val="4"/>
                <w:color w:val="auto"/>
                <w:w w:val="81"/>
              </w:rPr>
              <w: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vMerge w:val="restart"/>
          </w:tcPr>
          <w:p>
            <w:pPr>
              <w:spacing w:after="0"/>
              <w:rPr>
                <w:sz w:val="19"/>
                <w:szCs w:val="19"/>
                <w:color w:val="auto"/>
              </w:rPr>
            </w:pPr>
          </w:p>
        </w:tc>
        <w:tc>
          <w:tcPr>
            <w:tcW w:w="100" w:type="dxa"/>
            <w:vAlign w:val="bottom"/>
            <w:vMerge w:val="restart"/>
          </w:tcPr>
          <w:p>
            <w:pPr>
              <w:spacing w:after="0"/>
              <w:rPr>
                <w:sz w:val="19"/>
                <w:szCs w:val="19"/>
                <w:color w:val="auto"/>
              </w:rPr>
            </w:pPr>
          </w:p>
        </w:tc>
        <w:tc>
          <w:tcPr>
            <w:tcW w:w="440" w:type="dxa"/>
            <w:vAlign w:val="bottom"/>
            <w:gridSpan w:val="4"/>
            <w:vMerge w:val="restart"/>
          </w:tcPr>
          <w:p>
            <w:pPr>
              <w:jc w:val="right"/>
              <w:spacing w:after="0"/>
              <w:rPr>
                <w:sz w:val="20"/>
                <w:szCs w:val="20"/>
                <w:color w:val="auto"/>
              </w:rPr>
            </w:pPr>
            <w:r>
              <w:rPr>
                <w:rFonts w:ascii="Times New Roman" w:cs="Times New Roman" w:eastAsia="Times New Roman" w:hAnsi="Times New Roman"/>
                <w:sz w:val="20"/>
                <w:szCs w:val="20"/>
                <w:color w:val="FF0000"/>
                <w:strike w:val="1"/>
              </w:rPr>
              <w:t>146</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9"/>
                <w:szCs w:val="19"/>
                <w:color w:val="0000FF"/>
                <w:w w:val="70"/>
              </w:rPr>
              <w:t>151</w:t>
            </w:r>
          </w:p>
        </w:tc>
        <w:tc>
          <w:tcPr>
            <w:tcW w:w="60" w:type="dxa"/>
            <w:vAlign w:val="bottom"/>
            <w:vMerge w:val="restart"/>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8"/>
        </w:trPr>
        <w:tc>
          <w:tcPr>
            <w:tcW w:w="2900" w:type="dxa"/>
            <w:vAlign w:val="bottom"/>
            <w:gridSpan w:val="3"/>
            <w:vMerge w:val="continue"/>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440" w:type="dxa"/>
            <w:vAlign w:val="bottom"/>
            <w:gridSpan w:val="4"/>
            <w:vMerge w:val="continue"/>
          </w:tcPr>
          <w:p>
            <w:pPr>
              <w:spacing w:after="0"/>
              <w:rPr>
                <w:sz w:val="5"/>
                <w:szCs w:val="5"/>
                <w:color w:val="auto"/>
              </w:rPr>
            </w:pPr>
          </w:p>
        </w:tc>
        <w:tc>
          <w:tcPr>
            <w:tcW w:w="200" w:type="dxa"/>
            <w:vAlign w:val="bottom"/>
            <w:gridSpan w:val="2"/>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60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w:t>
            </w:r>
          </w:p>
        </w:tc>
        <w:tc>
          <w:tcPr>
            <w:tcW w:w="5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12.1</w:t>
            </w:r>
          </w:p>
        </w:tc>
        <w:tc>
          <w:tcPr>
            <w:tcW w:w="780" w:type="dxa"/>
            <w:vAlign w:val="bottom"/>
          </w:tcPr>
          <w:p>
            <w:pPr>
              <w:spacing w:after="0"/>
              <w:rPr>
                <w:sz w:val="20"/>
                <w:szCs w:val="20"/>
                <w:color w:val="auto"/>
              </w:rPr>
            </w:pPr>
            <w:r>
              <w:rPr>
                <w:rFonts w:ascii="Times New Roman" w:cs="Times New Roman" w:eastAsia="Times New Roman" w:hAnsi="Times New Roman"/>
                <w:sz w:val="3"/>
                <w:szCs w:val="3"/>
                <w:color w:val="auto"/>
                <w:w w:val="91"/>
              </w:rPr>
              <w:t>Notices..................................................................................................</w:t>
            </w: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gridSpan w:val="4"/>
          </w:tcPr>
          <w:p>
            <w:pPr>
              <w:ind w:left="100"/>
              <w:spacing w:after="0"/>
              <w:rPr>
                <w:sz w:val="20"/>
                <w:szCs w:val="20"/>
                <w:color w:val="auto"/>
              </w:rPr>
            </w:pPr>
            <w:r>
              <w:rPr>
                <w:rFonts w:ascii="Times New Roman" w:cs="Times New Roman" w:eastAsia="Times New Roman" w:hAnsi="Times New Roman"/>
                <w:sz w:val="20"/>
                <w:szCs w:val="20"/>
                <w:color w:val="FF0000"/>
                <w:strike w:val="1"/>
                <w:w w:val="99"/>
              </w:rPr>
              <w:t>146</w:t>
            </w:r>
          </w:p>
        </w:tc>
        <w:tc>
          <w:tcPr>
            <w:tcW w:w="2980" w:type="dxa"/>
            <w:vAlign w:val="bottom"/>
            <w:gridSpan w:val="15"/>
          </w:tcPr>
          <w:p>
            <w:pPr>
              <w:jc w:val="right"/>
              <w:spacing w:after="0"/>
              <w:rPr>
                <w:sz w:val="20"/>
                <w:szCs w:val="20"/>
                <w:color w:val="auto"/>
              </w:rPr>
            </w:pPr>
            <w:r>
              <w:rPr>
                <w:rFonts w:ascii="Times New Roman" w:cs="Times New Roman" w:eastAsia="Times New Roman" w:hAnsi="Times New Roman"/>
                <w:sz w:val="20"/>
                <w:szCs w:val="20"/>
                <w:color w:val="0000FF"/>
              </w:rPr>
              <w:t xml:space="preserve">151  </w:t>
            </w:r>
            <w:r>
              <w:rPr>
                <w:rFonts w:ascii="Times New Roman" w:cs="Times New Roman" w:eastAsia="Times New Roman" w:hAnsi="Times New Roman"/>
                <w:sz w:val="20"/>
                <w:szCs w:val="20"/>
                <w:color w:val="000000"/>
              </w:rPr>
              <w:t>SECTION  12.2  Amendments,</w:t>
            </w: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160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Waivers</w:t>
            </w:r>
          </w:p>
        </w:tc>
        <w:tc>
          <w:tcPr>
            <w:tcW w:w="5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and</w:t>
            </w:r>
          </w:p>
        </w:tc>
        <w:tc>
          <w:tcPr>
            <w:tcW w:w="2280" w:type="dxa"/>
            <w:vAlign w:val="bottom"/>
            <w:gridSpan w:val="7"/>
          </w:tcPr>
          <w:p>
            <w:pPr>
              <w:jc w:val="center"/>
              <w:spacing w:after="0"/>
              <w:rPr>
                <w:sz w:val="20"/>
                <w:szCs w:val="20"/>
                <w:color w:val="auto"/>
              </w:rPr>
            </w:pPr>
            <w:r>
              <w:rPr>
                <w:rFonts w:ascii="Times New Roman" w:cs="Times New Roman" w:eastAsia="Times New Roman" w:hAnsi="Times New Roman"/>
                <w:sz w:val="20"/>
                <w:szCs w:val="20"/>
                <w:color w:val="auto"/>
                <w:w w:val="73"/>
              </w:rPr>
              <w:t>Consents...................................................</w:t>
            </w:r>
          </w:p>
        </w:tc>
        <w:tc>
          <w:tcPr>
            <w:tcW w:w="36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gridSpan w:val="2"/>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gridSpan w:val="2"/>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gridSpan w:val="2"/>
          </w:tcPr>
          <w:p>
            <w:pPr>
              <w:spacing w:after="0"/>
              <w:rPr>
                <w:sz w:val="24"/>
                <w:szCs w:val="24"/>
                <w:color w:val="auto"/>
              </w:rPr>
            </w:pP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FF0000"/>
                <w:strike w:val="1"/>
                <w:w w:val="99"/>
              </w:rPr>
              <w:t>148</w:t>
            </w:r>
          </w:p>
        </w:tc>
        <w:tc>
          <w:tcPr>
            <w:tcW w:w="420" w:type="dxa"/>
            <w:vAlign w:val="bottom"/>
            <w:gridSpan w:val="4"/>
          </w:tcPr>
          <w:p>
            <w:pPr>
              <w:jc w:val="right"/>
              <w:ind w:right="120"/>
              <w:spacing w:after="0"/>
              <w:rPr>
                <w:sz w:val="20"/>
                <w:szCs w:val="20"/>
                <w:color w:val="auto"/>
              </w:rPr>
            </w:pPr>
            <w:r>
              <w:rPr>
                <w:rFonts w:ascii="Times New Roman" w:cs="Times New Roman" w:eastAsia="Times New Roman" w:hAnsi="Times New Roman"/>
                <w:sz w:val="20"/>
                <w:szCs w:val="20"/>
                <w:color w:val="0000FF"/>
                <w:w w:val="93"/>
              </w:rPr>
              <w:t>154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8"/>
          </w:tcPr>
          <w:p>
            <w:pPr>
              <w:jc w:val="right"/>
              <w:ind w:right="101"/>
              <w:spacing w:after="0"/>
              <w:rPr>
                <w:sz w:val="20"/>
                <w:szCs w:val="20"/>
                <w:color w:val="auto"/>
              </w:rPr>
            </w:pPr>
            <w:r>
              <w:rPr>
                <w:rFonts w:ascii="Times New Roman" w:cs="Times New Roman" w:eastAsia="Times New Roman" w:hAnsi="Times New Roman"/>
                <w:sz w:val="20"/>
                <w:szCs w:val="20"/>
                <w:color w:val="auto"/>
              </w:rPr>
              <w:t>SECTION</w:t>
            </w:r>
          </w:p>
        </w:tc>
        <w:tc>
          <w:tcPr>
            <w:tcW w:w="640" w:type="dxa"/>
            <w:vAlign w:val="bottom"/>
            <w:gridSpan w:val="9"/>
          </w:tcPr>
          <w:p>
            <w:pPr>
              <w:jc w:val="right"/>
              <w:ind w:right="1"/>
              <w:spacing w:after="0"/>
              <w:rPr>
                <w:sz w:val="20"/>
                <w:szCs w:val="20"/>
                <w:color w:val="auto"/>
              </w:rPr>
            </w:pPr>
            <w:r>
              <w:rPr>
                <w:rFonts w:ascii="Times New Roman" w:cs="Times New Roman" w:eastAsia="Times New Roman" w:hAnsi="Times New Roman"/>
                <w:sz w:val="20"/>
                <w:szCs w:val="20"/>
                <w:color w:val="auto"/>
              </w:rPr>
              <w:t>12.3</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gridSpan w:val="2"/>
          </w:tcPr>
          <w:p>
            <w:pPr>
              <w:jc w:val="center"/>
              <w:ind w:left="121"/>
              <w:spacing w:after="0"/>
              <w:rPr>
                <w:sz w:val="20"/>
                <w:szCs w:val="20"/>
                <w:color w:val="auto"/>
              </w:rPr>
            </w:pPr>
            <w:r>
              <w:rPr>
                <w:rFonts w:ascii="Times New Roman" w:cs="Times New Roman" w:eastAsia="Times New Roman" w:hAnsi="Times New Roman"/>
                <w:sz w:val="20"/>
                <w:szCs w:val="20"/>
                <w:color w:val="auto"/>
                <w:w w:val="98"/>
              </w:rPr>
              <w:t>Expenses;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Indemnity</w:t>
            </w:r>
          </w:p>
        </w:tc>
        <w:tc>
          <w:tcPr>
            <w:tcW w:w="0" w:type="dxa"/>
            <w:vAlign w:val="bottom"/>
          </w:tcPr>
          <w:p>
            <w:pPr>
              <w:spacing w:after="0"/>
              <w:rPr>
                <w:sz w:val="1"/>
                <w:szCs w:val="1"/>
                <w:color w:val="auto"/>
              </w:rPr>
            </w:pPr>
          </w:p>
        </w:tc>
      </w:tr>
      <w:tr>
        <w:trPr>
          <w:trHeight w:val="318"/>
        </w:trPr>
        <w:tc>
          <w:tcPr>
            <w:tcW w:w="4400" w:type="dxa"/>
            <w:vAlign w:val="bottom"/>
            <w:gridSpan w:val="9"/>
            <w:vMerge w:val="restart"/>
          </w:tcPr>
          <w:p>
            <w:pPr>
              <w:jc w:val="center"/>
              <w:spacing w:after="0"/>
              <w:rPr>
                <w:sz w:val="20"/>
                <w:szCs w:val="20"/>
                <w:color w:val="auto"/>
              </w:rPr>
            </w:pPr>
            <w:r>
              <w:rPr>
                <w:rFonts w:ascii="Times New Roman" w:cs="Times New Roman" w:eastAsia="Times New Roman" w:hAnsi="Times New Roman"/>
                <w:sz w:val="18"/>
                <w:szCs w:val="18"/>
                <w:color w:val="auto"/>
                <w:w w:val="70"/>
              </w:rPr>
              <w:t>......................................................................................</w:t>
            </w:r>
            <w:r>
              <w:rPr>
                <w:rFonts w:ascii="Times New Roman" w:cs="Times New Roman" w:eastAsia="Times New Roman" w:hAnsi="Times New Roman"/>
                <w:sz w:val="33"/>
                <w:szCs w:val="33"/>
                <w:color w:val="auto"/>
                <w:w w:val="70"/>
                <w:vertAlign w:val="subscript"/>
              </w:rPr>
              <w:t>SECTION</w:t>
            </w:r>
            <w:r>
              <w:rPr>
                <w:rFonts w:ascii="Times New Roman" w:cs="Times New Roman" w:eastAsia="Times New Roman" w:hAnsi="Times New Roman"/>
                <w:sz w:val="18"/>
                <w:szCs w:val="18"/>
                <w:color w:val="auto"/>
                <w:w w:val="70"/>
              </w:rPr>
              <w:t>............................................................................</w:t>
            </w:r>
            <w:r>
              <w:rPr>
                <w:rFonts w:ascii="Times New Roman" w:cs="Times New Roman" w:eastAsia="Times New Roman" w:hAnsi="Times New Roman"/>
                <w:sz w:val="33"/>
                <w:szCs w:val="33"/>
                <w:color w:val="auto"/>
                <w:w w:val="70"/>
                <w:vertAlign w:val="subscript"/>
              </w:rPr>
              <w:t>12.4RightofSetoff</w:t>
            </w:r>
          </w:p>
        </w:tc>
        <w:tc>
          <w:tcPr>
            <w:tcW w:w="6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FF0000"/>
                <w:strike w:val="1"/>
                <w:w w:val="93"/>
              </w:rPr>
              <w:t>151</w:t>
            </w:r>
          </w:p>
        </w:tc>
        <w:tc>
          <w:tcPr>
            <w:tcW w:w="34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0000FF"/>
                <w:w w:val="86"/>
              </w:rPr>
              <w:t>157</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gridSpan w:val="3"/>
            <w:vMerge w:val="restart"/>
          </w:tcPr>
          <w:p>
            <w:pPr>
              <w:jc w:val="right"/>
              <w:spacing w:after="0"/>
              <w:rPr>
                <w:sz w:val="20"/>
                <w:szCs w:val="20"/>
                <w:color w:val="auto"/>
              </w:rPr>
            </w:pPr>
            <w:r>
              <w:rPr>
                <w:rFonts w:ascii="Times New Roman" w:cs="Times New Roman" w:eastAsia="Times New Roman" w:hAnsi="Times New Roman"/>
                <w:sz w:val="20"/>
                <w:szCs w:val="20"/>
                <w:color w:val="FF0000"/>
                <w:strike w:val="1"/>
                <w:w w:val="93"/>
              </w:rPr>
              <w:t>153</w:t>
            </w:r>
          </w:p>
        </w:tc>
        <w:tc>
          <w:tcPr>
            <w:tcW w:w="3120" w:type="dxa"/>
            <w:vAlign w:val="bottom"/>
            <w:gridSpan w:val="16"/>
            <w:vMerge w:val="restart"/>
          </w:tcPr>
          <w:p>
            <w:pPr>
              <w:jc w:val="right"/>
              <w:spacing w:after="0"/>
              <w:rPr>
                <w:sz w:val="20"/>
                <w:szCs w:val="20"/>
                <w:color w:val="auto"/>
              </w:rPr>
            </w:pPr>
            <w:r>
              <w:rPr>
                <w:rFonts w:ascii="Times New Roman" w:cs="Times New Roman" w:eastAsia="Times New Roman" w:hAnsi="Times New Roman"/>
                <w:sz w:val="20"/>
                <w:szCs w:val="20"/>
                <w:color w:val="0000FF"/>
              </w:rPr>
              <w:t xml:space="preserve">158 </w:t>
            </w:r>
            <w:r>
              <w:rPr>
                <w:rFonts w:ascii="Times New Roman" w:cs="Times New Roman" w:eastAsia="Times New Roman" w:hAnsi="Times New Roman"/>
                <w:sz w:val="20"/>
                <w:szCs w:val="20"/>
                <w:color w:val="000000"/>
              </w:rPr>
              <w:t>SECTION 12.5 Governing Law;</w:t>
            </w:r>
          </w:p>
        </w:tc>
        <w:tc>
          <w:tcPr>
            <w:tcW w:w="0" w:type="dxa"/>
            <w:vAlign w:val="bottom"/>
          </w:tcPr>
          <w:p>
            <w:pPr>
              <w:spacing w:after="0"/>
              <w:rPr>
                <w:sz w:val="1"/>
                <w:szCs w:val="1"/>
                <w:color w:val="auto"/>
              </w:rPr>
            </w:pPr>
          </w:p>
        </w:tc>
      </w:tr>
      <w:tr>
        <w:trPr>
          <w:trHeight w:val="331"/>
        </w:trPr>
        <w:tc>
          <w:tcPr>
            <w:tcW w:w="4400" w:type="dxa"/>
            <w:vAlign w:val="bottom"/>
            <w:gridSpan w:val="9"/>
            <w:vMerge w:val="continue"/>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gridSpan w:val="3"/>
            <w:vMerge w:val="continue"/>
          </w:tcPr>
          <w:p>
            <w:pPr>
              <w:spacing w:after="0"/>
              <w:rPr>
                <w:sz w:val="24"/>
                <w:szCs w:val="24"/>
                <w:color w:val="auto"/>
              </w:rPr>
            </w:pPr>
          </w:p>
        </w:tc>
        <w:tc>
          <w:tcPr>
            <w:tcW w:w="3120" w:type="dxa"/>
            <w:vAlign w:val="bottom"/>
            <w:gridSpan w:val="16"/>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.........................................................Jurisdiction,Etc</w:t>
            </w: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gridSpan w:val="2"/>
          </w:tcPr>
          <w:p>
            <w:pPr>
              <w:spacing w:after="0"/>
              <w:rPr>
                <w:sz w:val="24"/>
                <w:szCs w:val="24"/>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FF0000"/>
                <w:strike w:val="1"/>
              </w:rPr>
              <w:t>153</w:t>
            </w:r>
          </w:p>
        </w:tc>
        <w:tc>
          <w:tcPr>
            <w:tcW w:w="36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20"/>
                <w:szCs w:val="20"/>
                <w:color w:val="0000FF"/>
                <w:w w:val="93"/>
              </w:rPr>
              <w:t>159</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400" w:type="dxa"/>
            <w:vAlign w:val="bottom"/>
            <w:gridSpan w:val="9"/>
          </w:tcPr>
          <w:p>
            <w:pPr>
              <w:jc w:val="center"/>
              <w:spacing w:after="0"/>
              <w:rPr>
                <w:sz w:val="20"/>
                <w:szCs w:val="20"/>
                <w:color w:val="auto"/>
              </w:rPr>
            </w:pPr>
            <w:r>
              <w:rPr>
                <w:rFonts w:ascii="Times New Roman" w:cs="Times New Roman" w:eastAsia="Times New Roman" w:hAnsi="Times New Roman"/>
                <w:sz w:val="20"/>
                <w:szCs w:val="20"/>
                <w:color w:val="auto"/>
              </w:rPr>
              <w:t>.............................................................................SECTION12.6WaiverofJuryTrial</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FF0000"/>
                <w:strike w:val="1"/>
                <w:w w:val="86"/>
              </w:rPr>
              <w:t>154</w:t>
            </w:r>
          </w:p>
        </w:tc>
        <w:tc>
          <w:tcPr>
            <w:tcW w:w="3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20"/>
                <w:szCs w:val="20"/>
                <w:color w:val="0000FF"/>
                <w:w w:val="99"/>
              </w:rPr>
              <w:t>160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0"/>
        </w:trPr>
        <w:tc>
          <w:tcPr>
            <w:tcW w:w="4400" w:type="dxa"/>
            <w:vAlign w:val="bottom"/>
            <w:gridSpan w:val="9"/>
          </w:tcPr>
          <w:p>
            <w:pPr>
              <w:ind w:left="640"/>
              <w:spacing w:after="0"/>
              <w:rPr>
                <w:sz w:val="20"/>
                <w:szCs w:val="20"/>
                <w:color w:val="auto"/>
              </w:rPr>
            </w:pPr>
            <w:r>
              <w:rPr>
                <w:rFonts w:ascii="Times New Roman" w:cs="Times New Roman" w:eastAsia="Times New Roman" w:hAnsi="Times New Roman"/>
                <w:sz w:val="15"/>
                <w:szCs w:val="15"/>
                <w:color w:val="auto"/>
                <w:w w:val="72"/>
              </w:rPr>
              <w:t>SECTION 12.7 Reversal of Payments ...........................................................................</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gridSpan w:val="4"/>
          </w:tcPr>
          <w:p>
            <w:pPr>
              <w:ind w:left="160"/>
              <w:spacing w:after="0"/>
              <w:rPr>
                <w:sz w:val="20"/>
                <w:szCs w:val="20"/>
                <w:color w:val="auto"/>
              </w:rPr>
            </w:pPr>
            <w:r>
              <w:rPr>
                <w:rFonts w:ascii="Times New Roman" w:cs="Times New Roman" w:eastAsia="Times New Roman" w:hAnsi="Times New Roman"/>
                <w:sz w:val="20"/>
                <w:szCs w:val="20"/>
                <w:color w:val="FF0000"/>
                <w:strike w:val="1"/>
              </w:rPr>
              <w:t>154</w:t>
            </w:r>
          </w:p>
        </w:tc>
        <w:tc>
          <w:tcPr>
            <w:tcW w:w="22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9"/>
                <w:szCs w:val="19"/>
                <w:color w:val="0000FF"/>
                <w:w w:val="70"/>
              </w:rPr>
              <w:t>160</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400" w:type="dxa"/>
            <w:vAlign w:val="bottom"/>
            <w:gridSpan w:val="9"/>
          </w:tcPr>
          <w:p>
            <w:pPr>
              <w:ind w:left="640"/>
              <w:spacing w:after="0"/>
              <w:rPr>
                <w:sz w:val="20"/>
                <w:szCs w:val="20"/>
                <w:color w:val="auto"/>
              </w:rPr>
            </w:pPr>
            <w:r>
              <w:rPr>
                <w:rFonts w:ascii="Times New Roman" w:cs="Times New Roman" w:eastAsia="Times New Roman" w:hAnsi="Times New Roman"/>
                <w:sz w:val="15"/>
                <w:szCs w:val="15"/>
                <w:color w:val="auto"/>
                <w:w w:val="73"/>
              </w:rPr>
              <w:t>SECTION 12.8 Injunctive Relief...................................................................................</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gridSpan w:val="3"/>
          </w:tcPr>
          <w:p>
            <w:pPr>
              <w:jc w:val="center"/>
              <w:ind w:left="21"/>
              <w:spacing w:after="0"/>
              <w:rPr>
                <w:sz w:val="20"/>
                <w:szCs w:val="20"/>
                <w:color w:val="auto"/>
              </w:rPr>
            </w:pPr>
            <w:r>
              <w:rPr>
                <w:rFonts w:ascii="Times New Roman" w:cs="Times New Roman" w:eastAsia="Times New Roman" w:hAnsi="Times New Roman"/>
                <w:sz w:val="20"/>
                <w:szCs w:val="20"/>
                <w:color w:val="FF0000"/>
                <w:strike w:val="1"/>
                <w:w w:val="99"/>
              </w:rPr>
              <w:t>155</w:t>
            </w:r>
          </w:p>
        </w:tc>
        <w:tc>
          <w:tcPr>
            <w:tcW w:w="3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20"/>
                <w:szCs w:val="20"/>
                <w:color w:val="0000FF"/>
                <w:w w:val="99"/>
              </w:rPr>
              <w:t>160</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6440" w:type="dxa"/>
            <w:vAlign w:val="bottom"/>
            <w:gridSpan w:val="26"/>
          </w:tcPr>
          <w:p>
            <w:pPr>
              <w:ind w:left="640"/>
              <w:spacing w:after="0"/>
              <w:rPr>
                <w:sz w:val="20"/>
                <w:szCs w:val="20"/>
                <w:color w:val="auto"/>
              </w:rPr>
            </w:pPr>
            <w:r>
              <w:rPr>
                <w:rFonts w:ascii="Times New Roman" w:cs="Times New Roman" w:eastAsia="Times New Roman" w:hAnsi="Times New Roman"/>
                <w:sz w:val="20"/>
                <w:szCs w:val="20"/>
                <w:color w:val="auto"/>
                <w:w w:val="84"/>
              </w:rPr>
              <w:t>SECTION 12.9 Successors and Assigns; Participations ................................................</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FF0000"/>
                <w:strike w:val="1"/>
                <w:w w:val="79"/>
              </w:rPr>
              <w:t>155</w:t>
            </w:r>
          </w:p>
        </w:tc>
        <w:tc>
          <w:tcPr>
            <w:tcW w:w="2900" w:type="dxa"/>
            <w:vAlign w:val="bottom"/>
            <w:gridSpan w:val="14"/>
          </w:tcPr>
          <w:p>
            <w:pPr>
              <w:jc w:val="right"/>
              <w:spacing w:after="0"/>
              <w:rPr>
                <w:sz w:val="20"/>
                <w:szCs w:val="20"/>
                <w:color w:val="auto"/>
              </w:rPr>
            </w:pPr>
            <w:r>
              <w:rPr>
                <w:rFonts w:ascii="Times New Roman" w:cs="Times New Roman" w:eastAsia="Times New Roman" w:hAnsi="Times New Roman"/>
                <w:sz w:val="20"/>
                <w:szCs w:val="20"/>
                <w:color w:val="0000FF"/>
              </w:rPr>
              <w:t xml:space="preserve">160 </w:t>
            </w:r>
            <w:r>
              <w:rPr>
                <w:rFonts w:ascii="Times New Roman" w:cs="Times New Roman" w:eastAsia="Times New Roman" w:hAnsi="Times New Roman"/>
                <w:sz w:val="20"/>
                <w:szCs w:val="20"/>
                <w:color w:val="000000"/>
              </w:rPr>
              <w:t>SECTION 12.10 Treatment of</w:t>
            </w: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tcBorders>
              <w:right w:val="single" w:sz="8" w:color="0000FF"/>
            </w:tcBorders>
            <w:gridSpan w:val="3"/>
          </w:tcPr>
          <w:p>
            <w:pPr>
              <w:spacing w:after="0" w:line="20" w:lineRule="exact"/>
              <w:rPr>
                <w:sz w:val="1"/>
                <w:szCs w:val="1"/>
                <w:color w:val="auto"/>
              </w:rPr>
            </w:pPr>
          </w:p>
        </w:tc>
        <w:tc>
          <w:tcPr>
            <w:tcW w:w="24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60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Certain</w:t>
            </w: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Information;</w:t>
            </w:r>
          </w:p>
        </w:tc>
        <w:tc>
          <w:tcPr>
            <w:tcW w:w="1500" w:type="dxa"/>
            <w:vAlign w:val="bottom"/>
            <w:gridSpan w:val="6"/>
          </w:tcPr>
          <w:p>
            <w:pPr>
              <w:jc w:val="center"/>
              <w:ind w:right="100"/>
              <w:spacing w:after="0"/>
              <w:rPr>
                <w:sz w:val="20"/>
                <w:szCs w:val="20"/>
                <w:color w:val="auto"/>
              </w:rPr>
            </w:pPr>
            <w:r>
              <w:rPr>
                <w:rFonts w:ascii="Times New Roman" w:cs="Times New Roman" w:eastAsia="Times New Roman" w:hAnsi="Times New Roman"/>
                <w:sz w:val="20"/>
                <w:szCs w:val="20"/>
                <w:color w:val="auto"/>
                <w:w w:val="99"/>
              </w:rPr>
              <w:t>Confidentiality</w:t>
            </w: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8"/>
                <w:szCs w:val="8"/>
                <w:color w:val="auto"/>
                <w:w w:val="76"/>
              </w:rPr>
              <w:t>..............................</w:t>
            </w:r>
          </w:p>
        </w:tc>
        <w:tc>
          <w:tcPr>
            <w:tcW w:w="280" w:type="dxa"/>
            <w:vAlign w:val="bottom"/>
            <w:gridSpan w:val="3"/>
          </w:tcPr>
          <w:p>
            <w:pPr>
              <w:spacing w:after="0"/>
              <w:rPr>
                <w:sz w:val="24"/>
                <w:szCs w:val="24"/>
                <w:color w:val="auto"/>
              </w:rPr>
            </w:pPr>
          </w:p>
        </w:tc>
        <w:tc>
          <w:tcPr>
            <w:tcW w:w="300" w:type="dxa"/>
            <w:vAlign w:val="bottom"/>
            <w:gridSpan w:val="2"/>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gridSpan w:val="4"/>
          </w:tcPr>
          <w:p>
            <w:pPr>
              <w:ind w:left="120"/>
              <w:spacing w:after="0"/>
              <w:rPr>
                <w:sz w:val="20"/>
                <w:szCs w:val="20"/>
                <w:color w:val="auto"/>
              </w:rPr>
            </w:pPr>
            <w:r>
              <w:rPr>
                <w:rFonts w:ascii="Times New Roman" w:cs="Times New Roman" w:eastAsia="Times New Roman" w:hAnsi="Times New Roman"/>
                <w:sz w:val="20"/>
                <w:szCs w:val="20"/>
                <w:color w:val="FF0000"/>
                <w:strike w:val="1"/>
                <w:w w:val="93"/>
              </w:rPr>
              <w:t>159</w:t>
            </w:r>
          </w:p>
        </w:tc>
        <w:tc>
          <w:tcPr>
            <w:tcW w:w="560" w:type="dxa"/>
            <w:vAlign w:val="bottom"/>
            <w:gridSpan w:val="4"/>
          </w:tcPr>
          <w:p>
            <w:pPr>
              <w:jc w:val="right"/>
              <w:ind w:right="260"/>
              <w:spacing w:after="0"/>
              <w:rPr>
                <w:sz w:val="20"/>
                <w:szCs w:val="20"/>
                <w:color w:val="auto"/>
              </w:rPr>
            </w:pPr>
            <w:r>
              <w:rPr>
                <w:rFonts w:ascii="Times New Roman" w:cs="Times New Roman" w:eastAsia="Times New Roman" w:hAnsi="Times New Roman"/>
                <w:sz w:val="20"/>
                <w:szCs w:val="20"/>
                <w:color w:val="0000FF"/>
                <w:w w:val="93"/>
              </w:rPr>
              <w:t>164</w:t>
            </w:r>
          </w:p>
        </w:tc>
        <w:tc>
          <w:tcPr>
            <w:tcW w:w="1220" w:type="dxa"/>
            <w:vAlign w:val="bottom"/>
            <w:gridSpan w:val="14"/>
          </w:tcPr>
          <w:p>
            <w:pPr>
              <w:ind w:left="120"/>
              <w:spacing w:after="0"/>
              <w:rPr>
                <w:sz w:val="20"/>
                <w:szCs w:val="20"/>
                <w:color w:val="auto"/>
              </w:rPr>
            </w:pPr>
            <w:r>
              <w:rPr>
                <w:rFonts w:ascii="Times New Roman" w:cs="Times New Roman" w:eastAsia="Times New Roman" w:hAnsi="Times New Roman"/>
                <w:sz w:val="20"/>
                <w:szCs w:val="20"/>
                <w:color w:val="auto"/>
              </w:rPr>
              <w:t>SECTION</w:t>
            </w:r>
          </w:p>
        </w:tc>
        <w:tc>
          <w:tcPr>
            <w:tcW w:w="700" w:type="dxa"/>
            <w:vAlign w:val="bottom"/>
            <w:gridSpan w:val="4"/>
          </w:tcPr>
          <w:p>
            <w:pPr>
              <w:ind w:left="120"/>
              <w:spacing w:after="0"/>
              <w:rPr>
                <w:sz w:val="20"/>
                <w:szCs w:val="20"/>
                <w:color w:val="auto"/>
              </w:rPr>
            </w:pPr>
            <w:r>
              <w:rPr>
                <w:rFonts w:ascii="Times New Roman" w:cs="Times New Roman" w:eastAsia="Times New Roman" w:hAnsi="Times New Roman"/>
                <w:sz w:val="20"/>
                <w:szCs w:val="20"/>
                <w:color w:val="auto"/>
              </w:rPr>
              <w:t>12.11</w:t>
            </w:r>
          </w:p>
        </w:tc>
        <w:tc>
          <w:tcPr>
            <w:tcW w:w="1320" w:type="dxa"/>
            <w:vAlign w:val="bottom"/>
            <w:gridSpan w:val="2"/>
          </w:tcPr>
          <w:p>
            <w:pPr>
              <w:ind w:left="260"/>
              <w:spacing w:after="0"/>
              <w:rPr>
                <w:sz w:val="20"/>
                <w:szCs w:val="20"/>
                <w:color w:val="auto"/>
              </w:rPr>
            </w:pPr>
            <w:r>
              <w:rPr>
                <w:rFonts w:ascii="Times New Roman" w:cs="Times New Roman" w:eastAsia="Times New Roman" w:hAnsi="Times New Roman"/>
                <w:sz w:val="20"/>
                <w:szCs w:val="20"/>
                <w:color w:val="auto"/>
              </w:rPr>
              <w:t>Performance</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of</w:t>
            </w:r>
          </w:p>
        </w:tc>
        <w:tc>
          <w:tcPr>
            <w:tcW w:w="0" w:type="dxa"/>
            <w:vAlign w:val="bottom"/>
          </w:tcPr>
          <w:p>
            <w:pPr>
              <w:spacing w:after="0"/>
              <w:rPr>
                <w:sz w:val="1"/>
                <w:szCs w:val="1"/>
                <w:color w:val="auto"/>
              </w:rPr>
            </w:pPr>
          </w:p>
        </w:tc>
      </w:tr>
      <w:tr>
        <w:trPr>
          <w:trHeight w:val="318"/>
        </w:trPr>
        <w:tc>
          <w:tcPr>
            <w:tcW w:w="1600" w:type="dxa"/>
            <w:vAlign w:val="bottom"/>
          </w:tcPr>
          <w:p>
            <w:pPr>
              <w:ind w:left="640"/>
              <w:spacing w:after="0"/>
              <w:rPr>
                <w:sz w:val="20"/>
                <w:szCs w:val="20"/>
                <w:color w:val="auto"/>
              </w:rPr>
            </w:pPr>
            <w:r>
              <w:rPr>
                <w:rFonts w:ascii="Times New Roman" w:cs="Times New Roman" w:eastAsia="Times New Roman" w:hAnsi="Times New Roman"/>
                <w:sz w:val="5"/>
                <w:szCs w:val="5"/>
                <w:color w:val="auto"/>
                <w:w w:val="89"/>
              </w:rPr>
              <w:t>Duties..........................................................................</w:t>
            </w: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gridSpan w:val="3"/>
          </w:tcPr>
          <w:p>
            <w:pPr>
              <w:spacing w:after="0"/>
              <w:rPr>
                <w:sz w:val="24"/>
                <w:szCs w:val="24"/>
                <w:color w:val="auto"/>
              </w:rPr>
            </w:pP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FF0000"/>
                <w:strike w:val="1"/>
                <w:w w:val="86"/>
              </w:rPr>
              <w:t>160</w:t>
            </w:r>
          </w:p>
        </w:tc>
        <w:tc>
          <w:tcPr>
            <w:tcW w:w="440" w:type="dxa"/>
            <w:vAlign w:val="bottom"/>
            <w:gridSpan w:val="3"/>
          </w:tcPr>
          <w:p>
            <w:pPr>
              <w:jc w:val="right"/>
              <w:ind w:right="41"/>
              <w:spacing w:after="0"/>
              <w:rPr>
                <w:sz w:val="20"/>
                <w:szCs w:val="20"/>
                <w:color w:val="auto"/>
              </w:rPr>
            </w:pPr>
            <w:r>
              <w:rPr>
                <w:rFonts w:ascii="Times New Roman" w:cs="Times New Roman" w:eastAsia="Times New Roman" w:hAnsi="Times New Roman"/>
                <w:sz w:val="20"/>
                <w:szCs w:val="20"/>
                <w:color w:val="0000FF"/>
                <w:w w:val="93"/>
              </w:rPr>
              <w:t>165</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160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w:t>
            </w:r>
          </w:p>
        </w:tc>
        <w:tc>
          <w:tcPr>
            <w:tcW w:w="520" w:type="dxa"/>
            <w:vAlign w:val="bottom"/>
          </w:tcPr>
          <w:p>
            <w:pPr>
              <w:spacing w:after="0"/>
              <w:rPr>
                <w:sz w:val="20"/>
                <w:szCs w:val="20"/>
                <w:color w:val="auto"/>
              </w:rPr>
            </w:pPr>
            <w:r>
              <w:rPr>
                <w:rFonts w:ascii="Times New Roman" w:cs="Times New Roman" w:eastAsia="Times New Roman" w:hAnsi="Times New Roman"/>
                <w:sz w:val="20"/>
                <w:szCs w:val="20"/>
                <w:color w:val="auto"/>
              </w:rPr>
              <w:t>12.12</w:t>
            </w:r>
          </w:p>
        </w:tc>
        <w:tc>
          <w:tcPr>
            <w:tcW w:w="2280" w:type="dxa"/>
            <w:vAlign w:val="bottom"/>
            <w:gridSpan w:val="7"/>
          </w:tcPr>
          <w:p>
            <w:pPr>
              <w:ind w:left="60"/>
              <w:spacing w:after="0"/>
              <w:rPr>
                <w:sz w:val="20"/>
                <w:szCs w:val="20"/>
                <w:color w:val="auto"/>
              </w:rPr>
            </w:pPr>
            <w:r>
              <w:rPr>
                <w:rFonts w:ascii="Times New Roman" w:cs="Times New Roman" w:eastAsia="Times New Roman" w:hAnsi="Times New Roman"/>
                <w:sz w:val="20"/>
                <w:szCs w:val="20"/>
                <w:color w:val="auto"/>
              </w:rPr>
              <w:t>All Powers Coupled with</w:t>
            </w:r>
          </w:p>
        </w:tc>
        <w:tc>
          <w:tcPr>
            <w:tcW w:w="60" w:type="dxa"/>
            <w:vAlign w:val="bottom"/>
          </w:tcPr>
          <w:p>
            <w:pPr>
              <w:spacing w:after="0"/>
              <w:rPr>
                <w:sz w:val="24"/>
                <w:szCs w:val="24"/>
                <w:color w:val="auto"/>
              </w:rPr>
            </w:pPr>
          </w:p>
        </w:tc>
        <w:tc>
          <w:tcPr>
            <w:tcW w:w="1980" w:type="dxa"/>
            <w:vAlign w:val="bottom"/>
            <w:gridSpan w:val="16"/>
          </w:tcPr>
          <w:p>
            <w:pPr>
              <w:jc w:val="center"/>
              <w:spacing w:after="0"/>
              <w:rPr>
                <w:sz w:val="20"/>
                <w:szCs w:val="20"/>
                <w:color w:val="auto"/>
              </w:rPr>
            </w:pPr>
            <w:r>
              <w:rPr>
                <w:rFonts w:ascii="Times New Roman" w:cs="Times New Roman" w:eastAsia="Times New Roman" w:hAnsi="Times New Roman"/>
                <w:sz w:val="16"/>
                <w:szCs w:val="16"/>
                <w:color w:val="auto"/>
                <w:w w:val="73"/>
              </w:rPr>
              <w:t>Interest ........................................................</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gridSpan w:val="6"/>
          </w:tcPr>
          <w:p>
            <w:pPr>
              <w:jc w:val="right"/>
              <w:spacing w:after="0"/>
              <w:rPr>
                <w:sz w:val="20"/>
                <w:szCs w:val="20"/>
                <w:color w:val="auto"/>
              </w:rPr>
            </w:pPr>
            <w:r>
              <w:rPr>
                <w:rFonts w:ascii="Times New Roman" w:cs="Times New Roman" w:eastAsia="Times New Roman" w:hAnsi="Times New Roman"/>
                <w:sz w:val="20"/>
                <w:szCs w:val="20"/>
                <w:color w:val="FF0000"/>
                <w:strike w:val="1"/>
                <w:w w:val="86"/>
              </w:rPr>
              <w:t>160</w:t>
            </w:r>
          </w:p>
        </w:tc>
        <w:tc>
          <w:tcPr>
            <w:tcW w:w="360" w:type="dxa"/>
            <w:vAlign w:val="bottom"/>
            <w:gridSpan w:val="4"/>
          </w:tcPr>
          <w:p>
            <w:pPr>
              <w:jc w:val="right"/>
              <w:ind w:right="60"/>
              <w:spacing w:after="0"/>
              <w:rPr>
                <w:sz w:val="20"/>
                <w:szCs w:val="20"/>
                <w:color w:val="auto"/>
              </w:rPr>
            </w:pPr>
            <w:r>
              <w:rPr>
                <w:rFonts w:ascii="Times New Roman" w:cs="Times New Roman" w:eastAsia="Times New Roman" w:hAnsi="Times New Roman"/>
                <w:sz w:val="20"/>
                <w:szCs w:val="20"/>
                <w:color w:val="0000FF"/>
                <w:w w:val="93"/>
              </w:rPr>
              <w:t>165</w:t>
            </w:r>
          </w:p>
        </w:tc>
        <w:tc>
          <w:tcPr>
            <w:tcW w:w="226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SECTION 12.13 Survival</w:t>
            </w:r>
          </w:p>
        </w:tc>
        <w:tc>
          <w:tcPr>
            <w:tcW w:w="0" w:type="dxa"/>
            <w:vAlign w:val="bottom"/>
          </w:tcPr>
          <w:p>
            <w:pPr>
              <w:spacing w:after="0"/>
              <w:rPr>
                <w:sz w:val="1"/>
                <w:szCs w:val="1"/>
                <w:color w:val="auto"/>
              </w:rPr>
            </w:pPr>
          </w:p>
        </w:tc>
      </w:tr>
      <w:tr>
        <w:trPr>
          <w:trHeight w:val="331"/>
        </w:trPr>
        <w:tc>
          <w:tcPr>
            <w:tcW w:w="4400" w:type="dxa"/>
            <w:vAlign w:val="bottom"/>
            <w:gridSpan w:val="9"/>
            <w:vMerge w:val="restart"/>
          </w:tcPr>
          <w:p>
            <w:pPr>
              <w:jc w:val="center"/>
              <w:spacing w:after="0"/>
              <w:rPr>
                <w:sz w:val="20"/>
                <w:szCs w:val="20"/>
                <w:color w:val="auto"/>
              </w:rPr>
            </w:pPr>
            <w:r>
              <w:rPr>
                <w:rFonts w:ascii="Times New Roman" w:cs="Times New Roman" w:eastAsia="Times New Roman" w:hAnsi="Times New Roman"/>
                <w:sz w:val="16"/>
                <w:szCs w:val="16"/>
                <w:color w:val="auto"/>
                <w:w w:val="70"/>
              </w:rPr>
              <w:t>...............................................................................</w:t>
            </w:r>
            <w:r>
              <w:rPr>
                <w:rFonts w:ascii="Times New Roman" w:cs="Times New Roman" w:eastAsia="Times New Roman" w:hAnsi="Times New Roman"/>
                <w:sz w:val="29"/>
                <w:szCs w:val="29"/>
                <w:color w:val="auto"/>
                <w:w w:val="70"/>
                <w:vertAlign w:val="subscript"/>
              </w:rPr>
              <w:t>SECTION</w:t>
            </w:r>
            <w:r>
              <w:rPr>
                <w:rFonts w:ascii="Times New Roman" w:cs="Times New Roman" w:eastAsia="Times New Roman" w:hAnsi="Times New Roman"/>
                <w:sz w:val="16"/>
                <w:szCs w:val="16"/>
                <w:color w:val="auto"/>
                <w:w w:val="70"/>
              </w:rPr>
              <w:t>................................................................................................</w:t>
            </w:r>
            <w:r>
              <w:rPr>
                <w:rFonts w:ascii="Times New Roman" w:cs="Times New Roman" w:eastAsia="Times New Roman" w:hAnsi="Times New Roman"/>
                <w:sz w:val="29"/>
                <w:szCs w:val="29"/>
                <w:color w:val="auto"/>
                <w:w w:val="70"/>
                <w:vertAlign w:val="subscript"/>
              </w:rPr>
              <w:t>12.14TitlesandCaptions</w:t>
            </w:r>
          </w:p>
        </w:tc>
        <w:tc>
          <w:tcPr>
            <w:tcW w:w="480" w:type="dxa"/>
            <w:vAlign w:val="bottom"/>
            <w:gridSpan w:val="3"/>
          </w:tcPr>
          <w:p>
            <w:pPr>
              <w:spacing w:after="0"/>
              <w:rPr>
                <w:sz w:val="24"/>
                <w:szCs w:val="24"/>
                <w:color w:val="auto"/>
              </w:rPr>
            </w:pPr>
          </w:p>
        </w:tc>
        <w:tc>
          <w:tcPr>
            <w:tcW w:w="580" w:type="dxa"/>
            <w:vAlign w:val="bottom"/>
            <w:gridSpan w:val="5"/>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FF0000"/>
                <w:strike w:val="1"/>
                <w:w w:val="86"/>
              </w:rPr>
              <w:t>160</w:t>
            </w:r>
          </w:p>
        </w:tc>
        <w:tc>
          <w:tcPr>
            <w:tcW w:w="30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20"/>
                <w:szCs w:val="20"/>
                <w:color w:val="0000FF"/>
                <w:w w:val="93"/>
              </w:rPr>
              <w:t>165</w:t>
            </w: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color w:val="FF0000"/>
                <w:strike w:val="1"/>
                <w:w w:val="93"/>
              </w:rPr>
              <w:t>160</w:t>
            </w:r>
          </w:p>
        </w:tc>
        <w:tc>
          <w:tcPr>
            <w:tcW w:w="300" w:type="dxa"/>
            <w:vAlign w:val="bottom"/>
            <w:gridSpan w:val="3"/>
            <w:vMerge w:val="restart"/>
          </w:tcPr>
          <w:p>
            <w:pPr>
              <w:jc w:val="right"/>
              <w:spacing w:after="0"/>
              <w:rPr>
                <w:sz w:val="20"/>
                <w:szCs w:val="20"/>
                <w:color w:val="auto"/>
              </w:rPr>
            </w:pPr>
            <w:r>
              <w:rPr>
                <w:rFonts w:ascii="Times New Roman" w:cs="Times New Roman" w:eastAsia="Times New Roman" w:hAnsi="Times New Roman"/>
                <w:sz w:val="20"/>
                <w:szCs w:val="20"/>
                <w:color w:val="0000FF"/>
                <w:w w:val="79"/>
              </w:rPr>
              <w:t>165</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4400" w:type="dxa"/>
            <w:vAlign w:val="bottom"/>
            <w:gridSpan w:val="9"/>
            <w:vMerge w:val="continue"/>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gridSpan w:val="3"/>
            <w:vMerge w:val="continue"/>
          </w:tcPr>
          <w:p>
            <w:pPr>
              <w:spacing w:after="0"/>
              <w:rPr>
                <w:sz w:val="21"/>
                <w:szCs w:val="21"/>
                <w:color w:val="auto"/>
              </w:rPr>
            </w:pPr>
          </w:p>
        </w:tc>
        <w:tc>
          <w:tcPr>
            <w:tcW w:w="300" w:type="dxa"/>
            <w:vAlign w:val="bottom"/>
            <w:tcBorders>
              <w:bottom w:val="single" w:sz="8" w:color="0000FF"/>
            </w:tcBorders>
            <w:gridSpan w:val="3"/>
            <w:vMerge w:val="continue"/>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4400" w:type="dxa"/>
            <w:vAlign w:val="bottom"/>
            <w:gridSpan w:val="9"/>
          </w:tcPr>
          <w:p>
            <w:pPr>
              <w:ind w:left="640"/>
              <w:spacing w:after="0"/>
              <w:rPr>
                <w:sz w:val="20"/>
                <w:szCs w:val="20"/>
                <w:color w:val="auto"/>
              </w:rPr>
            </w:pPr>
            <w:r>
              <w:rPr>
                <w:rFonts w:ascii="Times New Roman" w:cs="Times New Roman" w:eastAsia="Times New Roman" w:hAnsi="Times New Roman"/>
                <w:sz w:val="15"/>
                <w:szCs w:val="15"/>
                <w:color w:val="auto"/>
                <w:w w:val="72"/>
              </w:rPr>
              <w:t>SECTION 12.15 Severability of Provisions ....................................................................</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FF0000"/>
                <w:strike w:val="1"/>
                <w:w w:val="99"/>
              </w:rPr>
              <w:t>160</w:t>
            </w:r>
          </w:p>
        </w:tc>
        <w:tc>
          <w:tcPr>
            <w:tcW w:w="30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20"/>
                <w:szCs w:val="20"/>
                <w:color w:val="0000FF"/>
                <w:w w:val="93"/>
              </w:rPr>
              <w:t>166</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60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w:t>
            </w:r>
          </w:p>
        </w:tc>
        <w:tc>
          <w:tcPr>
            <w:tcW w:w="520" w:type="dxa"/>
            <w:vAlign w:val="bottom"/>
          </w:tcPr>
          <w:p>
            <w:pPr>
              <w:spacing w:after="0"/>
              <w:rPr>
                <w:sz w:val="20"/>
                <w:szCs w:val="20"/>
                <w:color w:val="auto"/>
              </w:rPr>
            </w:pPr>
            <w:r>
              <w:rPr>
                <w:rFonts w:ascii="Times New Roman" w:cs="Times New Roman" w:eastAsia="Times New Roman" w:hAnsi="Times New Roman"/>
                <w:sz w:val="20"/>
                <w:szCs w:val="20"/>
                <w:color w:val="auto"/>
              </w:rPr>
              <w:t>12.16</w:t>
            </w:r>
          </w:p>
        </w:tc>
        <w:tc>
          <w:tcPr>
            <w:tcW w:w="2280" w:type="dxa"/>
            <w:vAlign w:val="bottom"/>
            <w:gridSpan w:val="7"/>
          </w:tcPr>
          <w:p>
            <w:pPr>
              <w:ind w:left="40"/>
              <w:spacing w:after="0"/>
              <w:rPr>
                <w:sz w:val="20"/>
                <w:szCs w:val="20"/>
                <w:color w:val="auto"/>
              </w:rPr>
            </w:pPr>
            <w:r>
              <w:rPr>
                <w:rFonts w:ascii="Times New Roman" w:cs="Times New Roman" w:eastAsia="Times New Roman" w:hAnsi="Times New Roman"/>
                <w:sz w:val="20"/>
                <w:szCs w:val="20"/>
                <w:color w:val="auto"/>
              </w:rPr>
              <w:t>Counterparts; Integration;</w:t>
            </w:r>
          </w:p>
        </w:tc>
        <w:tc>
          <w:tcPr>
            <w:tcW w:w="2040" w:type="dxa"/>
            <w:vAlign w:val="bottom"/>
            <w:gridSpan w:val="17"/>
          </w:tcPr>
          <w:p>
            <w:pPr>
              <w:jc w:val="center"/>
              <w:spacing w:after="0"/>
              <w:rPr>
                <w:sz w:val="20"/>
                <w:szCs w:val="20"/>
                <w:color w:val="auto"/>
              </w:rPr>
            </w:pPr>
            <w:r>
              <w:rPr>
                <w:rFonts w:ascii="Times New Roman" w:cs="Times New Roman" w:eastAsia="Times New Roman" w:hAnsi="Times New Roman"/>
                <w:sz w:val="20"/>
                <w:szCs w:val="20"/>
                <w:color w:val="auto"/>
              </w:rPr>
              <w:t>Effectiveness; Electronic</w:t>
            </w:r>
          </w:p>
        </w:tc>
        <w:tc>
          <w:tcPr>
            <w:tcW w:w="100" w:type="dxa"/>
            <w:vAlign w:val="bottom"/>
          </w:tcPr>
          <w:p>
            <w:pPr>
              <w:spacing w:after="0"/>
              <w:rPr>
                <w:sz w:val="24"/>
                <w:szCs w:val="24"/>
                <w:color w:val="auto"/>
              </w:rPr>
            </w:pPr>
          </w:p>
        </w:tc>
        <w:tc>
          <w:tcPr>
            <w:tcW w:w="1520" w:type="dxa"/>
            <w:vAlign w:val="bottom"/>
            <w:gridSpan w:val="12"/>
          </w:tcPr>
          <w:p>
            <w:pPr>
              <w:jc w:val="right"/>
              <w:spacing w:after="0"/>
              <w:rPr>
                <w:sz w:val="20"/>
                <w:szCs w:val="20"/>
                <w:color w:val="auto"/>
              </w:rPr>
            </w:pPr>
            <w:r>
              <w:rPr>
                <w:rFonts w:ascii="Times New Roman" w:cs="Times New Roman" w:eastAsia="Times New Roman" w:hAnsi="Times New Roman"/>
                <w:sz w:val="20"/>
                <w:szCs w:val="20"/>
                <w:color w:val="auto"/>
              </w:rPr>
              <w:t>Execution ..........</w:t>
            </w:r>
          </w:p>
        </w:tc>
        <w:tc>
          <w:tcPr>
            <w:tcW w:w="80" w:type="dxa"/>
            <w:vAlign w:val="bottom"/>
          </w:tcPr>
          <w:p>
            <w:pPr>
              <w:spacing w:after="0"/>
              <w:rPr>
                <w:sz w:val="24"/>
                <w:szCs w:val="24"/>
                <w:color w:val="auto"/>
              </w:rPr>
            </w:pPr>
          </w:p>
        </w:tc>
        <w:tc>
          <w:tcPr>
            <w:tcW w:w="26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FF0000"/>
                <w:strike w:val="1"/>
                <w:w w:val="79"/>
              </w:rPr>
              <w:t>160</w:t>
            </w:r>
          </w:p>
        </w:tc>
        <w:tc>
          <w:tcPr>
            <w:tcW w:w="2640" w:type="dxa"/>
            <w:vAlign w:val="bottom"/>
            <w:gridSpan w:val="9"/>
          </w:tcPr>
          <w:p>
            <w:pPr>
              <w:jc w:val="right"/>
              <w:spacing w:after="0"/>
              <w:rPr>
                <w:sz w:val="20"/>
                <w:szCs w:val="20"/>
                <w:color w:val="auto"/>
              </w:rPr>
            </w:pPr>
            <w:r>
              <w:rPr>
                <w:rFonts w:ascii="Times New Roman" w:cs="Times New Roman" w:eastAsia="Times New Roman" w:hAnsi="Times New Roman"/>
                <w:sz w:val="20"/>
                <w:szCs w:val="20"/>
                <w:color w:val="0000FF"/>
              </w:rPr>
              <w:t xml:space="preserve">166 </w:t>
            </w:r>
            <w:r>
              <w:rPr>
                <w:rFonts w:ascii="Times New Roman" w:cs="Times New Roman" w:eastAsia="Times New Roman" w:hAnsi="Times New Roman"/>
                <w:sz w:val="20"/>
                <w:szCs w:val="20"/>
                <w:color w:val="000000"/>
              </w:rPr>
              <w:t>SECTION 12.17 Term of</w:t>
            </w: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720" w:type="dxa"/>
            <w:vAlign w:val="bottom"/>
            <w:gridSpan w:val="6"/>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gridSpan w:val="7"/>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34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600" w:type="dxa"/>
            <w:vAlign w:val="bottom"/>
            <w:vMerge w:val="restart"/>
          </w:tcPr>
          <w:p>
            <w:pPr>
              <w:ind w:left="640"/>
              <w:spacing w:after="0"/>
              <w:rPr>
                <w:sz w:val="20"/>
                <w:szCs w:val="20"/>
                <w:color w:val="auto"/>
              </w:rPr>
            </w:pPr>
            <w:r>
              <w:rPr>
                <w:rFonts w:ascii="Times New Roman" w:cs="Times New Roman" w:eastAsia="Times New Roman" w:hAnsi="Times New Roman"/>
                <w:sz w:val="20"/>
                <w:szCs w:val="20"/>
                <w:color w:val="auto"/>
              </w:rPr>
              <w:t>Agreement</w:t>
            </w:r>
          </w:p>
        </w:tc>
        <w:tc>
          <w:tcPr>
            <w:tcW w:w="1300" w:type="dxa"/>
            <w:vAlign w:val="bottom"/>
            <w:gridSpan w:val="2"/>
          </w:tcPr>
          <w:p>
            <w:pPr>
              <w:ind w:left="80"/>
              <w:spacing w:after="0"/>
              <w:rPr>
                <w:sz w:val="20"/>
                <w:szCs w:val="20"/>
                <w:color w:val="auto"/>
              </w:rPr>
            </w:pPr>
            <w:r>
              <w:rPr>
                <w:rFonts w:ascii="Times New Roman" w:cs="Times New Roman" w:eastAsia="Times New Roman" w:hAnsi="Times New Roman"/>
                <w:sz w:val="8"/>
                <w:szCs w:val="8"/>
                <w:color w:val="auto"/>
                <w:w w:val="76"/>
              </w:rPr>
              <w:t>..............................................................................</w:t>
            </w: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gridSpan w:val="3"/>
            <w:vMerge w:val="restart"/>
          </w:tcPr>
          <w:p>
            <w:pPr>
              <w:spacing w:after="0"/>
              <w:rPr>
                <w:sz w:val="21"/>
                <w:szCs w:val="21"/>
                <w:color w:val="auto"/>
              </w:rPr>
            </w:pPr>
          </w:p>
        </w:tc>
        <w:tc>
          <w:tcPr>
            <w:tcW w:w="720" w:type="dxa"/>
            <w:vAlign w:val="bottom"/>
            <w:gridSpan w:val="6"/>
            <w:vMerge w:val="restart"/>
          </w:tcPr>
          <w:p>
            <w:pPr>
              <w:spacing w:after="0"/>
              <w:rPr>
                <w:sz w:val="21"/>
                <w:szCs w:val="21"/>
                <w:color w:val="auto"/>
              </w:rPr>
            </w:pPr>
          </w:p>
        </w:tc>
        <w:tc>
          <w:tcPr>
            <w:tcW w:w="400" w:type="dxa"/>
            <w:vAlign w:val="bottom"/>
            <w:gridSpan w:val="3"/>
            <w:vMerge w:val="restart"/>
          </w:tcPr>
          <w:p>
            <w:pPr>
              <w:jc w:val="right"/>
              <w:spacing w:after="0"/>
              <w:rPr>
                <w:sz w:val="20"/>
                <w:szCs w:val="20"/>
                <w:color w:val="auto"/>
              </w:rPr>
            </w:pPr>
            <w:r>
              <w:rPr>
                <w:rFonts w:ascii="Times New Roman" w:cs="Times New Roman" w:eastAsia="Times New Roman" w:hAnsi="Times New Roman"/>
                <w:sz w:val="20"/>
                <w:szCs w:val="20"/>
                <w:color w:val="FF0000"/>
                <w:strike w:val="1"/>
              </w:rPr>
              <w:t>161</w:t>
            </w:r>
          </w:p>
        </w:tc>
        <w:tc>
          <w:tcPr>
            <w:tcW w:w="32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20"/>
                <w:szCs w:val="20"/>
                <w:color w:val="0000FF"/>
                <w:w w:val="93"/>
              </w:rPr>
              <w:t>167</w:t>
            </w:r>
          </w:p>
        </w:tc>
        <w:tc>
          <w:tcPr>
            <w:tcW w:w="120" w:type="dxa"/>
            <w:vAlign w:val="bottom"/>
          </w:tcPr>
          <w:p>
            <w:pPr>
              <w:spacing w:after="0"/>
              <w:rPr>
                <w:sz w:val="21"/>
                <w:szCs w:val="21"/>
                <w:color w:val="auto"/>
              </w:rPr>
            </w:pPr>
          </w:p>
        </w:tc>
        <w:tc>
          <w:tcPr>
            <w:tcW w:w="860" w:type="dxa"/>
            <w:vAlign w:val="bottom"/>
            <w:gridSpan w:val="7"/>
            <w:vMerge w:val="restart"/>
          </w:tcPr>
          <w:p>
            <w:pPr>
              <w:spacing w:after="0"/>
              <w:rPr>
                <w:sz w:val="20"/>
                <w:szCs w:val="20"/>
                <w:color w:val="auto"/>
              </w:rPr>
            </w:pPr>
            <w:r>
              <w:rPr>
                <w:rFonts w:ascii="Times New Roman" w:cs="Times New Roman" w:eastAsia="Times New Roman" w:hAnsi="Times New Roman"/>
                <w:sz w:val="20"/>
                <w:szCs w:val="20"/>
                <w:color w:val="auto"/>
                <w:w w:val="99"/>
              </w:rPr>
              <w:t>SECTION</w:t>
            </w:r>
          </w:p>
        </w:tc>
        <w:tc>
          <w:tcPr>
            <w:tcW w:w="620" w:type="dxa"/>
            <w:vAlign w:val="bottom"/>
            <w:gridSpan w:val="5"/>
            <w:vMerge w:val="restart"/>
          </w:tcPr>
          <w:p>
            <w:pPr>
              <w:ind w:left="140"/>
              <w:spacing w:after="0"/>
              <w:rPr>
                <w:sz w:val="20"/>
                <w:szCs w:val="20"/>
                <w:color w:val="auto"/>
              </w:rPr>
            </w:pPr>
            <w:r>
              <w:rPr>
                <w:rFonts w:ascii="Times New Roman" w:cs="Times New Roman" w:eastAsia="Times New Roman" w:hAnsi="Times New Roman"/>
                <w:sz w:val="20"/>
                <w:szCs w:val="20"/>
                <w:color w:val="auto"/>
              </w:rPr>
              <w:t>12.18</w:t>
            </w:r>
          </w:p>
        </w:tc>
        <w:tc>
          <w:tcPr>
            <w:tcW w:w="140" w:type="dxa"/>
            <w:vAlign w:val="bottom"/>
          </w:tcPr>
          <w:p>
            <w:pPr>
              <w:spacing w:after="0"/>
              <w:rPr>
                <w:sz w:val="21"/>
                <w:szCs w:val="21"/>
                <w:color w:val="auto"/>
              </w:rPr>
            </w:pPr>
          </w:p>
        </w:tc>
        <w:tc>
          <w:tcPr>
            <w:tcW w:w="460" w:type="dxa"/>
            <w:vAlign w:val="bottom"/>
            <w:gridSpan w:val="8"/>
            <w:vMerge w:val="restart"/>
          </w:tcPr>
          <w:p>
            <w:pPr>
              <w:spacing w:after="0"/>
              <w:rPr>
                <w:sz w:val="20"/>
                <w:szCs w:val="20"/>
                <w:color w:val="auto"/>
              </w:rPr>
            </w:pPr>
            <w:r>
              <w:rPr>
                <w:rFonts w:ascii="Times New Roman" w:cs="Times New Roman" w:eastAsia="Times New Roman" w:hAnsi="Times New Roman"/>
                <w:sz w:val="20"/>
                <w:szCs w:val="20"/>
                <w:color w:val="auto"/>
              </w:rPr>
              <w:t>USA</w:t>
            </w:r>
          </w:p>
        </w:tc>
        <w:tc>
          <w:tcPr>
            <w:tcW w:w="2520" w:type="dxa"/>
            <w:vAlign w:val="bottom"/>
            <w:gridSpan w:val="7"/>
            <w:vMerge w:val="restart"/>
          </w:tcPr>
          <w:p>
            <w:pPr>
              <w:jc w:val="right"/>
              <w:spacing w:after="0"/>
              <w:rPr>
                <w:sz w:val="20"/>
                <w:szCs w:val="20"/>
                <w:color w:val="auto"/>
              </w:rPr>
            </w:pPr>
            <w:r>
              <w:rPr>
                <w:rFonts w:ascii="Times New Roman" w:cs="Times New Roman" w:eastAsia="Times New Roman" w:hAnsi="Times New Roman"/>
                <w:sz w:val="20"/>
                <w:szCs w:val="20"/>
                <w:color w:val="auto"/>
              </w:rPr>
              <w:t>PATRIOT  Act;  Anti-Money</w:t>
            </w:r>
          </w:p>
        </w:tc>
        <w:tc>
          <w:tcPr>
            <w:tcW w:w="0" w:type="dxa"/>
            <w:vAlign w:val="bottom"/>
          </w:tcPr>
          <w:p>
            <w:pPr>
              <w:spacing w:after="0"/>
              <w:rPr>
                <w:sz w:val="1"/>
                <w:szCs w:val="1"/>
                <w:color w:val="auto"/>
              </w:rPr>
            </w:pPr>
          </w:p>
        </w:tc>
      </w:tr>
      <w:tr>
        <w:trPr>
          <w:trHeight w:val="68"/>
        </w:trPr>
        <w:tc>
          <w:tcPr>
            <w:tcW w:w="160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gridSpan w:val="3"/>
            <w:vMerge w:val="continue"/>
          </w:tcPr>
          <w:p>
            <w:pPr>
              <w:spacing w:after="0"/>
              <w:rPr>
                <w:sz w:val="5"/>
                <w:szCs w:val="5"/>
                <w:color w:val="auto"/>
              </w:rPr>
            </w:pPr>
          </w:p>
        </w:tc>
        <w:tc>
          <w:tcPr>
            <w:tcW w:w="720" w:type="dxa"/>
            <w:vAlign w:val="bottom"/>
            <w:gridSpan w:val="6"/>
            <w:vMerge w:val="continue"/>
          </w:tcPr>
          <w:p>
            <w:pPr>
              <w:spacing w:after="0"/>
              <w:rPr>
                <w:sz w:val="5"/>
                <w:szCs w:val="5"/>
                <w:color w:val="auto"/>
              </w:rPr>
            </w:pPr>
          </w:p>
        </w:tc>
        <w:tc>
          <w:tcPr>
            <w:tcW w:w="400" w:type="dxa"/>
            <w:vAlign w:val="bottom"/>
            <w:gridSpan w:val="3"/>
            <w:vMerge w:val="continue"/>
          </w:tcPr>
          <w:p>
            <w:pPr>
              <w:spacing w:after="0"/>
              <w:rPr>
                <w:sz w:val="5"/>
                <w:szCs w:val="5"/>
                <w:color w:val="auto"/>
              </w:rPr>
            </w:pPr>
          </w:p>
        </w:tc>
        <w:tc>
          <w:tcPr>
            <w:tcW w:w="320" w:type="dxa"/>
            <w:vAlign w:val="bottom"/>
            <w:gridSpan w:val="4"/>
            <w:vMerge w:val="continue"/>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gridSpan w:val="7"/>
            <w:vMerge w:val="continue"/>
          </w:tcPr>
          <w:p>
            <w:pPr>
              <w:spacing w:after="0"/>
              <w:rPr>
                <w:sz w:val="5"/>
                <w:szCs w:val="5"/>
                <w:color w:val="auto"/>
              </w:rPr>
            </w:pPr>
          </w:p>
        </w:tc>
        <w:tc>
          <w:tcPr>
            <w:tcW w:w="620" w:type="dxa"/>
            <w:vAlign w:val="bottom"/>
            <w:gridSpan w:val="5"/>
            <w:vMerge w:val="continue"/>
          </w:tcPr>
          <w:p>
            <w:pPr>
              <w:spacing w:after="0"/>
              <w:rPr>
                <w:sz w:val="5"/>
                <w:szCs w:val="5"/>
                <w:color w:val="auto"/>
              </w:rPr>
            </w:pPr>
          </w:p>
        </w:tc>
        <w:tc>
          <w:tcPr>
            <w:tcW w:w="140" w:type="dxa"/>
            <w:vAlign w:val="bottom"/>
          </w:tcPr>
          <w:p>
            <w:pPr>
              <w:spacing w:after="0"/>
              <w:rPr>
                <w:sz w:val="5"/>
                <w:szCs w:val="5"/>
                <w:color w:val="auto"/>
              </w:rPr>
            </w:pPr>
          </w:p>
        </w:tc>
        <w:tc>
          <w:tcPr>
            <w:tcW w:w="460" w:type="dxa"/>
            <w:vAlign w:val="bottom"/>
            <w:gridSpan w:val="8"/>
            <w:vMerge w:val="continue"/>
          </w:tcPr>
          <w:p>
            <w:pPr>
              <w:spacing w:after="0"/>
              <w:rPr>
                <w:sz w:val="5"/>
                <w:szCs w:val="5"/>
                <w:color w:val="auto"/>
              </w:rPr>
            </w:pPr>
          </w:p>
        </w:tc>
        <w:tc>
          <w:tcPr>
            <w:tcW w:w="252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2120" w:type="dxa"/>
            <w:vAlign w:val="bottom"/>
            <w:gridSpan w:val="2"/>
          </w:tcPr>
          <w:p>
            <w:pPr>
              <w:ind w:left="640"/>
              <w:spacing w:after="0"/>
              <w:rPr>
                <w:sz w:val="20"/>
                <w:szCs w:val="20"/>
                <w:color w:val="auto"/>
              </w:rPr>
            </w:pPr>
            <w:r>
              <w:rPr>
                <w:rFonts w:ascii="Times New Roman" w:cs="Times New Roman" w:eastAsia="Times New Roman" w:hAnsi="Times New Roman"/>
                <w:sz w:val="15"/>
                <w:szCs w:val="15"/>
                <w:color w:val="auto"/>
                <w:w w:val="73"/>
              </w:rPr>
              <w:t>..........................LaunderingLaws</w:t>
            </w:r>
          </w:p>
        </w:tc>
        <w:tc>
          <w:tcPr>
            <w:tcW w:w="780" w:type="dxa"/>
            <w:vAlign w:val="bottom"/>
          </w:tcPr>
          <w:p>
            <w:pPr>
              <w:spacing w:after="0"/>
              <w:rPr>
                <w:sz w:val="24"/>
                <w:szCs w:val="24"/>
                <w:color w:val="auto"/>
              </w:rPr>
            </w:pPr>
          </w:p>
        </w:tc>
        <w:tc>
          <w:tcPr>
            <w:tcW w:w="820" w:type="dxa"/>
            <w:vAlign w:val="bottom"/>
            <w:gridSpan w:val="2"/>
          </w:tcPr>
          <w:p>
            <w:pPr>
              <w:jc w:val="center"/>
              <w:ind w:left="454"/>
              <w:spacing w:after="0"/>
              <w:rPr>
                <w:sz w:val="20"/>
                <w:szCs w:val="20"/>
                <w:color w:val="auto"/>
              </w:rPr>
            </w:pPr>
            <w:r>
              <w:rPr>
                <w:rFonts w:ascii="Times New Roman" w:cs="Times New Roman" w:eastAsia="Times New Roman" w:hAnsi="Times New Roman"/>
                <w:sz w:val="20"/>
                <w:szCs w:val="20"/>
                <w:color w:val="FF0000"/>
                <w:strike w:val="1"/>
                <w:w w:val="99"/>
              </w:rPr>
              <w:t>161</w:t>
            </w:r>
          </w:p>
        </w:tc>
        <w:tc>
          <w:tcPr>
            <w:tcW w:w="30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20"/>
                <w:szCs w:val="20"/>
                <w:color w:val="0000FF"/>
                <w:w w:val="93"/>
              </w:rPr>
              <w:t>167</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080"/>
          </w:cols>
          <w:pgMar w:left="380" w:top="1085" w:right="43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right"/>
        <w:ind w:right="10000"/>
        <w:spacing w:after="0"/>
        <w:rPr>
          <w:sz w:val="20"/>
          <w:szCs w:val="20"/>
          <w:color w:val="auto"/>
        </w:rPr>
      </w:pPr>
      <w:r>
        <w:rPr>
          <w:rFonts w:ascii="Times New Roman" w:cs="Times New Roman" w:eastAsia="Times New Roman" w:hAnsi="Times New Roman"/>
          <w:sz w:val="14"/>
          <w:szCs w:val="14"/>
          <w:color w:val="FF0000"/>
          <w:strike w:val="1"/>
        </w:rPr>
        <w:t>146960219_6</w:t>
      </w:r>
    </w:p>
    <w:p>
      <w:pPr>
        <w:ind w:left="280" w:hanging="278"/>
        <w:spacing w:after="0" w:line="229" w:lineRule="auto"/>
        <w:tabs>
          <w:tab w:leader="none" w:pos="28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080"/>
          </w:cols>
          <w:pgMar w:left="380" w:top="1085" w:right="439" w:bottom="1440" w:gutter="0" w:footer="0" w:header="0"/>
          <w:type w:val="continuous"/>
        </w:sectPr>
      </w:pPr>
    </w:p>
    <w:bookmarkStart w:id="81" w:name="page82"/>
    <w:bookmarkEnd w:id="81"/>
    <w:tbl>
      <w:tblPr>
        <w:tblLayout w:type="fixed"/>
        <w:tblInd w:w="678" w:type="dxa"/>
        <w:tblCellMar>
          <w:top w:w="0" w:type="dxa"/>
          <w:left w:w="0" w:type="dxa"/>
          <w:bottom w:w="0" w:type="dxa"/>
          <w:right w:w="0" w:type="dxa"/>
        </w:tblCellMar>
      </w:tblPr>
      <w:tr>
        <w:trPr>
          <w:trHeight w:val="262"/>
        </w:trPr>
        <w:tc>
          <w:tcPr>
            <w:tcW w:w="142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319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TABLE OF CONTENTS</w:t>
            </w:r>
          </w:p>
        </w:tc>
        <w:tc>
          <w:tcPr>
            <w:tcW w:w="31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60" w:type="dxa"/>
            <w:vAlign w:val="bottom"/>
          </w:tcPr>
          <w:p>
            <w:pPr>
              <w:spacing w:after="0"/>
              <w:rPr>
                <w:sz w:val="22"/>
                <w:szCs w:val="22"/>
                <w:color w:val="auto"/>
              </w:rPr>
            </w:pPr>
          </w:p>
        </w:tc>
      </w:tr>
      <w:tr>
        <w:trPr>
          <w:trHeight w:val="527"/>
        </w:trPr>
        <w:tc>
          <w:tcPr>
            <w:tcW w:w="14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30" w:type="dxa"/>
            <w:vAlign w:val="bottom"/>
          </w:tcPr>
          <w:p>
            <w:pPr>
              <w:spacing w:after="0"/>
              <w:rPr>
                <w:sz w:val="24"/>
                <w:szCs w:val="24"/>
                <w:color w:val="auto"/>
              </w:rPr>
            </w:pPr>
          </w:p>
        </w:tc>
        <w:tc>
          <w:tcPr>
            <w:tcW w:w="31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Page</w:t>
            </w:r>
          </w:p>
        </w:tc>
      </w:tr>
      <w:tr>
        <w:trPr>
          <w:trHeight w:val="642"/>
        </w:trPr>
        <w:tc>
          <w:tcPr>
            <w:tcW w:w="701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SECTION 12.19  Independent Effect of Covenants .........................................................</w:t>
            </w:r>
          </w:p>
        </w:tc>
        <w:tc>
          <w:tcPr>
            <w:tcW w:w="35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FF0000"/>
                <w:strike w:val="1"/>
              </w:rPr>
              <w:t>162</w:t>
            </w:r>
          </w:p>
        </w:tc>
        <w:tc>
          <w:tcPr>
            <w:tcW w:w="340" w:type="dxa"/>
            <w:vAlign w:val="bottom"/>
            <w:tcBorders>
              <w:bottom w:val="single" w:sz="8" w:color="0000FF"/>
            </w:tcBorders>
            <w:gridSpan w:val="5"/>
          </w:tcPr>
          <w:p>
            <w:pPr>
              <w:jc w:val="right"/>
              <w:ind w:right="40"/>
              <w:spacing w:after="0"/>
              <w:rPr>
                <w:sz w:val="20"/>
                <w:szCs w:val="20"/>
                <w:color w:val="auto"/>
              </w:rPr>
            </w:pPr>
            <w:r>
              <w:rPr>
                <w:rFonts w:ascii="Times New Roman" w:cs="Times New Roman" w:eastAsia="Times New Roman" w:hAnsi="Times New Roman"/>
                <w:sz w:val="20"/>
                <w:szCs w:val="20"/>
                <w:color w:val="0000FF"/>
                <w:w w:val="93"/>
              </w:rPr>
              <w:t>167</w:t>
            </w:r>
          </w:p>
        </w:tc>
        <w:tc>
          <w:tcPr>
            <w:tcW w:w="2660" w:type="dxa"/>
            <w:vAlign w:val="bottom"/>
          </w:tcPr>
          <w:p>
            <w:pPr>
              <w:spacing w:after="0"/>
              <w:rPr>
                <w:sz w:val="24"/>
                <w:szCs w:val="24"/>
                <w:color w:val="auto"/>
              </w:rPr>
            </w:pPr>
          </w:p>
        </w:tc>
      </w:tr>
      <w:tr>
        <w:trPr>
          <w:trHeight w:val="290"/>
        </w:trPr>
        <w:tc>
          <w:tcPr>
            <w:tcW w:w="1420" w:type="dxa"/>
            <w:vAlign w:val="bottom"/>
          </w:tcPr>
          <w:p>
            <w:pPr>
              <w:spacing w:after="0"/>
              <w:rPr>
                <w:sz w:val="20"/>
                <w:szCs w:val="20"/>
                <w:color w:val="auto"/>
              </w:rPr>
            </w:pPr>
            <w:r>
              <w:rPr>
                <w:rFonts w:ascii="Times New Roman" w:cs="Times New Roman" w:eastAsia="Times New Roman" w:hAnsi="Times New Roman"/>
                <w:sz w:val="20"/>
                <w:szCs w:val="20"/>
                <w:color w:val="auto"/>
              </w:rPr>
              <w:t>SECTION 12.20</w:t>
            </w:r>
          </w:p>
        </w:tc>
        <w:tc>
          <w:tcPr>
            <w:tcW w:w="5590" w:type="dxa"/>
            <w:vAlign w:val="bottom"/>
            <w:gridSpan w:val="4"/>
          </w:tcPr>
          <w:p>
            <w:pPr>
              <w:ind w:left="120"/>
              <w:spacing w:after="0"/>
              <w:rPr>
                <w:sz w:val="20"/>
                <w:szCs w:val="20"/>
                <w:color w:val="auto"/>
              </w:rPr>
            </w:pPr>
            <w:r>
              <w:rPr>
                <w:rFonts w:ascii="Times New Roman" w:cs="Times New Roman" w:eastAsia="Times New Roman" w:hAnsi="Times New Roman"/>
                <w:sz w:val="20"/>
                <w:szCs w:val="20"/>
                <w:color w:val="auto"/>
                <w:w w:val="98"/>
              </w:rPr>
              <w:t>No Advisory or Fiduciary Responsibility ............................................</w:t>
            </w:r>
          </w:p>
        </w:tc>
        <w:tc>
          <w:tcPr>
            <w:tcW w:w="33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FF0000"/>
                <w:strike w:val="1"/>
                <w:w w:val="99"/>
              </w:rPr>
              <w:t>162</w:t>
            </w:r>
          </w:p>
        </w:tc>
        <w:tc>
          <w:tcPr>
            <w:tcW w:w="320" w:type="dxa"/>
            <w:vAlign w:val="bottom"/>
            <w:tcBorders>
              <w:bottom w:val="single" w:sz="8" w:color="0000FF"/>
            </w:tcBorders>
            <w:gridSpan w:val="5"/>
          </w:tcPr>
          <w:p>
            <w:pPr>
              <w:jc w:val="right"/>
              <w:ind w:right="20"/>
              <w:spacing w:after="0"/>
              <w:rPr>
                <w:sz w:val="20"/>
                <w:szCs w:val="20"/>
                <w:color w:val="auto"/>
              </w:rPr>
            </w:pPr>
            <w:r>
              <w:rPr>
                <w:rFonts w:ascii="Times New Roman" w:cs="Times New Roman" w:eastAsia="Times New Roman" w:hAnsi="Times New Roman"/>
                <w:sz w:val="20"/>
                <w:szCs w:val="20"/>
                <w:color w:val="0000FF"/>
                <w:w w:val="93"/>
              </w:rPr>
              <w:t>167</w:t>
            </w:r>
          </w:p>
        </w:tc>
        <w:tc>
          <w:tcPr>
            <w:tcW w:w="40" w:type="dxa"/>
            <w:vAlign w:val="bottom"/>
          </w:tcPr>
          <w:p>
            <w:pPr>
              <w:spacing w:after="0"/>
              <w:rPr>
                <w:sz w:val="24"/>
                <w:szCs w:val="24"/>
                <w:color w:val="auto"/>
              </w:rPr>
            </w:pPr>
          </w:p>
        </w:tc>
        <w:tc>
          <w:tcPr>
            <w:tcW w:w="2660" w:type="dxa"/>
            <w:vAlign w:val="bottom"/>
          </w:tcPr>
          <w:p>
            <w:pPr>
              <w:spacing w:after="0"/>
              <w:rPr>
                <w:sz w:val="24"/>
                <w:szCs w:val="24"/>
                <w:color w:val="auto"/>
              </w:rPr>
            </w:pPr>
          </w:p>
        </w:tc>
      </w:tr>
      <w:tr>
        <w:trPr>
          <w:trHeight w:val="263"/>
        </w:trPr>
        <w:tc>
          <w:tcPr>
            <w:tcW w:w="1420" w:type="dxa"/>
            <w:vAlign w:val="bottom"/>
          </w:tcPr>
          <w:p>
            <w:pPr>
              <w:spacing w:after="0"/>
              <w:rPr>
                <w:sz w:val="20"/>
                <w:szCs w:val="20"/>
                <w:color w:val="auto"/>
              </w:rPr>
            </w:pPr>
            <w:r>
              <w:rPr>
                <w:rFonts w:ascii="Times New Roman" w:cs="Times New Roman" w:eastAsia="Times New Roman" w:hAnsi="Times New Roman"/>
                <w:sz w:val="20"/>
                <w:szCs w:val="20"/>
                <w:color w:val="auto"/>
              </w:rPr>
              <w:t>SECTION 12.21</w:t>
            </w:r>
          </w:p>
        </w:tc>
        <w:tc>
          <w:tcPr>
            <w:tcW w:w="5590" w:type="dxa"/>
            <w:vAlign w:val="bottom"/>
            <w:gridSpan w:val="4"/>
          </w:tcPr>
          <w:p>
            <w:pPr>
              <w:ind w:left="120"/>
              <w:spacing w:after="0"/>
              <w:rPr>
                <w:sz w:val="20"/>
                <w:szCs w:val="20"/>
                <w:color w:val="auto"/>
              </w:rPr>
            </w:pPr>
            <w:r>
              <w:rPr>
                <w:rFonts w:ascii="Times New Roman" w:cs="Times New Roman" w:eastAsia="Times New Roman" w:hAnsi="Times New Roman"/>
                <w:sz w:val="20"/>
                <w:szCs w:val="20"/>
                <w:color w:val="auto"/>
                <w:w w:val="99"/>
              </w:rPr>
              <w:t>Inconsistencies with Other Documents ...............................................</w:t>
            </w:r>
          </w:p>
        </w:tc>
        <w:tc>
          <w:tcPr>
            <w:tcW w:w="310" w:type="dxa"/>
            <w:vAlign w:val="bottom"/>
          </w:tcPr>
          <w:p>
            <w:pPr>
              <w:jc w:val="right"/>
              <w:spacing w:after="0"/>
              <w:rPr>
                <w:sz w:val="20"/>
                <w:szCs w:val="20"/>
                <w:color w:val="auto"/>
              </w:rPr>
            </w:pPr>
            <w:r>
              <w:rPr>
                <w:rFonts w:ascii="Times New Roman" w:cs="Times New Roman" w:eastAsia="Times New Roman" w:hAnsi="Times New Roman"/>
                <w:sz w:val="20"/>
                <w:szCs w:val="20"/>
                <w:color w:val="FF0000"/>
                <w:strike w:val="1"/>
                <w:w w:val="93"/>
              </w:rPr>
              <w:t>162</w:t>
            </w:r>
          </w:p>
        </w:tc>
        <w:tc>
          <w:tcPr>
            <w:tcW w:w="3040" w:type="dxa"/>
            <w:vAlign w:val="bottom"/>
            <w:gridSpan w:val="8"/>
          </w:tcPr>
          <w:p>
            <w:pPr>
              <w:spacing w:after="0"/>
              <w:rPr>
                <w:sz w:val="20"/>
                <w:szCs w:val="20"/>
                <w:color w:val="auto"/>
              </w:rPr>
            </w:pPr>
            <w:r>
              <w:rPr>
                <w:rFonts w:ascii="Times New Roman" w:cs="Times New Roman" w:eastAsia="Times New Roman" w:hAnsi="Times New Roman"/>
                <w:sz w:val="20"/>
                <w:szCs w:val="20"/>
                <w:color w:val="0000FF"/>
              </w:rPr>
              <w:t xml:space="preserve">168 </w:t>
            </w:r>
            <w:r>
              <w:rPr>
                <w:rFonts w:ascii="Times New Roman" w:cs="Times New Roman" w:eastAsia="Times New Roman" w:hAnsi="Times New Roman"/>
                <w:sz w:val="20"/>
                <w:szCs w:val="20"/>
                <w:color w:val="000000"/>
              </w:rPr>
              <w:t>SECTION</w:t>
            </w:r>
          </w:p>
        </w:tc>
      </w:tr>
      <w:tr>
        <w:trPr>
          <w:trHeight w:val="418"/>
        </w:trPr>
        <w:tc>
          <w:tcPr>
            <w:tcW w:w="701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12.22  Acknowledgement and Consent to Bail-In of Affected Financial</w:t>
            </w:r>
          </w:p>
        </w:tc>
        <w:tc>
          <w:tcPr>
            <w:tcW w:w="310" w:type="dxa"/>
            <w:vAlign w:val="bottom"/>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60" w:type="dxa"/>
            <w:vAlign w:val="bottom"/>
          </w:tcPr>
          <w:p>
            <w:pPr>
              <w:spacing w:after="0"/>
              <w:rPr>
                <w:sz w:val="24"/>
                <w:szCs w:val="24"/>
                <w:color w:val="auto"/>
              </w:rPr>
            </w:pPr>
          </w:p>
        </w:tc>
      </w:tr>
      <w:tr>
        <w:trPr>
          <w:trHeight w:val="250"/>
        </w:trPr>
        <w:tc>
          <w:tcPr>
            <w:tcW w:w="1420" w:type="dxa"/>
            <w:vAlign w:val="bottom"/>
          </w:tcPr>
          <w:p>
            <w:pPr>
              <w:spacing w:after="0"/>
              <w:rPr>
                <w:sz w:val="21"/>
                <w:szCs w:val="21"/>
                <w:color w:val="auto"/>
              </w:rPr>
            </w:pPr>
          </w:p>
        </w:tc>
        <w:tc>
          <w:tcPr>
            <w:tcW w:w="2400" w:type="dxa"/>
            <w:vAlign w:val="bottom"/>
          </w:tcPr>
          <w:p>
            <w:pPr>
              <w:ind w:left="200"/>
              <w:spacing w:after="0"/>
              <w:rPr>
                <w:sz w:val="20"/>
                <w:szCs w:val="20"/>
                <w:color w:val="auto"/>
              </w:rPr>
            </w:pPr>
            <w:r>
              <w:rPr>
                <w:rFonts w:ascii="Times New Roman" w:cs="Times New Roman" w:eastAsia="Times New Roman" w:hAnsi="Times New Roman"/>
                <w:sz w:val="11"/>
                <w:szCs w:val="11"/>
                <w:color w:val="auto"/>
                <w:w w:val="72"/>
              </w:rPr>
              <w:t>Institutions............................................................................................</w:t>
            </w:r>
          </w:p>
        </w:tc>
        <w:tc>
          <w:tcPr>
            <w:tcW w:w="9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30" w:type="dxa"/>
            <w:vAlign w:val="bottom"/>
          </w:tcPr>
          <w:p>
            <w:pPr>
              <w:spacing w:after="0"/>
              <w:rPr>
                <w:sz w:val="21"/>
                <w:szCs w:val="21"/>
                <w:color w:val="auto"/>
              </w:rPr>
            </w:pPr>
          </w:p>
        </w:tc>
        <w:tc>
          <w:tcPr>
            <w:tcW w:w="41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FF0000"/>
                <w:strike w:val="1"/>
              </w:rPr>
              <w:t>163</w:t>
            </w:r>
          </w:p>
        </w:tc>
        <w:tc>
          <w:tcPr>
            <w:tcW w:w="2940" w:type="dxa"/>
            <w:vAlign w:val="bottom"/>
            <w:gridSpan w:val="5"/>
          </w:tcPr>
          <w:p>
            <w:pPr>
              <w:jc w:val="right"/>
              <w:ind w:right="2561"/>
              <w:spacing w:after="0"/>
              <w:rPr>
                <w:sz w:val="20"/>
                <w:szCs w:val="20"/>
                <w:color w:val="auto"/>
              </w:rPr>
            </w:pPr>
            <w:r>
              <w:rPr>
                <w:rFonts w:ascii="Times New Roman" w:cs="Times New Roman" w:eastAsia="Times New Roman" w:hAnsi="Times New Roman"/>
                <w:sz w:val="20"/>
                <w:szCs w:val="20"/>
                <w:color w:val="0000FF"/>
                <w:w w:val="86"/>
              </w:rPr>
              <w:t>168</w:t>
            </w:r>
          </w:p>
        </w:tc>
      </w:tr>
      <w:tr>
        <w:trPr>
          <w:trHeight w:val="20"/>
        </w:trPr>
        <w:tc>
          <w:tcPr>
            <w:tcW w:w="14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30" w:type="dxa"/>
            <w:vAlign w:val="bottom"/>
          </w:tcPr>
          <w:p>
            <w:pPr>
              <w:spacing w:after="0" w:line="20" w:lineRule="exact"/>
              <w:rPr>
                <w:sz w:val="1"/>
                <w:szCs w:val="1"/>
                <w:color w:val="auto"/>
              </w:rPr>
            </w:pPr>
          </w:p>
        </w:tc>
        <w:tc>
          <w:tcPr>
            <w:tcW w:w="33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277"/>
        </w:trPr>
        <w:tc>
          <w:tcPr>
            <w:tcW w:w="1420" w:type="dxa"/>
            <w:vAlign w:val="bottom"/>
          </w:tcPr>
          <w:p>
            <w:pPr>
              <w:spacing w:after="0"/>
              <w:rPr>
                <w:sz w:val="20"/>
                <w:szCs w:val="20"/>
                <w:color w:val="auto"/>
              </w:rPr>
            </w:pPr>
            <w:r>
              <w:rPr>
                <w:rFonts w:ascii="Times New Roman" w:cs="Times New Roman" w:eastAsia="Times New Roman" w:hAnsi="Times New Roman"/>
                <w:sz w:val="20"/>
                <w:szCs w:val="20"/>
                <w:color w:val="auto"/>
              </w:rPr>
              <w:t>SECTION 12.23</w:t>
            </w:r>
          </w:p>
        </w:tc>
        <w:tc>
          <w:tcPr>
            <w:tcW w:w="2400" w:type="dxa"/>
            <w:vAlign w:val="bottom"/>
          </w:tcPr>
          <w:p>
            <w:pPr>
              <w:ind w:left="120"/>
              <w:spacing w:after="0"/>
              <w:rPr>
                <w:sz w:val="20"/>
                <w:szCs w:val="20"/>
                <w:color w:val="auto"/>
              </w:rPr>
            </w:pPr>
            <w:r>
              <w:rPr>
                <w:rFonts w:ascii="Times New Roman" w:cs="Times New Roman" w:eastAsia="Times New Roman" w:hAnsi="Times New Roman"/>
                <w:sz w:val="11"/>
                <w:szCs w:val="11"/>
                <w:color w:val="auto"/>
                <w:w w:val="74"/>
              </w:rPr>
              <w:t>Certain ERISA Matters ........................................................................</w:t>
            </w: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30" w:type="dxa"/>
            <w:vAlign w:val="bottom"/>
          </w:tcPr>
          <w:p>
            <w:pPr>
              <w:spacing w:after="0"/>
              <w:rPr>
                <w:sz w:val="24"/>
                <w:szCs w:val="24"/>
                <w:color w:val="auto"/>
              </w:rPr>
            </w:pPr>
          </w:p>
        </w:tc>
        <w:tc>
          <w:tcPr>
            <w:tcW w:w="33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FF0000"/>
                <w:strike w:val="1"/>
                <w:w w:val="99"/>
              </w:rPr>
              <w:t>163</w:t>
            </w:r>
          </w:p>
        </w:tc>
        <w:tc>
          <w:tcPr>
            <w:tcW w:w="300" w:type="dxa"/>
            <w:vAlign w:val="bottom"/>
            <w:tcBorders>
              <w:bottom w:val="single" w:sz="8" w:color="0000FF"/>
            </w:tcBorders>
            <w:gridSpan w:val="4"/>
          </w:tcPr>
          <w:p>
            <w:pPr>
              <w:jc w:val="right"/>
              <w:spacing w:after="0"/>
              <w:rPr>
                <w:sz w:val="20"/>
                <w:szCs w:val="20"/>
                <w:color w:val="auto"/>
              </w:rPr>
            </w:pPr>
            <w:r>
              <w:rPr>
                <w:rFonts w:ascii="Times New Roman" w:cs="Times New Roman" w:eastAsia="Times New Roman" w:hAnsi="Times New Roman"/>
                <w:sz w:val="20"/>
                <w:szCs w:val="20"/>
                <w:color w:val="0000FF"/>
                <w:w w:val="93"/>
              </w:rPr>
              <w:t>168</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60" w:type="dxa"/>
            <w:vAlign w:val="bottom"/>
          </w:tcPr>
          <w:p>
            <w:pPr>
              <w:spacing w:after="0"/>
              <w:rPr>
                <w:sz w:val="24"/>
                <w:szCs w:val="24"/>
                <w:color w:val="auto"/>
              </w:rPr>
            </w:pPr>
          </w:p>
        </w:tc>
      </w:tr>
      <w:tr>
        <w:trPr>
          <w:trHeight w:val="358"/>
        </w:trPr>
        <w:tc>
          <w:tcPr>
            <w:tcW w:w="1420" w:type="dxa"/>
            <w:vAlign w:val="bottom"/>
          </w:tcPr>
          <w:p>
            <w:pPr>
              <w:spacing w:after="0"/>
              <w:rPr>
                <w:sz w:val="20"/>
                <w:szCs w:val="20"/>
                <w:color w:val="auto"/>
              </w:rPr>
            </w:pPr>
            <w:r>
              <w:rPr>
                <w:rFonts w:ascii="Times New Roman" w:cs="Times New Roman" w:eastAsia="Times New Roman" w:hAnsi="Times New Roman"/>
                <w:sz w:val="20"/>
                <w:szCs w:val="20"/>
                <w:color w:val="auto"/>
              </w:rPr>
              <w:t>SECTION 12.24</w:t>
            </w:r>
          </w:p>
        </w:tc>
        <w:tc>
          <w:tcPr>
            <w:tcW w:w="5590" w:type="dxa"/>
            <w:vAlign w:val="bottom"/>
            <w:gridSpan w:val="4"/>
          </w:tcPr>
          <w:p>
            <w:pPr>
              <w:ind w:left="100"/>
              <w:spacing w:after="0"/>
              <w:rPr>
                <w:sz w:val="20"/>
                <w:szCs w:val="20"/>
                <w:color w:val="auto"/>
              </w:rPr>
            </w:pPr>
            <w:r>
              <w:rPr>
                <w:rFonts w:ascii="Times New Roman" w:cs="Times New Roman" w:eastAsia="Times New Roman" w:hAnsi="Times New Roman"/>
                <w:sz w:val="20"/>
                <w:szCs w:val="20"/>
                <w:color w:val="auto"/>
                <w:w w:val="99"/>
              </w:rPr>
              <w:t>Acknowledgement Regarding Any Supported QFCs...........................</w:t>
            </w:r>
          </w:p>
        </w:tc>
        <w:tc>
          <w:tcPr>
            <w:tcW w:w="33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FF0000"/>
                <w:strike w:val="1"/>
                <w:w w:val="99"/>
              </w:rPr>
              <w:t>164</w:t>
            </w:r>
          </w:p>
        </w:tc>
        <w:tc>
          <w:tcPr>
            <w:tcW w:w="3020" w:type="dxa"/>
            <w:vAlign w:val="bottom"/>
            <w:gridSpan w:val="7"/>
          </w:tcPr>
          <w:p>
            <w:pPr>
              <w:spacing w:after="0"/>
              <w:rPr>
                <w:sz w:val="20"/>
                <w:szCs w:val="20"/>
                <w:color w:val="auto"/>
              </w:rPr>
            </w:pPr>
            <w:r>
              <w:rPr>
                <w:rFonts w:ascii="Times New Roman" w:cs="Times New Roman" w:eastAsia="Times New Roman" w:hAnsi="Times New Roman"/>
                <w:sz w:val="20"/>
                <w:szCs w:val="20"/>
                <w:color w:val="0000FF"/>
              </w:rPr>
              <w:t xml:space="preserve">169 </w:t>
            </w:r>
            <w:r>
              <w:rPr>
                <w:rFonts w:ascii="Times New Roman" w:cs="Times New Roman" w:eastAsia="Times New Roman" w:hAnsi="Times New Roman"/>
                <w:sz w:val="20"/>
                <w:szCs w:val="20"/>
                <w:color w:val="000000"/>
              </w:rPr>
              <w:t>SECTION 12.25  Amendment</w:t>
            </w:r>
          </w:p>
        </w:tc>
      </w:tr>
      <w:tr>
        <w:trPr>
          <w:trHeight w:val="318"/>
        </w:trPr>
        <w:tc>
          <w:tcPr>
            <w:tcW w:w="382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87"/>
              </w:rPr>
              <w:t>........................................andRestatement;NoNovation</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FF0000"/>
                <w:strike w:val="1"/>
              </w:rPr>
              <w:t>165</w:t>
            </w:r>
          </w:p>
        </w:tc>
        <w:tc>
          <w:tcPr>
            <w:tcW w:w="3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93"/>
              </w:rPr>
              <w:t>170</w:t>
            </w:r>
          </w:p>
        </w:tc>
        <w:tc>
          <w:tcPr>
            <w:tcW w:w="1930" w:type="dxa"/>
            <w:vAlign w:val="bottom"/>
          </w:tcPr>
          <w:p>
            <w:pPr>
              <w:spacing w:after="0"/>
              <w:rPr>
                <w:sz w:val="24"/>
                <w:szCs w:val="24"/>
                <w:color w:val="auto"/>
              </w:rPr>
            </w:pPr>
          </w:p>
        </w:tc>
        <w:tc>
          <w:tcPr>
            <w:tcW w:w="31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60" w:type="dxa"/>
            <w:vAlign w:val="bottom"/>
          </w:tcPr>
          <w:p>
            <w:pPr>
              <w:spacing w:after="0"/>
              <w:rPr>
                <w:sz w:val="24"/>
                <w:szCs w:val="24"/>
                <w:color w:val="auto"/>
              </w:rPr>
            </w:pPr>
          </w:p>
        </w:tc>
      </w:tr>
    </w:tbl>
    <w:p>
      <w:pPr>
        <w:spacing w:after="0" w:line="200" w:lineRule="exact"/>
        <w:rPr>
          <w:sz w:val="20"/>
          <w:szCs w:val="20"/>
          <w:color w:val="auto"/>
        </w:rPr>
      </w:pPr>
    </w:p>
    <w:p>
      <w:pPr>
        <w:spacing w:after="0" w:line="394" w:lineRule="exact"/>
        <w:rPr>
          <w:sz w:val="20"/>
          <w:szCs w:val="20"/>
          <w:color w:val="auto"/>
        </w:rPr>
      </w:pPr>
    </w:p>
    <w:p>
      <w:pPr>
        <w:ind w:left="278"/>
        <w:spacing w:after="0"/>
        <w:rPr>
          <w:sz w:val="20"/>
          <w:szCs w:val="20"/>
          <w:color w:val="auto"/>
        </w:rPr>
      </w:pPr>
      <w:r>
        <w:rPr>
          <w:rFonts w:ascii="Times New Roman" w:cs="Times New Roman" w:eastAsia="Times New Roman" w:hAnsi="Times New Roman"/>
          <w:sz w:val="14"/>
          <w:szCs w:val="14"/>
          <w:color w:val="FF0000"/>
          <w:strike w:val="1"/>
        </w:rPr>
        <w:t>146960219_6</w:t>
      </w:r>
    </w:p>
    <w:p>
      <w:pPr>
        <w:spacing w:after="0" w:line="4" w:lineRule="exact"/>
        <w:rPr>
          <w:sz w:val="20"/>
          <w:szCs w:val="20"/>
          <w:color w:val="auto"/>
        </w:rPr>
      </w:pPr>
    </w:p>
    <w:p>
      <w:pPr>
        <w:ind w:left="278" w:hanging="278"/>
        <w:spacing w:after="0"/>
        <w:tabs>
          <w:tab w:leader="none" w:pos="278"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038"/>
          </w:cols>
          <w:pgMar w:left="382" w:top="1085" w:right="479" w:bottom="1440" w:gutter="0" w:footer="0" w:header="0"/>
        </w:sectPr>
      </w:pPr>
    </w:p>
    <w:bookmarkStart w:id="82" w:name="page83"/>
    <w:bookmarkEnd w:id="82"/>
    <w:p>
      <w:pPr>
        <w:spacing w:after="0" w:line="144" w:lineRule="exact"/>
        <w:rPr>
          <w:sz w:val="20"/>
          <w:szCs w:val="20"/>
          <w:color w:val="auto"/>
        </w:rPr>
      </w:pPr>
    </w:p>
    <w:tbl>
      <w:tblPr>
        <w:tblLayout w:type="fixed"/>
        <w:tblInd w:w="300" w:type="dxa"/>
        <w:tblCellMar>
          <w:top w:w="0" w:type="dxa"/>
          <w:left w:w="0" w:type="dxa"/>
          <w:bottom w:w="0" w:type="dxa"/>
          <w:right w:w="0" w:type="dxa"/>
        </w:tblCellMar>
      </w:tblPr>
      <w:tr>
        <w:trPr>
          <w:trHeight w:val="230"/>
        </w:trPr>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96"/>
              </w:rPr>
              <w:t>EXHIBITS</w:t>
            </w:r>
          </w:p>
        </w:tc>
        <w:tc>
          <w:tcPr>
            <w:tcW w:w="900" w:type="dxa"/>
            <w:vAlign w:val="bottom"/>
            <w:gridSpan w:val="2"/>
          </w:tcPr>
          <w:p>
            <w:pPr>
              <w:spacing w:after="0"/>
              <w:rPr>
                <w:sz w:val="19"/>
                <w:szCs w:val="19"/>
                <w:color w:val="auto"/>
              </w:rPr>
            </w:pPr>
          </w:p>
        </w:tc>
        <w:tc>
          <w:tcPr>
            <w:tcW w:w="800" w:type="dxa"/>
            <w:vAlign w:val="bottom"/>
            <w:vMerge w:val="restart"/>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6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5"/>
        </w:trPr>
        <w:tc>
          <w:tcPr>
            <w:tcW w:w="18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Exhibit A-1</w:t>
            </w:r>
          </w:p>
        </w:tc>
        <w:tc>
          <w:tcPr>
            <w:tcW w:w="800" w:type="dxa"/>
            <w:vAlign w:val="bottom"/>
            <w:vMerge w:val="continue"/>
          </w:tcPr>
          <w:p>
            <w:pPr>
              <w:spacing w:after="0"/>
              <w:rPr>
                <w:sz w:val="24"/>
                <w:szCs w:val="24"/>
                <w:color w:val="auto"/>
              </w:rPr>
            </w:pPr>
          </w:p>
        </w:tc>
        <w:tc>
          <w:tcPr>
            <w:tcW w:w="63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Form of US Revolving Credit Note</w:t>
            </w:r>
          </w:p>
        </w:tc>
        <w:tc>
          <w:tcPr>
            <w:tcW w:w="0" w:type="dxa"/>
            <w:vAlign w:val="bottom"/>
          </w:tcPr>
          <w:p>
            <w:pPr>
              <w:spacing w:after="0"/>
              <w:rPr>
                <w:sz w:val="1"/>
                <w:szCs w:val="1"/>
                <w:color w:val="auto"/>
              </w:rPr>
            </w:pPr>
          </w:p>
        </w:tc>
      </w:tr>
      <w:tr>
        <w:trPr>
          <w:trHeight w:val="270"/>
        </w:trPr>
        <w:tc>
          <w:tcPr>
            <w:tcW w:w="18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Exhibit A-2</w:t>
            </w:r>
          </w:p>
        </w:tc>
        <w:tc>
          <w:tcPr>
            <w:tcW w:w="80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63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Form of Canadian Revolving Credit Note</w:t>
            </w:r>
          </w:p>
        </w:tc>
        <w:tc>
          <w:tcPr>
            <w:tcW w:w="0" w:type="dxa"/>
            <w:vAlign w:val="bottom"/>
          </w:tcPr>
          <w:p>
            <w:pPr>
              <w:spacing w:after="0"/>
              <w:rPr>
                <w:sz w:val="1"/>
                <w:szCs w:val="1"/>
                <w:color w:val="auto"/>
              </w:rPr>
            </w:pPr>
          </w:p>
        </w:tc>
      </w:tr>
      <w:tr>
        <w:trPr>
          <w:trHeight w:val="270"/>
        </w:trPr>
        <w:tc>
          <w:tcPr>
            <w:tcW w:w="18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Exhibit A-3</w:t>
            </w:r>
          </w:p>
        </w:tc>
        <w:tc>
          <w:tcPr>
            <w:tcW w:w="80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63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Form of US Swingline Note</w:t>
            </w:r>
          </w:p>
        </w:tc>
        <w:tc>
          <w:tcPr>
            <w:tcW w:w="0" w:type="dxa"/>
            <w:vAlign w:val="bottom"/>
          </w:tcPr>
          <w:p>
            <w:pPr>
              <w:spacing w:after="0"/>
              <w:rPr>
                <w:sz w:val="1"/>
                <w:szCs w:val="1"/>
                <w:color w:val="auto"/>
              </w:rPr>
            </w:pPr>
          </w:p>
        </w:tc>
      </w:tr>
      <w:tr>
        <w:trPr>
          <w:trHeight w:val="270"/>
        </w:trPr>
        <w:tc>
          <w:tcPr>
            <w:tcW w:w="18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Exhibit A-4</w:t>
            </w:r>
          </w:p>
        </w:tc>
        <w:tc>
          <w:tcPr>
            <w:tcW w:w="80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63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Form of Canadian Swingline Note</w:t>
            </w:r>
          </w:p>
        </w:tc>
        <w:tc>
          <w:tcPr>
            <w:tcW w:w="0" w:type="dxa"/>
            <w:vAlign w:val="bottom"/>
          </w:tcPr>
          <w:p>
            <w:pPr>
              <w:spacing w:after="0"/>
              <w:rPr>
                <w:sz w:val="1"/>
                <w:szCs w:val="1"/>
                <w:color w:val="auto"/>
              </w:rPr>
            </w:pPr>
          </w:p>
        </w:tc>
      </w:tr>
      <w:tr>
        <w:trPr>
          <w:trHeight w:val="270"/>
        </w:trPr>
        <w:tc>
          <w:tcPr>
            <w:tcW w:w="18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Exhibit A-5</w:t>
            </w:r>
          </w:p>
        </w:tc>
        <w:tc>
          <w:tcPr>
            <w:tcW w:w="80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63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Form of US Term Loan Note</w:t>
            </w:r>
          </w:p>
        </w:tc>
        <w:tc>
          <w:tcPr>
            <w:tcW w:w="0" w:type="dxa"/>
            <w:vAlign w:val="bottom"/>
          </w:tcPr>
          <w:p>
            <w:pPr>
              <w:spacing w:after="0"/>
              <w:rPr>
                <w:sz w:val="1"/>
                <w:szCs w:val="1"/>
                <w:color w:val="auto"/>
              </w:rPr>
            </w:pPr>
          </w:p>
        </w:tc>
      </w:tr>
      <w:tr>
        <w:trPr>
          <w:trHeight w:val="270"/>
        </w:trPr>
        <w:tc>
          <w:tcPr>
            <w:tcW w:w="18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Exhibit A-6</w:t>
            </w:r>
          </w:p>
        </w:tc>
        <w:tc>
          <w:tcPr>
            <w:tcW w:w="80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63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Form of Canadian Term Loan Note</w:t>
            </w:r>
          </w:p>
        </w:tc>
        <w:tc>
          <w:tcPr>
            <w:tcW w:w="0" w:type="dxa"/>
            <w:vAlign w:val="bottom"/>
          </w:tcPr>
          <w:p>
            <w:pPr>
              <w:spacing w:after="0"/>
              <w:rPr>
                <w:sz w:val="1"/>
                <w:szCs w:val="1"/>
                <w:color w:val="auto"/>
              </w:rPr>
            </w:pPr>
          </w:p>
        </w:tc>
      </w:tr>
      <w:tr>
        <w:trPr>
          <w:trHeight w:val="270"/>
        </w:trPr>
        <w:tc>
          <w:tcPr>
            <w:tcW w:w="18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Exhibit B</w:t>
            </w:r>
          </w:p>
        </w:tc>
        <w:tc>
          <w:tcPr>
            <w:tcW w:w="80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63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Form of Notice of Borrowing</w:t>
            </w:r>
          </w:p>
        </w:tc>
        <w:tc>
          <w:tcPr>
            <w:tcW w:w="0" w:type="dxa"/>
            <w:vAlign w:val="bottom"/>
          </w:tcPr>
          <w:p>
            <w:pPr>
              <w:spacing w:after="0"/>
              <w:rPr>
                <w:sz w:val="1"/>
                <w:szCs w:val="1"/>
                <w:color w:val="auto"/>
              </w:rPr>
            </w:pPr>
          </w:p>
        </w:tc>
      </w:tr>
      <w:tr>
        <w:trPr>
          <w:trHeight w:val="270"/>
        </w:trPr>
        <w:tc>
          <w:tcPr>
            <w:tcW w:w="18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Exhibit C</w:t>
            </w:r>
          </w:p>
        </w:tc>
        <w:tc>
          <w:tcPr>
            <w:tcW w:w="80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63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Form of Notice of Account Designation</w:t>
            </w:r>
          </w:p>
        </w:tc>
        <w:tc>
          <w:tcPr>
            <w:tcW w:w="0" w:type="dxa"/>
            <w:vAlign w:val="bottom"/>
          </w:tcPr>
          <w:p>
            <w:pPr>
              <w:spacing w:after="0"/>
              <w:rPr>
                <w:sz w:val="1"/>
                <w:szCs w:val="1"/>
                <w:color w:val="auto"/>
              </w:rPr>
            </w:pPr>
          </w:p>
        </w:tc>
      </w:tr>
      <w:tr>
        <w:trPr>
          <w:trHeight w:val="270"/>
        </w:trPr>
        <w:tc>
          <w:tcPr>
            <w:tcW w:w="18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Exhibit D</w:t>
            </w:r>
          </w:p>
        </w:tc>
        <w:tc>
          <w:tcPr>
            <w:tcW w:w="80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63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Form of Notice of Prepayment</w:t>
            </w:r>
          </w:p>
        </w:tc>
        <w:tc>
          <w:tcPr>
            <w:tcW w:w="0" w:type="dxa"/>
            <w:vAlign w:val="bottom"/>
          </w:tcPr>
          <w:p>
            <w:pPr>
              <w:spacing w:after="0"/>
              <w:rPr>
                <w:sz w:val="1"/>
                <w:szCs w:val="1"/>
                <w:color w:val="auto"/>
              </w:rPr>
            </w:pPr>
          </w:p>
        </w:tc>
      </w:tr>
      <w:tr>
        <w:trPr>
          <w:trHeight w:val="270"/>
        </w:trPr>
        <w:tc>
          <w:tcPr>
            <w:tcW w:w="18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Exhibit E</w:t>
            </w:r>
          </w:p>
        </w:tc>
        <w:tc>
          <w:tcPr>
            <w:tcW w:w="80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63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Form of Notice of Conversion/Continuation</w:t>
            </w:r>
          </w:p>
        </w:tc>
        <w:tc>
          <w:tcPr>
            <w:tcW w:w="0" w:type="dxa"/>
            <w:vAlign w:val="bottom"/>
          </w:tcPr>
          <w:p>
            <w:pPr>
              <w:spacing w:after="0"/>
              <w:rPr>
                <w:sz w:val="1"/>
                <w:szCs w:val="1"/>
                <w:color w:val="auto"/>
              </w:rPr>
            </w:pPr>
          </w:p>
        </w:tc>
      </w:tr>
      <w:tr>
        <w:trPr>
          <w:trHeight w:val="270"/>
        </w:trPr>
        <w:tc>
          <w:tcPr>
            <w:tcW w:w="18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Exhibit F</w:t>
            </w:r>
          </w:p>
        </w:tc>
        <w:tc>
          <w:tcPr>
            <w:tcW w:w="80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63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Form of Officer’s Compliance Certificate</w:t>
            </w:r>
          </w:p>
        </w:tc>
        <w:tc>
          <w:tcPr>
            <w:tcW w:w="0" w:type="dxa"/>
            <w:vAlign w:val="bottom"/>
          </w:tcPr>
          <w:p>
            <w:pPr>
              <w:spacing w:after="0"/>
              <w:rPr>
                <w:sz w:val="1"/>
                <w:szCs w:val="1"/>
                <w:color w:val="auto"/>
              </w:rPr>
            </w:pPr>
          </w:p>
        </w:tc>
      </w:tr>
      <w:tr>
        <w:trPr>
          <w:trHeight w:val="270"/>
        </w:trPr>
        <w:tc>
          <w:tcPr>
            <w:tcW w:w="18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Exhibit G</w:t>
            </w:r>
          </w:p>
        </w:tc>
        <w:tc>
          <w:tcPr>
            <w:tcW w:w="80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63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Form of Assignment and Assumption</w:t>
            </w:r>
          </w:p>
        </w:tc>
        <w:tc>
          <w:tcPr>
            <w:tcW w:w="0" w:type="dxa"/>
            <w:vAlign w:val="bottom"/>
          </w:tcPr>
          <w:p>
            <w:pPr>
              <w:spacing w:after="0"/>
              <w:rPr>
                <w:sz w:val="1"/>
                <w:szCs w:val="1"/>
                <w:color w:val="auto"/>
              </w:rPr>
            </w:pPr>
          </w:p>
        </w:tc>
      </w:tr>
      <w:tr>
        <w:trPr>
          <w:trHeight w:val="272"/>
        </w:trPr>
        <w:tc>
          <w:tcPr>
            <w:tcW w:w="18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Exhibit H-1</w:t>
            </w:r>
          </w:p>
        </w:tc>
        <w:tc>
          <w:tcPr>
            <w:tcW w:w="80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6300" w:type="dxa"/>
            <w:vAlign w:val="bottom"/>
          </w:tcPr>
          <w:p>
            <w:pPr>
              <w:ind w:left="180"/>
              <w:spacing w:after="0"/>
              <w:rPr>
                <w:sz w:val="20"/>
                <w:szCs w:val="20"/>
                <w:color w:val="auto"/>
              </w:rPr>
            </w:pPr>
            <w:r>
              <w:rPr>
                <w:rFonts w:ascii="Times New Roman" w:cs="Times New Roman" w:eastAsia="Times New Roman" w:hAnsi="Times New Roman"/>
                <w:sz w:val="20"/>
                <w:szCs w:val="20"/>
                <w:color w:val="auto"/>
                <w:w w:val="98"/>
              </w:rPr>
              <w:t>Form of U.S. Tax Compliance Certificate (Non-Partnership Foreign Lenders)</w:t>
            </w:r>
          </w:p>
        </w:tc>
        <w:tc>
          <w:tcPr>
            <w:tcW w:w="0" w:type="dxa"/>
            <w:vAlign w:val="bottom"/>
          </w:tcPr>
          <w:p>
            <w:pPr>
              <w:spacing w:after="0"/>
              <w:rPr>
                <w:sz w:val="1"/>
                <w:szCs w:val="1"/>
                <w:color w:val="auto"/>
              </w:rPr>
            </w:pPr>
          </w:p>
        </w:tc>
      </w:tr>
      <w:tr>
        <w:trPr>
          <w:trHeight w:val="255"/>
        </w:trPr>
        <w:tc>
          <w:tcPr>
            <w:tcW w:w="18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Exhibit H-2</w:t>
            </w:r>
          </w:p>
        </w:tc>
        <w:tc>
          <w:tcPr>
            <w:tcW w:w="80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63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Form of U.S. Tax Compliance Certificate (Non-Partnership Foreign</w:t>
            </w:r>
          </w:p>
        </w:tc>
        <w:tc>
          <w:tcPr>
            <w:tcW w:w="0" w:type="dxa"/>
            <w:vAlign w:val="bottom"/>
          </w:tcPr>
          <w:p>
            <w:pPr>
              <w:spacing w:after="0"/>
              <w:rPr>
                <w:sz w:val="1"/>
                <w:szCs w:val="1"/>
                <w:color w:val="auto"/>
              </w:rPr>
            </w:pPr>
          </w:p>
        </w:tc>
      </w:tr>
      <w:tr>
        <w:trPr>
          <w:trHeight w:val="258"/>
        </w:trPr>
        <w:tc>
          <w:tcPr>
            <w:tcW w:w="9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3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Participants)</w:t>
            </w:r>
          </w:p>
        </w:tc>
        <w:tc>
          <w:tcPr>
            <w:tcW w:w="0" w:type="dxa"/>
            <w:vAlign w:val="bottom"/>
          </w:tcPr>
          <w:p>
            <w:pPr>
              <w:spacing w:after="0"/>
              <w:rPr>
                <w:sz w:val="1"/>
                <w:szCs w:val="1"/>
                <w:color w:val="auto"/>
              </w:rPr>
            </w:pPr>
          </w:p>
        </w:tc>
      </w:tr>
      <w:tr>
        <w:trPr>
          <w:trHeight w:val="283"/>
        </w:trPr>
        <w:tc>
          <w:tcPr>
            <w:tcW w:w="18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Exhibit H-3</w:t>
            </w:r>
          </w:p>
        </w:tc>
        <w:tc>
          <w:tcPr>
            <w:tcW w:w="80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63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Form of U.S. Tax Compliance Certificate (Foreign Participant Partnerships)</w:t>
            </w:r>
          </w:p>
        </w:tc>
        <w:tc>
          <w:tcPr>
            <w:tcW w:w="0" w:type="dxa"/>
            <w:vAlign w:val="bottom"/>
          </w:tcPr>
          <w:p>
            <w:pPr>
              <w:spacing w:after="0"/>
              <w:rPr>
                <w:sz w:val="1"/>
                <w:szCs w:val="1"/>
                <w:color w:val="auto"/>
              </w:rPr>
            </w:pPr>
          </w:p>
        </w:tc>
      </w:tr>
      <w:tr>
        <w:trPr>
          <w:trHeight w:val="284"/>
        </w:trPr>
        <w:tc>
          <w:tcPr>
            <w:tcW w:w="18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Exhibit H-4</w:t>
            </w:r>
          </w:p>
        </w:tc>
        <w:tc>
          <w:tcPr>
            <w:tcW w:w="80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63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Form of U.S. Tax Compliance Certificate (Foreign Lender Partnerships)</w:t>
            </w:r>
          </w:p>
        </w:tc>
        <w:tc>
          <w:tcPr>
            <w:tcW w:w="0" w:type="dxa"/>
            <w:vAlign w:val="bottom"/>
          </w:tcPr>
          <w:p>
            <w:pPr>
              <w:spacing w:after="0"/>
              <w:rPr>
                <w:sz w:val="1"/>
                <w:szCs w:val="1"/>
                <w:color w:val="auto"/>
              </w:rPr>
            </w:pPr>
          </w:p>
        </w:tc>
      </w:tr>
      <w:tr>
        <w:trPr>
          <w:trHeight w:val="282"/>
        </w:trPr>
        <w:tc>
          <w:tcPr>
            <w:tcW w:w="18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Exhibit I</w:t>
            </w:r>
          </w:p>
        </w:tc>
        <w:tc>
          <w:tcPr>
            <w:tcW w:w="80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63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Additional Borrower Request and Assumption Agreement</w:t>
            </w:r>
          </w:p>
        </w:tc>
        <w:tc>
          <w:tcPr>
            <w:tcW w:w="0" w:type="dxa"/>
            <w:vAlign w:val="bottom"/>
          </w:tcPr>
          <w:p>
            <w:pPr>
              <w:spacing w:after="0"/>
              <w:rPr>
                <w:sz w:val="1"/>
                <w:szCs w:val="1"/>
                <w:color w:val="auto"/>
              </w:rPr>
            </w:pPr>
          </w:p>
        </w:tc>
      </w:tr>
      <w:tr>
        <w:trPr>
          <w:trHeight w:val="270"/>
        </w:trPr>
        <w:tc>
          <w:tcPr>
            <w:tcW w:w="18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Exhibit J</w:t>
            </w:r>
          </w:p>
        </w:tc>
        <w:tc>
          <w:tcPr>
            <w:tcW w:w="80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63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Additional Borrower Notice</w:t>
            </w:r>
          </w:p>
        </w:tc>
        <w:tc>
          <w:tcPr>
            <w:tcW w:w="0" w:type="dxa"/>
            <w:vAlign w:val="bottom"/>
          </w:tcPr>
          <w:p>
            <w:pPr>
              <w:spacing w:after="0"/>
              <w:rPr>
                <w:sz w:val="1"/>
                <w:szCs w:val="1"/>
                <w:color w:val="auto"/>
              </w:rPr>
            </w:pPr>
          </w:p>
        </w:tc>
      </w:tr>
      <w:tr>
        <w:trPr>
          <w:trHeight w:val="212"/>
        </w:trPr>
        <w:tc>
          <w:tcPr>
            <w:tcW w:w="1140" w:type="dxa"/>
            <w:vAlign w:val="bottom"/>
            <w:tcBorders>
              <w:bottom w:val="single" w:sz="8" w:color="auto"/>
            </w:tcBorders>
            <w:gridSpan w:val="2"/>
          </w:tcPr>
          <w:p>
            <w:pPr>
              <w:spacing w:after="0" w:line="212" w:lineRule="exact"/>
              <w:rPr>
                <w:sz w:val="20"/>
                <w:szCs w:val="20"/>
                <w:color w:val="auto"/>
              </w:rPr>
            </w:pPr>
            <w:r>
              <w:rPr>
                <w:rFonts w:ascii="Times New Roman" w:cs="Times New Roman" w:eastAsia="Times New Roman" w:hAnsi="Times New Roman"/>
                <w:sz w:val="20"/>
                <w:szCs w:val="20"/>
                <w:color w:val="auto"/>
                <w:w w:val="96"/>
              </w:rPr>
              <w:t>SCHEDULES</w:t>
            </w:r>
          </w:p>
        </w:tc>
        <w:tc>
          <w:tcPr>
            <w:tcW w:w="660" w:type="dxa"/>
            <w:vAlign w:val="bottom"/>
          </w:tcPr>
          <w:p>
            <w:pPr>
              <w:spacing w:after="0"/>
              <w:rPr>
                <w:sz w:val="18"/>
                <w:szCs w:val="18"/>
                <w:color w:val="auto"/>
              </w:rPr>
            </w:pPr>
          </w:p>
        </w:tc>
        <w:tc>
          <w:tcPr>
            <w:tcW w:w="800" w:type="dxa"/>
            <w:vAlign w:val="bottom"/>
            <w:vMerge w:val="restart"/>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6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5"/>
        </w:trPr>
        <w:tc>
          <w:tcPr>
            <w:tcW w:w="18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Schedule 1.1(a)</w:t>
            </w:r>
          </w:p>
        </w:tc>
        <w:tc>
          <w:tcPr>
            <w:tcW w:w="800" w:type="dxa"/>
            <w:vAlign w:val="bottom"/>
            <w:vMerge w:val="continue"/>
          </w:tcPr>
          <w:p>
            <w:pPr>
              <w:spacing w:after="0"/>
              <w:rPr>
                <w:sz w:val="24"/>
                <w:szCs w:val="24"/>
                <w:color w:val="auto"/>
              </w:rPr>
            </w:pPr>
          </w:p>
        </w:tc>
        <w:tc>
          <w:tcPr>
            <w:tcW w:w="63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Commitments and Commitment Percentages</w:t>
            </w:r>
          </w:p>
        </w:tc>
        <w:tc>
          <w:tcPr>
            <w:tcW w:w="0" w:type="dxa"/>
            <w:vAlign w:val="bottom"/>
          </w:tcPr>
          <w:p>
            <w:pPr>
              <w:spacing w:after="0"/>
              <w:rPr>
                <w:sz w:val="1"/>
                <w:szCs w:val="1"/>
                <w:color w:val="auto"/>
              </w:rPr>
            </w:pPr>
          </w:p>
        </w:tc>
      </w:tr>
      <w:tr>
        <w:trPr>
          <w:trHeight w:val="266"/>
        </w:trPr>
        <w:tc>
          <w:tcPr>
            <w:tcW w:w="18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Schedule 1.1(b)</w:t>
            </w:r>
          </w:p>
        </w:tc>
        <w:tc>
          <w:tcPr>
            <w:tcW w:w="80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63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Existing Letters of Credit</w:t>
            </w:r>
          </w:p>
        </w:tc>
        <w:tc>
          <w:tcPr>
            <w:tcW w:w="0" w:type="dxa"/>
            <w:vAlign w:val="bottom"/>
          </w:tcPr>
          <w:p>
            <w:pPr>
              <w:spacing w:after="0"/>
              <w:rPr>
                <w:sz w:val="1"/>
                <w:szCs w:val="1"/>
                <w:color w:val="auto"/>
              </w:rPr>
            </w:pPr>
          </w:p>
        </w:tc>
      </w:tr>
      <w:tr>
        <w:trPr>
          <w:trHeight w:val="274"/>
        </w:trPr>
        <w:tc>
          <w:tcPr>
            <w:tcW w:w="18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Schedule 1.1(c)</w:t>
            </w:r>
          </w:p>
        </w:tc>
        <w:tc>
          <w:tcPr>
            <w:tcW w:w="800" w:type="dxa"/>
            <w:vAlign w:val="bottom"/>
          </w:tcPr>
          <w:p>
            <w:pPr>
              <w:jc w:val="right"/>
              <w:ind w:right="61"/>
              <w:spacing w:after="0"/>
              <w:rPr>
                <w:sz w:val="20"/>
                <w:szCs w:val="20"/>
                <w:color w:val="auto"/>
              </w:rPr>
            </w:pPr>
            <w:r>
              <w:rPr>
                <w:rFonts w:ascii="Times New Roman" w:cs="Times New Roman" w:eastAsia="Times New Roman" w:hAnsi="Times New Roman"/>
                <w:sz w:val="20"/>
                <w:szCs w:val="20"/>
                <w:b w:val="1"/>
                <w:bCs w:val="1"/>
                <w:color w:val="auto"/>
              </w:rPr>
              <w:t>-</w:t>
            </w:r>
          </w:p>
        </w:tc>
        <w:tc>
          <w:tcPr>
            <w:tcW w:w="63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Historical Financial Covenant Amounts</w:t>
            </w:r>
          </w:p>
        </w:tc>
        <w:tc>
          <w:tcPr>
            <w:tcW w:w="0" w:type="dxa"/>
            <w:vAlign w:val="bottom"/>
          </w:tcPr>
          <w:p>
            <w:pPr>
              <w:spacing w:after="0"/>
              <w:rPr>
                <w:sz w:val="1"/>
                <w:szCs w:val="1"/>
                <w:color w:val="auto"/>
              </w:rPr>
            </w:pPr>
          </w:p>
        </w:tc>
      </w:tr>
      <w:tr>
        <w:trPr>
          <w:trHeight w:val="270"/>
        </w:trPr>
        <w:tc>
          <w:tcPr>
            <w:tcW w:w="18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Schedule 1.1(d)</w:t>
            </w:r>
          </w:p>
        </w:tc>
        <w:tc>
          <w:tcPr>
            <w:tcW w:w="80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63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Initial Issuing Lender Commitments</w:t>
            </w:r>
          </w:p>
        </w:tc>
        <w:tc>
          <w:tcPr>
            <w:tcW w:w="0" w:type="dxa"/>
            <w:vAlign w:val="bottom"/>
          </w:tcPr>
          <w:p>
            <w:pPr>
              <w:spacing w:after="0"/>
              <w:rPr>
                <w:sz w:val="1"/>
                <w:szCs w:val="1"/>
                <w:color w:val="auto"/>
              </w:rPr>
            </w:pPr>
          </w:p>
        </w:tc>
      </w:tr>
      <w:tr>
        <w:trPr>
          <w:trHeight w:val="270"/>
        </w:trPr>
        <w:tc>
          <w:tcPr>
            <w:tcW w:w="18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Schedule 7.1</w:t>
            </w:r>
          </w:p>
        </w:tc>
        <w:tc>
          <w:tcPr>
            <w:tcW w:w="80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63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Jurisdictions of Organization and Qualification</w:t>
            </w:r>
          </w:p>
        </w:tc>
        <w:tc>
          <w:tcPr>
            <w:tcW w:w="0" w:type="dxa"/>
            <w:vAlign w:val="bottom"/>
          </w:tcPr>
          <w:p>
            <w:pPr>
              <w:spacing w:after="0"/>
              <w:rPr>
                <w:sz w:val="1"/>
                <w:szCs w:val="1"/>
                <w:color w:val="auto"/>
              </w:rPr>
            </w:pPr>
          </w:p>
        </w:tc>
      </w:tr>
      <w:tr>
        <w:trPr>
          <w:trHeight w:val="270"/>
        </w:trPr>
        <w:tc>
          <w:tcPr>
            <w:tcW w:w="18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Schedule 7.2</w:t>
            </w:r>
          </w:p>
        </w:tc>
        <w:tc>
          <w:tcPr>
            <w:tcW w:w="80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63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Subsidiaries and Capitalization</w:t>
            </w:r>
          </w:p>
        </w:tc>
        <w:tc>
          <w:tcPr>
            <w:tcW w:w="0" w:type="dxa"/>
            <w:vAlign w:val="bottom"/>
          </w:tcPr>
          <w:p>
            <w:pPr>
              <w:spacing w:after="0"/>
              <w:rPr>
                <w:sz w:val="1"/>
                <w:szCs w:val="1"/>
                <w:color w:val="auto"/>
              </w:rPr>
            </w:pPr>
          </w:p>
        </w:tc>
      </w:tr>
      <w:tr>
        <w:trPr>
          <w:trHeight w:val="270"/>
        </w:trPr>
        <w:tc>
          <w:tcPr>
            <w:tcW w:w="18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Schedule 7.6</w:t>
            </w:r>
          </w:p>
        </w:tc>
        <w:tc>
          <w:tcPr>
            <w:tcW w:w="80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63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Tax Matters</w:t>
            </w:r>
          </w:p>
        </w:tc>
        <w:tc>
          <w:tcPr>
            <w:tcW w:w="0" w:type="dxa"/>
            <w:vAlign w:val="bottom"/>
          </w:tcPr>
          <w:p>
            <w:pPr>
              <w:spacing w:after="0"/>
              <w:rPr>
                <w:sz w:val="1"/>
                <w:szCs w:val="1"/>
                <w:color w:val="auto"/>
              </w:rPr>
            </w:pPr>
          </w:p>
        </w:tc>
      </w:tr>
      <w:tr>
        <w:trPr>
          <w:trHeight w:val="270"/>
        </w:trPr>
        <w:tc>
          <w:tcPr>
            <w:tcW w:w="18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Schedule 7.9</w:t>
            </w:r>
          </w:p>
        </w:tc>
        <w:tc>
          <w:tcPr>
            <w:tcW w:w="80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63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ERISA Plans</w:t>
            </w:r>
          </w:p>
        </w:tc>
        <w:tc>
          <w:tcPr>
            <w:tcW w:w="0" w:type="dxa"/>
            <w:vAlign w:val="bottom"/>
          </w:tcPr>
          <w:p>
            <w:pPr>
              <w:spacing w:after="0"/>
              <w:rPr>
                <w:sz w:val="1"/>
                <w:szCs w:val="1"/>
                <w:color w:val="auto"/>
              </w:rPr>
            </w:pPr>
          </w:p>
        </w:tc>
      </w:tr>
      <w:tr>
        <w:trPr>
          <w:trHeight w:val="270"/>
        </w:trPr>
        <w:tc>
          <w:tcPr>
            <w:tcW w:w="18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Schedule 7.13</w:t>
            </w:r>
          </w:p>
        </w:tc>
        <w:tc>
          <w:tcPr>
            <w:tcW w:w="80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63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Labor and Collective Bargaining Agreements</w:t>
            </w:r>
          </w:p>
        </w:tc>
        <w:tc>
          <w:tcPr>
            <w:tcW w:w="0" w:type="dxa"/>
            <w:vAlign w:val="bottom"/>
          </w:tcPr>
          <w:p>
            <w:pPr>
              <w:spacing w:after="0"/>
              <w:rPr>
                <w:sz w:val="1"/>
                <w:szCs w:val="1"/>
                <w:color w:val="auto"/>
              </w:rPr>
            </w:pPr>
          </w:p>
        </w:tc>
      </w:tr>
      <w:tr>
        <w:trPr>
          <w:trHeight w:val="270"/>
        </w:trPr>
        <w:tc>
          <w:tcPr>
            <w:tcW w:w="18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Schedule 7.18</w:t>
            </w:r>
          </w:p>
        </w:tc>
        <w:tc>
          <w:tcPr>
            <w:tcW w:w="80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63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Real Property</w:t>
            </w:r>
          </w:p>
        </w:tc>
        <w:tc>
          <w:tcPr>
            <w:tcW w:w="0" w:type="dxa"/>
            <w:vAlign w:val="bottom"/>
          </w:tcPr>
          <w:p>
            <w:pPr>
              <w:spacing w:after="0"/>
              <w:rPr>
                <w:sz w:val="1"/>
                <w:szCs w:val="1"/>
                <w:color w:val="auto"/>
              </w:rPr>
            </w:pPr>
          </w:p>
        </w:tc>
      </w:tr>
      <w:tr>
        <w:trPr>
          <w:trHeight w:val="270"/>
        </w:trPr>
        <w:tc>
          <w:tcPr>
            <w:tcW w:w="18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Schedule 8.19</w:t>
            </w:r>
          </w:p>
        </w:tc>
        <w:tc>
          <w:tcPr>
            <w:tcW w:w="80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63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Post-Closing Matters</w:t>
            </w:r>
          </w:p>
        </w:tc>
        <w:tc>
          <w:tcPr>
            <w:tcW w:w="0" w:type="dxa"/>
            <w:vAlign w:val="bottom"/>
          </w:tcPr>
          <w:p>
            <w:pPr>
              <w:spacing w:after="0"/>
              <w:rPr>
                <w:sz w:val="1"/>
                <w:szCs w:val="1"/>
                <w:color w:val="auto"/>
              </w:rPr>
            </w:pPr>
          </w:p>
        </w:tc>
      </w:tr>
      <w:tr>
        <w:trPr>
          <w:trHeight w:val="270"/>
        </w:trPr>
        <w:tc>
          <w:tcPr>
            <w:tcW w:w="18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Schedule 9.1</w:t>
            </w:r>
          </w:p>
        </w:tc>
        <w:tc>
          <w:tcPr>
            <w:tcW w:w="80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63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Existing Indebtedness</w:t>
            </w:r>
          </w:p>
        </w:tc>
        <w:tc>
          <w:tcPr>
            <w:tcW w:w="0" w:type="dxa"/>
            <w:vAlign w:val="bottom"/>
          </w:tcPr>
          <w:p>
            <w:pPr>
              <w:spacing w:after="0"/>
              <w:rPr>
                <w:sz w:val="1"/>
                <w:szCs w:val="1"/>
                <w:color w:val="auto"/>
              </w:rPr>
            </w:pPr>
          </w:p>
        </w:tc>
      </w:tr>
      <w:tr>
        <w:trPr>
          <w:trHeight w:val="270"/>
        </w:trPr>
        <w:tc>
          <w:tcPr>
            <w:tcW w:w="18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Schedule 9.2</w:t>
            </w:r>
          </w:p>
        </w:tc>
        <w:tc>
          <w:tcPr>
            <w:tcW w:w="80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63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Existing Liens</w:t>
            </w:r>
          </w:p>
        </w:tc>
        <w:tc>
          <w:tcPr>
            <w:tcW w:w="0" w:type="dxa"/>
            <w:vAlign w:val="bottom"/>
          </w:tcPr>
          <w:p>
            <w:pPr>
              <w:spacing w:after="0"/>
              <w:rPr>
                <w:sz w:val="1"/>
                <w:szCs w:val="1"/>
                <w:color w:val="auto"/>
              </w:rPr>
            </w:pPr>
          </w:p>
        </w:tc>
      </w:tr>
      <w:tr>
        <w:trPr>
          <w:trHeight w:val="270"/>
        </w:trPr>
        <w:tc>
          <w:tcPr>
            <w:tcW w:w="18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Schedule 9.3</w:t>
            </w:r>
          </w:p>
        </w:tc>
        <w:tc>
          <w:tcPr>
            <w:tcW w:w="80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63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Existing Loans, Advances and Investments</w:t>
            </w:r>
          </w:p>
        </w:tc>
        <w:tc>
          <w:tcPr>
            <w:tcW w:w="0" w:type="dxa"/>
            <w:vAlign w:val="bottom"/>
          </w:tcPr>
          <w:p>
            <w:pPr>
              <w:spacing w:after="0"/>
              <w:rPr>
                <w:sz w:val="1"/>
                <w:szCs w:val="1"/>
                <w:color w:val="auto"/>
              </w:rPr>
            </w:pPr>
          </w:p>
        </w:tc>
      </w:tr>
      <w:tr>
        <w:trPr>
          <w:trHeight w:val="272"/>
        </w:trPr>
        <w:tc>
          <w:tcPr>
            <w:tcW w:w="18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Schedule 9.7</w:t>
            </w:r>
          </w:p>
        </w:tc>
        <w:tc>
          <w:tcPr>
            <w:tcW w:w="80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63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Transactions with Affiliates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vii</w:t>
      </w:r>
    </w:p>
    <w:p>
      <w:pPr>
        <w:sectPr>
          <w:pgSz w:w="11900" w:h="16838" w:orient="portrait"/>
          <w:cols w:equalWidth="0" w:num="1">
            <w:col w:w="10099"/>
          </w:cols>
          <w:pgMar w:left="360" w:top="1440" w:right="1440" w:bottom="1008" w:gutter="0" w:footer="0" w:header="0"/>
        </w:sect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146960219_6</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0099"/>
          </w:cols>
          <w:pgMar w:left="360" w:top="1440" w:right="1440" w:bottom="1008" w:gutter="0" w:footer="0" w:header="0"/>
          <w:type w:val="continuous"/>
        </w:sectPr>
      </w:pPr>
    </w:p>
    <w:bookmarkStart w:id="83" w:name="page84"/>
    <w:bookmarkEnd w:id="83"/>
    <w:p>
      <w:pPr>
        <w:ind w:left="640"/>
        <w:spacing w:after="0"/>
        <w:rPr>
          <w:sz w:val="20"/>
          <w:szCs w:val="20"/>
          <w:color w:val="auto"/>
        </w:rPr>
      </w:pPr>
      <w:r>
        <w:rPr>
          <w:rFonts w:ascii="Times New Roman" w:cs="Times New Roman" w:eastAsia="Times New Roman" w:hAnsi="Times New Roman"/>
          <w:sz w:val="20"/>
          <w:szCs w:val="20"/>
          <w:color w:val="auto"/>
        </w:rPr>
        <w:t>SECOND AMENDED AND RESTATED CREDIT AGREEMENT, dated as of August 27, 2021,</w:t>
      </w:r>
    </w:p>
    <w:p>
      <w:pPr>
        <w:spacing w:after="0" w:line="231" w:lineRule="auto"/>
        <w:rPr>
          <w:sz w:val="20"/>
          <w:szCs w:val="20"/>
          <w:color w:val="auto"/>
        </w:rPr>
      </w:pPr>
      <w:r>
        <w:rPr>
          <w:rFonts w:ascii="Times New Roman" w:cs="Times New Roman" w:eastAsia="Times New Roman" w:hAnsi="Times New Roman"/>
          <w:sz w:val="19"/>
          <w:szCs w:val="19"/>
          <w:color w:val="auto"/>
        </w:rPr>
        <w:t>by and among CENTURI GROUP, INC., a Nevada corporation, and each Additional Borrower that becomes a party hereto in accordance</w:t>
      </w:r>
    </w:p>
    <w:p>
      <w:pPr>
        <w:jc w:val="both"/>
        <w:spacing w:after="0" w:line="204" w:lineRule="auto"/>
        <w:rPr>
          <w:sz w:val="20"/>
          <w:szCs w:val="20"/>
          <w:color w:val="auto"/>
        </w:rPr>
      </w:pPr>
      <w:r>
        <w:rPr>
          <w:rFonts w:ascii="Times New Roman" w:cs="Times New Roman" w:eastAsia="Times New Roman" w:hAnsi="Times New Roman"/>
          <w:sz w:val="20"/>
          <w:szCs w:val="20"/>
          <w:color w:val="auto"/>
        </w:rPr>
        <w:t xml:space="preserve">with </w:t>
      </w:r>
      <w:r>
        <w:rPr>
          <w:rFonts w:ascii="Times New Roman" w:cs="Times New Roman" w:eastAsia="Times New Roman" w:hAnsi="Times New Roman"/>
          <w:sz w:val="20"/>
          <w:szCs w:val="20"/>
          <w:u w:val="single" w:color="auto"/>
          <w:color w:val="auto"/>
        </w:rPr>
        <w:t>Section 5.17</w:t>
      </w:r>
      <w:r>
        <w:rPr>
          <w:rFonts w:ascii="Times New Roman" w:cs="Times New Roman" w:eastAsia="Times New Roman" w:hAnsi="Times New Roman"/>
          <w:sz w:val="20"/>
          <w:szCs w:val="20"/>
          <w:color w:val="auto"/>
        </w:rPr>
        <w:t xml:space="preserve">, as US Borrowers, CENTURI CANADA DIVISION INC., a corporation organized under the laws of the Province of Ontario, Canada, and each Additional Borrower that becomes a party hereto in accordance with </w:t>
      </w:r>
      <w:r>
        <w:rPr>
          <w:rFonts w:ascii="Times New Roman" w:cs="Times New Roman" w:eastAsia="Times New Roman" w:hAnsi="Times New Roman"/>
          <w:sz w:val="20"/>
          <w:szCs w:val="20"/>
          <w:u w:val="single" w:color="auto"/>
          <w:color w:val="auto"/>
        </w:rPr>
        <w:t>Section 5.17</w:t>
      </w:r>
      <w:r>
        <w:rPr>
          <w:rFonts w:ascii="Times New Roman" w:cs="Times New Roman" w:eastAsia="Times New Roman" w:hAnsi="Times New Roman"/>
          <w:sz w:val="20"/>
          <w:szCs w:val="20"/>
          <w:color w:val="auto"/>
        </w:rPr>
        <w:t>, as Canadian Borrowers, the</w:t>
      </w:r>
    </w:p>
    <w:p>
      <w:pPr>
        <w:spacing w:after="0" w:line="211" w:lineRule="auto"/>
        <w:rPr>
          <w:sz w:val="20"/>
          <w:szCs w:val="20"/>
          <w:color w:val="auto"/>
        </w:rPr>
      </w:pPr>
      <w:r>
        <w:rPr>
          <w:rFonts w:ascii="Times New Roman" w:cs="Times New Roman" w:eastAsia="Times New Roman" w:hAnsi="Times New Roman"/>
          <w:sz w:val="20"/>
          <w:szCs w:val="20"/>
          <w:color w:val="auto"/>
        </w:rPr>
        <w:t>lenders who are party to this Agreement and the lenders who may become a party to this Agreement pursuant to the terms hereof, as</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0"/>
          <w:szCs w:val="20"/>
          <w:color w:val="auto"/>
        </w:rPr>
        <w:t>Lenders, and WELLS FARGO BANK, NATIONAL ASSOCIATION, a national banking association, as Administrative Agent for the Lenders.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STATEMENT OF PURPOSE</w:t>
      </w:r>
    </w:p>
    <w:p>
      <w:pPr>
        <w:spacing w:after="0" w:line="283"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0"/>
          <w:szCs w:val="20"/>
          <w:color w:val="auto"/>
        </w:rPr>
        <w:t>Certain of the Borrowers, certain financial institutions party thereto (the “</w:t>
      </w:r>
      <w:r>
        <w:rPr>
          <w:rFonts w:ascii="Times New Roman" w:cs="Times New Roman" w:eastAsia="Times New Roman" w:hAnsi="Times New Roman"/>
          <w:sz w:val="20"/>
          <w:szCs w:val="20"/>
          <w:u w:val="single" w:color="auto"/>
          <w:color w:val="auto"/>
        </w:rPr>
        <w:t>Existing Lenders</w:t>
      </w:r>
      <w:r>
        <w:rPr>
          <w:rFonts w:ascii="Times New Roman" w:cs="Times New Roman" w:eastAsia="Times New Roman" w:hAnsi="Times New Roman"/>
          <w:sz w:val="20"/>
          <w:szCs w:val="20"/>
          <w:color w:val="auto"/>
        </w:rPr>
        <w:t>”) and the Administrative Agent are parties to that certain Amended and Restated Credit Agreement dated as of November 7, 2017 (as amended, restated, supplemented or</w:t>
      </w:r>
    </w:p>
    <w:p>
      <w:pPr>
        <w:spacing w:after="0" w:line="2"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0"/>
          <w:szCs w:val="20"/>
          <w:color w:val="auto"/>
        </w:rPr>
        <w:t>otherwise modified prior to the date hereof, the “</w:t>
      </w:r>
      <w:r>
        <w:rPr>
          <w:rFonts w:ascii="Times New Roman" w:cs="Times New Roman" w:eastAsia="Times New Roman" w:hAnsi="Times New Roman"/>
          <w:sz w:val="20"/>
          <w:szCs w:val="20"/>
          <w:u w:val="single" w:color="auto"/>
          <w:color w:val="auto"/>
        </w:rPr>
        <w:t>Existing Credit Agreement</w:t>
      </w:r>
      <w:r>
        <w:rPr>
          <w:rFonts w:ascii="Times New Roman" w:cs="Times New Roman" w:eastAsia="Times New Roman" w:hAnsi="Times New Roman"/>
          <w:sz w:val="20"/>
          <w:szCs w:val="20"/>
          <w:color w:val="auto"/>
        </w:rPr>
        <w:t>”) pursuant to which the Existing Lenders extended senior credit facilities to certain of the Borrowers.</w:t>
      </w:r>
    </w:p>
    <w:p>
      <w:pPr>
        <w:spacing w:after="0" w:line="189"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color w:val="auto"/>
        </w:rPr>
        <w:t>The Borrowers have requested, and subject to the terms and conditions set forth in this Agreement, the Administrative Agent and the Lenders have agreed, upon the terms and subject to the conditions set forth herein, to amend and restate the Existing Credit Agreement as set forth herein and extend senior credit facilities to the Borrowers as set forth herein.</w:t>
      </w:r>
    </w:p>
    <w:p>
      <w:pPr>
        <w:spacing w:after="0" w:line="189"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It is the intent of the parties hereto that this Agreement not constitute a novation of the obligations and liabilities of the parties under the Existing Credit Agreement and that this Agreement amend and restate the Existing Credit Agreement in its entirety.</w:t>
      </w:r>
    </w:p>
    <w:p>
      <w:pPr>
        <w:spacing w:after="0" w:line="188" w:lineRule="exact"/>
        <w:rPr>
          <w:sz w:val="20"/>
          <w:szCs w:val="20"/>
          <w:color w:val="auto"/>
        </w:rPr>
      </w:pPr>
    </w:p>
    <w:p>
      <w:pPr>
        <w:jc w:val="both"/>
        <w:ind w:right="20" w:firstLine="648"/>
        <w:spacing w:after="0" w:line="233" w:lineRule="auto"/>
        <w:rPr>
          <w:sz w:val="20"/>
          <w:szCs w:val="20"/>
          <w:color w:val="auto"/>
        </w:rPr>
      </w:pPr>
      <w:r>
        <w:rPr>
          <w:rFonts w:ascii="Times New Roman" w:cs="Times New Roman" w:eastAsia="Times New Roman" w:hAnsi="Times New Roman"/>
          <w:sz w:val="20"/>
          <w:szCs w:val="20"/>
          <w:color w:val="auto"/>
        </w:rPr>
        <w:t>NOW, THEREFORE, for good and valuable consideration, the receipt and sufficiency of which are hereby acknowledged by the parties hereto, such parties hereby agree as follows:</w:t>
      </w:r>
    </w:p>
    <w:p>
      <w:pPr>
        <w:spacing w:after="0" w:line="33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auto"/>
        </w:rPr>
        <w:t>ARTICLE I DEFINITIONS</w:t>
      </w:r>
    </w:p>
    <w:p>
      <w:pPr>
        <w:spacing w:after="0" w:line="108" w:lineRule="exact"/>
        <w:rPr>
          <w:sz w:val="20"/>
          <w:szCs w:val="20"/>
          <w:color w:val="auto"/>
        </w:rPr>
      </w:pPr>
    </w:p>
    <w:p>
      <w:pPr>
        <w:ind w:left="640"/>
        <w:spacing w:after="0"/>
        <w:tabs>
          <w:tab w:leader="none" w:pos="1960" w:val="left"/>
        </w:tabs>
        <w:rPr>
          <w:sz w:val="20"/>
          <w:szCs w:val="20"/>
          <w:color w:val="auto"/>
        </w:rPr>
      </w:pPr>
      <w:r>
        <w:rPr>
          <w:rFonts w:ascii="Times New Roman" w:cs="Times New Roman" w:eastAsia="Times New Roman" w:hAnsi="Times New Roman"/>
          <w:sz w:val="20"/>
          <w:szCs w:val="20"/>
          <w:color w:val="auto"/>
        </w:rPr>
        <w:t>SECTION 1.1</w:t>
      </w:r>
      <w:r>
        <w:rPr>
          <w:sz w:val="20"/>
          <w:szCs w:val="20"/>
          <w:color w:val="auto"/>
        </w:rPr>
        <w:tab/>
      </w:r>
      <w:r>
        <w:rPr>
          <w:rFonts w:ascii="Times New Roman" w:cs="Times New Roman" w:eastAsia="Times New Roman" w:hAnsi="Times New Roman"/>
          <w:sz w:val="19"/>
          <w:szCs w:val="19"/>
          <w:u w:val="single" w:color="auto"/>
          <w:color w:val="auto"/>
        </w:rPr>
        <w:t>Definitions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The following terms when used in this Agreement shall have the meanings assigned to them below:</w:t>
      </w:r>
    </w:p>
    <w:p>
      <w:pPr>
        <w:spacing w:after="0" w:line="229"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Acceptable Intercreditor Agreement</w:t>
      </w:r>
      <w:r>
        <w:rPr>
          <w:rFonts w:ascii="Times New Roman" w:cs="Times New Roman" w:eastAsia="Times New Roman" w:hAnsi="Times New Roman"/>
          <w:sz w:val="20"/>
          <w:szCs w:val="20"/>
          <w:color w:val="auto"/>
        </w:rPr>
        <w:t>” means an intercreditor agreement, the terms of which are consistent with market terms governing security arrangements for the sharing of liens and/or arrangements relating to the distribution of payments, as applicable, (a) to</w:t>
      </w:r>
    </w:p>
    <w:p>
      <w:pPr>
        <w:spacing w:after="0" w:line="212" w:lineRule="auto"/>
        <w:rPr>
          <w:sz w:val="20"/>
          <w:szCs w:val="20"/>
          <w:color w:val="auto"/>
        </w:rPr>
      </w:pPr>
      <w:r>
        <w:rPr>
          <w:rFonts w:ascii="Times New Roman" w:cs="Times New Roman" w:eastAsia="Times New Roman" w:hAnsi="Times New Roman"/>
          <w:sz w:val="20"/>
          <w:szCs w:val="20"/>
          <w:color w:val="auto"/>
        </w:rPr>
        <w:t>the extent executed in connection with the incurrence of Indebtedness secured by Collateral intended to rank equal in priority to the Liens</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on the Collateral securing the Obligations, on a pari passu basis, (b) to the extent executed in connection with the incurrence of Indebtedness secured by Collateral intended to rank junior in priority to the Liens on the Collateral securing the Obligations, on a junior</w:t>
      </w:r>
    </w:p>
    <w:p>
      <w:pPr>
        <w:spacing w:after="0" w:line="211" w:lineRule="auto"/>
        <w:rPr>
          <w:sz w:val="20"/>
          <w:szCs w:val="20"/>
          <w:color w:val="auto"/>
        </w:rPr>
      </w:pPr>
      <w:r>
        <w:rPr>
          <w:rFonts w:ascii="Times New Roman" w:cs="Times New Roman" w:eastAsia="Times New Roman" w:hAnsi="Times New Roman"/>
          <w:sz w:val="20"/>
          <w:szCs w:val="20"/>
          <w:color w:val="auto"/>
        </w:rPr>
        <w:t>basis, and/or (c) to the extent executed in connection with the incurrence of Indebtedness intended to rank junior in rights to payment to</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the Obligations, on a junior basis, in each case at the time such intercreditor agreement is proposed to be established, as determined by the Administrative Agent and the Borrower in the exercise of reasonable judgment, among the Administrative Agent and one or more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representatives for the holders of any such Indebtedness.</w:t>
      </w:r>
    </w:p>
    <w:p>
      <w:pPr>
        <w:spacing w:after="0" w:line="194" w:lineRule="exact"/>
        <w:rPr>
          <w:sz w:val="20"/>
          <w:szCs w:val="20"/>
          <w:color w:val="auto"/>
        </w:rPr>
      </w:pPr>
    </w:p>
    <w:p>
      <w:pPr>
        <w:jc w:val="both"/>
        <w:ind w:right="20"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Acquisition</w:t>
      </w:r>
      <w:r>
        <w:rPr>
          <w:rFonts w:ascii="Times New Roman" w:cs="Times New Roman" w:eastAsia="Times New Roman" w:hAnsi="Times New Roman"/>
          <w:sz w:val="20"/>
          <w:szCs w:val="20"/>
          <w:color w:val="auto"/>
        </w:rPr>
        <w:t>” means any transaction, or any series of related transactions, consummated on or after the date of this Agreement, by which any Consolidated Company (a) acquires any going business or all or</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146960219_6</w:t>
      </w:r>
      <w:r>
        <w:rPr>
          <w:rFonts w:ascii="Times New Roman" w:cs="Times New Roman" w:eastAsia="Times New Roman" w:hAnsi="Times New Roman"/>
          <w:sz w:val="14"/>
          <w:szCs w:val="14"/>
          <w:u w:val="single" w:color="auto"/>
          <w:color w:val="0000FF"/>
          <w:strike w:val="1"/>
        </w:rPr>
        <w:t>165457743_4</w:t>
      </w:r>
    </w:p>
    <w:p>
      <w:pPr>
        <w:sectPr>
          <w:pgSz w:w="11900" w:h="16838" w:orient="portrait"/>
          <w:cols w:equalWidth="0" w:num="1">
            <w:col w:w="11020"/>
          </w:cols>
          <w:pgMar w:left="440" w:top="1413" w:right="439" w:bottom="1440" w:gutter="0" w:footer="0" w:header="0"/>
        </w:sectPr>
      </w:pPr>
    </w:p>
    <w:bookmarkStart w:id="84" w:name="page85"/>
    <w:bookmarkEnd w:id="84"/>
    <w:p>
      <w:pPr>
        <w:ind w:left="100"/>
        <w:spacing w:after="0"/>
        <w:rPr>
          <w:sz w:val="20"/>
          <w:szCs w:val="20"/>
          <w:color w:val="auto"/>
        </w:rPr>
      </w:pPr>
      <w:r>
        <w:rPr>
          <w:rFonts w:ascii="Times New Roman" w:cs="Times New Roman" w:eastAsia="Times New Roman" w:hAnsi="Times New Roman"/>
          <w:sz w:val="20"/>
          <w:szCs w:val="20"/>
          <w:color w:val="auto"/>
        </w:rPr>
        <w:t>substantially all of the assets of any firm, corporation or limited liability company, or division thereof, whether through purchase of assets,</w:t>
      </w:r>
    </w:p>
    <w:p>
      <w:pPr>
        <w:ind w:left="100" w:right="100"/>
        <w:spacing w:after="0" w:line="215" w:lineRule="auto"/>
        <w:rPr>
          <w:sz w:val="20"/>
          <w:szCs w:val="20"/>
          <w:color w:val="auto"/>
        </w:rPr>
      </w:pPr>
      <w:r>
        <w:rPr>
          <w:rFonts w:ascii="Times New Roman" w:cs="Times New Roman" w:eastAsia="Times New Roman" w:hAnsi="Times New Roman"/>
          <w:sz w:val="19"/>
          <w:szCs w:val="19"/>
          <w:color w:val="auto"/>
        </w:rPr>
        <w:t>merger, amalgamation or otherwise or (b) directly or indirectly acquires (in one transaction or as the most recent transaction in a series of transactions) at least a majority (in number of votes) of the securities of a corporation which have ordinary voting power for the election of</w:t>
      </w:r>
    </w:p>
    <w:p>
      <w:pPr>
        <w:ind w:left="100" w:right="100"/>
        <w:spacing w:after="0" w:line="228" w:lineRule="auto"/>
        <w:rPr>
          <w:sz w:val="20"/>
          <w:szCs w:val="20"/>
          <w:color w:val="auto"/>
        </w:rPr>
      </w:pPr>
      <w:r>
        <w:rPr>
          <w:rFonts w:ascii="Times New Roman" w:cs="Times New Roman" w:eastAsia="Times New Roman" w:hAnsi="Times New Roman"/>
          <w:sz w:val="20"/>
          <w:szCs w:val="20"/>
          <w:color w:val="auto"/>
        </w:rPr>
        <w:t>directors (other than securities having such power only by reason of the happening of a contingency) or a majority (by percentage or voting power) of the outstanding ownership interests of a partnership or limited liability company.</w:t>
      </w:r>
    </w:p>
    <w:p>
      <w:pPr>
        <w:spacing w:after="0" w:line="203" w:lineRule="exact"/>
        <w:rPr>
          <w:sz w:val="20"/>
          <w:szCs w:val="20"/>
          <w:color w:val="auto"/>
        </w:rPr>
      </w:pPr>
    </w:p>
    <w:p>
      <w:pPr>
        <w:ind w:left="100" w:right="10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Additional Borrower</w:t>
      </w:r>
      <w:r>
        <w:rPr>
          <w:rFonts w:ascii="Times New Roman" w:cs="Times New Roman" w:eastAsia="Times New Roman" w:hAnsi="Times New Roman"/>
          <w:sz w:val="20"/>
          <w:szCs w:val="20"/>
          <w:color w:val="auto"/>
        </w:rPr>
        <w:t xml:space="preserve">” means certain Wholly-Owned US Subsidiaries and Wholly-Owned Canadian Subsidiaries of Centuri from time to time accepted as a Borrower to be party hereto pursuant to </w:t>
      </w:r>
      <w:r>
        <w:rPr>
          <w:rFonts w:ascii="Times New Roman" w:cs="Times New Roman" w:eastAsia="Times New Roman" w:hAnsi="Times New Roman"/>
          <w:sz w:val="20"/>
          <w:szCs w:val="20"/>
          <w:u w:val="single" w:color="auto"/>
          <w:color w:val="auto"/>
        </w:rPr>
        <w:t>Section 5.17</w:t>
      </w:r>
      <w:r>
        <w:rPr>
          <w:rFonts w:ascii="Times New Roman" w:cs="Times New Roman" w:eastAsia="Times New Roman" w:hAnsi="Times New Roman"/>
          <w:sz w:val="20"/>
          <w:szCs w:val="20"/>
          <w:color w:val="auto"/>
        </w:rPr>
        <w:t>.</w:t>
      </w:r>
    </w:p>
    <w:p>
      <w:pPr>
        <w:spacing w:after="0" w:line="24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Additional Borrower Notice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5.17</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Additional Borrower Request and Assumption Agreement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5.17</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right="260" w:firstLine="648"/>
        <w:spacing w:after="0" w:line="23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Adjusted Consolidated Net Income</w:t>
      </w:r>
      <w:r>
        <w:rPr>
          <w:rFonts w:ascii="Times New Roman" w:cs="Times New Roman" w:eastAsia="Times New Roman" w:hAnsi="Times New Roman"/>
          <w:sz w:val="20"/>
          <w:szCs w:val="20"/>
          <w:color w:val="auto"/>
        </w:rPr>
        <w:t>” means Consolidated Net Income for the applicable period, but excluding in calculating Consolidated Net Income (solely to the extent Consolidated Net Income for such period is greater than $0) the following items accrued for the applicable period of the calculation, (a) amortization of goodwill, (b) impairment charges with respect to goodwill and other intangible assets, (c) non-cash charges related to deferred taxes and valuation allowances on deferred tax assets and (d) non-amortized fees related to Indebtedness that are written off.</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u w:val="single" w:color="auto"/>
          <w:color w:val="0000FF"/>
        </w:rPr>
        <w:t>“Adjusted Term SOFR” means, for purposes of any calculation, the rate per annum equal to (a) Term SOFR for such calculation plus</w:t>
      </w:r>
    </w:p>
    <w:p>
      <w:pPr>
        <w:spacing w:after="0" w:line="33" w:lineRule="exact"/>
        <w:rPr>
          <w:sz w:val="20"/>
          <w:szCs w:val="20"/>
          <w:color w:val="auto"/>
        </w:rPr>
      </w:pPr>
    </w:p>
    <w:p>
      <w:pPr>
        <w:ind w:right="20" w:firstLine="8"/>
        <w:spacing w:after="0" w:line="236" w:lineRule="auto"/>
        <w:tabs>
          <w:tab w:leader="none" w:pos="281" w:val="left"/>
        </w:tabs>
        <w:numPr>
          <w:ilvl w:val="0"/>
          <w:numId w:val="27"/>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u w:val="single" w:color="auto"/>
          <w:color w:val="0000FF"/>
        </w:rPr>
        <w:t>the Term SOFR Adjustment; provided that if Adjusted Term SOFR as so determined shall ever be less than the Floor, then Adjusted Term SOFR shall be deemed to be the Floor.</w:t>
      </w:r>
    </w:p>
    <w:p>
      <w:pPr>
        <w:spacing w:after="0" w:line="201" w:lineRule="exact"/>
        <w:rPr>
          <w:sz w:val="20"/>
          <w:szCs w:val="20"/>
          <w:color w:val="auto"/>
        </w:rPr>
      </w:pPr>
    </w:p>
    <w:p>
      <w:pPr>
        <w:ind w:right="16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Administrative Agent</w:t>
      </w:r>
      <w:r>
        <w:rPr>
          <w:rFonts w:ascii="Times New Roman" w:cs="Times New Roman" w:eastAsia="Times New Roman" w:hAnsi="Times New Roman"/>
          <w:sz w:val="20"/>
          <w:szCs w:val="20"/>
          <w:color w:val="auto"/>
        </w:rPr>
        <w:t xml:space="preserve">” means Wells Fargo, in its capacity as Administrative Agent hereunder, and any successor thereto appointed pursuant to </w:t>
      </w:r>
      <w:r>
        <w:rPr>
          <w:rFonts w:ascii="Times New Roman" w:cs="Times New Roman" w:eastAsia="Times New Roman" w:hAnsi="Times New Roman"/>
          <w:sz w:val="20"/>
          <w:szCs w:val="20"/>
          <w:u w:val="single" w:color="auto"/>
          <w:color w:val="auto"/>
        </w:rPr>
        <w:t>Section 11.6</w:t>
      </w:r>
      <w:r>
        <w:rPr>
          <w:rFonts w:ascii="Times New Roman" w:cs="Times New Roman" w:eastAsia="Times New Roman" w:hAnsi="Times New Roman"/>
          <w:sz w:val="20"/>
          <w:szCs w:val="20"/>
          <w:color w:val="auto"/>
        </w:rPr>
        <w:t>.</w:t>
      </w:r>
    </w:p>
    <w:p>
      <w:pPr>
        <w:spacing w:after="0" w:line="173" w:lineRule="exact"/>
        <w:rPr>
          <w:sz w:val="20"/>
          <w:szCs w:val="20"/>
          <w:color w:val="auto"/>
        </w:rPr>
      </w:pPr>
    </w:p>
    <w:p>
      <w:pPr>
        <w:ind w:right="4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Administrative Agent’s Office</w:t>
      </w:r>
      <w:r>
        <w:rPr>
          <w:rFonts w:ascii="Times New Roman" w:cs="Times New Roman" w:eastAsia="Times New Roman" w:hAnsi="Times New Roman"/>
          <w:sz w:val="20"/>
          <w:szCs w:val="20"/>
          <w:color w:val="auto"/>
        </w:rPr>
        <w:t xml:space="preserve">” means the office of the Administrative Agent specified in or determined in accordance with the provisions of </w:t>
      </w:r>
      <w:r>
        <w:rPr>
          <w:rFonts w:ascii="Times New Roman" w:cs="Times New Roman" w:eastAsia="Times New Roman" w:hAnsi="Times New Roman"/>
          <w:sz w:val="20"/>
          <w:szCs w:val="20"/>
          <w:u w:val="single" w:color="auto"/>
          <w:color w:val="auto"/>
        </w:rPr>
        <w:t>Section 12.1(c)</w:t>
      </w:r>
      <w:r>
        <w:rPr>
          <w:rFonts w:ascii="Times New Roman" w:cs="Times New Roman" w:eastAsia="Times New Roman" w:hAnsi="Times New Roman"/>
          <w:sz w:val="20"/>
          <w:szCs w:val="20"/>
          <w:color w:val="auto"/>
        </w:rPr>
        <w:t>.</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Administrative Questionnaire</w:t>
      </w:r>
      <w:r>
        <w:rPr>
          <w:rFonts w:ascii="Times New Roman" w:cs="Times New Roman" w:eastAsia="Times New Roman" w:hAnsi="Times New Roman"/>
          <w:sz w:val="20"/>
          <w:szCs w:val="20"/>
          <w:color w:val="auto"/>
        </w:rPr>
        <w:t>” means an administrative questionnaire in a form supplied by the Administrative Agent.</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Affected Financial Institution</w:t>
      </w:r>
      <w:r>
        <w:rPr>
          <w:rFonts w:ascii="Times New Roman" w:cs="Times New Roman" w:eastAsia="Times New Roman" w:hAnsi="Times New Roman"/>
          <w:sz w:val="20"/>
          <w:szCs w:val="20"/>
          <w:color w:val="auto"/>
        </w:rPr>
        <w:t>” means (a) any EEA Financial Institution or (b) any UK Financial Institution.</w:t>
      </w:r>
    </w:p>
    <w:p>
      <w:pPr>
        <w:spacing w:after="0" w:line="229" w:lineRule="exact"/>
        <w:rPr>
          <w:sz w:val="20"/>
          <w:szCs w:val="20"/>
          <w:color w:val="auto"/>
        </w:rPr>
      </w:pPr>
    </w:p>
    <w:p>
      <w:pPr>
        <w:ind w:right="200"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Affiliate</w:t>
      </w:r>
      <w:r>
        <w:rPr>
          <w:rFonts w:ascii="Times New Roman" w:cs="Times New Roman" w:eastAsia="Times New Roman" w:hAnsi="Times New Roman"/>
          <w:sz w:val="20"/>
          <w:szCs w:val="20"/>
          <w:color w:val="auto"/>
        </w:rPr>
        <w:t>” means, with respect to a specified Person, another Person that directly, or indirectly through one or more intermediaries, Controls or is Controlled by or is under common Control with the Person specified.</w:t>
      </w:r>
    </w:p>
    <w:p>
      <w:pPr>
        <w:spacing w:after="0" w:line="200"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Agents</w:t>
      </w:r>
      <w:r>
        <w:rPr>
          <w:rFonts w:ascii="Times New Roman" w:cs="Times New Roman" w:eastAsia="Times New Roman" w:hAnsi="Times New Roman"/>
          <w:sz w:val="20"/>
          <w:szCs w:val="20"/>
          <w:color w:val="auto"/>
        </w:rPr>
        <w:t>” means, collectively, the Administrative Agent, the Arrangers and the syndication agent and the documentation agents listed on the cover page hereto.</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Agent Parties</w:t>
      </w:r>
      <w:r>
        <w:rPr>
          <w:rFonts w:ascii="Times New Roman" w:cs="Times New Roman" w:eastAsia="Times New Roman" w:hAnsi="Times New Roman"/>
          <w:sz w:val="20"/>
          <w:szCs w:val="20"/>
          <w:color w:val="auto"/>
        </w:rPr>
        <w:t xml:space="preserve">” has the meaning assigned thereto in </w:t>
      </w:r>
      <w:r>
        <w:rPr>
          <w:rFonts w:ascii="Times New Roman" w:cs="Times New Roman" w:eastAsia="Times New Roman" w:hAnsi="Times New Roman"/>
          <w:sz w:val="20"/>
          <w:szCs w:val="20"/>
          <w:u w:val="single" w:color="auto"/>
          <w:color w:val="auto"/>
        </w:rPr>
        <w:t>Section 12.1(e)</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32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FF0000"/>
          <w:strike w:val="1"/>
        </w:rPr>
        <w:t>146960219_6</w:t>
      </w:r>
    </w:p>
    <w:p>
      <w:pPr>
        <w:spacing w:after="0" w:line="4" w:lineRule="exact"/>
        <w:rPr>
          <w:sz w:val="20"/>
          <w:szCs w:val="20"/>
          <w:color w:val="auto"/>
        </w:rPr>
      </w:pPr>
    </w:p>
    <w:p>
      <w:pPr>
        <w:ind w:left="280" w:hanging="218"/>
        <w:spacing w:after="0"/>
        <w:tabs>
          <w:tab w:leader="none" w:pos="28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240"/>
          </w:cols>
          <w:pgMar w:left="320" w:top="1070" w:right="339" w:bottom="1440" w:gutter="0" w:footer="0" w:header="0"/>
        </w:sectPr>
      </w:pPr>
    </w:p>
    <w:bookmarkStart w:id="85" w:name="page86"/>
    <w:bookmarkEnd w:id="85"/>
    <w:p>
      <w:pPr>
        <w:ind w:left="69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means this Credit Agreement, as amended, restated, supplemented or otherwise modified from time to time.</w:t>
      </w:r>
    </w:p>
    <w:p>
      <w:pPr>
        <w:spacing w:after="0" w:line="216" w:lineRule="exact"/>
        <w:rPr>
          <w:sz w:val="20"/>
          <w:szCs w:val="20"/>
          <w:color w:val="auto"/>
        </w:rPr>
      </w:pPr>
    </w:p>
    <w:p>
      <w:pPr>
        <w:ind w:left="58" w:firstLine="648"/>
        <w:spacing w:after="0" w:line="22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All-In Yield</w:t>
      </w:r>
      <w:r>
        <w:rPr>
          <w:rFonts w:ascii="Times New Roman" w:cs="Times New Roman" w:eastAsia="Times New Roman" w:hAnsi="Times New Roman"/>
          <w:sz w:val="20"/>
          <w:szCs w:val="20"/>
          <w:color w:val="auto"/>
        </w:rPr>
        <w:t>” means, as to any Indebtedness, the effective all-in yield applicable thereto as reasonably determined by the Administrative Agent in consultation with the Borrowers in a manner consistent with generally accepted financial practices, taking into</w:t>
      </w:r>
    </w:p>
    <w:p>
      <w:pPr>
        <w:spacing w:after="0" w:line="2" w:lineRule="exact"/>
        <w:rPr>
          <w:sz w:val="20"/>
          <w:szCs w:val="20"/>
          <w:color w:val="auto"/>
        </w:rPr>
      </w:pPr>
    </w:p>
    <w:p>
      <w:pPr>
        <w:ind w:left="58"/>
        <w:spacing w:after="0" w:line="215" w:lineRule="auto"/>
        <w:rPr>
          <w:sz w:val="20"/>
          <w:szCs w:val="20"/>
          <w:color w:val="auto"/>
        </w:rPr>
      </w:pPr>
      <w:r>
        <w:rPr>
          <w:rFonts w:ascii="Times New Roman" w:cs="Times New Roman" w:eastAsia="Times New Roman" w:hAnsi="Times New Roman"/>
          <w:sz w:val="19"/>
          <w:szCs w:val="19"/>
          <w:color w:val="auto"/>
        </w:rPr>
        <w:t>account: (a) interest rate margins, (b) original issue discount (“</w:t>
      </w:r>
      <w:r>
        <w:rPr>
          <w:rFonts w:ascii="Times New Roman" w:cs="Times New Roman" w:eastAsia="Times New Roman" w:hAnsi="Times New Roman"/>
          <w:sz w:val="19"/>
          <w:szCs w:val="19"/>
          <w:u w:val="single" w:color="auto"/>
          <w:color w:val="auto"/>
        </w:rPr>
        <w:t>OID</w:t>
      </w:r>
      <w:r>
        <w:rPr>
          <w:rFonts w:ascii="Times New Roman" w:cs="Times New Roman" w:eastAsia="Times New Roman" w:hAnsi="Times New Roman"/>
          <w:sz w:val="19"/>
          <w:szCs w:val="19"/>
          <w:color w:val="auto"/>
        </w:rPr>
        <w:t>”) and upfront or similar fees (which shall be deemed to constitute like amounts of OID) payable by the Borrowers or any of their respective Subsidiaries or Affiliates to the lenders under, or holders of, such</w:t>
      </w:r>
    </w:p>
    <w:p>
      <w:pPr>
        <w:ind w:left="58"/>
        <w:spacing w:after="0" w:line="215" w:lineRule="auto"/>
        <w:rPr>
          <w:sz w:val="20"/>
          <w:szCs w:val="20"/>
          <w:color w:val="auto"/>
        </w:rPr>
      </w:pPr>
      <w:r>
        <w:rPr>
          <w:rFonts w:ascii="Times New Roman" w:cs="Times New Roman" w:eastAsia="Times New Roman" w:hAnsi="Times New Roman"/>
          <w:sz w:val="19"/>
          <w:szCs w:val="19"/>
          <w:color w:val="auto"/>
        </w:rPr>
        <w:t>Indebtedness in the initial primary syndication thereof (with OID and upfront fees being equated to interest based on assumed four-year life to maturity (or, if less, the stated Weighted Average Life to Maturity at the time of its incurrence of the applicable Indebtedness)), and</w:t>
      </w:r>
    </w:p>
    <w:p>
      <w:pPr>
        <w:jc w:val="both"/>
        <w:ind w:left="58" w:hanging="5"/>
        <w:spacing w:after="0" w:line="210" w:lineRule="auto"/>
        <w:tabs>
          <w:tab w:leader="none" w:pos="334"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interest rate floor, but excluding (i) any arrangement, commitment, structuring, agency or underwriting fees that are not paid to or shared with all relevant lenders generally in connection with the commitment or syndication of such Indebtedness, (ii) any ticking, unused line or similar fees or (iii) any other fee that is not paid directly by the Borrowers generally to all relevant lenders ratably in the primary syndication of such Indebtedness;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to the extent that any interest rate specified for such Indebtedness that is subject to a floor (in each case, without giving effect to any such floor on the date on which the All-In Yield is being calculated) is less than such floor, the amount of such difference will be deemed added to the interest rate margin applicable to such Indebtedness for purposes of calculating the All-In Yield and (B) to the extent that any interest rate specified for such Indebtedness that is subject to a floor (in each case, without giving effect to any such floor on the date on which the All-In Yield is being calculated) is equal to or greater than such floor, the floor will be disregarded in calculating the All-In Yield.</w:t>
      </w:r>
    </w:p>
    <w:p>
      <w:pPr>
        <w:spacing w:after="0" w:line="205" w:lineRule="exact"/>
        <w:rPr>
          <w:sz w:val="20"/>
          <w:szCs w:val="20"/>
          <w:color w:val="auto"/>
        </w:rPr>
      </w:pPr>
    </w:p>
    <w:p>
      <w:pPr>
        <w:jc w:val="both"/>
        <w:ind w:left="58" w:firstLine="648"/>
        <w:spacing w:after="0" w:line="21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Anti-Corruption Laws</w:t>
      </w:r>
      <w:r>
        <w:rPr>
          <w:rFonts w:ascii="Times New Roman" w:cs="Times New Roman" w:eastAsia="Times New Roman" w:hAnsi="Times New Roman"/>
          <w:sz w:val="20"/>
          <w:szCs w:val="20"/>
          <w:color w:val="auto"/>
        </w:rPr>
        <w:t>” means all laws, rules, and regulations of any jurisdiction applicable to the Borrowers or their respective Subsidiaries from time to time concerning or relating to bribery or corruption, including, without limitation, the United States Foreign</w:t>
      </w:r>
    </w:p>
    <w:p>
      <w:pPr>
        <w:spacing w:after="0" w:line="1" w:lineRule="exact"/>
        <w:rPr>
          <w:sz w:val="20"/>
          <w:szCs w:val="20"/>
          <w:color w:val="auto"/>
        </w:rPr>
      </w:pPr>
    </w:p>
    <w:p>
      <w:pPr>
        <w:ind w:left="58"/>
        <w:spacing w:after="0"/>
        <w:rPr>
          <w:sz w:val="20"/>
          <w:szCs w:val="20"/>
          <w:color w:val="auto"/>
        </w:rPr>
      </w:pPr>
      <w:r>
        <w:rPr>
          <w:rFonts w:ascii="Times New Roman" w:cs="Times New Roman" w:eastAsia="Times New Roman" w:hAnsi="Times New Roman"/>
          <w:sz w:val="20"/>
          <w:szCs w:val="20"/>
          <w:color w:val="auto"/>
        </w:rPr>
        <w:t>Corrupt Practices Act of 1977, as amended, and the rules and regulations thereunder.</w:t>
      </w:r>
    </w:p>
    <w:p>
      <w:pPr>
        <w:spacing w:after="0" w:line="188" w:lineRule="exact"/>
        <w:rPr>
          <w:sz w:val="20"/>
          <w:szCs w:val="20"/>
          <w:color w:val="auto"/>
        </w:rPr>
      </w:pPr>
    </w:p>
    <w:p>
      <w:pPr>
        <w:ind w:left="69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Anti-Money Laundering Laws</w:t>
      </w:r>
      <w:r>
        <w:rPr>
          <w:rFonts w:ascii="Times New Roman" w:cs="Times New Roman" w:eastAsia="Times New Roman" w:hAnsi="Times New Roman"/>
          <w:sz w:val="20"/>
          <w:szCs w:val="20"/>
          <w:color w:val="auto"/>
        </w:rPr>
        <w:t>” means any and all laws, statutes, regulations or obligatory government decrees, orders,</w:t>
      </w:r>
    </w:p>
    <w:p>
      <w:pPr>
        <w:jc w:val="both"/>
        <w:ind w:left="58"/>
        <w:spacing w:after="0" w:line="204" w:lineRule="auto"/>
        <w:rPr>
          <w:sz w:val="20"/>
          <w:szCs w:val="20"/>
          <w:color w:val="auto"/>
        </w:rPr>
      </w:pPr>
      <w:r>
        <w:rPr>
          <w:rFonts w:ascii="Times New Roman" w:cs="Times New Roman" w:eastAsia="Times New Roman" w:hAnsi="Times New Roman"/>
          <w:sz w:val="20"/>
          <w:szCs w:val="20"/>
          <w:color w:val="auto"/>
        </w:rPr>
        <w:t>ordinances or rules applicable to the Borrowers or their respective Subsidiaries or Affiliates related to terrorism financing or money laundering including any applicable provision of the PATRIOT Act and The Currency and Foreign Transactions Reporting Act (also</w:t>
      </w:r>
    </w:p>
    <w:p>
      <w:pPr>
        <w:spacing w:after="0" w:line="1" w:lineRule="exact"/>
        <w:rPr>
          <w:sz w:val="20"/>
          <w:szCs w:val="20"/>
          <w:color w:val="auto"/>
        </w:rPr>
      </w:pPr>
    </w:p>
    <w:p>
      <w:pPr>
        <w:ind w:left="58"/>
        <w:spacing w:after="0"/>
        <w:rPr>
          <w:sz w:val="20"/>
          <w:szCs w:val="20"/>
          <w:color w:val="auto"/>
        </w:rPr>
      </w:pPr>
      <w:r>
        <w:rPr>
          <w:rFonts w:ascii="Times New Roman" w:cs="Times New Roman" w:eastAsia="Times New Roman" w:hAnsi="Times New Roman"/>
          <w:sz w:val="20"/>
          <w:szCs w:val="20"/>
          <w:color w:val="auto"/>
        </w:rPr>
        <w:t>known as the “Bank Secrecy Act,” 31 U.S.C. §§ 5311-5330 and 12 U.S.C. §§ 1818(s), 1820(b) and 1951-1959).</w:t>
      </w:r>
    </w:p>
    <w:p>
      <w:pPr>
        <w:spacing w:after="0" w:line="194" w:lineRule="exact"/>
        <w:rPr>
          <w:sz w:val="20"/>
          <w:szCs w:val="20"/>
          <w:color w:val="auto"/>
        </w:rPr>
      </w:pPr>
    </w:p>
    <w:p>
      <w:pPr>
        <w:ind w:left="698"/>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Applicable Designee</w:t>
      </w:r>
      <w:r>
        <w:rPr>
          <w:rFonts w:ascii="Times New Roman" w:cs="Times New Roman" w:eastAsia="Times New Roman" w:hAnsi="Times New Roman"/>
          <w:sz w:val="19"/>
          <w:szCs w:val="19"/>
          <w:color w:val="auto"/>
        </w:rPr>
        <w:t>” means any office, branch or Affiliate of a Lender designated thereby from time to time by written notice to</w:t>
      </w:r>
    </w:p>
    <w:p>
      <w:pPr>
        <w:spacing w:after="0" w:line="6" w:lineRule="exact"/>
        <w:rPr>
          <w:sz w:val="20"/>
          <w:szCs w:val="20"/>
          <w:color w:val="auto"/>
        </w:rPr>
      </w:pPr>
    </w:p>
    <w:p>
      <w:pPr>
        <w:jc w:val="both"/>
        <w:ind w:left="58"/>
        <w:spacing w:after="0" w:line="204" w:lineRule="auto"/>
        <w:rPr>
          <w:sz w:val="20"/>
          <w:szCs w:val="20"/>
          <w:color w:val="auto"/>
        </w:rPr>
      </w:pPr>
      <w:r>
        <w:rPr>
          <w:rFonts w:ascii="Times New Roman" w:cs="Times New Roman" w:eastAsia="Times New Roman" w:hAnsi="Times New Roman"/>
          <w:sz w:val="20"/>
          <w:szCs w:val="20"/>
          <w:color w:val="auto"/>
        </w:rPr>
        <w:t>the Administrative Agent and Centuri to fund all or any portion of such Lender’s Canadian Revolving Credit Loans and, to the extent applicable, any Incremental Term Loan made to any Canadian Borrower under this Agreement. Notwithstanding the designation by any</w:t>
      </w:r>
    </w:p>
    <w:p>
      <w:pPr>
        <w:ind w:left="58"/>
        <w:spacing w:after="0" w:line="211" w:lineRule="auto"/>
        <w:rPr>
          <w:sz w:val="20"/>
          <w:szCs w:val="20"/>
          <w:color w:val="auto"/>
        </w:rPr>
      </w:pPr>
      <w:r>
        <w:rPr>
          <w:rFonts w:ascii="Times New Roman" w:cs="Times New Roman" w:eastAsia="Times New Roman" w:hAnsi="Times New Roman"/>
          <w:sz w:val="20"/>
          <w:szCs w:val="20"/>
          <w:color w:val="auto"/>
        </w:rPr>
        <w:t>Lender of an Applicable Designee, the Borrowers and the Administrative Agent shall be permitted to deal solely and directly with such</w:t>
      </w:r>
    </w:p>
    <w:p>
      <w:pPr>
        <w:spacing w:after="0" w:line="1" w:lineRule="exact"/>
        <w:rPr>
          <w:sz w:val="20"/>
          <w:szCs w:val="20"/>
          <w:color w:val="auto"/>
        </w:rPr>
      </w:pPr>
    </w:p>
    <w:p>
      <w:pPr>
        <w:jc w:val="both"/>
        <w:ind w:left="58"/>
        <w:spacing w:after="0" w:line="221" w:lineRule="auto"/>
        <w:rPr>
          <w:sz w:val="20"/>
          <w:szCs w:val="20"/>
          <w:color w:val="auto"/>
        </w:rPr>
      </w:pPr>
      <w:r>
        <w:rPr>
          <w:rFonts w:ascii="Times New Roman" w:cs="Times New Roman" w:eastAsia="Times New Roman" w:hAnsi="Times New Roman"/>
          <w:sz w:val="20"/>
          <w:szCs w:val="20"/>
          <w:color w:val="auto"/>
        </w:rPr>
        <w:t>Lender in connection with such Lender’s rights and obligations under this Agreement, and no such designation shall relieve any such Lender of its obligations hereunder.</w:t>
      </w:r>
    </w:p>
    <w:p>
      <w:pPr>
        <w:spacing w:after="0" w:line="202" w:lineRule="exact"/>
        <w:rPr>
          <w:sz w:val="20"/>
          <w:szCs w:val="20"/>
          <w:color w:val="auto"/>
        </w:rPr>
      </w:pPr>
    </w:p>
    <w:p>
      <w:pPr>
        <w:jc w:val="both"/>
        <w:ind w:left="58" w:right="20"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Law</w:t>
      </w:r>
      <w:r>
        <w:rPr>
          <w:rFonts w:ascii="Times New Roman" w:cs="Times New Roman" w:eastAsia="Times New Roman" w:hAnsi="Times New Roman"/>
          <w:sz w:val="20"/>
          <w:szCs w:val="20"/>
          <w:color w:val="auto"/>
        </w:rPr>
        <w:t>” means all applicable provisions of constitutions, laws, statutes, ordinances, rules, treaties, regulations, permits, licenses, approvals, interpretations and orders of courts or Governmental Authorities and all orders and decrees of all courts and arbitrators.</w:t>
      </w:r>
    </w:p>
    <w:p>
      <w:pPr>
        <w:spacing w:after="0" w:line="201" w:lineRule="exact"/>
        <w:rPr>
          <w:sz w:val="20"/>
          <w:szCs w:val="20"/>
          <w:color w:val="auto"/>
        </w:rPr>
      </w:pPr>
    </w:p>
    <w:p>
      <w:pPr>
        <w:ind w:left="69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Margin</w:t>
      </w:r>
      <w:r>
        <w:rPr>
          <w:rFonts w:ascii="Times New Roman" w:cs="Times New Roman" w:eastAsia="Times New Roman" w:hAnsi="Times New Roman"/>
          <w:sz w:val="20"/>
          <w:szCs w:val="20"/>
          <w:color w:val="auto"/>
        </w:rPr>
        <w:t>” means:</w:t>
      </w:r>
    </w:p>
    <w:p>
      <w:pPr>
        <w:spacing w:after="0" w:line="278" w:lineRule="exact"/>
        <w:rPr>
          <w:sz w:val="20"/>
          <w:szCs w:val="20"/>
          <w:color w:val="auto"/>
        </w:rPr>
      </w:pPr>
    </w:p>
    <w:p>
      <w:pPr>
        <w:ind w:left="1238" w:hanging="536"/>
        <w:spacing w:after="0"/>
        <w:tabs>
          <w:tab w:leader="none" w:pos="1238"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the Initial Term Loans, (i) for LIBOR Rate Loans, 2.50% per annum and</w:t>
      </w:r>
    </w:p>
    <w:p>
      <w:pPr>
        <w:ind w:left="338" w:hanging="285"/>
        <w:spacing w:after="0"/>
        <w:tabs>
          <w:tab w:leader="none" w:pos="338"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Base Rate Loans, 1.50% per annum; and</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18"/>
        <w:spacing w:after="0"/>
        <w:rPr>
          <w:sz w:val="20"/>
          <w:szCs w:val="20"/>
          <w:color w:val="auto"/>
        </w:rPr>
      </w:pPr>
      <w:r>
        <w:rPr>
          <w:rFonts w:ascii="Times New Roman" w:cs="Times New Roman" w:eastAsia="Times New Roman" w:hAnsi="Times New Roman"/>
          <w:sz w:val="14"/>
          <w:szCs w:val="14"/>
          <w:color w:val="FF0000"/>
          <w:strike w:val="1"/>
        </w:rPr>
        <w:t>146960219_6</w:t>
      </w:r>
    </w:p>
    <w:p>
      <w:pPr>
        <w:spacing w:after="0" w:line="4" w:lineRule="exact"/>
        <w:rPr>
          <w:sz w:val="20"/>
          <w:szCs w:val="20"/>
          <w:color w:val="auto"/>
        </w:rPr>
      </w:pPr>
    </w:p>
    <w:p>
      <w:pPr>
        <w:ind w:left="218" w:hanging="218"/>
        <w:spacing w:after="0"/>
        <w:tabs>
          <w:tab w:leader="none" w:pos="218"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078"/>
          </w:cols>
          <w:pgMar w:left="382" w:top="1399" w:right="439" w:bottom="1440" w:gutter="0" w:footer="0" w:header="0"/>
        </w:sectPr>
      </w:pPr>
    </w:p>
    <w:bookmarkStart w:id="86" w:name="page87"/>
    <w:bookmarkEnd w:id="86"/>
    <w:p>
      <w:pPr>
        <w:ind w:left="80" w:right="420" w:firstLine="642"/>
        <w:spacing w:after="0"/>
        <w:tabs>
          <w:tab w:leader="none" w:pos="1242"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the Revolving Credit Facility, the corresponding percentages per annum as set forth below based on the Consolidated Net Leverage Ratio:</w:t>
      </w:r>
    </w:p>
    <w:p>
      <w:pPr>
        <w:spacing w:after="0" w:line="231"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1400" w:type="dxa"/>
            <w:vAlign w:val="bottom"/>
            <w:tcBorders>
              <w:top w:val="single" w:sz="8" w:color="auto"/>
              <w:right w:val="single" w:sz="8" w:color="auto"/>
            </w:tcBorders>
            <w:gridSpan w:val="3"/>
          </w:tcPr>
          <w:p>
            <w:pPr>
              <w:jc w:val="center"/>
              <w:ind w:right="280"/>
              <w:spacing w:after="0" w:line="202" w:lineRule="exact"/>
              <w:rPr>
                <w:sz w:val="20"/>
                <w:szCs w:val="20"/>
                <w:color w:val="auto"/>
              </w:rPr>
            </w:pPr>
            <w:r>
              <w:rPr>
                <w:rFonts w:ascii="Times New Roman" w:cs="Times New Roman" w:eastAsia="Times New Roman" w:hAnsi="Times New Roman"/>
                <w:sz w:val="18"/>
                <w:szCs w:val="18"/>
                <w:b w:val="1"/>
                <w:bCs w:val="1"/>
                <w:color w:val="auto"/>
                <w:w w:val="99"/>
              </w:rPr>
              <w:t>Pricing</w:t>
            </w:r>
          </w:p>
        </w:tc>
        <w:tc>
          <w:tcPr>
            <w:tcW w:w="100" w:type="dxa"/>
            <w:vAlign w:val="bottom"/>
            <w:tcBorders>
              <w:top w:val="single" w:sz="8" w:color="auto"/>
            </w:tcBorders>
          </w:tcPr>
          <w:p>
            <w:pPr>
              <w:spacing w:after="0"/>
              <w:rPr>
                <w:sz w:val="17"/>
                <w:szCs w:val="17"/>
                <w:color w:val="auto"/>
              </w:rPr>
            </w:pPr>
          </w:p>
        </w:tc>
        <w:tc>
          <w:tcPr>
            <w:tcW w:w="3900" w:type="dxa"/>
            <w:vAlign w:val="bottom"/>
            <w:tcBorders>
              <w:top w:val="single" w:sz="8" w:color="auto"/>
              <w:right w:val="single" w:sz="8" w:color="auto"/>
            </w:tcBorders>
            <w:gridSpan w:val="6"/>
          </w:tcPr>
          <w:p>
            <w:pPr>
              <w:ind w:left="200"/>
              <w:spacing w:after="0" w:line="202" w:lineRule="exact"/>
              <w:rPr>
                <w:sz w:val="20"/>
                <w:szCs w:val="20"/>
                <w:color w:val="auto"/>
              </w:rPr>
            </w:pPr>
            <w:r>
              <w:rPr>
                <w:rFonts w:ascii="Times New Roman" w:cs="Times New Roman" w:eastAsia="Times New Roman" w:hAnsi="Times New Roman"/>
                <w:sz w:val="18"/>
                <w:szCs w:val="18"/>
                <w:b w:val="1"/>
                <w:bCs w:val="1"/>
                <w:color w:val="auto"/>
              </w:rPr>
              <w:t>Consolidated Net Leverage Ratio</w:t>
            </w:r>
          </w:p>
        </w:tc>
        <w:tc>
          <w:tcPr>
            <w:tcW w:w="2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6"/>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FF0000"/>
                <w:strike w:val="1"/>
                <w:w w:val="99"/>
              </w:rPr>
              <w:t>LIBOR Rate</w:t>
            </w:r>
          </w:p>
        </w:tc>
        <w:tc>
          <w:tcPr>
            <w:tcW w:w="280" w:type="dxa"/>
            <w:vAlign w:val="bottom"/>
            <w:tcBorders>
              <w:top w:val="single" w:sz="8" w:color="auto"/>
              <w:right w:val="single" w:sz="8" w:color="auto"/>
            </w:tcBorders>
          </w:tcPr>
          <w:p>
            <w:pPr>
              <w:spacing w:after="0"/>
              <w:rPr>
                <w:sz w:val="17"/>
                <w:szCs w:val="17"/>
                <w:color w:val="auto"/>
              </w:rPr>
            </w:pPr>
          </w:p>
        </w:tc>
        <w:tc>
          <w:tcPr>
            <w:tcW w:w="1920" w:type="dxa"/>
            <w:vAlign w:val="bottom"/>
            <w:tcBorders>
              <w:top w:val="single" w:sz="8" w:color="auto"/>
              <w:right w:val="single" w:sz="8" w:color="auto"/>
            </w:tcBorders>
            <w:gridSpan w:val="3"/>
          </w:tcPr>
          <w:p>
            <w:pPr>
              <w:jc w:val="center"/>
              <w:ind w:right="20"/>
              <w:spacing w:after="0" w:line="202" w:lineRule="exact"/>
              <w:rPr>
                <w:sz w:val="20"/>
                <w:szCs w:val="20"/>
                <w:color w:val="auto"/>
              </w:rPr>
            </w:pPr>
            <w:r>
              <w:rPr>
                <w:rFonts w:ascii="Times New Roman" w:cs="Times New Roman" w:eastAsia="Times New Roman" w:hAnsi="Times New Roman"/>
                <w:sz w:val="18"/>
                <w:szCs w:val="18"/>
                <w:b w:val="1"/>
                <w:bCs w:val="1"/>
                <w:color w:val="auto"/>
                <w:w w:val="99"/>
              </w:rPr>
              <w:t>Base Rate and</w:t>
            </w:r>
          </w:p>
        </w:tc>
        <w:tc>
          <w:tcPr>
            <w:tcW w:w="1900" w:type="dxa"/>
            <w:vAlign w:val="bottom"/>
            <w:tcBorders>
              <w:top w:val="single" w:sz="8" w:color="auto"/>
            </w:tcBorders>
            <w:gridSpan w:val="3"/>
          </w:tcPr>
          <w:p>
            <w:pPr>
              <w:jc w:val="right"/>
              <w:ind w:right="340"/>
              <w:spacing w:after="0" w:line="202" w:lineRule="exact"/>
              <w:rPr>
                <w:sz w:val="20"/>
                <w:szCs w:val="20"/>
                <w:color w:val="auto"/>
              </w:rPr>
            </w:pPr>
            <w:r>
              <w:rPr>
                <w:rFonts w:ascii="Times New Roman" w:cs="Times New Roman" w:eastAsia="Times New Roman" w:hAnsi="Times New Roman"/>
                <w:sz w:val="18"/>
                <w:szCs w:val="18"/>
                <w:b w:val="1"/>
                <w:bCs w:val="1"/>
                <w:color w:val="auto"/>
              </w:rPr>
              <w:t>Commitment Fee</w:t>
            </w:r>
          </w:p>
        </w:tc>
      </w:tr>
      <w:tr>
        <w:trPr>
          <w:trHeight w:val="175"/>
        </w:trPr>
        <w:tc>
          <w:tcPr>
            <w:tcW w:w="1400" w:type="dxa"/>
            <w:vAlign w:val="bottom"/>
            <w:tcBorders>
              <w:right w:val="single" w:sz="8" w:color="auto"/>
            </w:tcBorders>
            <w:gridSpan w:val="3"/>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9"/>
              </w:rPr>
              <w:t>Level</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Borders>
              <w:right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gridSpan w:val="6"/>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0000FF"/>
                <w:strike w:val="1"/>
                <w:w w:val="98"/>
              </w:rPr>
              <w:t>Adjusted Term</w:t>
            </w:r>
          </w:p>
        </w:tc>
        <w:tc>
          <w:tcPr>
            <w:tcW w:w="280" w:type="dxa"/>
            <w:vAlign w:val="bottom"/>
            <w:tcBorders>
              <w:right w:val="single" w:sz="8" w:color="auto"/>
            </w:tcBorders>
          </w:tcPr>
          <w:p>
            <w:pPr>
              <w:spacing w:after="0"/>
              <w:rPr>
                <w:sz w:val="15"/>
                <w:szCs w:val="15"/>
                <w:color w:val="auto"/>
              </w:rPr>
            </w:pPr>
          </w:p>
        </w:tc>
        <w:tc>
          <w:tcPr>
            <w:tcW w:w="1920" w:type="dxa"/>
            <w:vAlign w:val="bottom"/>
            <w:tcBorders>
              <w:right w:val="single" w:sz="8" w:color="auto"/>
            </w:tcBorders>
            <w:gridSpan w:val="3"/>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Canadian Base</w:t>
            </w:r>
          </w:p>
        </w:tc>
        <w:tc>
          <w:tcPr>
            <w:tcW w:w="4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56"/>
        </w:trPr>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8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480" w:type="dxa"/>
            <w:vAlign w:val="bottom"/>
            <w:tcBorders>
              <w:top w:val="single" w:sz="8" w:color="0000FF"/>
              <w:bottom w:val="single" w:sz="8" w:color="0000FF"/>
            </w:tcBorders>
            <w:gridSpan w:val="2"/>
          </w:tcPr>
          <w:p>
            <w:pPr>
              <w:spacing w:after="0" w:line="156" w:lineRule="exact"/>
              <w:rPr>
                <w:sz w:val="20"/>
                <w:szCs w:val="20"/>
                <w:color w:val="auto"/>
              </w:rPr>
            </w:pPr>
            <w:r>
              <w:rPr>
                <w:rFonts w:ascii="Times New Roman" w:cs="Times New Roman" w:eastAsia="Times New Roman" w:hAnsi="Times New Roman"/>
                <w:sz w:val="18"/>
                <w:szCs w:val="18"/>
                <w:b w:val="1"/>
                <w:bCs w:val="1"/>
                <w:color w:val="0000FF"/>
                <w:strike w:val="1"/>
                <w:w w:val="95"/>
              </w:rPr>
              <w:t>SOFR</w:t>
            </w:r>
          </w:p>
        </w:tc>
        <w:tc>
          <w:tcPr>
            <w:tcW w:w="4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Borders>
              <w:top w:val="single" w:sz="8" w:color="0000FF"/>
            </w:tcBorders>
          </w:tcPr>
          <w:p>
            <w:pPr>
              <w:jc w:val="center"/>
              <w:ind w:right="70"/>
              <w:spacing w:after="0" w:line="156" w:lineRule="exact"/>
              <w:rPr>
                <w:sz w:val="20"/>
                <w:szCs w:val="20"/>
                <w:color w:val="auto"/>
              </w:rPr>
            </w:pPr>
            <w:r>
              <w:rPr>
                <w:rFonts w:ascii="Times New Roman" w:cs="Times New Roman" w:eastAsia="Times New Roman" w:hAnsi="Times New Roman"/>
                <w:sz w:val="18"/>
                <w:szCs w:val="18"/>
                <w:b w:val="1"/>
                <w:bCs w:val="1"/>
                <w:color w:val="auto"/>
                <w:strike w:val="1"/>
                <w:w w:val="82"/>
              </w:rPr>
              <w:t>and</w:t>
            </w:r>
          </w:p>
        </w:tc>
        <w:tc>
          <w:tcPr>
            <w:tcW w:w="280" w:type="dxa"/>
            <w:vAlign w:val="bottom"/>
            <w:tcBorders>
              <w:right w:val="single" w:sz="8" w:color="auto"/>
            </w:tcBorders>
          </w:tcPr>
          <w:p>
            <w:pPr>
              <w:spacing w:after="0"/>
              <w:rPr>
                <w:sz w:val="13"/>
                <w:szCs w:val="13"/>
                <w:color w:val="auto"/>
              </w:rPr>
            </w:pPr>
          </w:p>
        </w:tc>
        <w:tc>
          <w:tcPr>
            <w:tcW w:w="1920" w:type="dxa"/>
            <w:vAlign w:val="bottom"/>
            <w:tcBorders>
              <w:right w:val="single" w:sz="8" w:color="auto"/>
            </w:tcBorders>
            <w:gridSpan w:val="3"/>
          </w:tcPr>
          <w:p>
            <w:pPr>
              <w:jc w:val="center"/>
              <w:ind w:right="20"/>
              <w:spacing w:after="0" w:line="156" w:lineRule="exact"/>
              <w:rPr>
                <w:sz w:val="20"/>
                <w:szCs w:val="20"/>
                <w:color w:val="auto"/>
              </w:rPr>
            </w:pPr>
            <w:r>
              <w:rPr>
                <w:rFonts w:ascii="Times New Roman" w:cs="Times New Roman" w:eastAsia="Times New Roman" w:hAnsi="Times New Roman"/>
                <w:sz w:val="18"/>
                <w:szCs w:val="18"/>
                <w:b w:val="1"/>
                <w:bCs w:val="1"/>
                <w:color w:val="auto"/>
                <w:w w:val="98"/>
              </w:rPr>
              <w:t>Rate +</w:t>
            </w:r>
          </w:p>
        </w:tc>
        <w:tc>
          <w:tcPr>
            <w:tcW w:w="4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209"/>
        </w:trPr>
        <w:tc>
          <w:tcPr>
            <w:tcW w:w="5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80" w:type="dxa"/>
            <w:vAlign w:val="bottom"/>
            <w:tcBorders>
              <w:bottom w:val="single" w:sz="8" w:color="auto"/>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strike w:val="1"/>
              </w:rPr>
              <w:t>CDOR</w:t>
            </w:r>
          </w:p>
        </w:tc>
        <w:tc>
          <w:tcPr>
            <w:tcW w:w="5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strike w:val="1"/>
                <w:w w:val="90"/>
              </w:rPr>
              <w:t>Rate +</w:t>
            </w:r>
          </w:p>
        </w:tc>
        <w:tc>
          <w:tcPr>
            <w:tcW w:w="280" w:type="dxa"/>
            <w:vAlign w:val="bottom"/>
            <w:tcBorders>
              <w:bottom w:val="single" w:sz="8" w:color="auto"/>
              <w:right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r>
      <w:tr>
        <w:trPr>
          <w:trHeight w:val="243"/>
        </w:trPr>
        <w:tc>
          <w:tcPr>
            <w:tcW w:w="580" w:type="dxa"/>
            <w:vAlign w:val="bottom"/>
            <w:tcBorders>
              <w:bottom w:val="single" w:sz="8" w:color="auto"/>
            </w:tcBorders>
          </w:tcPr>
          <w:p>
            <w:pPr>
              <w:spacing w:after="0"/>
              <w:rPr>
                <w:sz w:val="21"/>
                <w:szCs w:val="21"/>
                <w:color w:val="auto"/>
              </w:rPr>
            </w:pPr>
          </w:p>
        </w:tc>
        <w:tc>
          <w:tcPr>
            <w:tcW w:w="820" w:type="dxa"/>
            <w:vAlign w:val="bottom"/>
            <w:tcBorders>
              <w:bottom w:val="single" w:sz="8" w:color="auto"/>
              <w:right w:val="single" w:sz="8" w:color="auto"/>
            </w:tcBorders>
            <w:gridSpan w:val="2"/>
          </w:tcPr>
          <w:p>
            <w:pPr>
              <w:jc w:val="center"/>
              <w:ind w:right="600"/>
              <w:spacing w:after="0"/>
              <w:rPr>
                <w:sz w:val="20"/>
                <w:szCs w:val="20"/>
                <w:color w:val="auto"/>
              </w:rPr>
            </w:pPr>
            <w:r>
              <w:rPr>
                <w:rFonts w:ascii="Times New Roman" w:cs="Times New Roman" w:eastAsia="Times New Roman" w:hAnsi="Times New Roman"/>
                <w:sz w:val="18"/>
                <w:szCs w:val="18"/>
                <w:color w:val="auto"/>
                <w:w w:val="99"/>
              </w:rPr>
              <w:t>I</w:t>
            </w:r>
          </w:p>
        </w:tc>
        <w:tc>
          <w:tcPr>
            <w:tcW w:w="100" w:type="dxa"/>
            <w:vAlign w:val="bottom"/>
            <w:tcBorders>
              <w:bottom w:val="single" w:sz="8" w:color="auto"/>
            </w:tcBorders>
          </w:tcPr>
          <w:p>
            <w:pPr>
              <w:spacing w:after="0"/>
              <w:rPr>
                <w:sz w:val="21"/>
                <w:szCs w:val="21"/>
                <w:color w:val="auto"/>
              </w:rPr>
            </w:pPr>
          </w:p>
        </w:tc>
        <w:tc>
          <w:tcPr>
            <w:tcW w:w="3900" w:type="dxa"/>
            <w:vAlign w:val="bottom"/>
            <w:tcBorders>
              <w:bottom w:val="single" w:sz="8" w:color="auto"/>
              <w:right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Less than or equal to 2.00 to 1.00</w:t>
            </w:r>
          </w:p>
        </w:tc>
        <w:tc>
          <w:tcPr>
            <w:tcW w:w="920" w:type="dxa"/>
            <w:vAlign w:val="bottom"/>
            <w:tcBorders>
              <w:bottom w:val="single" w:sz="8" w:color="auto"/>
            </w:tcBorders>
            <w:gridSpan w:val="4"/>
          </w:tcPr>
          <w:p>
            <w:pPr>
              <w:ind w:left="440"/>
              <w:spacing w:after="0"/>
              <w:rPr>
                <w:sz w:val="20"/>
                <w:szCs w:val="20"/>
                <w:color w:val="auto"/>
              </w:rPr>
            </w:pPr>
            <w:r>
              <w:rPr>
                <w:rFonts w:ascii="Times New Roman" w:cs="Times New Roman" w:eastAsia="Times New Roman" w:hAnsi="Times New Roman"/>
                <w:sz w:val="18"/>
                <w:szCs w:val="18"/>
                <w:color w:val="auto"/>
                <w:w w:val="98"/>
              </w:rPr>
              <w:t>1.00%</w:t>
            </w:r>
          </w:p>
        </w:tc>
        <w:tc>
          <w:tcPr>
            <w:tcW w:w="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280" w:type="dxa"/>
            <w:vAlign w:val="bottom"/>
            <w:tcBorders>
              <w:bottom w:val="single" w:sz="8" w:color="auto"/>
              <w:right w:val="single" w:sz="8" w:color="auto"/>
            </w:tcBorders>
          </w:tcPr>
          <w:p>
            <w:pPr>
              <w:spacing w:after="0"/>
              <w:rPr>
                <w:sz w:val="21"/>
                <w:szCs w:val="21"/>
                <w:color w:val="auto"/>
              </w:rPr>
            </w:pPr>
          </w:p>
        </w:tc>
        <w:tc>
          <w:tcPr>
            <w:tcW w:w="1180" w:type="dxa"/>
            <w:vAlign w:val="bottom"/>
            <w:tcBorders>
              <w:bottom w:val="single" w:sz="8" w:color="auto"/>
            </w:tcBorders>
            <w:gridSpan w:val="2"/>
          </w:tcPr>
          <w:p>
            <w:pPr>
              <w:jc w:val="center"/>
              <w:ind w:left="630"/>
              <w:spacing w:after="0"/>
              <w:rPr>
                <w:sz w:val="20"/>
                <w:szCs w:val="20"/>
                <w:color w:val="auto"/>
              </w:rPr>
            </w:pPr>
            <w:r>
              <w:rPr>
                <w:rFonts w:ascii="Times New Roman" w:cs="Times New Roman" w:eastAsia="Times New Roman" w:hAnsi="Times New Roman"/>
                <w:sz w:val="18"/>
                <w:szCs w:val="18"/>
                <w:color w:val="auto"/>
                <w:w w:val="98"/>
              </w:rPr>
              <w:t>0.00%</w:t>
            </w:r>
          </w:p>
        </w:tc>
        <w:tc>
          <w:tcPr>
            <w:tcW w:w="74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0.150%</w:t>
            </w:r>
          </w:p>
        </w:tc>
        <w:tc>
          <w:tcPr>
            <w:tcW w:w="880" w:type="dxa"/>
            <w:vAlign w:val="bottom"/>
            <w:tcBorders>
              <w:bottom w:val="single" w:sz="8" w:color="auto"/>
            </w:tcBorders>
          </w:tcPr>
          <w:p>
            <w:pPr>
              <w:spacing w:after="0"/>
              <w:rPr>
                <w:sz w:val="21"/>
                <w:szCs w:val="21"/>
                <w:color w:val="auto"/>
              </w:rPr>
            </w:pPr>
          </w:p>
        </w:tc>
      </w:tr>
      <w:tr>
        <w:trPr>
          <w:trHeight w:val="189"/>
        </w:trPr>
        <w:tc>
          <w:tcPr>
            <w:tcW w:w="580" w:type="dxa"/>
            <w:vAlign w:val="bottom"/>
          </w:tcPr>
          <w:p>
            <w:pPr>
              <w:spacing w:after="0"/>
              <w:rPr>
                <w:sz w:val="16"/>
                <w:szCs w:val="16"/>
                <w:color w:val="auto"/>
              </w:rPr>
            </w:pPr>
          </w:p>
        </w:tc>
        <w:tc>
          <w:tcPr>
            <w:tcW w:w="820" w:type="dxa"/>
            <w:vAlign w:val="bottom"/>
            <w:tcBorders>
              <w:right w:val="single" w:sz="8" w:color="auto"/>
            </w:tcBorders>
            <w:gridSpan w:val="2"/>
          </w:tcPr>
          <w:p>
            <w:pPr>
              <w:jc w:val="center"/>
              <w:ind w:right="580"/>
              <w:spacing w:after="0" w:line="189" w:lineRule="exact"/>
              <w:rPr>
                <w:sz w:val="20"/>
                <w:szCs w:val="20"/>
                <w:color w:val="auto"/>
              </w:rPr>
            </w:pPr>
            <w:r>
              <w:rPr>
                <w:rFonts w:ascii="Times New Roman" w:cs="Times New Roman" w:eastAsia="Times New Roman" w:hAnsi="Times New Roman"/>
                <w:sz w:val="18"/>
                <w:szCs w:val="18"/>
                <w:color w:val="auto"/>
                <w:w w:val="99"/>
              </w:rPr>
              <w:t>II</w:t>
            </w:r>
          </w:p>
        </w:tc>
        <w:tc>
          <w:tcPr>
            <w:tcW w:w="100" w:type="dxa"/>
            <w:vAlign w:val="bottom"/>
          </w:tcPr>
          <w:p>
            <w:pPr>
              <w:spacing w:after="0"/>
              <w:rPr>
                <w:sz w:val="16"/>
                <w:szCs w:val="16"/>
                <w:color w:val="auto"/>
              </w:rPr>
            </w:pPr>
          </w:p>
        </w:tc>
        <w:tc>
          <w:tcPr>
            <w:tcW w:w="3900" w:type="dxa"/>
            <w:vAlign w:val="bottom"/>
            <w:tcBorders>
              <w:right w:val="single" w:sz="8" w:color="auto"/>
            </w:tcBorders>
            <w:gridSpan w:val="6"/>
          </w:tcPr>
          <w:p>
            <w:pPr>
              <w:spacing w:after="0" w:line="189" w:lineRule="exact"/>
              <w:rPr>
                <w:sz w:val="20"/>
                <w:szCs w:val="20"/>
                <w:color w:val="auto"/>
              </w:rPr>
            </w:pPr>
            <w:r>
              <w:rPr>
                <w:rFonts w:ascii="Times New Roman" w:cs="Times New Roman" w:eastAsia="Times New Roman" w:hAnsi="Times New Roman"/>
                <w:sz w:val="18"/>
                <w:szCs w:val="18"/>
                <w:color w:val="auto"/>
              </w:rPr>
              <w:t>Greater than 2.00 to 1.00, but less than or equal to</w:t>
            </w:r>
          </w:p>
        </w:tc>
        <w:tc>
          <w:tcPr>
            <w:tcW w:w="920" w:type="dxa"/>
            <w:vAlign w:val="bottom"/>
            <w:gridSpan w:val="4"/>
          </w:tcPr>
          <w:p>
            <w:pPr>
              <w:ind w:left="440"/>
              <w:spacing w:after="0" w:line="189" w:lineRule="exact"/>
              <w:rPr>
                <w:sz w:val="20"/>
                <w:szCs w:val="20"/>
                <w:color w:val="auto"/>
              </w:rPr>
            </w:pPr>
            <w:r>
              <w:rPr>
                <w:rFonts w:ascii="Times New Roman" w:cs="Times New Roman" w:eastAsia="Times New Roman" w:hAnsi="Times New Roman"/>
                <w:sz w:val="18"/>
                <w:szCs w:val="18"/>
                <w:color w:val="auto"/>
                <w:w w:val="98"/>
              </w:rPr>
              <w:t>1.25%</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Borders>
              <w:right w:val="single" w:sz="8" w:color="auto"/>
            </w:tcBorders>
          </w:tcPr>
          <w:p>
            <w:pPr>
              <w:spacing w:after="0"/>
              <w:rPr>
                <w:sz w:val="16"/>
                <w:szCs w:val="16"/>
                <w:color w:val="auto"/>
              </w:rPr>
            </w:pPr>
          </w:p>
        </w:tc>
        <w:tc>
          <w:tcPr>
            <w:tcW w:w="1180" w:type="dxa"/>
            <w:vAlign w:val="bottom"/>
            <w:gridSpan w:val="2"/>
          </w:tcPr>
          <w:p>
            <w:pPr>
              <w:jc w:val="center"/>
              <w:ind w:left="630"/>
              <w:spacing w:after="0" w:line="189" w:lineRule="exact"/>
              <w:rPr>
                <w:sz w:val="20"/>
                <w:szCs w:val="20"/>
                <w:color w:val="auto"/>
              </w:rPr>
            </w:pPr>
            <w:r>
              <w:rPr>
                <w:rFonts w:ascii="Times New Roman" w:cs="Times New Roman" w:eastAsia="Times New Roman" w:hAnsi="Times New Roman"/>
                <w:sz w:val="18"/>
                <w:szCs w:val="18"/>
                <w:color w:val="auto"/>
                <w:w w:val="98"/>
              </w:rPr>
              <w:t>0.25%</w:t>
            </w:r>
          </w:p>
        </w:tc>
        <w:tc>
          <w:tcPr>
            <w:tcW w:w="740" w:type="dxa"/>
            <w:vAlign w:val="bottom"/>
            <w:tcBorders>
              <w:right w:val="single" w:sz="8" w:color="auto"/>
            </w:tcBorders>
          </w:tcPr>
          <w:p>
            <w:pPr>
              <w:spacing w:after="0"/>
              <w:rPr>
                <w:sz w:val="16"/>
                <w:szCs w:val="16"/>
                <w:color w:val="auto"/>
              </w:rPr>
            </w:pPr>
          </w:p>
        </w:tc>
        <w:tc>
          <w:tcPr>
            <w:tcW w:w="1900" w:type="dxa"/>
            <w:vAlign w:val="bottom"/>
            <w:gridSpan w:val="3"/>
          </w:tcPr>
          <w:p>
            <w:pPr>
              <w:jc w:val="right"/>
              <w:ind w:right="880"/>
              <w:spacing w:after="0" w:line="189" w:lineRule="exact"/>
              <w:rPr>
                <w:sz w:val="20"/>
                <w:szCs w:val="20"/>
                <w:color w:val="auto"/>
              </w:rPr>
            </w:pPr>
            <w:r>
              <w:rPr>
                <w:rFonts w:ascii="Times New Roman" w:cs="Times New Roman" w:eastAsia="Times New Roman" w:hAnsi="Times New Roman"/>
                <w:sz w:val="18"/>
                <w:szCs w:val="18"/>
                <w:color w:val="auto"/>
              </w:rPr>
              <w:t>0.175%</w:t>
            </w:r>
          </w:p>
        </w:tc>
      </w:tr>
      <w:tr>
        <w:trPr>
          <w:trHeight w:val="230"/>
        </w:trPr>
        <w:tc>
          <w:tcPr>
            <w:tcW w:w="5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900" w:type="dxa"/>
            <w:vAlign w:val="bottom"/>
            <w:tcBorders>
              <w:bottom w:val="single" w:sz="8" w:color="auto"/>
              <w:right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2.50 to 1.00</w:t>
            </w:r>
          </w:p>
        </w:tc>
        <w:tc>
          <w:tcPr>
            <w:tcW w:w="2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80" w:type="dxa"/>
            <w:vAlign w:val="bottom"/>
            <w:tcBorders>
              <w:bottom w:val="single" w:sz="8" w:color="auto"/>
              <w:right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40" w:type="dxa"/>
            <w:vAlign w:val="bottom"/>
            <w:tcBorders>
              <w:bottom w:val="single" w:sz="8" w:color="auto"/>
              <w:right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r>
      <w:tr>
        <w:trPr>
          <w:trHeight w:val="183"/>
        </w:trPr>
        <w:tc>
          <w:tcPr>
            <w:tcW w:w="580" w:type="dxa"/>
            <w:vAlign w:val="bottom"/>
          </w:tcPr>
          <w:p>
            <w:pPr>
              <w:spacing w:after="0"/>
              <w:rPr>
                <w:sz w:val="15"/>
                <w:szCs w:val="15"/>
                <w:color w:val="auto"/>
              </w:rPr>
            </w:pPr>
          </w:p>
        </w:tc>
        <w:tc>
          <w:tcPr>
            <w:tcW w:w="820" w:type="dxa"/>
            <w:vAlign w:val="bottom"/>
            <w:tcBorders>
              <w:right w:val="single" w:sz="8" w:color="auto"/>
            </w:tcBorders>
            <w:gridSpan w:val="2"/>
          </w:tcPr>
          <w:p>
            <w:pPr>
              <w:jc w:val="center"/>
              <w:ind w:right="600"/>
              <w:spacing w:after="0" w:line="182" w:lineRule="exact"/>
              <w:rPr>
                <w:sz w:val="20"/>
                <w:szCs w:val="20"/>
                <w:color w:val="auto"/>
              </w:rPr>
            </w:pPr>
            <w:r>
              <w:rPr>
                <w:rFonts w:ascii="Times New Roman" w:cs="Times New Roman" w:eastAsia="Times New Roman" w:hAnsi="Times New Roman"/>
                <w:sz w:val="18"/>
                <w:szCs w:val="18"/>
                <w:color w:val="auto"/>
                <w:w w:val="99"/>
              </w:rPr>
              <w:t>III</w:t>
            </w:r>
          </w:p>
        </w:tc>
        <w:tc>
          <w:tcPr>
            <w:tcW w:w="100" w:type="dxa"/>
            <w:vAlign w:val="bottom"/>
          </w:tcPr>
          <w:p>
            <w:pPr>
              <w:spacing w:after="0"/>
              <w:rPr>
                <w:sz w:val="15"/>
                <w:szCs w:val="15"/>
                <w:color w:val="auto"/>
              </w:rPr>
            </w:pPr>
          </w:p>
        </w:tc>
        <w:tc>
          <w:tcPr>
            <w:tcW w:w="3900" w:type="dxa"/>
            <w:vAlign w:val="bottom"/>
            <w:tcBorders>
              <w:right w:val="single" w:sz="8" w:color="auto"/>
            </w:tcBorders>
            <w:gridSpan w:val="6"/>
          </w:tcPr>
          <w:p>
            <w:pPr>
              <w:spacing w:after="0" w:line="182" w:lineRule="exact"/>
              <w:rPr>
                <w:sz w:val="20"/>
                <w:szCs w:val="20"/>
                <w:color w:val="auto"/>
              </w:rPr>
            </w:pPr>
            <w:r>
              <w:rPr>
                <w:rFonts w:ascii="Times New Roman" w:cs="Times New Roman" w:eastAsia="Times New Roman" w:hAnsi="Times New Roman"/>
                <w:sz w:val="18"/>
                <w:szCs w:val="18"/>
                <w:color w:val="auto"/>
              </w:rPr>
              <w:t>Greater than 2.50 to 1.00, but less than or equal to</w:t>
            </w:r>
          </w:p>
        </w:tc>
        <w:tc>
          <w:tcPr>
            <w:tcW w:w="920" w:type="dxa"/>
            <w:vAlign w:val="bottom"/>
            <w:gridSpan w:val="4"/>
          </w:tcPr>
          <w:p>
            <w:pPr>
              <w:ind w:left="440"/>
              <w:spacing w:after="0" w:line="182" w:lineRule="exact"/>
              <w:rPr>
                <w:sz w:val="20"/>
                <w:szCs w:val="20"/>
                <w:color w:val="auto"/>
              </w:rPr>
            </w:pPr>
            <w:r>
              <w:rPr>
                <w:rFonts w:ascii="Times New Roman" w:cs="Times New Roman" w:eastAsia="Times New Roman" w:hAnsi="Times New Roman"/>
                <w:sz w:val="18"/>
                <w:szCs w:val="18"/>
                <w:color w:val="auto"/>
                <w:w w:val="98"/>
              </w:rPr>
              <w:t>1.50%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Borders>
              <w:right w:val="single" w:sz="8" w:color="auto"/>
            </w:tcBorders>
          </w:tcPr>
          <w:p>
            <w:pPr>
              <w:spacing w:after="0"/>
              <w:rPr>
                <w:sz w:val="15"/>
                <w:szCs w:val="15"/>
                <w:color w:val="auto"/>
              </w:rPr>
            </w:pPr>
          </w:p>
        </w:tc>
        <w:tc>
          <w:tcPr>
            <w:tcW w:w="1180" w:type="dxa"/>
            <w:vAlign w:val="bottom"/>
            <w:gridSpan w:val="2"/>
          </w:tcPr>
          <w:p>
            <w:pPr>
              <w:jc w:val="center"/>
              <w:ind w:left="630"/>
              <w:spacing w:after="0" w:line="182" w:lineRule="exact"/>
              <w:rPr>
                <w:sz w:val="20"/>
                <w:szCs w:val="20"/>
                <w:color w:val="auto"/>
              </w:rPr>
            </w:pPr>
            <w:r>
              <w:rPr>
                <w:rFonts w:ascii="Times New Roman" w:cs="Times New Roman" w:eastAsia="Times New Roman" w:hAnsi="Times New Roman"/>
                <w:sz w:val="18"/>
                <w:szCs w:val="18"/>
                <w:color w:val="auto"/>
                <w:w w:val="98"/>
              </w:rPr>
              <w:t>0.50%</w:t>
            </w:r>
          </w:p>
        </w:tc>
        <w:tc>
          <w:tcPr>
            <w:tcW w:w="740" w:type="dxa"/>
            <w:vAlign w:val="bottom"/>
            <w:tcBorders>
              <w:right w:val="single" w:sz="8" w:color="auto"/>
            </w:tcBorders>
          </w:tcPr>
          <w:p>
            <w:pPr>
              <w:spacing w:after="0"/>
              <w:rPr>
                <w:sz w:val="15"/>
                <w:szCs w:val="15"/>
                <w:color w:val="auto"/>
              </w:rPr>
            </w:pPr>
          </w:p>
        </w:tc>
        <w:tc>
          <w:tcPr>
            <w:tcW w:w="1900" w:type="dxa"/>
            <w:vAlign w:val="bottom"/>
            <w:gridSpan w:val="3"/>
          </w:tcPr>
          <w:p>
            <w:pPr>
              <w:jc w:val="right"/>
              <w:ind w:right="880"/>
              <w:spacing w:after="0" w:line="182" w:lineRule="exact"/>
              <w:rPr>
                <w:sz w:val="20"/>
                <w:szCs w:val="20"/>
                <w:color w:val="auto"/>
              </w:rPr>
            </w:pPr>
            <w:r>
              <w:rPr>
                <w:rFonts w:ascii="Times New Roman" w:cs="Times New Roman" w:eastAsia="Times New Roman" w:hAnsi="Times New Roman"/>
                <w:sz w:val="18"/>
                <w:szCs w:val="18"/>
                <w:color w:val="auto"/>
              </w:rPr>
              <w:t>0.200%</w:t>
            </w:r>
          </w:p>
        </w:tc>
      </w:tr>
      <w:tr>
        <w:trPr>
          <w:trHeight w:val="229"/>
        </w:trPr>
        <w:tc>
          <w:tcPr>
            <w:tcW w:w="5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900" w:type="dxa"/>
            <w:vAlign w:val="bottom"/>
            <w:tcBorders>
              <w:bottom w:val="single" w:sz="8" w:color="auto"/>
              <w:right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3.00 to 1.00</w:t>
            </w:r>
          </w:p>
        </w:tc>
        <w:tc>
          <w:tcPr>
            <w:tcW w:w="2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80" w:type="dxa"/>
            <w:vAlign w:val="bottom"/>
            <w:tcBorders>
              <w:bottom w:val="single" w:sz="8" w:color="auto"/>
              <w:right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40" w:type="dxa"/>
            <w:vAlign w:val="bottom"/>
            <w:tcBorders>
              <w:bottom w:val="single" w:sz="8" w:color="auto"/>
              <w:right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r>
      <w:tr>
        <w:trPr>
          <w:trHeight w:val="183"/>
        </w:trPr>
        <w:tc>
          <w:tcPr>
            <w:tcW w:w="580" w:type="dxa"/>
            <w:vAlign w:val="bottom"/>
          </w:tcPr>
          <w:p>
            <w:pPr>
              <w:spacing w:after="0"/>
              <w:rPr>
                <w:sz w:val="15"/>
                <w:szCs w:val="15"/>
                <w:color w:val="auto"/>
              </w:rPr>
            </w:pPr>
          </w:p>
        </w:tc>
        <w:tc>
          <w:tcPr>
            <w:tcW w:w="820" w:type="dxa"/>
            <w:vAlign w:val="bottom"/>
            <w:tcBorders>
              <w:right w:val="single" w:sz="8" w:color="auto"/>
            </w:tcBorders>
            <w:gridSpan w:val="2"/>
          </w:tcPr>
          <w:p>
            <w:pPr>
              <w:jc w:val="center"/>
              <w:ind w:right="580"/>
              <w:spacing w:after="0" w:line="182" w:lineRule="exact"/>
              <w:rPr>
                <w:sz w:val="20"/>
                <w:szCs w:val="20"/>
                <w:color w:val="auto"/>
              </w:rPr>
            </w:pPr>
            <w:r>
              <w:rPr>
                <w:rFonts w:ascii="Times New Roman" w:cs="Times New Roman" w:eastAsia="Times New Roman" w:hAnsi="Times New Roman"/>
                <w:sz w:val="18"/>
                <w:szCs w:val="18"/>
                <w:color w:val="auto"/>
              </w:rPr>
              <w:t>IV</w:t>
            </w:r>
          </w:p>
        </w:tc>
        <w:tc>
          <w:tcPr>
            <w:tcW w:w="100" w:type="dxa"/>
            <w:vAlign w:val="bottom"/>
          </w:tcPr>
          <w:p>
            <w:pPr>
              <w:spacing w:after="0"/>
              <w:rPr>
                <w:sz w:val="15"/>
                <w:szCs w:val="15"/>
                <w:color w:val="auto"/>
              </w:rPr>
            </w:pPr>
          </w:p>
        </w:tc>
        <w:tc>
          <w:tcPr>
            <w:tcW w:w="3900" w:type="dxa"/>
            <w:vAlign w:val="bottom"/>
            <w:tcBorders>
              <w:right w:val="single" w:sz="8" w:color="auto"/>
            </w:tcBorders>
            <w:gridSpan w:val="6"/>
          </w:tcPr>
          <w:p>
            <w:pPr>
              <w:spacing w:after="0" w:line="182" w:lineRule="exact"/>
              <w:rPr>
                <w:sz w:val="20"/>
                <w:szCs w:val="20"/>
                <w:color w:val="auto"/>
              </w:rPr>
            </w:pPr>
            <w:r>
              <w:rPr>
                <w:rFonts w:ascii="Times New Roman" w:cs="Times New Roman" w:eastAsia="Times New Roman" w:hAnsi="Times New Roman"/>
                <w:sz w:val="18"/>
                <w:szCs w:val="18"/>
                <w:color w:val="auto"/>
              </w:rPr>
              <w:t>Greater than 3.00 to 1.00, but less than or equal to</w:t>
            </w:r>
          </w:p>
        </w:tc>
        <w:tc>
          <w:tcPr>
            <w:tcW w:w="920" w:type="dxa"/>
            <w:vAlign w:val="bottom"/>
            <w:gridSpan w:val="4"/>
          </w:tcPr>
          <w:p>
            <w:pPr>
              <w:ind w:left="440"/>
              <w:spacing w:after="0" w:line="182" w:lineRule="exact"/>
              <w:rPr>
                <w:sz w:val="20"/>
                <w:szCs w:val="20"/>
                <w:color w:val="auto"/>
              </w:rPr>
            </w:pPr>
            <w:r>
              <w:rPr>
                <w:rFonts w:ascii="Times New Roman" w:cs="Times New Roman" w:eastAsia="Times New Roman" w:hAnsi="Times New Roman"/>
                <w:sz w:val="18"/>
                <w:szCs w:val="18"/>
                <w:color w:val="auto"/>
                <w:w w:val="98"/>
              </w:rPr>
              <w:t>1.75%</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Borders>
              <w:right w:val="single" w:sz="8" w:color="auto"/>
            </w:tcBorders>
          </w:tcPr>
          <w:p>
            <w:pPr>
              <w:spacing w:after="0"/>
              <w:rPr>
                <w:sz w:val="15"/>
                <w:szCs w:val="15"/>
                <w:color w:val="auto"/>
              </w:rPr>
            </w:pPr>
          </w:p>
        </w:tc>
        <w:tc>
          <w:tcPr>
            <w:tcW w:w="1180" w:type="dxa"/>
            <w:vAlign w:val="bottom"/>
            <w:gridSpan w:val="2"/>
          </w:tcPr>
          <w:p>
            <w:pPr>
              <w:jc w:val="center"/>
              <w:ind w:left="630"/>
              <w:spacing w:after="0" w:line="182" w:lineRule="exact"/>
              <w:rPr>
                <w:sz w:val="20"/>
                <w:szCs w:val="20"/>
                <w:color w:val="auto"/>
              </w:rPr>
            </w:pPr>
            <w:r>
              <w:rPr>
                <w:rFonts w:ascii="Times New Roman" w:cs="Times New Roman" w:eastAsia="Times New Roman" w:hAnsi="Times New Roman"/>
                <w:sz w:val="18"/>
                <w:szCs w:val="18"/>
                <w:color w:val="auto"/>
                <w:w w:val="98"/>
              </w:rPr>
              <w:t>0.75%</w:t>
            </w:r>
          </w:p>
        </w:tc>
        <w:tc>
          <w:tcPr>
            <w:tcW w:w="740" w:type="dxa"/>
            <w:vAlign w:val="bottom"/>
            <w:tcBorders>
              <w:right w:val="single" w:sz="8" w:color="auto"/>
            </w:tcBorders>
          </w:tcPr>
          <w:p>
            <w:pPr>
              <w:spacing w:after="0"/>
              <w:rPr>
                <w:sz w:val="15"/>
                <w:szCs w:val="15"/>
                <w:color w:val="auto"/>
              </w:rPr>
            </w:pPr>
          </w:p>
        </w:tc>
        <w:tc>
          <w:tcPr>
            <w:tcW w:w="1900" w:type="dxa"/>
            <w:vAlign w:val="bottom"/>
            <w:gridSpan w:val="3"/>
          </w:tcPr>
          <w:p>
            <w:pPr>
              <w:jc w:val="right"/>
              <w:ind w:right="880"/>
              <w:spacing w:after="0" w:line="182" w:lineRule="exact"/>
              <w:rPr>
                <w:sz w:val="20"/>
                <w:szCs w:val="20"/>
                <w:color w:val="auto"/>
              </w:rPr>
            </w:pPr>
            <w:r>
              <w:rPr>
                <w:rFonts w:ascii="Times New Roman" w:cs="Times New Roman" w:eastAsia="Times New Roman" w:hAnsi="Times New Roman"/>
                <w:sz w:val="18"/>
                <w:szCs w:val="18"/>
                <w:color w:val="auto"/>
              </w:rPr>
              <w:t>0.250%</w:t>
            </w:r>
          </w:p>
        </w:tc>
      </w:tr>
      <w:tr>
        <w:trPr>
          <w:trHeight w:val="229"/>
        </w:trPr>
        <w:tc>
          <w:tcPr>
            <w:tcW w:w="5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900" w:type="dxa"/>
            <w:vAlign w:val="bottom"/>
            <w:tcBorders>
              <w:bottom w:val="single" w:sz="8" w:color="auto"/>
              <w:right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3.50 to 1.00</w:t>
            </w:r>
          </w:p>
        </w:tc>
        <w:tc>
          <w:tcPr>
            <w:tcW w:w="2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80" w:type="dxa"/>
            <w:vAlign w:val="bottom"/>
            <w:tcBorders>
              <w:bottom w:val="single" w:sz="8" w:color="auto"/>
              <w:right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40" w:type="dxa"/>
            <w:vAlign w:val="bottom"/>
            <w:tcBorders>
              <w:bottom w:val="single" w:sz="8" w:color="auto"/>
              <w:right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r>
      <w:tr>
        <w:trPr>
          <w:trHeight w:val="183"/>
        </w:trPr>
        <w:tc>
          <w:tcPr>
            <w:tcW w:w="580" w:type="dxa"/>
            <w:vAlign w:val="bottom"/>
          </w:tcPr>
          <w:p>
            <w:pPr>
              <w:spacing w:after="0"/>
              <w:rPr>
                <w:sz w:val="15"/>
                <w:szCs w:val="15"/>
                <w:color w:val="auto"/>
              </w:rPr>
            </w:pPr>
          </w:p>
        </w:tc>
        <w:tc>
          <w:tcPr>
            <w:tcW w:w="820" w:type="dxa"/>
            <w:vAlign w:val="bottom"/>
            <w:tcBorders>
              <w:right w:val="single" w:sz="8" w:color="auto"/>
            </w:tcBorders>
            <w:gridSpan w:val="2"/>
          </w:tcPr>
          <w:p>
            <w:pPr>
              <w:jc w:val="center"/>
              <w:ind w:right="580"/>
              <w:spacing w:after="0" w:line="182" w:lineRule="exact"/>
              <w:rPr>
                <w:sz w:val="20"/>
                <w:szCs w:val="20"/>
                <w:color w:val="auto"/>
              </w:rPr>
            </w:pPr>
            <w:r>
              <w:rPr>
                <w:rFonts w:ascii="Times New Roman" w:cs="Times New Roman" w:eastAsia="Times New Roman" w:hAnsi="Times New Roman"/>
                <w:sz w:val="18"/>
                <w:szCs w:val="18"/>
                <w:color w:val="auto"/>
                <w:w w:val="91"/>
              </w:rPr>
              <w:t>V</w:t>
            </w:r>
          </w:p>
        </w:tc>
        <w:tc>
          <w:tcPr>
            <w:tcW w:w="100" w:type="dxa"/>
            <w:vAlign w:val="bottom"/>
          </w:tcPr>
          <w:p>
            <w:pPr>
              <w:spacing w:after="0"/>
              <w:rPr>
                <w:sz w:val="15"/>
                <w:szCs w:val="15"/>
                <w:color w:val="auto"/>
              </w:rPr>
            </w:pPr>
          </w:p>
        </w:tc>
        <w:tc>
          <w:tcPr>
            <w:tcW w:w="3900" w:type="dxa"/>
            <w:vAlign w:val="bottom"/>
            <w:tcBorders>
              <w:right w:val="single" w:sz="8" w:color="auto"/>
            </w:tcBorders>
            <w:gridSpan w:val="6"/>
          </w:tcPr>
          <w:p>
            <w:pPr>
              <w:spacing w:after="0" w:line="182" w:lineRule="exact"/>
              <w:rPr>
                <w:sz w:val="20"/>
                <w:szCs w:val="20"/>
                <w:color w:val="auto"/>
              </w:rPr>
            </w:pPr>
            <w:r>
              <w:rPr>
                <w:rFonts w:ascii="Times New Roman" w:cs="Times New Roman" w:eastAsia="Times New Roman" w:hAnsi="Times New Roman"/>
                <w:sz w:val="18"/>
                <w:szCs w:val="18"/>
                <w:color w:val="auto"/>
              </w:rPr>
              <w:t>Greater than 3.50 to 1.00, but less than or equal to</w:t>
            </w:r>
          </w:p>
        </w:tc>
        <w:tc>
          <w:tcPr>
            <w:tcW w:w="920" w:type="dxa"/>
            <w:vAlign w:val="bottom"/>
            <w:gridSpan w:val="4"/>
          </w:tcPr>
          <w:p>
            <w:pPr>
              <w:ind w:left="440"/>
              <w:spacing w:after="0" w:line="182" w:lineRule="exact"/>
              <w:rPr>
                <w:sz w:val="20"/>
                <w:szCs w:val="20"/>
                <w:color w:val="auto"/>
              </w:rPr>
            </w:pPr>
            <w:r>
              <w:rPr>
                <w:rFonts w:ascii="Times New Roman" w:cs="Times New Roman" w:eastAsia="Times New Roman" w:hAnsi="Times New Roman"/>
                <w:sz w:val="18"/>
                <w:szCs w:val="18"/>
                <w:color w:val="auto"/>
                <w:w w:val="98"/>
              </w:rPr>
              <w:t>2.00%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Borders>
              <w:right w:val="single" w:sz="8" w:color="auto"/>
            </w:tcBorders>
          </w:tcPr>
          <w:p>
            <w:pPr>
              <w:spacing w:after="0"/>
              <w:rPr>
                <w:sz w:val="15"/>
                <w:szCs w:val="15"/>
                <w:color w:val="auto"/>
              </w:rPr>
            </w:pPr>
          </w:p>
        </w:tc>
        <w:tc>
          <w:tcPr>
            <w:tcW w:w="1180" w:type="dxa"/>
            <w:vAlign w:val="bottom"/>
            <w:gridSpan w:val="2"/>
          </w:tcPr>
          <w:p>
            <w:pPr>
              <w:jc w:val="center"/>
              <w:ind w:left="630"/>
              <w:spacing w:after="0" w:line="182" w:lineRule="exact"/>
              <w:rPr>
                <w:sz w:val="20"/>
                <w:szCs w:val="20"/>
                <w:color w:val="auto"/>
              </w:rPr>
            </w:pPr>
            <w:r>
              <w:rPr>
                <w:rFonts w:ascii="Times New Roman" w:cs="Times New Roman" w:eastAsia="Times New Roman" w:hAnsi="Times New Roman"/>
                <w:sz w:val="18"/>
                <w:szCs w:val="18"/>
                <w:color w:val="auto"/>
                <w:w w:val="98"/>
              </w:rPr>
              <w:t>1.00%</w:t>
            </w:r>
          </w:p>
        </w:tc>
        <w:tc>
          <w:tcPr>
            <w:tcW w:w="740" w:type="dxa"/>
            <w:vAlign w:val="bottom"/>
            <w:tcBorders>
              <w:right w:val="single" w:sz="8" w:color="auto"/>
            </w:tcBorders>
          </w:tcPr>
          <w:p>
            <w:pPr>
              <w:spacing w:after="0"/>
              <w:rPr>
                <w:sz w:val="15"/>
                <w:szCs w:val="15"/>
                <w:color w:val="auto"/>
              </w:rPr>
            </w:pPr>
          </w:p>
        </w:tc>
        <w:tc>
          <w:tcPr>
            <w:tcW w:w="1900" w:type="dxa"/>
            <w:vAlign w:val="bottom"/>
            <w:gridSpan w:val="3"/>
          </w:tcPr>
          <w:p>
            <w:pPr>
              <w:jc w:val="right"/>
              <w:ind w:right="880"/>
              <w:spacing w:after="0" w:line="182" w:lineRule="exact"/>
              <w:rPr>
                <w:sz w:val="20"/>
                <w:szCs w:val="20"/>
                <w:color w:val="auto"/>
              </w:rPr>
            </w:pPr>
            <w:r>
              <w:rPr>
                <w:rFonts w:ascii="Times New Roman" w:cs="Times New Roman" w:eastAsia="Times New Roman" w:hAnsi="Times New Roman"/>
                <w:sz w:val="18"/>
                <w:szCs w:val="18"/>
                <w:color w:val="auto"/>
              </w:rPr>
              <w:t>0.300%</w:t>
            </w:r>
          </w:p>
        </w:tc>
      </w:tr>
      <w:tr>
        <w:trPr>
          <w:trHeight w:val="230"/>
        </w:trPr>
        <w:tc>
          <w:tcPr>
            <w:tcW w:w="5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900" w:type="dxa"/>
            <w:vAlign w:val="bottom"/>
            <w:tcBorders>
              <w:bottom w:val="single" w:sz="8" w:color="auto"/>
              <w:right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4.00 to 1.00</w:t>
            </w:r>
          </w:p>
        </w:tc>
        <w:tc>
          <w:tcPr>
            <w:tcW w:w="2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80" w:type="dxa"/>
            <w:vAlign w:val="bottom"/>
            <w:tcBorders>
              <w:bottom w:val="single" w:sz="8" w:color="auto"/>
              <w:right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40" w:type="dxa"/>
            <w:vAlign w:val="bottom"/>
            <w:tcBorders>
              <w:bottom w:val="single" w:sz="8" w:color="auto"/>
              <w:right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r>
      <w:tr>
        <w:trPr>
          <w:trHeight w:val="183"/>
        </w:trPr>
        <w:tc>
          <w:tcPr>
            <w:tcW w:w="580" w:type="dxa"/>
            <w:vAlign w:val="bottom"/>
          </w:tcPr>
          <w:p>
            <w:pPr>
              <w:spacing w:after="0"/>
              <w:rPr>
                <w:sz w:val="15"/>
                <w:szCs w:val="15"/>
                <w:color w:val="auto"/>
              </w:rPr>
            </w:pPr>
          </w:p>
        </w:tc>
        <w:tc>
          <w:tcPr>
            <w:tcW w:w="820" w:type="dxa"/>
            <w:vAlign w:val="bottom"/>
            <w:tcBorders>
              <w:right w:val="single" w:sz="8" w:color="auto"/>
            </w:tcBorders>
            <w:gridSpan w:val="2"/>
          </w:tcPr>
          <w:p>
            <w:pPr>
              <w:jc w:val="center"/>
              <w:ind w:right="580"/>
              <w:spacing w:after="0" w:line="169" w:lineRule="exact"/>
              <w:rPr>
                <w:sz w:val="20"/>
                <w:szCs w:val="20"/>
                <w:color w:val="auto"/>
              </w:rPr>
            </w:pPr>
            <w:r>
              <w:rPr>
                <w:rFonts w:ascii="Times New Roman" w:cs="Times New Roman" w:eastAsia="Times New Roman" w:hAnsi="Times New Roman"/>
                <w:sz w:val="18"/>
                <w:szCs w:val="18"/>
                <w:color w:val="auto"/>
              </w:rPr>
              <w:t>VI</w:t>
            </w:r>
          </w:p>
        </w:tc>
        <w:tc>
          <w:tcPr>
            <w:tcW w:w="100" w:type="dxa"/>
            <w:vAlign w:val="bottom"/>
          </w:tcPr>
          <w:p>
            <w:pPr>
              <w:spacing w:after="0"/>
              <w:rPr>
                <w:sz w:val="15"/>
                <w:szCs w:val="15"/>
                <w:color w:val="auto"/>
              </w:rPr>
            </w:pPr>
          </w:p>
        </w:tc>
        <w:tc>
          <w:tcPr>
            <w:tcW w:w="3900" w:type="dxa"/>
            <w:vAlign w:val="bottom"/>
            <w:tcBorders>
              <w:right w:val="single" w:sz="8" w:color="auto"/>
            </w:tcBorders>
            <w:gridSpan w:val="6"/>
          </w:tcPr>
          <w:p>
            <w:pPr>
              <w:spacing w:after="0" w:line="169" w:lineRule="exact"/>
              <w:rPr>
                <w:sz w:val="20"/>
                <w:szCs w:val="20"/>
                <w:color w:val="auto"/>
              </w:rPr>
            </w:pPr>
            <w:r>
              <w:rPr>
                <w:rFonts w:ascii="Times New Roman" w:cs="Times New Roman" w:eastAsia="Times New Roman" w:hAnsi="Times New Roman"/>
                <w:sz w:val="18"/>
                <w:szCs w:val="18"/>
                <w:color w:val="auto"/>
              </w:rPr>
              <w:t>Greater than 4.00 to 1.00</w:t>
            </w:r>
            <w:r>
              <w:rPr>
                <w:rFonts w:ascii="Times New Roman" w:cs="Times New Roman" w:eastAsia="Times New Roman" w:hAnsi="Times New Roman"/>
                <w:sz w:val="18"/>
                <w:szCs w:val="18"/>
                <w:color w:val="0000FF"/>
              </w:rPr>
              <w:t>, but less than or equal to</w:t>
            </w:r>
          </w:p>
        </w:tc>
        <w:tc>
          <w:tcPr>
            <w:tcW w:w="920" w:type="dxa"/>
            <w:vAlign w:val="bottom"/>
            <w:gridSpan w:val="4"/>
          </w:tcPr>
          <w:p>
            <w:pPr>
              <w:ind w:left="440"/>
              <w:spacing w:after="0" w:line="169" w:lineRule="exact"/>
              <w:rPr>
                <w:sz w:val="20"/>
                <w:szCs w:val="20"/>
                <w:color w:val="auto"/>
              </w:rPr>
            </w:pPr>
            <w:r>
              <w:rPr>
                <w:rFonts w:ascii="Times New Roman" w:cs="Times New Roman" w:eastAsia="Times New Roman" w:hAnsi="Times New Roman"/>
                <w:sz w:val="18"/>
                <w:szCs w:val="18"/>
                <w:color w:val="auto"/>
                <w:w w:val="98"/>
              </w:rPr>
              <w:t>2.25%</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Borders>
              <w:right w:val="single" w:sz="8" w:color="auto"/>
            </w:tcBorders>
          </w:tcPr>
          <w:p>
            <w:pPr>
              <w:spacing w:after="0"/>
              <w:rPr>
                <w:sz w:val="15"/>
                <w:szCs w:val="15"/>
                <w:color w:val="auto"/>
              </w:rPr>
            </w:pPr>
          </w:p>
        </w:tc>
        <w:tc>
          <w:tcPr>
            <w:tcW w:w="1180" w:type="dxa"/>
            <w:vAlign w:val="bottom"/>
            <w:gridSpan w:val="2"/>
          </w:tcPr>
          <w:p>
            <w:pPr>
              <w:jc w:val="center"/>
              <w:ind w:left="630"/>
              <w:spacing w:after="0" w:line="169" w:lineRule="exact"/>
              <w:rPr>
                <w:sz w:val="20"/>
                <w:szCs w:val="20"/>
                <w:color w:val="auto"/>
              </w:rPr>
            </w:pPr>
            <w:r>
              <w:rPr>
                <w:rFonts w:ascii="Times New Roman" w:cs="Times New Roman" w:eastAsia="Times New Roman" w:hAnsi="Times New Roman"/>
                <w:sz w:val="18"/>
                <w:szCs w:val="18"/>
                <w:color w:val="auto"/>
                <w:w w:val="98"/>
              </w:rPr>
              <w:t>1.25%</w:t>
            </w:r>
          </w:p>
        </w:tc>
        <w:tc>
          <w:tcPr>
            <w:tcW w:w="740" w:type="dxa"/>
            <w:vAlign w:val="bottom"/>
            <w:tcBorders>
              <w:right w:val="single" w:sz="8" w:color="auto"/>
            </w:tcBorders>
          </w:tcPr>
          <w:p>
            <w:pPr>
              <w:spacing w:after="0"/>
              <w:rPr>
                <w:sz w:val="15"/>
                <w:szCs w:val="15"/>
                <w:color w:val="auto"/>
              </w:rPr>
            </w:pPr>
          </w:p>
        </w:tc>
        <w:tc>
          <w:tcPr>
            <w:tcW w:w="1900" w:type="dxa"/>
            <w:vAlign w:val="bottom"/>
            <w:gridSpan w:val="3"/>
          </w:tcPr>
          <w:p>
            <w:pPr>
              <w:jc w:val="right"/>
              <w:ind w:right="880"/>
              <w:spacing w:after="0" w:line="169" w:lineRule="exact"/>
              <w:rPr>
                <w:sz w:val="20"/>
                <w:szCs w:val="20"/>
                <w:color w:val="auto"/>
              </w:rPr>
            </w:pPr>
            <w:r>
              <w:rPr>
                <w:rFonts w:ascii="Times New Roman" w:cs="Times New Roman" w:eastAsia="Times New Roman" w:hAnsi="Times New Roman"/>
                <w:sz w:val="18"/>
                <w:szCs w:val="18"/>
                <w:color w:val="auto"/>
              </w:rPr>
              <w:t>0.350%</w:t>
            </w:r>
          </w:p>
        </w:tc>
      </w:tr>
      <w:tr>
        <w:trPr>
          <w:trHeight w:val="155"/>
        </w:trPr>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0" w:type="dxa"/>
            <w:vAlign w:val="bottom"/>
            <w:gridSpan w:val="2"/>
          </w:tcPr>
          <w:p>
            <w:pPr>
              <w:spacing w:after="0" w:line="156" w:lineRule="exact"/>
              <w:rPr>
                <w:sz w:val="20"/>
                <w:szCs w:val="20"/>
                <w:color w:val="auto"/>
              </w:rPr>
            </w:pPr>
            <w:r>
              <w:rPr>
                <w:rFonts w:ascii="Times New Roman" w:cs="Times New Roman" w:eastAsia="Times New Roman" w:hAnsi="Times New Roman"/>
                <w:sz w:val="18"/>
                <w:szCs w:val="18"/>
                <w:color w:val="0000FF"/>
              </w:rPr>
              <w:t>4.50 to 1.00</w:t>
            </w:r>
          </w:p>
        </w:tc>
        <w:tc>
          <w:tcPr>
            <w:tcW w:w="100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Borders>
              <w:top w:val="single" w:sz="8" w:color="0000FF"/>
            </w:tcBorders>
          </w:tcPr>
          <w:p>
            <w:pPr>
              <w:spacing w:after="0"/>
              <w:rPr>
                <w:sz w:val="13"/>
                <w:szCs w:val="13"/>
                <w:color w:val="auto"/>
              </w:rPr>
            </w:pPr>
          </w:p>
        </w:tc>
        <w:tc>
          <w:tcPr>
            <w:tcW w:w="28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Borders>
              <w:right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34"/>
        </w:trPr>
        <w:tc>
          <w:tcPr>
            <w:tcW w:w="5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top w:val="single" w:sz="8" w:color="0000FF"/>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3"/>
        </w:trPr>
        <w:tc>
          <w:tcPr>
            <w:tcW w:w="580" w:type="dxa"/>
            <w:vAlign w:val="bottom"/>
          </w:tcPr>
          <w:p>
            <w:pPr>
              <w:spacing w:after="0"/>
              <w:rPr>
                <w:sz w:val="17"/>
                <w:szCs w:val="17"/>
                <w:color w:val="auto"/>
              </w:rPr>
            </w:pPr>
          </w:p>
        </w:tc>
        <w:tc>
          <w:tcPr>
            <w:tcW w:w="820" w:type="dxa"/>
            <w:vAlign w:val="bottom"/>
            <w:tcBorders>
              <w:right w:val="single" w:sz="8" w:color="auto"/>
            </w:tcBorders>
            <w:gridSpan w:val="2"/>
          </w:tcPr>
          <w:p>
            <w:pPr>
              <w:jc w:val="center"/>
              <w:ind w:right="580"/>
              <w:spacing w:after="0" w:line="169" w:lineRule="exact"/>
              <w:rPr>
                <w:sz w:val="20"/>
                <w:szCs w:val="20"/>
                <w:color w:val="auto"/>
              </w:rPr>
            </w:pPr>
            <w:r>
              <w:rPr>
                <w:rFonts w:ascii="Times New Roman" w:cs="Times New Roman" w:eastAsia="Times New Roman" w:hAnsi="Times New Roman"/>
                <w:sz w:val="18"/>
                <w:szCs w:val="18"/>
                <w:color w:val="0000FF"/>
                <w:w w:val="95"/>
              </w:rPr>
              <w:t>VII</w:t>
            </w:r>
          </w:p>
        </w:tc>
        <w:tc>
          <w:tcPr>
            <w:tcW w:w="100" w:type="dxa"/>
            <w:vAlign w:val="bottom"/>
          </w:tcPr>
          <w:p>
            <w:pPr>
              <w:spacing w:after="0"/>
              <w:rPr>
                <w:sz w:val="17"/>
                <w:szCs w:val="17"/>
                <w:color w:val="auto"/>
              </w:rPr>
            </w:pPr>
          </w:p>
        </w:tc>
        <w:tc>
          <w:tcPr>
            <w:tcW w:w="3900" w:type="dxa"/>
            <w:vAlign w:val="bottom"/>
            <w:tcBorders>
              <w:right w:val="single" w:sz="8" w:color="auto"/>
            </w:tcBorders>
            <w:gridSpan w:val="6"/>
          </w:tcPr>
          <w:p>
            <w:pPr>
              <w:spacing w:after="0" w:line="169" w:lineRule="exact"/>
              <w:rPr>
                <w:sz w:val="20"/>
                <w:szCs w:val="20"/>
                <w:color w:val="auto"/>
              </w:rPr>
            </w:pPr>
            <w:r>
              <w:rPr>
                <w:rFonts w:ascii="Times New Roman" w:cs="Times New Roman" w:eastAsia="Times New Roman" w:hAnsi="Times New Roman"/>
                <w:sz w:val="18"/>
                <w:szCs w:val="18"/>
                <w:color w:val="0000FF"/>
              </w:rPr>
              <w:t>Greater than 4.50 to 1.00</w:t>
            </w:r>
          </w:p>
        </w:tc>
        <w:tc>
          <w:tcPr>
            <w:tcW w:w="920" w:type="dxa"/>
            <w:vAlign w:val="bottom"/>
            <w:gridSpan w:val="4"/>
          </w:tcPr>
          <w:p>
            <w:pPr>
              <w:ind w:left="440"/>
              <w:spacing w:after="0" w:line="169" w:lineRule="exact"/>
              <w:rPr>
                <w:sz w:val="20"/>
                <w:szCs w:val="20"/>
                <w:color w:val="auto"/>
              </w:rPr>
            </w:pPr>
            <w:r>
              <w:rPr>
                <w:rFonts w:ascii="Times New Roman" w:cs="Times New Roman" w:eastAsia="Times New Roman" w:hAnsi="Times New Roman"/>
                <w:sz w:val="18"/>
                <w:szCs w:val="18"/>
                <w:color w:val="0000FF"/>
                <w:w w:val="98"/>
              </w:rPr>
              <w:t>2.50%</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Borders>
              <w:right w:val="single" w:sz="8" w:color="auto"/>
            </w:tcBorders>
          </w:tcPr>
          <w:p>
            <w:pPr>
              <w:spacing w:after="0"/>
              <w:rPr>
                <w:sz w:val="17"/>
                <w:szCs w:val="17"/>
                <w:color w:val="auto"/>
              </w:rPr>
            </w:pPr>
          </w:p>
        </w:tc>
        <w:tc>
          <w:tcPr>
            <w:tcW w:w="1180" w:type="dxa"/>
            <w:vAlign w:val="bottom"/>
            <w:gridSpan w:val="2"/>
          </w:tcPr>
          <w:p>
            <w:pPr>
              <w:jc w:val="center"/>
              <w:ind w:left="630"/>
              <w:spacing w:after="0" w:line="169" w:lineRule="exact"/>
              <w:rPr>
                <w:sz w:val="20"/>
                <w:szCs w:val="20"/>
                <w:color w:val="auto"/>
              </w:rPr>
            </w:pPr>
            <w:r>
              <w:rPr>
                <w:rFonts w:ascii="Times New Roman" w:cs="Times New Roman" w:eastAsia="Times New Roman" w:hAnsi="Times New Roman"/>
                <w:sz w:val="18"/>
                <w:szCs w:val="18"/>
                <w:color w:val="0000FF"/>
                <w:w w:val="98"/>
              </w:rPr>
              <w:t>1.50%</w:t>
            </w:r>
          </w:p>
        </w:tc>
        <w:tc>
          <w:tcPr>
            <w:tcW w:w="740" w:type="dxa"/>
            <w:vAlign w:val="bottom"/>
            <w:tcBorders>
              <w:right w:val="single" w:sz="8" w:color="auto"/>
            </w:tcBorders>
          </w:tcPr>
          <w:p>
            <w:pPr>
              <w:spacing w:after="0"/>
              <w:rPr>
                <w:sz w:val="17"/>
                <w:szCs w:val="17"/>
                <w:color w:val="auto"/>
              </w:rPr>
            </w:pPr>
          </w:p>
        </w:tc>
        <w:tc>
          <w:tcPr>
            <w:tcW w:w="1900" w:type="dxa"/>
            <w:vAlign w:val="bottom"/>
            <w:gridSpan w:val="3"/>
          </w:tcPr>
          <w:p>
            <w:pPr>
              <w:jc w:val="right"/>
              <w:ind w:right="880"/>
              <w:spacing w:after="0" w:line="169" w:lineRule="exact"/>
              <w:rPr>
                <w:sz w:val="20"/>
                <w:szCs w:val="20"/>
                <w:color w:val="auto"/>
              </w:rPr>
            </w:pPr>
            <w:r>
              <w:rPr>
                <w:rFonts w:ascii="Times New Roman" w:cs="Times New Roman" w:eastAsia="Times New Roman" w:hAnsi="Times New Roman"/>
                <w:sz w:val="18"/>
                <w:szCs w:val="18"/>
                <w:color w:val="0000FF"/>
              </w:rPr>
              <w:t>0.350%</w:t>
            </w:r>
          </w:p>
        </w:tc>
      </w:tr>
      <w:tr>
        <w:trPr>
          <w:trHeight w:val="28"/>
        </w:trPr>
        <w:tc>
          <w:tcPr>
            <w:tcW w:w="580" w:type="dxa"/>
            <w:vAlign w:val="bottom"/>
            <w:tcBorders>
              <w:bottom w:val="single" w:sz="8" w:color="auto"/>
            </w:tcBorders>
          </w:tcPr>
          <w:p>
            <w:pPr>
              <w:spacing w:after="0"/>
              <w:rPr>
                <w:sz w:val="2"/>
                <w:szCs w:val="2"/>
                <w:color w:val="auto"/>
              </w:rPr>
            </w:pPr>
          </w:p>
        </w:tc>
        <w:tc>
          <w:tcPr>
            <w:tcW w:w="240" w:type="dxa"/>
            <w:vAlign w:val="bottom"/>
            <w:tcBorders>
              <w:top w:val="single" w:sz="8" w:color="0000FF"/>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top w:val="single" w:sz="8" w:color="0000FF"/>
              <w:bottom w:val="single" w:sz="8" w:color="auto"/>
            </w:tcBorders>
          </w:tcPr>
          <w:p>
            <w:pPr>
              <w:spacing w:after="0"/>
              <w:rPr>
                <w:sz w:val="2"/>
                <w:szCs w:val="2"/>
                <w:color w:val="auto"/>
              </w:rPr>
            </w:pPr>
          </w:p>
        </w:tc>
        <w:tc>
          <w:tcPr>
            <w:tcW w:w="940" w:type="dxa"/>
            <w:vAlign w:val="bottom"/>
            <w:tcBorders>
              <w:top w:val="single" w:sz="8" w:color="0000FF"/>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60" w:type="dxa"/>
            <w:vAlign w:val="bottom"/>
            <w:tcBorders>
              <w:top w:val="single" w:sz="8" w:color="0000FF"/>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60" w:type="dxa"/>
            <w:vAlign w:val="bottom"/>
            <w:tcBorders>
              <w:top w:val="single" w:sz="8" w:color="0000FF"/>
              <w:bottom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60" w:type="dxa"/>
            <w:vAlign w:val="bottom"/>
            <w:tcBorders>
              <w:top w:val="single" w:sz="8" w:color="0000FF"/>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6"/>
        </w:trPr>
        <w:tc>
          <w:tcPr>
            <w:tcW w:w="580" w:type="dxa"/>
            <w:vAlign w:val="bottom"/>
            <w:shd w:val="clear" w:color="auto" w:fill="CCCCFF"/>
          </w:tcPr>
          <w:p>
            <w:pPr>
              <w:spacing w:after="0"/>
              <w:rPr>
                <w:sz w:val="17"/>
                <w:szCs w:val="17"/>
                <w:color w:val="auto"/>
              </w:rPr>
            </w:pPr>
          </w:p>
        </w:tc>
        <w:tc>
          <w:tcPr>
            <w:tcW w:w="240" w:type="dxa"/>
            <w:vAlign w:val="bottom"/>
            <w:shd w:val="clear" w:color="auto" w:fill="CCCCFF"/>
          </w:tcPr>
          <w:p>
            <w:pPr>
              <w:spacing w:after="0"/>
              <w:rPr>
                <w:sz w:val="17"/>
                <w:szCs w:val="17"/>
                <w:color w:val="auto"/>
              </w:rPr>
            </w:pPr>
          </w:p>
        </w:tc>
        <w:tc>
          <w:tcPr>
            <w:tcW w:w="580" w:type="dxa"/>
            <w:vAlign w:val="bottom"/>
            <w:tcBorders>
              <w:right w:val="single" w:sz="8" w:color="CCCCFF"/>
            </w:tcBorders>
            <w:shd w:val="clear" w:color="auto" w:fill="CCCCFF"/>
          </w:tcPr>
          <w:p>
            <w:pPr>
              <w:spacing w:after="0"/>
              <w:rPr>
                <w:sz w:val="17"/>
                <w:szCs w:val="17"/>
                <w:color w:val="auto"/>
              </w:rPr>
            </w:pPr>
          </w:p>
        </w:tc>
        <w:tc>
          <w:tcPr>
            <w:tcW w:w="100" w:type="dxa"/>
            <w:vAlign w:val="bottom"/>
            <w:shd w:val="clear" w:color="auto" w:fill="CCCCFF"/>
          </w:tcPr>
          <w:p>
            <w:pPr>
              <w:spacing w:after="0"/>
              <w:rPr>
                <w:sz w:val="17"/>
                <w:szCs w:val="17"/>
                <w:color w:val="auto"/>
              </w:rPr>
            </w:pPr>
          </w:p>
        </w:tc>
        <w:tc>
          <w:tcPr>
            <w:tcW w:w="860" w:type="dxa"/>
            <w:vAlign w:val="bottom"/>
            <w:shd w:val="clear" w:color="auto" w:fill="CCCCFF"/>
          </w:tcPr>
          <w:p>
            <w:pPr>
              <w:spacing w:after="0"/>
              <w:rPr>
                <w:sz w:val="17"/>
                <w:szCs w:val="17"/>
                <w:color w:val="auto"/>
              </w:rPr>
            </w:pPr>
          </w:p>
        </w:tc>
        <w:tc>
          <w:tcPr>
            <w:tcW w:w="940" w:type="dxa"/>
            <w:vAlign w:val="bottom"/>
            <w:shd w:val="clear" w:color="auto" w:fill="CCCCFF"/>
          </w:tcPr>
          <w:p>
            <w:pPr>
              <w:spacing w:after="0"/>
              <w:rPr>
                <w:sz w:val="17"/>
                <w:szCs w:val="17"/>
                <w:color w:val="auto"/>
              </w:rPr>
            </w:pPr>
          </w:p>
        </w:tc>
        <w:tc>
          <w:tcPr>
            <w:tcW w:w="1000" w:type="dxa"/>
            <w:vAlign w:val="bottom"/>
            <w:shd w:val="clear" w:color="auto" w:fill="CCCCFF"/>
          </w:tcPr>
          <w:p>
            <w:pPr>
              <w:spacing w:after="0"/>
              <w:rPr>
                <w:sz w:val="17"/>
                <w:szCs w:val="17"/>
                <w:color w:val="auto"/>
              </w:rPr>
            </w:pPr>
          </w:p>
        </w:tc>
        <w:tc>
          <w:tcPr>
            <w:tcW w:w="40" w:type="dxa"/>
            <w:vAlign w:val="bottom"/>
            <w:shd w:val="clear" w:color="auto" w:fill="CCCCFF"/>
          </w:tcPr>
          <w:p>
            <w:pPr>
              <w:spacing w:after="0"/>
              <w:rPr>
                <w:sz w:val="17"/>
                <w:szCs w:val="17"/>
                <w:color w:val="auto"/>
              </w:rPr>
            </w:pPr>
          </w:p>
        </w:tc>
        <w:tc>
          <w:tcPr>
            <w:tcW w:w="780" w:type="dxa"/>
            <w:vAlign w:val="bottom"/>
            <w:shd w:val="clear" w:color="auto" w:fill="CCCCFF"/>
          </w:tcPr>
          <w:p>
            <w:pPr>
              <w:spacing w:after="0"/>
              <w:rPr>
                <w:sz w:val="17"/>
                <w:szCs w:val="17"/>
                <w:color w:val="auto"/>
              </w:rPr>
            </w:pPr>
          </w:p>
        </w:tc>
        <w:tc>
          <w:tcPr>
            <w:tcW w:w="280" w:type="dxa"/>
            <w:vAlign w:val="bottom"/>
            <w:tcBorders>
              <w:right w:val="single" w:sz="8" w:color="CCCCFF"/>
            </w:tcBorders>
            <w:shd w:val="clear" w:color="auto" w:fill="CCCCFF"/>
          </w:tcPr>
          <w:p>
            <w:pPr>
              <w:spacing w:after="0"/>
              <w:rPr>
                <w:sz w:val="17"/>
                <w:szCs w:val="17"/>
                <w:color w:val="auto"/>
              </w:rPr>
            </w:pPr>
          </w:p>
        </w:tc>
        <w:tc>
          <w:tcPr>
            <w:tcW w:w="260" w:type="dxa"/>
            <w:vAlign w:val="bottom"/>
            <w:shd w:val="clear" w:color="auto" w:fill="CCCCFF"/>
          </w:tcPr>
          <w:p>
            <w:pPr>
              <w:spacing w:after="0"/>
              <w:rPr>
                <w:sz w:val="17"/>
                <w:szCs w:val="17"/>
                <w:color w:val="auto"/>
              </w:rPr>
            </w:pPr>
          </w:p>
        </w:tc>
        <w:tc>
          <w:tcPr>
            <w:tcW w:w="180" w:type="dxa"/>
            <w:vAlign w:val="bottom"/>
            <w:shd w:val="clear" w:color="auto" w:fill="CCCCFF"/>
          </w:tcPr>
          <w:p>
            <w:pPr>
              <w:spacing w:after="0"/>
              <w:rPr>
                <w:sz w:val="17"/>
                <w:szCs w:val="17"/>
                <w:color w:val="auto"/>
              </w:rPr>
            </w:pPr>
          </w:p>
        </w:tc>
        <w:tc>
          <w:tcPr>
            <w:tcW w:w="460" w:type="dxa"/>
            <w:vAlign w:val="bottom"/>
            <w:shd w:val="clear" w:color="auto" w:fill="CCCCFF"/>
          </w:tcPr>
          <w:p>
            <w:pPr>
              <w:spacing w:after="0"/>
              <w:rPr>
                <w:sz w:val="17"/>
                <w:szCs w:val="17"/>
                <w:color w:val="auto"/>
              </w:rPr>
            </w:pPr>
          </w:p>
        </w:tc>
        <w:tc>
          <w:tcPr>
            <w:tcW w:w="20" w:type="dxa"/>
            <w:vAlign w:val="bottom"/>
            <w:shd w:val="clear" w:color="auto" w:fill="CCCCFF"/>
          </w:tcPr>
          <w:p>
            <w:pPr>
              <w:spacing w:after="0"/>
              <w:rPr>
                <w:sz w:val="17"/>
                <w:szCs w:val="17"/>
                <w:color w:val="auto"/>
              </w:rPr>
            </w:pPr>
          </w:p>
        </w:tc>
        <w:tc>
          <w:tcPr>
            <w:tcW w:w="40" w:type="dxa"/>
            <w:vAlign w:val="bottom"/>
            <w:shd w:val="clear" w:color="auto" w:fill="CCCCFF"/>
          </w:tcPr>
          <w:p>
            <w:pPr>
              <w:spacing w:after="0"/>
              <w:rPr>
                <w:sz w:val="17"/>
                <w:szCs w:val="17"/>
                <w:color w:val="auto"/>
              </w:rPr>
            </w:pPr>
          </w:p>
        </w:tc>
        <w:tc>
          <w:tcPr>
            <w:tcW w:w="60" w:type="dxa"/>
            <w:vAlign w:val="bottom"/>
            <w:shd w:val="clear" w:color="auto" w:fill="CCCCFF"/>
          </w:tcPr>
          <w:p>
            <w:pPr>
              <w:spacing w:after="0"/>
              <w:rPr>
                <w:sz w:val="17"/>
                <w:szCs w:val="17"/>
                <w:color w:val="auto"/>
              </w:rPr>
            </w:pPr>
          </w:p>
        </w:tc>
        <w:tc>
          <w:tcPr>
            <w:tcW w:w="400" w:type="dxa"/>
            <w:vAlign w:val="bottom"/>
            <w:shd w:val="clear" w:color="auto" w:fill="CCCCFF"/>
          </w:tcPr>
          <w:p>
            <w:pPr>
              <w:spacing w:after="0"/>
              <w:rPr>
                <w:sz w:val="17"/>
                <w:szCs w:val="17"/>
                <w:color w:val="auto"/>
              </w:rPr>
            </w:pPr>
          </w:p>
        </w:tc>
        <w:tc>
          <w:tcPr>
            <w:tcW w:w="280" w:type="dxa"/>
            <w:vAlign w:val="bottom"/>
            <w:tcBorders>
              <w:right w:val="single" w:sz="8" w:color="CCCCFF"/>
            </w:tcBorders>
            <w:shd w:val="clear" w:color="auto" w:fill="CCCCFF"/>
          </w:tcPr>
          <w:p>
            <w:pPr>
              <w:spacing w:after="0"/>
              <w:rPr>
                <w:sz w:val="17"/>
                <w:szCs w:val="17"/>
                <w:color w:val="auto"/>
              </w:rPr>
            </w:pPr>
          </w:p>
        </w:tc>
        <w:tc>
          <w:tcPr>
            <w:tcW w:w="720" w:type="dxa"/>
            <w:vAlign w:val="bottom"/>
            <w:shd w:val="clear" w:color="auto" w:fill="CCCCFF"/>
          </w:tcPr>
          <w:p>
            <w:pPr>
              <w:spacing w:after="0"/>
              <w:rPr>
                <w:sz w:val="17"/>
                <w:szCs w:val="17"/>
                <w:color w:val="auto"/>
              </w:rPr>
            </w:pPr>
          </w:p>
        </w:tc>
        <w:tc>
          <w:tcPr>
            <w:tcW w:w="460" w:type="dxa"/>
            <w:vAlign w:val="bottom"/>
            <w:shd w:val="clear" w:color="auto" w:fill="CCCCFF"/>
          </w:tcPr>
          <w:p>
            <w:pPr>
              <w:spacing w:after="0"/>
              <w:rPr>
                <w:sz w:val="17"/>
                <w:szCs w:val="17"/>
                <w:color w:val="auto"/>
              </w:rPr>
            </w:pPr>
          </w:p>
        </w:tc>
        <w:tc>
          <w:tcPr>
            <w:tcW w:w="740" w:type="dxa"/>
            <w:vAlign w:val="bottom"/>
            <w:tcBorders>
              <w:right w:val="single" w:sz="8" w:color="CCCCFF"/>
            </w:tcBorders>
            <w:shd w:val="clear" w:color="auto" w:fill="CCCCFF"/>
          </w:tcPr>
          <w:p>
            <w:pPr>
              <w:spacing w:after="0"/>
              <w:rPr>
                <w:sz w:val="17"/>
                <w:szCs w:val="17"/>
                <w:color w:val="auto"/>
              </w:rPr>
            </w:pPr>
          </w:p>
        </w:tc>
        <w:tc>
          <w:tcPr>
            <w:tcW w:w="460" w:type="dxa"/>
            <w:vAlign w:val="bottom"/>
            <w:shd w:val="clear" w:color="auto" w:fill="CCCCFF"/>
          </w:tcPr>
          <w:p>
            <w:pPr>
              <w:spacing w:after="0"/>
              <w:rPr>
                <w:sz w:val="17"/>
                <w:szCs w:val="17"/>
                <w:color w:val="auto"/>
              </w:rPr>
            </w:pPr>
          </w:p>
        </w:tc>
        <w:tc>
          <w:tcPr>
            <w:tcW w:w="560" w:type="dxa"/>
            <w:vAlign w:val="bottom"/>
            <w:shd w:val="clear" w:color="auto" w:fill="CCCCFF"/>
          </w:tcPr>
          <w:p>
            <w:pPr>
              <w:spacing w:after="0"/>
              <w:rPr>
                <w:sz w:val="17"/>
                <w:szCs w:val="17"/>
                <w:color w:val="auto"/>
              </w:rPr>
            </w:pPr>
          </w:p>
        </w:tc>
        <w:tc>
          <w:tcPr>
            <w:tcW w:w="880" w:type="dxa"/>
            <w:vAlign w:val="bottom"/>
            <w:shd w:val="clear" w:color="auto" w:fill="CCCCFF"/>
          </w:tcPr>
          <w:p>
            <w:pPr>
              <w:spacing w:after="0"/>
              <w:rPr>
                <w:sz w:val="17"/>
                <w:szCs w:val="17"/>
                <w:color w:val="auto"/>
              </w:rPr>
            </w:pPr>
          </w:p>
        </w:tc>
      </w:tr>
    </w:tbl>
    <w:p>
      <w:pPr>
        <w:spacing w:after="0" w:line="369" w:lineRule="exact"/>
        <w:rPr>
          <w:sz w:val="20"/>
          <w:szCs w:val="20"/>
          <w:color w:val="auto"/>
        </w:rPr>
      </w:pPr>
    </w:p>
    <w:p>
      <w:pPr>
        <w:ind w:left="80"/>
        <w:spacing w:after="0" w:line="215" w:lineRule="auto"/>
        <w:rPr>
          <w:sz w:val="20"/>
          <w:szCs w:val="20"/>
          <w:color w:val="auto"/>
        </w:rPr>
      </w:pPr>
      <w:r>
        <w:rPr>
          <w:rFonts w:ascii="Times New Roman" w:cs="Times New Roman" w:eastAsia="Times New Roman" w:hAnsi="Times New Roman"/>
          <w:sz w:val="20"/>
          <w:szCs w:val="20"/>
          <w:color w:val="auto"/>
        </w:rPr>
        <w:t xml:space="preserve">The Applicable Margin shall be determined and adjusted quarterly on the date five (5) Business Days after the day on which Centuri provides an Officer’s Compliance Certificate pursuant to </w:t>
      </w:r>
      <w:r>
        <w:rPr>
          <w:rFonts w:ascii="Times New Roman" w:cs="Times New Roman" w:eastAsia="Times New Roman" w:hAnsi="Times New Roman"/>
          <w:sz w:val="20"/>
          <w:szCs w:val="20"/>
          <w:u w:val="single" w:color="auto"/>
          <w:color w:val="auto"/>
        </w:rPr>
        <w:t>Section 8.2(a)</w:t>
      </w:r>
      <w:r>
        <w:rPr>
          <w:rFonts w:ascii="Times New Roman" w:cs="Times New Roman" w:eastAsia="Times New Roman" w:hAnsi="Times New Roman"/>
          <w:sz w:val="20"/>
          <w:szCs w:val="20"/>
          <w:color w:val="auto"/>
        </w:rPr>
        <w:t xml:space="preserve"> for the most recently ended fiscal quarter of Centuri (each such</w:t>
      </w:r>
    </w:p>
    <w:p>
      <w:pPr>
        <w:ind w:left="80"/>
        <w:spacing w:after="0" w:line="212" w:lineRule="auto"/>
        <w:rPr>
          <w:sz w:val="20"/>
          <w:szCs w:val="20"/>
          <w:color w:val="auto"/>
        </w:rPr>
      </w:pPr>
      <w:r>
        <w:rPr>
          <w:rFonts w:ascii="Times New Roman" w:cs="Times New Roman" w:eastAsia="Times New Roman" w:hAnsi="Times New Roman"/>
          <w:sz w:val="20"/>
          <w:szCs w:val="20"/>
          <w:color w:val="auto"/>
        </w:rPr>
        <w:t>date, a “</w:t>
      </w:r>
      <w:r>
        <w:rPr>
          <w:rFonts w:ascii="Times New Roman" w:cs="Times New Roman" w:eastAsia="Times New Roman" w:hAnsi="Times New Roman"/>
          <w:sz w:val="20"/>
          <w:szCs w:val="20"/>
          <w:u w:val="single" w:color="auto"/>
          <w:color w:val="auto"/>
        </w:rPr>
        <w:t>Calculation Date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the Applicable Margin shall be based on the Pricing Level </w:t>
      </w:r>
      <w:r>
        <w:rPr>
          <w:rFonts w:ascii="Times New Roman" w:cs="Times New Roman" w:eastAsia="Times New Roman" w:hAnsi="Times New Roman"/>
          <w:sz w:val="20"/>
          <w:szCs w:val="20"/>
          <w:color w:val="FF0000"/>
          <w:strike w:val="1"/>
        </w:rPr>
        <w:t>VI</w:t>
      </w:r>
      <w:r>
        <w:rPr>
          <w:rFonts w:ascii="Times New Roman" w:cs="Times New Roman" w:eastAsia="Times New Roman" w:hAnsi="Times New Roman"/>
          <w:sz w:val="20"/>
          <w:szCs w:val="20"/>
          <w:u w:val="single" w:color="auto"/>
          <w:color w:val="0000FF"/>
        </w:rPr>
        <w:t>VII</w:t>
      </w:r>
      <w:r>
        <w:rPr>
          <w:rFonts w:ascii="Times New Roman" w:cs="Times New Roman" w:eastAsia="Times New Roman" w:hAnsi="Times New Roman"/>
          <w:sz w:val="20"/>
          <w:szCs w:val="20"/>
          <w:color w:val="auto"/>
        </w:rPr>
        <w:t xml:space="preserve"> until the first Calculation</w:t>
      </w:r>
    </w:p>
    <w:p>
      <w:pPr>
        <w:spacing w:after="0" w:line="1" w:lineRule="exact"/>
        <w:rPr>
          <w:sz w:val="20"/>
          <w:szCs w:val="20"/>
          <w:color w:val="auto"/>
        </w:rPr>
      </w:pPr>
    </w:p>
    <w:p>
      <w:pPr>
        <w:ind w:left="80"/>
        <w:spacing w:after="0" w:line="215" w:lineRule="auto"/>
        <w:rPr>
          <w:sz w:val="20"/>
          <w:szCs w:val="20"/>
          <w:color w:val="auto"/>
        </w:rPr>
      </w:pPr>
      <w:r>
        <w:rPr>
          <w:rFonts w:ascii="Times New Roman" w:cs="Times New Roman" w:eastAsia="Times New Roman" w:hAnsi="Times New Roman"/>
          <w:sz w:val="19"/>
          <w:szCs w:val="19"/>
          <w:color w:val="auto"/>
        </w:rPr>
        <w:t xml:space="preserve">Date occurring in connection with the first </w:t>
      </w:r>
      <w:r>
        <w:rPr>
          <w:rFonts w:ascii="Times New Roman" w:cs="Times New Roman" w:eastAsia="Times New Roman" w:hAnsi="Times New Roman"/>
          <w:sz w:val="19"/>
          <w:szCs w:val="19"/>
          <w:color w:val="FF0000"/>
          <w:strike w:val="1"/>
        </w:rPr>
        <w:t>full</w:t>
      </w:r>
      <w:r>
        <w:rPr>
          <w:rFonts w:ascii="Times New Roman" w:cs="Times New Roman" w:eastAsia="Times New Roman" w:hAnsi="Times New Roman"/>
          <w:sz w:val="19"/>
          <w:szCs w:val="19"/>
          <w:color w:val="auto"/>
        </w:rPr>
        <w:t xml:space="preserve"> fiscal quarter to end after the </w:t>
      </w:r>
      <w:r>
        <w:rPr>
          <w:rFonts w:ascii="Times New Roman" w:cs="Times New Roman" w:eastAsia="Times New Roman" w:hAnsi="Times New Roman"/>
          <w:sz w:val="19"/>
          <w:szCs w:val="19"/>
          <w:color w:val="FF0000"/>
          <w:strike w:val="1"/>
        </w:rPr>
        <w:t>Closing</w:t>
      </w:r>
      <w:r>
        <w:rPr>
          <w:rFonts w:ascii="Times New Roman" w:cs="Times New Roman" w:eastAsia="Times New Roman" w:hAnsi="Times New Roman"/>
          <w:sz w:val="19"/>
          <w:szCs w:val="19"/>
          <w:u w:val="single" w:color="auto"/>
          <w:color w:val="0000FF"/>
        </w:rPr>
        <w:t>First Amendment Effective</w:t>
      </w:r>
      <w:r>
        <w:rPr>
          <w:rFonts w:ascii="Times New Roman" w:cs="Times New Roman" w:eastAsia="Times New Roman" w:hAnsi="Times New Roman"/>
          <w:sz w:val="19"/>
          <w:szCs w:val="19"/>
          <w:color w:val="auto"/>
        </w:rPr>
        <w:t xml:space="preserve"> Date and, thereafter the Pricing Level shall be determined by reference to the Consolidated Net Leverage Ratio as of the last day of the most recently ended fiscal</w:t>
      </w:r>
    </w:p>
    <w:p>
      <w:pPr>
        <w:ind w:left="80"/>
        <w:spacing w:after="0" w:line="222" w:lineRule="auto"/>
        <w:rPr>
          <w:sz w:val="20"/>
          <w:szCs w:val="20"/>
          <w:color w:val="auto"/>
        </w:rPr>
      </w:pPr>
      <w:r>
        <w:rPr>
          <w:rFonts w:ascii="Times New Roman" w:cs="Times New Roman" w:eastAsia="Times New Roman" w:hAnsi="Times New Roman"/>
          <w:sz w:val="19"/>
          <w:szCs w:val="19"/>
          <w:color w:val="auto"/>
        </w:rPr>
        <w:t>quarter of Centuri preceding the applicable Calculation Date, and (b) if Centuri fails to provide an Officer’s Compliance Certificate when</w:t>
      </w:r>
    </w:p>
    <w:p>
      <w:pPr>
        <w:ind w:left="80" w:right="20"/>
        <w:spacing w:after="0" w:line="215" w:lineRule="auto"/>
        <w:rPr>
          <w:sz w:val="20"/>
          <w:szCs w:val="20"/>
          <w:color w:val="auto"/>
        </w:rPr>
      </w:pPr>
      <w:r>
        <w:rPr>
          <w:rFonts w:ascii="Times New Roman" w:cs="Times New Roman" w:eastAsia="Times New Roman" w:hAnsi="Times New Roman"/>
          <w:sz w:val="19"/>
          <w:szCs w:val="19"/>
          <w:color w:val="auto"/>
        </w:rPr>
        <w:t xml:space="preserve">due as required by </w:t>
      </w:r>
      <w:r>
        <w:rPr>
          <w:rFonts w:ascii="Times New Roman" w:cs="Times New Roman" w:eastAsia="Times New Roman" w:hAnsi="Times New Roman"/>
          <w:sz w:val="19"/>
          <w:szCs w:val="19"/>
          <w:u w:val="single" w:color="auto"/>
          <w:color w:val="auto"/>
        </w:rPr>
        <w:t>Section 8.2(a)</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for the most recently ended fiscal quarter of Centuri preceding the applicable Calculation Date, the Applicable Margin from the date on which such Officer’s Compliance Certificate was required to have been delivered shall be based on</w:t>
      </w:r>
    </w:p>
    <w:p>
      <w:pPr>
        <w:ind w:left="80"/>
        <w:spacing w:after="0" w:line="204" w:lineRule="auto"/>
        <w:rPr>
          <w:sz w:val="20"/>
          <w:szCs w:val="20"/>
          <w:color w:val="auto"/>
        </w:rPr>
      </w:pPr>
      <w:r>
        <w:rPr>
          <w:rFonts w:ascii="Times New Roman" w:cs="Times New Roman" w:eastAsia="Times New Roman" w:hAnsi="Times New Roman"/>
          <w:sz w:val="20"/>
          <w:szCs w:val="20"/>
          <w:color w:val="auto"/>
        </w:rPr>
        <w:t xml:space="preserve">Pricing Level </w:t>
      </w:r>
      <w:r>
        <w:rPr>
          <w:rFonts w:ascii="Times New Roman" w:cs="Times New Roman" w:eastAsia="Times New Roman" w:hAnsi="Times New Roman"/>
          <w:sz w:val="20"/>
          <w:szCs w:val="20"/>
          <w:color w:val="FF0000"/>
          <w:strike w:val="1"/>
        </w:rPr>
        <w:t>VI</w:t>
      </w:r>
      <w:r>
        <w:rPr>
          <w:rFonts w:ascii="Times New Roman" w:cs="Times New Roman" w:eastAsia="Times New Roman" w:hAnsi="Times New Roman"/>
          <w:sz w:val="20"/>
          <w:szCs w:val="20"/>
          <w:u w:val="single" w:color="auto"/>
          <w:color w:val="0000FF"/>
        </w:rPr>
        <w:t>VII</w:t>
      </w:r>
      <w:r>
        <w:rPr>
          <w:rFonts w:ascii="Times New Roman" w:cs="Times New Roman" w:eastAsia="Times New Roman" w:hAnsi="Times New Roman"/>
          <w:sz w:val="20"/>
          <w:szCs w:val="20"/>
          <w:color w:val="auto"/>
        </w:rPr>
        <w:t xml:space="preserve"> until such time as such Officer’s Compliance Certificate is delivered, at which time the Pricing Level shall be determined by reference to the Consolidated Net Leverage Ratio as of the last day of the most recently ended fiscal quarter of Centuri</w:t>
      </w:r>
    </w:p>
    <w:p>
      <w:pPr>
        <w:spacing w:after="0" w:line="1" w:lineRule="exact"/>
        <w:rPr>
          <w:sz w:val="20"/>
          <w:szCs w:val="20"/>
          <w:color w:val="auto"/>
        </w:rPr>
      </w:pPr>
    </w:p>
    <w:p>
      <w:pPr>
        <w:ind w:left="80"/>
        <w:spacing w:after="0" w:line="228" w:lineRule="auto"/>
        <w:rPr>
          <w:sz w:val="20"/>
          <w:szCs w:val="20"/>
          <w:color w:val="auto"/>
        </w:rPr>
      </w:pPr>
      <w:r>
        <w:rPr>
          <w:rFonts w:ascii="Times New Roman" w:cs="Times New Roman" w:eastAsia="Times New Roman" w:hAnsi="Times New Roman"/>
          <w:sz w:val="20"/>
          <w:szCs w:val="20"/>
          <w:color w:val="auto"/>
        </w:rPr>
        <w:t>preceding such Calculation Date. The applicable Pricing Level shall be effective from one Calculation Date until the next Calculation Date. Any adjustment in the Pricing Level shall be applicable to all Extensions of Credit then existing or subsequently made or issued.</w:t>
      </w:r>
    </w:p>
    <w:p>
      <w:pPr>
        <w:spacing w:after="0" w:line="18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9"/>
          <w:szCs w:val="19"/>
          <w:color w:val="auto"/>
        </w:rPr>
        <w:t xml:space="preserve">Notwithstanding the foregoing, in the event that any financial statement or Officer’s Compliance Certificate delivered pursuant to </w:t>
      </w:r>
      <w:r>
        <w:rPr>
          <w:rFonts w:ascii="Times New Roman" w:cs="Times New Roman" w:eastAsia="Times New Roman" w:hAnsi="Times New Roman"/>
          <w:sz w:val="19"/>
          <w:szCs w:val="19"/>
          <w:u w:val="single" w:color="auto"/>
          <w:color w:val="auto"/>
        </w:rPr>
        <w:t>Section</w:t>
      </w:r>
    </w:p>
    <w:p>
      <w:pPr>
        <w:spacing w:after="0" w:line="6" w:lineRule="exact"/>
        <w:rPr>
          <w:sz w:val="20"/>
          <w:szCs w:val="20"/>
          <w:color w:val="auto"/>
        </w:rPr>
      </w:pPr>
    </w:p>
    <w:p>
      <w:pPr>
        <w:ind w:left="80"/>
        <w:spacing w:after="0" w:line="215" w:lineRule="auto"/>
        <w:rPr>
          <w:sz w:val="20"/>
          <w:szCs w:val="20"/>
          <w:color w:val="auto"/>
        </w:rPr>
      </w:pPr>
      <w:r>
        <w:rPr>
          <w:rFonts w:ascii="Times New Roman" w:cs="Times New Roman" w:eastAsia="Times New Roman" w:hAnsi="Times New Roman"/>
          <w:sz w:val="19"/>
          <w:szCs w:val="19"/>
          <w:u w:val="single" w:color="auto"/>
          <w:color w:val="auto"/>
        </w:rPr>
        <w:t>8.1</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8.2</w:t>
      </w:r>
      <w:r>
        <w:rPr>
          <w:rFonts w:ascii="Times New Roman" w:cs="Times New Roman" w:eastAsia="Times New Roman" w:hAnsi="Times New Roman"/>
          <w:sz w:val="19"/>
          <w:szCs w:val="19"/>
          <w:color w:val="auto"/>
        </w:rPr>
        <w:t xml:space="preserve"> is shown to be inaccurate (regardless of whether (i) this Agreement is in effect, (ii) any Commitments are in effect, or (iii) any Extension of Credit is outstanding when such inaccuracy is discovered or such financial statement or Officer’s Compliance Certificate was</w:t>
      </w:r>
    </w:p>
    <w:p>
      <w:pPr>
        <w:ind w:left="80"/>
        <w:spacing w:after="0" w:line="211" w:lineRule="auto"/>
        <w:rPr>
          <w:sz w:val="20"/>
          <w:szCs w:val="20"/>
          <w:color w:val="auto"/>
        </w:rPr>
      </w:pPr>
      <w:r>
        <w:rPr>
          <w:rFonts w:ascii="Times New Roman" w:cs="Times New Roman" w:eastAsia="Times New Roman" w:hAnsi="Times New Roman"/>
          <w:sz w:val="20"/>
          <w:szCs w:val="20"/>
          <w:color w:val="auto"/>
        </w:rPr>
        <w:t>delivered), and such inaccuracy, if corrected, would have led to the application of a higher Applicable Margin for any period (an</w:t>
      </w:r>
    </w:p>
    <w:p>
      <w:pPr>
        <w:ind w:left="80"/>
        <w:spacing w:after="0" w:line="20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Period</w:t>
      </w:r>
      <w:r>
        <w:rPr>
          <w:rFonts w:ascii="Times New Roman" w:cs="Times New Roman" w:eastAsia="Times New Roman" w:hAnsi="Times New Roman"/>
          <w:sz w:val="20"/>
          <w:szCs w:val="20"/>
          <w:color w:val="auto"/>
        </w:rPr>
        <w:t>”) than the Applicable Margin applied for such Applicable Period, then (A) Centuri shall immediately deliver to the Administrative Agent a corrected Officer’s Compliance Certificate for such Applicable Period, (B) the Applicable Margin for such</w:t>
      </w:r>
    </w:p>
    <w:p>
      <w:pPr>
        <w:ind w:left="80"/>
        <w:spacing w:after="0" w:line="211" w:lineRule="auto"/>
        <w:rPr>
          <w:sz w:val="20"/>
          <w:szCs w:val="20"/>
          <w:color w:val="auto"/>
        </w:rPr>
      </w:pPr>
      <w:r>
        <w:rPr>
          <w:rFonts w:ascii="Times New Roman" w:cs="Times New Roman" w:eastAsia="Times New Roman" w:hAnsi="Times New Roman"/>
          <w:sz w:val="20"/>
          <w:szCs w:val="20"/>
          <w:color w:val="auto"/>
        </w:rPr>
        <w:t>Applicable Period shall be determined as if the Consolidated Net Leverage Ratio in the corrected Officer’s Compliance Certificate were</w:t>
      </w:r>
    </w:p>
    <w:p>
      <w:pPr>
        <w:spacing w:after="0" w:line="1" w:lineRule="exact"/>
        <w:rPr>
          <w:sz w:val="20"/>
          <w:szCs w:val="20"/>
          <w:color w:val="auto"/>
        </w:rPr>
      </w:pPr>
    </w:p>
    <w:p>
      <w:pPr>
        <w:ind w:left="80"/>
        <w:spacing w:after="0" w:line="204" w:lineRule="auto"/>
        <w:rPr>
          <w:sz w:val="20"/>
          <w:szCs w:val="20"/>
          <w:color w:val="auto"/>
        </w:rPr>
      </w:pPr>
      <w:r>
        <w:rPr>
          <w:rFonts w:ascii="Times New Roman" w:cs="Times New Roman" w:eastAsia="Times New Roman" w:hAnsi="Times New Roman"/>
          <w:sz w:val="20"/>
          <w:szCs w:val="20"/>
          <w:color w:val="auto"/>
        </w:rPr>
        <w:t>applicable for such Applicable Period, and (C) the Borrowers shall immediately and retroactively be obligated to pay to the Administrative Agent the accrued additional interest and fees owing as a result of such increased Applicable Margin for such Applicable</w:t>
      </w:r>
    </w:p>
    <w:p>
      <w:pPr>
        <w:spacing w:after="0" w:line="1" w:lineRule="exact"/>
        <w:rPr>
          <w:sz w:val="20"/>
          <w:szCs w:val="20"/>
          <w:color w:val="auto"/>
        </w:rPr>
      </w:pPr>
    </w:p>
    <w:p>
      <w:pPr>
        <w:ind w:left="80" w:right="20"/>
        <w:spacing w:after="0" w:line="221" w:lineRule="auto"/>
        <w:rPr>
          <w:sz w:val="20"/>
          <w:szCs w:val="20"/>
          <w:color w:val="auto"/>
        </w:rPr>
      </w:pPr>
      <w:r>
        <w:rPr>
          <w:rFonts w:ascii="Times New Roman" w:cs="Times New Roman" w:eastAsia="Times New Roman" w:hAnsi="Times New Roman"/>
          <w:sz w:val="20"/>
          <w:szCs w:val="20"/>
          <w:color w:val="auto"/>
        </w:rPr>
        <w:t xml:space="preserve">Period, which payment shall be promptly applied by the Administrative Agent in accordance with </w:t>
      </w:r>
      <w:r>
        <w:rPr>
          <w:rFonts w:ascii="Times New Roman" w:cs="Times New Roman" w:eastAsia="Times New Roman" w:hAnsi="Times New Roman"/>
          <w:sz w:val="20"/>
          <w:szCs w:val="20"/>
          <w:u w:val="single" w:color="auto"/>
          <w:color w:val="auto"/>
        </w:rPr>
        <w:t>Section 5.4</w:t>
      </w:r>
      <w:r>
        <w:rPr>
          <w:rFonts w:ascii="Times New Roman" w:cs="Times New Roman" w:eastAsia="Times New Roman" w:hAnsi="Times New Roman"/>
          <w:sz w:val="20"/>
          <w:szCs w:val="20"/>
          <w:color w:val="auto"/>
        </w:rPr>
        <w:t>. Nothing in this paragraph shall limit the rights of</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FF0000"/>
          <w:strike w:val="1"/>
        </w:rPr>
        <w:t>146960219_6</w:t>
      </w:r>
    </w:p>
    <w:p>
      <w:pPr>
        <w:spacing w:after="0" w:line="203" w:lineRule="auto"/>
        <w:rPr>
          <w:sz w:val="20"/>
          <w:szCs w:val="20"/>
          <w:color w:val="auto"/>
        </w:rPr>
      </w:pPr>
      <w:r>
        <w:rPr>
          <w:rFonts w:ascii="Times New Roman" w:cs="Times New Roman" w:eastAsia="Times New Roman" w:hAnsi="Times New Roman"/>
          <w:sz w:val="20"/>
          <w:szCs w:val="20"/>
          <w:color w:val="auto"/>
        </w:rPr>
        <w:t xml:space="preserve">4 </w:t>
      </w: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060"/>
          </w:cols>
          <w:pgMar w:left="380" w:top="1399" w:right="459" w:bottom="1440" w:gutter="0" w:footer="0" w:header="0"/>
        </w:sectPr>
      </w:pPr>
    </w:p>
    <w:bookmarkStart w:id="87" w:name="page88"/>
    <w:bookmarkEnd w:id="87"/>
    <w:p>
      <w:pPr>
        <w:jc w:val="both"/>
        <w:ind w:left="58" w:right="20"/>
        <w:spacing w:after="0" w:line="254" w:lineRule="auto"/>
        <w:rPr>
          <w:sz w:val="20"/>
          <w:szCs w:val="20"/>
          <w:color w:val="auto"/>
        </w:rPr>
      </w:pPr>
      <w:r>
        <w:rPr>
          <w:rFonts w:ascii="Times New Roman" w:cs="Times New Roman" w:eastAsia="Times New Roman" w:hAnsi="Times New Roman"/>
          <w:sz w:val="20"/>
          <w:szCs w:val="20"/>
          <w:color w:val="auto"/>
        </w:rPr>
        <w:t xml:space="preserve">the Administrative Agent and Lenders with respect to </w:t>
      </w:r>
      <w:r>
        <w:rPr>
          <w:rFonts w:ascii="Times New Roman" w:cs="Times New Roman" w:eastAsia="Times New Roman" w:hAnsi="Times New Roman"/>
          <w:sz w:val="20"/>
          <w:szCs w:val="20"/>
          <w:u w:val="single" w:color="auto"/>
          <w:color w:val="auto"/>
        </w:rPr>
        <w:t>Sections 5.1(b)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10.2</w:t>
      </w:r>
      <w:r>
        <w:rPr>
          <w:rFonts w:ascii="Times New Roman" w:cs="Times New Roman" w:eastAsia="Times New Roman" w:hAnsi="Times New Roman"/>
          <w:sz w:val="20"/>
          <w:szCs w:val="20"/>
          <w:color w:val="auto"/>
        </w:rPr>
        <w:t xml:space="preserve"> nor any of their other rights under this Agreement or any other Loan Document. The Borrowers’ obligations under this paragraph shall survive the termination of the Commitments and the repayment of all other Obligations hereunder.</w:t>
      </w:r>
    </w:p>
    <w:p>
      <w:pPr>
        <w:spacing w:after="0" w:line="201" w:lineRule="exact"/>
        <w:rPr>
          <w:sz w:val="20"/>
          <w:szCs w:val="20"/>
          <w:color w:val="auto"/>
        </w:rPr>
      </w:pPr>
    </w:p>
    <w:p>
      <w:pPr>
        <w:ind w:left="69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Applicant Borrower</w:t>
      </w:r>
      <w:r>
        <w:rPr>
          <w:rFonts w:ascii="Times New Roman" w:cs="Times New Roman" w:eastAsia="Times New Roman" w:hAnsi="Times New Roman"/>
          <w:sz w:val="20"/>
          <w:szCs w:val="20"/>
          <w:color w:val="auto"/>
        </w:rPr>
        <w:t xml:space="preserve">” has the meaning given such term in </w:t>
      </w:r>
      <w:r>
        <w:rPr>
          <w:rFonts w:ascii="Times New Roman" w:cs="Times New Roman" w:eastAsia="Times New Roman" w:hAnsi="Times New Roman"/>
          <w:sz w:val="20"/>
          <w:szCs w:val="20"/>
          <w:u w:val="single" w:color="auto"/>
          <w:color w:val="auto"/>
        </w:rPr>
        <w:t>Section 5.17</w:t>
      </w:r>
      <w:r>
        <w:rPr>
          <w:rFonts w:ascii="Times New Roman" w:cs="Times New Roman" w:eastAsia="Times New Roman" w:hAnsi="Times New Roman"/>
          <w:sz w:val="20"/>
          <w:szCs w:val="20"/>
          <w:color w:val="auto"/>
        </w:rPr>
        <w:t>.</w:t>
      </w:r>
    </w:p>
    <w:p>
      <w:pPr>
        <w:spacing w:after="0" w:line="270" w:lineRule="exact"/>
        <w:rPr>
          <w:sz w:val="20"/>
          <w:szCs w:val="20"/>
          <w:color w:val="auto"/>
        </w:rPr>
      </w:pPr>
    </w:p>
    <w:p>
      <w:pPr>
        <w:jc w:val="both"/>
        <w:ind w:left="58" w:right="20"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Approved Fund</w:t>
      </w:r>
      <w:r>
        <w:rPr>
          <w:rFonts w:ascii="Times New Roman" w:cs="Times New Roman" w:eastAsia="Times New Roman" w:hAnsi="Times New Roman"/>
          <w:sz w:val="20"/>
          <w:szCs w:val="20"/>
          <w:color w:val="auto"/>
        </w:rPr>
        <w:t>” means any Fund that is administered or managed by (a) a Lender, (b) an Affiliate of a Lender or (c) an entity or an Affiliate of an entity that administers or manages a Lender.</w:t>
      </w:r>
    </w:p>
    <w:p>
      <w:pPr>
        <w:spacing w:after="0" w:line="202" w:lineRule="exact"/>
        <w:rPr>
          <w:sz w:val="20"/>
          <w:szCs w:val="20"/>
          <w:color w:val="auto"/>
        </w:rPr>
      </w:pPr>
    </w:p>
    <w:p>
      <w:pPr>
        <w:jc w:val="both"/>
        <w:ind w:left="58"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Arrangers</w:t>
      </w:r>
      <w:r>
        <w:rPr>
          <w:rFonts w:ascii="Times New Roman" w:cs="Times New Roman" w:eastAsia="Times New Roman" w:hAnsi="Times New Roman"/>
          <w:sz w:val="20"/>
          <w:szCs w:val="20"/>
          <w:color w:val="auto"/>
        </w:rPr>
        <w:t>” means Wells Fargo Securities, LLC and BofA Securities, Inc., in their respective capacities as joint lead arrangers and joint bookrunners.</w:t>
      </w:r>
    </w:p>
    <w:p>
      <w:pPr>
        <w:spacing w:after="0" w:line="186" w:lineRule="exact"/>
        <w:rPr>
          <w:sz w:val="20"/>
          <w:szCs w:val="20"/>
          <w:color w:val="auto"/>
        </w:rPr>
      </w:pPr>
    </w:p>
    <w:p>
      <w:pPr>
        <w:jc w:val="both"/>
        <w:ind w:left="58" w:firstLine="648"/>
        <w:spacing w:after="0" w:line="21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Asset Disposition</w:t>
      </w:r>
      <w:r>
        <w:rPr>
          <w:rFonts w:ascii="Times New Roman" w:cs="Times New Roman" w:eastAsia="Times New Roman" w:hAnsi="Times New Roman"/>
          <w:sz w:val="20"/>
          <w:szCs w:val="20"/>
          <w:color w:val="auto"/>
        </w:rPr>
        <w:t>” means the disposition of any Property (including, without limitation, any Equity Interests owned thereby) by any Credit Party or any Subsidiary thereof, whether by sale, lease, transfer, statutory division or otherwise, and any issuance of Equity</w:t>
      </w:r>
    </w:p>
    <w:p>
      <w:pPr>
        <w:spacing w:after="0" w:line="1" w:lineRule="exact"/>
        <w:rPr>
          <w:sz w:val="20"/>
          <w:szCs w:val="20"/>
          <w:color w:val="auto"/>
        </w:rPr>
      </w:pPr>
    </w:p>
    <w:p>
      <w:pPr>
        <w:ind w:left="58"/>
        <w:spacing w:after="0"/>
        <w:rPr>
          <w:sz w:val="20"/>
          <w:szCs w:val="20"/>
          <w:color w:val="auto"/>
        </w:rPr>
      </w:pPr>
      <w:r>
        <w:rPr>
          <w:rFonts w:ascii="Times New Roman" w:cs="Times New Roman" w:eastAsia="Times New Roman" w:hAnsi="Times New Roman"/>
          <w:sz w:val="20"/>
          <w:szCs w:val="20"/>
          <w:color w:val="auto"/>
        </w:rPr>
        <w:t>Interests by any Subsidiary of any Credit Party to any Person that is not a Credit Party or any Subsidiary thereof.</w:t>
      </w:r>
    </w:p>
    <w:p>
      <w:pPr>
        <w:spacing w:after="0" w:line="194" w:lineRule="exact"/>
        <w:rPr>
          <w:sz w:val="20"/>
          <w:szCs w:val="20"/>
          <w:color w:val="auto"/>
        </w:rPr>
      </w:pPr>
    </w:p>
    <w:p>
      <w:pPr>
        <w:jc w:val="both"/>
        <w:ind w:left="58" w:firstLine="648"/>
        <w:spacing w:after="0" w:line="23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Assignment and Assumption</w:t>
      </w:r>
      <w:r>
        <w:rPr>
          <w:rFonts w:ascii="Times New Roman" w:cs="Times New Roman" w:eastAsia="Times New Roman" w:hAnsi="Times New Roman"/>
          <w:sz w:val="20"/>
          <w:szCs w:val="20"/>
          <w:color w:val="auto"/>
        </w:rPr>
        <w:t xml:space="preserve">” means an assignment and assumption entered into by a Lender and an Eligible Assignee (with the consent of any party whose consent is required by </w:t>
      </w:r>
      <w:r>
        <w:rPr>
          <w:rFonts w:ascii="Times New Roman" w:cs="Times New Roman" w:eastAsia="Times New Roman" w:hAnsi="Times New Roman"/>
          <w:sz w:val="20"/>
          <w:szCs w:val="20"/>
          <w:u w:val="single" w:color="auto"/>
          <w:color w:val="auto"/>
        </w:rPr>
        <w:t>Section 12.9</w:t>
      </w:r>
      <w:r>
        <w:rPr>
          <w:rFonts w:ascii="Times New Roman" w:cs="Times New Roman" w:eastAsia="Times New Roman" w:hAnsi="Times New Roman"/>
          <w:sz w:val="20"/>
          <w:szCs w:val="20"/>
          <w:color w:val="auto"/>
        </w:rPr>
        <w:t xml:space="preserve">), and accepted by the Administrative Agent, in substantially the form attached as </w:t>
      </w:r>
      <w:r>
        <w:rPr>
          <w:rFonts w:ascii="Times New Roman" w:cs="Times New Roman" w:eastAsia="Times New Roman" w:hAnsi="Times New Roman"/>
          <w:sz w:val="20"/>
          <w:szCs w:val="20"/>
          <w:b w:val="1"/>
          <w:bCs w:val="1"/>
          <w:i w:val="1"/>
          <w:iCs w:val="1"/>
          <w:color w:val="auto"/>
        </w:rPr>
        <w:t>Exhibit G</w:t>
      </w:r>
      <w:r>
        <w:rPr>
          <w:rFonts w:ascii="Times New Roman" w:cs="Times New Roman" w:eastAsia="Times New Roman" w:hAnsi="Times New Roman"/>
          <w:sz w:val="20"/>
          <w:szCs w:val="20"/>
          <w:color w:val="auto"/>
        </w:rPr>
        <w:t xml:space="preserve"> or any other form approved by the Administrative Agent.</w:t>
      </w:r>
    </w:p>
    <w:p>
      <w:pPr>
        <w:spacing w:after="0" w:line="189" w:lineRule="exact"/>
        <w:rPr>
          <w:sz w:val="20"/>
          <w:szCs w:val="20"/>
          <w:color w:val="auto"/>
        </w:rPr>
      </w:pPr>
    </w:p>
    <w:p>
      <w:pPr>
        <w:jc w:val="both"/>
        <w:ind w:left="58" w:firstLine="648"/>
        <w:spacing w:after="0" w:line="22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Attributable Indebtedness</w:t>
      </w:r>
      <w:r>
        <w:rPr>
          <w:rFonts w:ascii="Times New Roman" w:cs="Times New Roman" w:eastAsia="Times New Roman" w:hAnsi="Times New Roman"/>
          <w:sz w:val="19"/>
          <w:szCs w:val="19"/>
          <w:color w:val="auto"/>
        </w:rPr>
        <w:t>” means, on any date of determination, (a) in respect of any Capital Lease Obligation of any Person, the capitalized amount thereof that would appear on a balance sheet of such Person prepared as of such date in accordance with GAAP, (b) in</w:t>
      </w:r>
    </w:p>
    <w:p>
      <w:pPr>
        <w:ind w:left="58"/>
        <w:spacing w:after="0" w:line="211" w:lineRule="auto"/>
        <w:rPr>
          <w:sz w:val="20"/>
          <w:szCs w:val="20"/>
          <w:color w:val="auto"/>
        </w:rPr>
      </w:pPr>
      <w:r>
        <w:rPr>
          <w:rFonts w:ascii="Times New Roman" w:cs="Times New Roman" w:eastAsia="Times New Roman" w:hAnsi="Times New Roman"/>
          <w:sz w:val="20"/>
          <w:szCs w:val="20"/>
          <w:color w:val="auto"/>
        </w:rPr>
        <w:t>respect of any Synthetic Lease, the capitalized amount or principal amount of the remaining lease payments under the relevant lease that</w:t>
      </w:r>
    </w:p>
    <w:p>
      <w:pPr>
        <w:spacing w:after="0" w:line="1" w:lineRule="exact"/>
        <w:rPr>
          <w:sz w:val="20"/>
          <w:szCs w:val="20"/>
          <w:color w:val="auto"/>
        </w:rPr>
      </w:pPr>
    </w:p>
    <w:p>
      <w:pPr>
        <w:jc w:val="both"/>
        <w:ind w:left="58"/>
        <w:spacing w:after="0" w:line="204" w:lineRule="auto"/>
        <w:rPr>
          <w:sz w:val="20"/>
          <w:szCs w:val="20"/>
          <w:color w:val="auto"/>
        </w:rPr>
      </w:pPr>
      <w:r>
        <w:rPr>
          <w:rFonts w:ascii="Times New Roman" w:cs="Times New Roman" w:eastAsia="Times New Roman" w:hAnsi="Times New Roman"/>
          <w:sz w:val="20"/>
          <w:szCs w:val="20"/>
          <w:color w:val="auto"/>
        </w:rPr>
        <w:t>would appear on a balance sheet of such Person prepared as of such date in accordance with GAAP if such lease were accounted for as a Capital Lease Obligation and (c) in respect of any Permitted Receivables Transaction, the aggregate cash amount paid by the lenders</w:t>
      </w:r>
    </w:p>
    <w:p>
      <w:pPr>
        <w:ind w:left="58"/>
        <w:spacing w:after="0" w:line="211" w:lineRule="auto"/>
        <w:rPr>
          <w:sz w:val="20"/>
          <w:szCs w:val="20"/>
          <w:color w:val="auto"/>
        </w:rPr>
      </w:pPr>
      <w:r>
        <w:rPr>
          <w:rFonts w:ascii="Times New Roman" w:cs="Times New Roman" w:eastAsia="Times New Roman" w:hAnsi="Times New Roman"/>
          <w:sz w:val="20"/>
          <w:szCs w:val="20"/>
          <w:color w:val="auto"/>
        </w:rPr>
        <w:t>and/or purchasers under such Permitted Receivables Transaction in connection with their purchase of, or the making of loans secured by,</w:t>
      </w:r>
    </w:p>
    <w:p>
      <w:pPr>
        <w:spacing w:after="0" w:line="1" w:lineRule="exact"/>
        <w:rPr>
          <w:sz w:val="20"/>
          <w:szCs w:val="20"/>
          <w:color w:val="auto"/>
        </w:rPr>
      </w:pPr>
    </w:p>
    <w:p>
      <w:pPr>
        <w:jc w:val="both"/>
        <w:ind w:left="58"/>
        <w:spacing w:after="0" w:line="221" w:lineRule="auto"/>
        <w:rPr>
          <w:sz w:val="20"/>
          <w:szCs w:val="20"/>
          <w:color w:val="auto"/>
        </w:rPr>
      </w:pPr>
      <w:r>
        <w:rPr>
          <w:rFonts w:ascii="Times New Roman" w:cs="Times New Roman" w:eastAsia="Times New Roman" w:hAnsi="Times New Roman"/>
          <w:sz w:val="20"/>
          <w:szCs w:val="20"/>
          <w:color w:val="auto"/>
        </w:rPr>
        <w:t>Receivables Assets or interests therein, as the same may be reduced from time to time by collections with respect to such Receivables Assets or otherwise in accordance with the terms of the Permitted Receivables Transaction Documents since the Closing Date.</w:t>
      </w:r>
    </w:p>
    <w:p>
      <w:pPr>
        <w:spacing w:after="0" w:line="202" w:lineRule="exact"/>
        <w:rPr>
          <w:sz w:val="20"/>
          <w:szCs w:val="20"/>
          <w:color w:val="auto"/>
        </w:rPr>
      </w:pPr>
    </w:p>
    <w:p>
      <w:pPr>
        <w:ind w:left="69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Available Amount</w:t>
      </w:r>
      <w:r>
        <w:rPr>
          <w:rFonts w:ascii="Times New Roman" w:cs="Times New Roman" w:eastAsia="Times New Roman" w:hAnsi="Times New Roman"/>
          <w:sz w:val="20"/>
          <w:szCs w:val="20"/>
          <w:color w:val="auto"/>
        </w:rPr>
        <w:t>” means, on any date of determination, an amount equal to:</w:t>
      </w:r>
    </w:p>
    <w:p>
      <w:pPr>
        <w:spacing w:after="0" w:line="270" w:lineRule="exact"/>
        <w:rPr>
          <w:sz w:val="20"/>
          <w:szCs w:val="20"/>
          <w:color w:val="auto"/>
        </w:rPr>
      </w:pPr>
    </w:p>
    <w:p>
      <w:pPr>
        <w:jc w:val="both"/>
        <w:ind w:left="58" w:firstLine="644"/>
        <w:spacing w:after="0" w:line="222" w:lineRule="auto"/>
        <w:tabs>
          <w:tab w:leader="none" w:pos="1237"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 amount, not less than zero, equal to 50% of Adjusted Consolidated Net Income for the period (taken as one accounting period) from the fiscal quarter following September 30, 2020 to the end of the fiscal quarter most recently ended in respect of which an Officer’s Compliance Certificate has been delivered as required hereunder (or, in the case such Adjusted Consolidated Net Income shall be a negative number, 100% of such negative number); </w:t>
      </w:r>
      <w:r>
        <w:rPr>
          <w:rFonts w:ascii="Times New Roman" w:cs="Times New Roman" w:eastAsia="Times New Roman" w:hAnsi="Times New Roman"/>
          <w:sz w:val="20"/>
          <w:szCs w:val="20"/>
          <w:u w:val="single" w:color="auto"/>
          <w:color w:val="auto"/>
        </w:rPr>
        <w:t>plus</w:t>
      </w:r>
    </w:p>
    <w:p>
      <w:pPr>
        <w:spacing w:after="0" w:line="256" w:lineRule="exact"/>
        <w:rPr>
          <w:rFonts w:ascii="Times New Roman" w:cs="Times New Roman" w:eastAsia="Times New Roman" w:hAnsi="Times New Roman"/>
          <w:sz w:val="20"/>
          <w:szCs w:val="20"/>
          <w:color w:val="auto"/>
        </w:rPr>
      </w:pPr>
    </w:p>
    <w:p>
      <w:pPr>
        <w:jc w:val="both"/>
        <w:ind w:left="58" w:firstLine="644"/>
        <w:spacing w:after="0" w:line="216" w:lineRule="auto"/>
        <w:tabs>
          <w:tab w:leader="none" w:pos="1235"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net cash proceeds received by Centuri after the Closing Date as a result of any issuance of Qualified Equity Interests of Centuri to Southwest Gas and cash contributions received by Centuri from Southwest Gas as a capital contribution as common Equity Interests, in each case, during the period from the Closing Date through and including such date, other than the proceeds of issuances of Qualified Equity Interests or capital contributions to the extent specifically and contemporaneously utilized in connection with other transactions permitted pursuant to this Agreement (including the Drum Acquisition, but excluding any Investments made pursuant to </w:t>
      </w:r>
      <w:r>
        <w:rPr>
          <w:rFonts w:ascii="Times New Roman" w:cs="Times New Roman" w:eastAsia="Times New Roman" w:hAnsi="Times New Roman"/>
          <w:sz w:val="20"/>
          <w:szCs w:val="20"/>
          <w:u w:val="single" w:color="auto"/>
          <w:color w:val="auto"/>
        </w:rPr>
        <w:t>Section 9.3(i)</w:t>
      </w:r>
      <w:r>
        <w:rPr>
          <w:rFonts w:ascii="Times New Roman" w:cs="Times New Roman" w:eastAsia="Times New Roman" w:hAnsi="Times New Roman"/>
          <w:sz w:val="20"/>
          <w:szCs w:val="20"/>
          <w:color w:val="auto"/>
        </w:rPr>
        <w:t xml:space="preserve"> that are deducted pursuant to clause (d) below); </w:t>
      </w:r>
      <w:r>
        <w:rPr>
          <w:rFonts w:ascii="Times New Roman" w:cs="Times New Roman" w:eastAsia="Times New Roman" w:hAnsi="Times New Roman"/>
          <w:sz w:val="20"/>
          <w:szCs w:val="20"/>
          <w:u w:val="single" w:color="auto"/>
          <w:color w:val="auto"/>
        </w:rPr>
        <w:t>plus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218"/>
        <w:spacing w:after="0"/>
        <w:rPr>
          <w:sz w:val="20"/>
          <w:szCs w:val="20"/>
          <w:color w:val="auto"/>
        </w:rPr>
      </w:pPr>
      <w:r>
        <w:rPr>
          <w:rFonts w:ascii="Times New Roman" w:cs="Times New Roman" w:eastAsia="Times New Roman" w:hAnsi="Times New Roman"/>
          <w:sz w:val="14"/>
          <w:szCs w:val="14"/>
          <w:color w:val="FF0000"/>
          <w:strike w:val="1"/>
        </w:rPr>
        <w:t>146960219_6</w:t>
      </w:r>
    </w:p>
    <w:p>
      <w:pPr>
        <w:ind w:left="218" w:hanging="218"/>
        <w:spacing w:after="0" w:line="229" w:lineRule="auto"/>
        <w:tabs>
          <w:tab w:leader="none" w:pos="218"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078"/>
          </w:cols>
          <w:pgMar w:left="382" w:top="1413" w:right="439" w:bottom="1440" w:gutter="0" w:footer="0" w:header="0"/>
        </w:sectPr>
      </w:pPr>
    </w:p>
    <w:bookmarkStart w:id="88" w:name="page89"/>
    <w:bookmarkEnd w:id="88"/>
    <w:p>
      <w:pPr>
        <w:spacing w:after="0" w:line="203" w:lineRule="exact"/>
        <w:rPr>
          <w:sz w:val="20"/>
          <w:szCs w:val="20"/>
          <w:color w:val="auto"/>
        </w:rPr>
      </w:pPr>
    </w:p>
    <w:p>
      <w:pPr>
        <w:jc w:val="both"/>
        <w:ind w:left="58" w:firstLine="644"/>
        <w:spacing w:after="0" w:line="220" w:lineRule="auto"/>
        <w:tabs>
          <w:tab w:leader="none" w:pos="1237"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net cash proceeds received by Centuri or any Subsidiary during the period from the Closing Date through and including such date in connection with (i) cash returns, cash profits, cash distributions and similar cash amounts, including cash principal repayments of loans, in each case received in respect of any Investment originally made using the Available Amount after the Closing Date and (ii) sales of Investments that were originally made using the Available Amount (in each case, in an amount not to exceed the original amount of such Investment); </w:t>
      </w:r>
      <w:r>
        <w:rPr>
          <w:rFonts w:ascii="Times New Roman" w:cs="Times New Roman" w:eastAsia="Times New Roman" w:hAnsi="Times New Roman"/>
          <w:sz w:val="20"/>
          <w:szCs w:val="20"/>
          <w:u w:val="single" w:color="auto"/>
          <w:color w:val="auto"/>
        </w:rPr>
        <w:t>minus</w:t>
      </w:r>
    </w:p>
    <w:p>
      <w:pPr>
        <w:spacing w:after="0" w:line="255" w:lineRule="exact"/>
        <w:rPr>
          <w:rFonts w:ascii="Times New Roman" w:cs="Times New Roman" w:eastAsia="Times New Roman" w:hAnsi="Times New Roman"/>
          <w:sz w:val="20"/>
          <w:szCs w:val="20"/>
          <w:color w:val="auto"/>
        </w:rPr>
      </w:pPr>
    </w:p>
    <w:p>
      <w:pPr>
        <w:ind w:left="58" w:right="220" w:firstLine="644"/>
        <w:spacing w:after="0" w:line="283" w:lineRule="auto"/>
        <w:tabs>
          <w:tab w:leader="none" w:pos="1235"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amount of payments made by Centuri or any of its Subsidiaries after the Closing Date to acquire the remaining Equity Interests of Linetec pursuant to </w:t>
      </w:r>
      <w:r>
        <w:rPr>
          <w:rFonts w:ascii="Times New Roman" w:cs="Times New Roman" w:eastAsia="Times New Roman" w:hAnsi="Times New Roman"/>
          <w:sz w:val="20"/>
          <w:szCs w:val="20"/>
          <w:u w:val="single" w:color="auto"/>
          <w:color w:val="auto"/>
        </w:rPr>
        <w:t>Section 9.3(i)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minus</w:t>
      </w:r>
    </w:p>
    <w:p>
      <w:pPr>
        <w:spacing w:after="0" w:line="240" w:lineRule="exact"/>
        <w:rPr>
          <w:rFonts w:ascii="Times New Roman" w:cs="Times New Roman" w:eastAsia="Times New Roman" w:hAnsi="Times New Roman"/>
          <w:sz w:val="20"/>
          <w:szCs w:val="20"/>
          <w:color w:val="auto"/>
        </w:rPr>
      </w:pPr>
    </w:p>
    <w:p>
      <w:pPr>
        <w:ind w:left="58" w:right="320" w:firstLine="644"/>
        <w:spacing w:after="0" w:line="269" w:lineRule="auto"/>
        <w:tabs>
          <w:tab w:leader="none" w:pos="1236"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aggregate amount of all usage of the Available Amount pursuant to </w:t>
      </w:r>
      <w:r>
        <w:rPr>
          <w:rFonts w:ascii="Times New Roman" w:cs="Times New Roman" w:eastAsia="Times New Roman" w:hAnsi="Times New Roman"/>
          <w:sz w:val="20"/>
          <w:szCs w:val="20"/>
          <w:u w:val="single" w:color="auto"/>
          <w:color w:val="auto"/>
        </w:rPr>
        <w:t>Sections 9.3(j)</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9.6(d)</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9.9(c)</w:t>
      </w:r>
      <w:r>
        <w:rPr>
          <w:rFonts w:ascii="Times New Roman" w:cs="Times New Roman" w:eastAsia="Times New Roman" w:hAnsi="Times New Roman"/>
          <w:sz w:val="20"/>
          <w:szCs w:val="20"/>
          <w:color w:val="auto"/>
        </w:rPr>
        <w:t xml:space="preserve"> on and after the Closing Date through and including the date of determination.</w:t>
      </w:r>
    </w:p>
    <w:p>
      <w:pPr>
        <w:spacing w:after="0" w:line="254" w:lineRule="exact"/>
        <w:rPr>
          <w:sz w:val="20"/>
          <w:szCs w:val="20"/>
          <w:color w:val="auto"/>
        </w:rPr>
      </w:pPr>
    </w:p>
    <w:p>
      <w:pPr>
        <w:ind w:left="698"/>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Available Tenor</w:t>
      </w:r>
      <w:r>
        <w:rPr>
          <w:rFonts w:ascii="Times New Roman" w:cs="Times New Roman" w:eastAsia="Times New Roman" w:hAnsi="Times New Roman"/>
          <w:sz w:val="19"/>
          <w:szCs w:val="19"/>
          <w:color w:val="auto"/>
        </w:rPr>
        <w:t>” means, as of any date of determination and with respect to the then-current Benchmark, as applicable, (a) if the</w:t>
      </w:r>
    </w:p>
    <w:p>
      <w:pPr>
        <w:spacing w:after="0" w:line="6" w:lineRule="exact"/>
        <w:rPr>
          <w:sz w:val="20"/>
          <w:szCs w:val="20"/>
          <w:color w:val="auto"/>
        </w:rPr>
      </w:pPr>
    </w:p>
    <w:p>
      <w:pPr>
        <w:ind w:left="58"/>
        <w:spacing w:after="0" w:line="204" w:lineRule="auto"/>
        <w:rPr>
          <w:sz w:val="20"/>
          <w:szCs w:val="20"/>
          <w:color w:val="auto"/>
        </w:rPr>
      </w:pPr>
      <w:r>
        <w:rPr>
          <w:rFonts w:ascii="Times New Roman" w:cs="Times New Roman" w:eastAsia="Times New Roman" w:hAnsi="Times New Roman"/>
          <w:sz w:val="20"/>
          <w:szCs w:val="20"/>
          <w:color w:val="auto"/>
        </w:rPr>
        <w:t>then-current Benchmark is a term rate, any tenor for such Benchmark or (b) otherwise, any payment period for interest calculated with reference to such Benchmark, as applicable, that is or may be used for determining the length of an Interest Period pursuant to this</w:t>
      </w:r>
    </w:p>
    <w:p>
      <w:pPr>
        <w:spacing w:after="0" w:line="1" w:lineRule="exact"/>
        <w:rPr>
          <w:sz w:val="20"/>
          <w:szCs w:val="20"/>
          <w:color w:val="auto"/>
        </w:rPr>
      </w:pPr>
    </w:p>
    <w:p>
      <w:pPr>
        <w:ind w:left="58"/>
        <w:spacing w:after="0" w:line="228" w:lineRule="auto"/>
        <w:rPr>
          <w:sz w:val="20"/>
          <w:szCs w:val="20"/>
          <w:color w:val="auto"/>
        </w:rPr>
      </w:pPr>
      <w:r>
        <w:rPr>
          <w:rFonts w:ascii="Times New Roman" w:cs="Times New Roman" w:eastAsia="Times New Roman" w:hAnsi="Times New Roman"/>
          <w:sz w:val="20"/>
          <w:szCs w:val="20"/>
          <w:color w:val="auto"/>
        </w:rPr>
        <w:t xml:space="preserve">Agreement as of such date and not including, for the avoidance of doubt, any tenor for such Benchmark that is then- removed from the definition of “Interest Period” pursuant to </w:t>
      </w:r>
      <w:r>
        <w:rPr>
          <w:rFonts w:ascii="Times New Roman" w:cs="Times New Roman" w:eastAsia="Times New Roman" w:hAnsi="Times New Roman"/>
          <w:sz w:val="20"/>
          <w:szCs w:val="20"/>
          <w:u w:val="single" w:color="auto"/>
          <w:color w:val="auto"/>
        </w:rPr>
        <w:t>Section 5.8(c)(iv)</w:t>
      </w:r>
      <w:r>
        <w:rPr>
          <w:rFonts w:ascii="Times New Roman" w:cs="Times New Roman" w:eastAsia="Times New Roman" w:hAnsi="Times New Roman"/>
          <w:sz w:val="20"/>
          <w:szCs w:val="20"/>
          <w:color w:val="auto"/>
        </w:rPr>
        <w:t>.</w:t>
      </w:r>
    </w:p>
    <w:p>
      <w:pPr>
        <w:spacing w:after="0" w:line="243" w:lineRule="exact"/>
        <w:rPr>
          <w:sz w:val="20"/>
          <w:szCs w:val="20"/>
          <w:color w:val="auto"/>
        </w:rPr>
      </w:pPr>
    </w:p>
    <w:p>
      <w:pPr>
        <w:ind w:left="58"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Bail-In Action</w:t>
      </w:r>
      <w:r>
        <w:rPr>
          <w:rFonts w:ascii="Times New Roman" w:cs="Times New Roman" w:eastAsia="Times New Roman" w:hAnsi="Times New Roman"/>
          <w:sz w:val="20"/>
          <w:szCs w:val="20"/>
          <w:color w:val="auto"/>
        </w:rPr>
        <w:t>” means the exercise of any Write-Down and Conversion Powers by the applicable Resolution Authority in respect of any liability of an Affected Financial Institution.</w:t>
      </w:r>
    </w:p>
    <w:p>
      <w:pPr>
        <w:spacing w:after="0" w:line="188" w:lineRule="exact"/>
        <w:rPr>
          <w:sz w:val="20"/>
          <w:szCs w:val="20"/>
          <w:color w:val="auto"/>
        </w:rPr>
      </w:pPr>
    </w:p>
    <w:p>
      <w:pPr>
        <w:ind w:left="58" w:firstLine="648"/>
        <w:spacing w:after="0" w:line="22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Bail-In Legislation</w:t>
      </w:r>
      <w:r>
        <w:rPr>
          <w:rFonts w:ascii="Times New Roman" w:cs="Times New Roman" w:eastAsia="Times New Roman" w:hAnsi="Times New Roman"/>
          <w:sz w:val="20"/>
          <w:szCs w:val="20"/>
          <w:color w:val="auto"/>
        </w:rPr>
        <w:t>” means (a) with respect to any EEA Member Country implementing Article 55 of Directive 2014/59/EU of the European Parliament and of the Council of the European Union, the implementing law, regulation, rule or requirement for such EEA</w:t>
      </w:r>
    </w:p>
    <w:p>
      <w:pPr>
        <w:spacing w:after="0" w:line="2" w:lineRule="exact"/>
        <w:rPr>
          <w:sz w:val="20"/>
          <w:szCs w:val="20"/>
          <w:color w:val="auto"/>
        </w:rPr>
      </w:pPr>
    </w:p>
    <w:p>
      <w:pPr>
        <w:ind w:left="58"/>
        <w:spacing w:after="0" w:line="215" w:lineRule="auto"/>
        <w:rPr>
          <w:sz w:val="20"/>
          <w:szCs w:val="20"/>
          <w:color w:val="auto"/>
        </w:rPr>
      </w:pPr>
      <w:r>
        <w:rPr>
          <w:rFonts w:ascii="Times New Roman" w:cs="Times New Roman" w:eastAsia="Times New Roman" w:hAnsi="Times New Roman"/>
          <w:sz w:val="19"/>
          <w:szCs w:val="19"/>
          <w:color w:val="auto"/>
        </w:rPr>
        <w:t>Member Country from time to time which is described in the EU Bail-In Legislation Schedule and (b) with respect to the United Kingdom, Part I of the United Kingdom Banking Act 2009 (as amended from time to time) and any other law, regulation or rule applicable in the</w:t>
      </w:r>
    </w:p>
    <w:p>
      <w:pPr>
        <w:ind w:left="58" w:right="20"/>
        <w:spacing w:after="0" w:line="228" w:lineRule="auto"/>
        <w:rPr>
          <w:sz w:val="20"/>
          <w:szCs w:val="20"/>
          <w:color w:val="auto"/>
        </w:rPr>
      </w:pPr>
      <w:r>
        <w:rPr>
          <w:rFonts w:ascii="Times New Roman" w:cs="Times New Roman" w:eastAsia="Times New Roman" w:hAnsi="Times New Roman"/>
          <w:sz w:val="20"/>
          <w:szCs w:val="20"/>
          <w:color w:val="auto"/>
        </w:rPr>
        <w:t>United Kingdom relating to the resolution of unsound or failing banks, investment firms or other financial institutions or their affiliates (other than through liquidation, administration or other insolvency proceedings).</w:t>
      </w:r>
    </w:p>
    <w:p>
      <w:pPr>
        <w:spacing w:after="0" w:line="189" w:lineRule="exact"/>
        <w:rPr>
          <w:sz w:val="20"/>
          <w:szCs w:val="20"/>
          <w:color w:val="auto"/>
        </w:rPr>
      </w:pPr>
    </w:p>
    <w:p>
      <w:pPr>
        <w:ind w:left="758"/>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Base Rate</w:t>
      </w:r>
      <w:r>
        <w:rPr>
          <w:rFonts w:ascii="Times New Roman" w:cs="Times New Roman" w:eastAsia="Times New Roman" w:hAnsi="Times New Roman"/>
          <w:sz w:val="19"/>
          <w:szCs w:val="19"/>
          <w:color w:val="auto"/>
        </w:rPr>
        <w:t xml:space="preserve">” means, at any time, the highest of (a) the Prime Rate, (b) the Federal Funds Rate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0.50% and (c)</w:t>
      </w:r>
      <w:r>
        <w:rPr>
          <w:rFonts w:ascii="Times New Roman" w:cs="Times New Roman" w:eastAsia="Times New Roman" w:hAnsi="Times New Roman"/>
          <w:sz w:val="19"/>
          <w:szCs w:val="19"/>
          <w:u w:val="single" w:color="auto"/>
          <w:color w:val="0000FF"/>
        </w:rPr>
        <w:t>(i) in the case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445770</wp:posOffset>
            </wp:positionH>
            <wp:positionV relativeFrom="paragraph">
              <wp:posOffset>-63500</wp:posOffset>
            </wp:positionV>
            <wp:extent cx="3429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34290" cy="17145"/>
                    </a:xfrm>
                    <a:prstGeom prst="rect">
                      <a:avLst/>
                    </a:prstGeom>
                    <a:noFill/>
                  </pic:spPr>
                </pic:pic>
              </a:graphicData>
            </a:graphic>
          </wp:anchor>
        </w:drawing>
      </w:r>
    </w:p>
    <w:p>
      <w:pPr>
        <w:ind w:left="58"/>
        <w:spacing w:after="0" w:line="215" w:lineRule="auto"/>
        <w:rPr>
          <w:sz w:val="20"/>
          <w:szCs w:val="20"/>
          <w:color w:val="auto"/>
        </w:rPr>
      </w:pPr>
      <w:r>
        <w:rPr>
          <w:rFonts w:ascii="Times New Roman" w:cs="Times New Roman" w:eastAsia="Times New Roman" w:hAnsi="Times New Roman"/>
          <w:sz w:val="19"/>
          <w:szCs w:val="19"/>
          <w:u w:val="single" w:color="auto"/>
          <w:color w:val="0000FF"/>
        </w:rPr>
        <w:t>the Initial Term Loans,</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the LIBOR Rate for an Interest Period of one month</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u w:val="single" w:color="auto"/>
          <w:color w:val="000000"/>
        </w:rPr>
        <w:t>plus</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1%</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u w:val="single" w:color="auto"/>
          <w:color w:val="0000FF"/>
        </w:rPr>
        <w:t>and (ii) in the case of any other Loans, Adjusted Term</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u w:val="single" w:color="auto"/>
          <w:color w:val="0000FF"/>
        </w:rPr>
        <w:t>SOFR for an Interest Period of one month plus 1%</w:t>
      </w:r>
      <w:r>
        <w:rPr>
          <w:rFonts w:ascii="Times New Roman" w:cs="Times New Roman" w:eastAsia="Times New Roman" w:hAnsi="Times New Roman"/>
          <w:sz w:val="19"/>
          <w:szCs w:val="19"/>
          <w:color w:val="000000"/>
        </w:rPr>
        <w:t>; each change in the Base Rate shall take effect simultaneously with the corresponding</w:t>
      </w:r>
    </w:p>
    <w:p>
      <w:pPr>
        <w:ind w:left="58"/>
        <w:spacing w:after="0"/>
        <w:rPr>
          <w:sz w:val="20"/>
          <w:szCs w:val="20"/>
          <w:color w:val="auto"/>
        </w:rPr>
      </w:pPr>
      <w:r>
        <w:rPr>
          <w:rFonts w:ascii="Times New Roman" w:cs="Times New Roman" w:eastAsia="Times New Roman" w:hAnsi="Times New Roman"/>
          <w:sz w:val="20"/>
          <w:szCs w:val="20"/>
          <w:color w:val="auto"/>
        </w:rPr>
        <w:t xml:space="preserve">change or changes in the Prime Rate, the Federal Funds Rate </w:t>
      </w:r>
      <w:r>
        <w:rPr>
          <w:rFonts w:ascii="Times New Roman" w:cs="Times New Roman" w:eastAsia="Times New Roman" w:hAnsi="Times New Roman"/>
          <w:sz w:val="20"/>
          <w:szCs w:val="20"/>
          <w:color w:val="FF0000"/>
          <w:strike w:val="1"/>
        </w:rPr>
        <w:t>or</w:t>
      </w:r>
      <w:r>
        <w:rPr>
          <w:rFonts w:ascii="Times New Roman" w:cs="Times New Roman" w:eastAsia="Times New Roman" w:hAnsi="Times New Roman"/>
          <w:sz w:val="20"/>
          <w:szCs w:val="20"/>
          <w:color w:val="0000FF"/>
        </w:rPr>
        <w:t>,</w:t>
      </w:r>
      <w:r>
        <w:rPr>
          <w:rFonts w:ascii="Times New Roman" w:cs="Times New Roman" w:eastAsia="Times New Roman" w:hAnsi="Times New Roman"/>
          <w:sz w:val="20"/>
          <w:szCs w:val="20"/>
          <w:color w:val="auto"/>
        </w:rPr>
        <w:t xml:space="preserve"> the LIBOR Rate </w:t>
      </w:r>
      <w:r>
        <w:rPr>
          <w:rFonts w:ascii="Times New Roman" w:cs="Times New Roman" w:eastAsia="Times New Roman" w:hAnsi="Times New Roman"/>
          <w:sz w:val="20"/>
          <w:szCs w:val="20"/>
          <w:u w:val="single" w:color="auto"/>
          <w:color w:val="0000FF"/>
        </w:rPr>
        <w:t>or Adjusted Term SOFR</w:t>
      </w:r>
      <w:r>
        <w:rPr>
          <w:rFonts w:ascii="Times New Roman" w:cs="Times New Roman" w:eastAsia="Times New Roman" w:hAnsi="Times New Roman"/>
          <w:sz w:val="20"/>
          <w:szCs w:val="20"/>
          <w:color w:val="auto"/>
        </w:rPr>
        <w:t>.</w:t>
      </w:r>
    </w:p>
    <w:p>
      <w:pPr>
        <w:spacing w:after="0" w:line="261" w:lineRule="exact"/>
        <w:rPr>
          <w:sz w:val="20"/>
          <w:szCs w:val="20"/>
          <w:color w:val="auto"/>
        </w:rPr>
      </w:pPr>
    </w:p>
    <w:p>
      <w:pPr>
        <w:ind w:left="69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Base Rate Loan</w:t>
      </w:r>
      <w:r>
        <w:rPr>
          <w:rFonts w:ascii="Times New Roman" w:cs="Times New Roman" w:eastAsia="Times New Roman" w:hAnsi="Times New Roman"/>
          <w:sz w:val="20"/>
          <w:szCs w:val="20"/>
          <w:color w:val="auto"/>
        </w:rPr>
        <w:t xml:space="preserve">” means any Loan bearing interest at a rate based upon the Base Rate as provided in </w:t>
      </w:r>
      <w:r>
        <w:rPr>
          <w:rFonts w:ascii="Times New Roman" w:cs="Times New Roman" w:eastAsia="Times New Roman" w:hAnsi="Times New Roman"/>
          <w:sz w:val="20"/>
          <w:szCs w:val="20"/>
          <w:u w:val="single" w:color="auto"/>
          <w:color w:val="auto"/>
        </w:rPr>
        <w:t>Section 5.1(a)</w:t>
      </w:r>
      <w:r>
        <w:rPr>
          <w:rFonts w:ascii="Times New Roman" w:cs="Times New Roman" w:eastAsia="Times New Roman" w:hAnsi="Times New Roman"/>
          <w:sz w:val="20"/>
          <w:szCs w:val="20"/>
          <w:color w:val="auto"/>
        </w:rPr>
        <w:t>.</w:t>
      </w:r>
    </w:p>
    <w:p>
      <w:pPr>
        <w:spacing w:after="0" w:line="297" w:lineRule="exact"/>
        <w:rPr>
          <w:sz w:val="20"/>
          <w:szCs w:val="20"/>
          <w:color w:val="auto"/>
        </w:rPr>
      </w:pPr>
    </w:p>
    <w:p>
      <w:pPr>
        <w:ind w:left="698"/>
        <w:spacing w:after="0"/>
        <w:rPr>
          <w:sz w:val="20"/>
          <w:szCs w:val="20"/>
          <w:color w:val="auto"/>
        </w:rPr>
      </w:pPr>
      <w:r>
        <w:rPr>
          <w:rFonts w:ascii="Times New Roman" w:cs="Times New Roman" w:eastAsia="Times New Roman" w:hAnsi="Times New Roman"/>
          <w:sz w:val="20"/>
          <w:szCs w:val="20"/>
          <w:color w:val="auto"/>
        </w:rPr>
        <w:t>“Benchmark</w:t>
      </w:r>
      <w:r>
        <w:rPr>
          <w:rFonts w:ascii="Times New Roman" w:cs="Times New Roman" w:eastAsia="Times New Roman" w:hAnsi="Times New Roman"/>
          <w:sz w:val="20"/>
          <w:szCs w:val="20"/>
          <w:u w:val="single" w:color="auto"/>
          <w:color w:val="0000FF"/>
        </w:rPr>
        <w:t>” means either a Benchmark (LIBOR) or a Benchmark (Non-LIBOR), as the context so requires.</w:t>
      </w:r>
    </w:p>
    <w:p>
      <w:pPr>
        <w:spacing w:after="0" w:line="297" w:lineRule="exact"/>
        <w:rPr>
          <w:sz w:val="20"/>
          <w:szCs w:val="20"/>
          <w:color w:val="auto"/>
        </w:rPr>
      </w:pPr>
    </w:p>
    <w:p>
      <w:pPr>
        <w:ind w:left="58" w:firstLine="648"/>
        <w:spacing w:after="0" w:line="222" w:lineRule="auto"/>
        <w:rPr>
          <w:sz w:val="20"/>
          <w:szCs w:val="20"/>
          <w:color w:val="auto"/>
        </w:rPr>
      </w:pPr>
      <w:r>
        <w:rPr>
          <w:rFonts w:ascii="Times New Roman" w:cs="Times New Roman" w:eastAsia="Times New Roman" w:hAnsi="Times New Roman"/>
          <w:sz w:val="20"/>
          <w:szCs w:val="20"/>
          <w:u w:val="single" w:color="auto"/>
          <w:color w:val="0000FF"/>
        </w:rPr>
        <w:t>“Benchmark (LIBOR)</w:t>
      </w:r>
      <w:r>
        <w:rPr>
          <w:rFonts w:ascii="Times New Roman" w:cs="Times New Roman" w:eastAsia="Times New Roman" w:hAnsi="Times New Roman"/>
          <w:sz w:val="20"/>
          <w:szCs w:val="20"/>
          <w:color w:val="000000"/>
        </w:rPr>
        <w:t>” means, initially, USD LIBOR;</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u w:val="single" w:color="auto"/>
          <w:color w:val="000000"/>
        </w:rPr>
        <w:t>provided</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that if a Benchmark Transition Event</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u w:val="single" w:color="auto"/>
          <w:color w:val="0000FF"/>
        </w:rPr>
        <w:t>(LIBOR)</w:t>
      </w:r>
      <w:r>
        <w:rPr>
          <w:rFonts w:ascii="Times New Roman" w:cs="Times New Roman" w:eastAsia="Times New Roman" w:hAnsi="Times New Roman"/>
          <w:sz w:val="20"/>
          <w:szCs w:val="20"/>
          <w:color w:val="000000"/>
        </w:rPr>
        <w:t>, a Term SOFR</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 xml:space="preserve">Transition Event or an Early Opt-in Election, as applicable, and its related Benchmark Replacement Date </w:t>
      </w:r>
      <w:r>
        <w:rPr>
          <w:rFonts w:ascii="Times New Roman" w:cs="Times New Roman" w:eastAsia="Times New Roman" w:hAnsi="Times New Roman"/>
          <w:sz w:val="20"/>
          <w:szCs w:val="20"/>
          <w:u w:val="single" w:color="auto"/>
          <w:color w:val="0000FF"/>
        </w:rPr>
        <w:t>(LIBOR)</w:t>
      </w:r>
      <w:r>
        <w:rPr>
          <w:rFonts w:ascii="Times New Roman" w:cs="Times New Roman" w:eastAsia="Times New Roman" w:hAnsi="Times New Roman"/>
          <w:sz w:val="20"/>
          <w:szCs w:val="20"/>
          <w:color w:val="000000"/>
        </w:rPr>
        <w:t xml:space="preserve"> have occurred with</w:t>
      </w:r>
    </w:p>
    <w:p>
      <w:pPr>
        <w:spacing w:after="0" w:line="2" w:lineRule="exact"/>
        <w:rPr>
          <w:sz w:val="20"/>
          <w:szCs w:val="20"/>
          <w:color w:val="auto"/>
        </w:rPr>
      </w:pPr>
    </w:p>
    <w:p>
      <w:pPr>
        <w:ind w:left="58"/>
        <w:spacing w:after="0" w:line="221" w:lineRule="auto"/>
        <w:rPr>
          <w:sz w:val="20"/>
          <w:szCs w:val="20"/>
          <w:color w:val="auto"/>
        </w:rPr>
      </w:pPr>
      <w:r>
        <w:rPr>
          <w:rFonts w:ascii="Times New Roman" w:cs="Times New Roman" w:eastAsia="Times New Roman" w:hAnsi="Times New Roman"/>
          <w:sz w:val="20"/>
          <w:szCs w:val="20"/>
          <w:color w:val="auto"/>
        </w:rPr>
        <w:t xml:space="preserve">respect to USD LIBOR or the then-current Benchmark, then “Benchmark” means the applicable Benchmark Replacement to the extent that such Benchmark Replacement has replaced such prior benchmark rate pursuant to </w:t>
      </w:r>
      <w:r>
        <w:rPr>
          <w:rFonts w:ascii="Times New Roman" w:cs="Times New Roman" w:eastAsia="Times New Roman" w:hAnsi="Times New Roman"/>
          <w:sz w:val="20"/>
          <w:szCs w:val="20"/>
          <w:u w:val="single" w:color="auto"/>
          <w:color w:val="auto"/>
        </w:rPr>
        <w:t>Section 5.8(c)(i)</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18"/>
        <w:spacing w:after="0"/>
        <w:rPr>
          <w:sz w:val="20"/>
          <w:szCs w:val="20"/>
          <w:color w:val="auto"/>
        </w:rPr>
      </w:pPr>
      <w:r>
        <w:rPr>
          <w:rFonts w:ascii="Times New Roman" w:cs="Times New Roman" w:eastAsia="Times New Roman" w:hAnsi="Times New Roman"/>
          <w:sz w:val="14"/>
          <w:szCs w:val="14"/>
          <w:color w:val="FF0000"/>
          <w:strike w:val="1"/>
        </w:rPr>
        <w:t>146960219_6</w:t>
      </w:r>
    </w:p>
    <w:p>
      <w:pPr>
        <w:ind w:left="218" w:hanging="218"/>
        <w:spacing w:after="0" w:line="229" w:lineRule="auto"/>
        <w:tabs>
          <w:tab w:leader="none" w:pos="218"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078"/>
          </w:cols>
          <w:pgMar w:left="382" w:top="1440" w:right="439" w:bottom="1440" w:gutter="0" w:footer="0" w:header="0"/>
        </w:sectPr>
      </w:pPr>
    </w:p>
    <w:bookmarkStart w:id="89" w:name="page90"/>
    <w:bookmarkEnd w:id="89"/>
    <w:p>
      <w:pPr>
        <w:spacing w:after="0" w:line="197" w:lineRule="exact"/>
        <w:rPr>
          <w:sz w:val="20"/>
          <w:szCs w:val="20"/>
          <w:color w:val="auto"/>
        </w:rPr>
      </w:pPr>
    </w:p>
    <w:p>
      <w:pPr>
        <w:ind w:left="698"/>
        <w:spacing w:after="0"/>
        <w:rPr>
          <w:sz w:val="20"/>
          <w:szCs w:val="20"/>
          <w:color w:val="auto"/>
        </w:rPr>
      </w:pPr>
      <w:r>
        <w:rPr>
          <w:rFonts w:ascii="Times New Roman" w:cs="Times New Roman" w:eastAsia="Times New Roman" w:hAnsi="Times New Roman"/>
          <w:sz w:val="20"/>
          <w:szCs w:val="20"/>
          <w:u w:val="single" w:color="auto"/>
          <w:color w:val="0000FF"/>
        </w:rPr>
        <w:t>“Benchmark (Non-LIBOR)” means, initially, the Term SOFR Reference Rate; provided that if a Benchmark Transition Event</w:t>
      </w:r>
    </w:p>
    <w:p>
      <w:pPr>
        <w:ind w:left="58"/>
        <w:spacing w:after="0" w:line="204" w:lineRule="auto"/>
        <w:rPr>
          <w:sz w:val="20"/>
          <w:szCs w:val="20"/>
          <w:color w:val="auto"/>
        </w:rPr>
      </w:pPr>
      <w:r>
        <w:rPr>
          <w:rFonts w:ascii="Times New Roman" w:cs="Times New Roman" w:eastAsia="Times New Roman" w:hAnsi="Times New Roman"/>
          <w:sz w:val="20"/>
          <w:szCs w:val="20"/>
          <w:u w:val="single" w:color="auto"/>
          <w:color w:val="0000FF"/>
        </w:rPr>
        <w:t>(Non-LIBOR) has occurred with respect to the Term SOFR Reference Rate or the then-current Benchmark, then “Benchmark” means the applicable Benchmark Replacement to the extent that such Benchmark Replacement has replaced such prior benchmark rate pursuant to</w:t>
      </w:r>
    </w:p>
    <w:p>
      <w:pPr>
        <w:spacing w:after="0" w:line="1" w:lineRule="exact"/>
        <w:rPr>
          <w:sz w:val="20"/>
          <w:szCs w:val="20"/>
          <w:color w:val="auto"/>
        </w:rPr>
      </w:pPr>
    </w:p>
    <w:p>
      <w:pPr>
        <w:ind w:left="58"/>
        <w:spacing w:after="0"/>
        <w:rPr>
          <w:sz w:val="20"/>
          <w:szCs w:val="20"/>
          <w:color w:val="auto"/>
        </w:rPr>
      </w:pPr>
      <w:r>
        <w:rPr>
          <w:rFonts w:ascii="Times New Roman" w:cs="Times New Roman" w:eastAsia="Times New Roman" w:hAnsi="Times New Roman"/>
          <w:sz w:val="20"/>
          <w:szCs w:val="20"/>
          <w:u w:val="single" w:color="auto"/>
          <w:color w:val="0000FF"/>
        </w:rPr>
        <w:t>Section 5.8(c)(i).</w:t>
      </w:r>
    </w:p>
    <w:p>
      <w:pPr>
        <w:spacing w:after="0" w:line="261" w:lineRule="exact"/>
        <w:rPr>
          <w:sz w:val="20"/>
          <w:szCs w:val="20"/>
          <w:color w:val="auto"/>
        </w:rPr>
      </w:pPr>
    </w:p>
    <w:p>
      <w:pPr>
        <w:ind w:left="58" w:right="60" w:firstLine="648"/>
        <w:spacing w:after="0" w:line="233" w:lineRule="auto"/>
        <w:rPr>
          <w:sz w:val="20"/>
          <w:szCs w:val="20"/>
          <w:color w:val="auto"/>
        </w:rPr>
      </w:pPr>
      <w:r>
        <w:rPr>
          <w:rFonts w:ascii="Times New Roman" w:cs="Times New Roman" w:eastAsia="Times New Roman" w:hAnsi="Times New Roman"/>
          <w:sz w:val="20"/>
          <w:szCs w:val="20"/>
          <w:color w:val="auto"/>
        </w:rPr>
        <w:t>“Benchmark Replacement</w:t>
      </w:r>
      <w:r>
        <w:rPr>
          <w:rFonts w:ascii="Times New Roman" w:cs="Times New Roman" w:eastAsia="Times New Roman" w:hAnsi="Times New Roman"/>
          <w:sz w:val="20"/>
          <w:szCs w:val="20"/>
          <w:u w:val="single" w:color="auto"/>
          <w:color w:val="0000FF"/>
        </w:rPr>
        <w:t>” means either a Benchmark Replacement (LIBOR) or a Benchmark Replacement (Non-LIBOR), as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context so requires.</w:t>
      </w:r>
    </w:p>
    <w:p>
      <w:pPr>
        <w:spacing w:after="0" w:line="255" w:lineRule="exact"/>
        <w:rPr>
          <w:sz w:val="20"/>
          <w:szCs w:val="20"/>
          <w:color w:val="auto"/>
        </w:rPr>
      </w:pPr>
    </w:p>
    <w:p>
      <w:pPr>
        <w:ind w:left="698"/>
        <w:spacing w:after="0"/>
        <w:rPr>
          <w:sz w:val="20"/>
          <w:szCs w:val="20"/>
          <w:color w:val="auto"/>
        </w:rPr>
      </w:pPr>
      <w:r>
        <w:rPr>
          <w:rFonts w:ascii="Times New Roman" w:cs="Times New Roman" w:eastAsia="Times New Roman" w:hAnsi="Times New Roman"/>
          <w:sz w:val="20"/>
          <w:szCs w:val="20"/>
          <w:u w:val="single" w:color="auto"/>
          <w:color w:val="0000FF"/>
        </w:rPr>
        <w:t>“Benchmark Replacement (LIBOR)</w:t>
      </w:r>
      <w:r>
        <w:rPr>
          <w:rFonts w:ascii="Times New Roman" w:cs="Times New Roman" w:eastAsia="Times New Roman" w:hAnsi="Times New Roman"/>
          <w:sz w:val="20"/>
          <w:szCs w:val="20"/>
          <w:color w:val="000000"/>
        </w:rPr>
        <w:t>” means, for any Available Tenor,</w:t>
      </w:r>
    </w:p>
    <w:p>
      <w:pPr>
        <w:spacing w:after="0" w:line="283" w:lineRule="exact"/>
        <w:rPr>
          <w:sz w:val="20"/>
          <w:szCs w:val="20"/>
          <w:color w:val="auto"/>
        </w:rPr>
      </w:pPr>
    </w:p>
    <w:p>
      <w:pPr>
        <w:ind w:left="58" w:firstLine="644"/>
        <w:spacing w:after="0"/>
        <w:tabs>
          <w:tab w:leader="none" w:pos="1236"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 respect to any Benchmark Transition Event </w:t>
      </w:r>
      <w:r>
        <w:rPr>
          <w:rFonts w:ascii="Times New Roman" w:cs="Times New Roman" w:eastAsia="Times New Roman" w:hAnsi="Times New Roman"/>
          <w:sz w:val="20"/>
          <w:szCs w:val="20"/>
          <w:u w:val="single" w:color="auto"/>
          <w:color w:val="0000FF"/>
        </w:rPr>
        <w:t>(LIBOR)</w:t>
      </w:r>
      <w:r>
        <w:rPr>
          <w:rFonts w:ascii="Times New Roman" w:cs="Times New Roman" w:eastAsia="Times New Roman" w:hAnsi="Times New Roman"/>
          <w:sz w:val="20"/>
          <w:szCs w:val="20"/>
          <w:color w:val="auto"/>
        </w:rPr>
        <w:t xml:space="preserve"> or Early Opt-in Election, the first alternative set forth in the order below that can be determined by the Administrative Agent for the applicable Benchmark Replacement Date </w:t>
      </w:r>
      <w:r>
        <w:rPr>
          <w:rFonts w:ascii="Times New Roman" w:cs="Times New Roman" w:eastAsia="Times New Roman" w:hAnsi="Times New Roman"/>
          <w:sz w:val="20"/>
          <w:szCs w:val="20"/>
          <w:u w:val="single" w:color="auto"/>
          <w:color w:val="0000FF"/>
        </w:rPr>
        <w:t>(LIBOR)</w:t>
      </w:r>
      <w:r>
        <w:rPr>
          <w:rFonts w:ascii="Times New Roman" w:cs="Times New Roman" w:eastAsia="Times New Roman" w:hAnsi="Times New Roman"/>
          <w:sz w:val="20"/>
          <w:szCs w:val="20"/>
          <w:color w:val="auto"/>
        </w:rPr>
        <w:t>:</w:t>
      </w:r>
    </w:p>
    <w:p>
      <w:pPr>
        <w:spacing w:after="0" w:line="242" w:lineRule="exact"/>
        <w:rPr>
          <w:rFonts w:ascii="Times New Roman" w:cs="Times New Roman" w:eastAsia="Times New Roman" w:hAnsi="Times New Roman"/>
          <w:sz w:val="20"/>
          <w:szCs w:val="20"/>
          <w:color w:val="auto"/>
        </w:rPr>
      </w:pPr>
    </w:p>
    <w:p>
      <w:pPr>
        <w:jc w:val="both"/>
        <w:ind w:left="698" w:firstLine="652"/>
        <w:spacing w:after="0" w:line="215" w:lineRule="auto"/>
        <w:tabs>
          <w:tab w:leader="none" w:pos="1875" w:val="left"/>
        </w:tabs>
        <w:numPr>
          <w:ilvl w:val="1"/>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sum of: (A) Term SOFR and (B) the related Benchmark Replacement Adjustment </w:t>
      </w:r>
      <w:r>
        <w:rPr>
          <w:rFonts w:ascii="Times New Roman" w:cs="Times New Roman" w:eastAsia="Times New Roman" w:hAnsi="Times New Roman"/>
          <w:sz w:val="20"/>
          <w:szCs w:val="20"/>
          <w:u w:val="single" w:color="auto"/>
          <w:color w:val="0000FF"/>
        </w:rPr>
        <w:t>(LIBOR)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Centuri has provided a notification to the Administrative Agent in writing on or prior to such Benchmark Replacement Date </w:t>
      </w:r>
      <w:r>
        <w:rPr>
          <w:rFonts w:ascii="Times New Roman" w:cs="Times New Roman" w:eastAsia="Times New Roman" w:hAnsi="Times New Roman"/>
          <w:sz w:val="20"/>
          <w:szCs w:val="20"/>
          <w:u w:val="single" w:color="auto"/>
          <w:color w:val="0000FF"/>
        </w:rPr>
        <w:t>(LIBOR)</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that a Borrower has a Hedge Agreement in place with respect to any of the Loans as of the date of such notice (which</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 xml:space="preserve">such notification the Administrative Agent shall be entitled to rely upon and shall have no duty or obligation to ascertain the correctness or completeness of), then the Administrative Agent, in its sole discretion, may decide not to determine the Benchmark Replacement </w:t>
      </w:r>
      <w:r>
        <w:rPr>
          <w:rFonts w:ascii="Times New Roman" w:cs="Times New Roman" w:eastAsia="Times New Roman" w:hAnsi="Times New Roman"/>
          <w:sz w:val="20"/>
          <w:szCs w:val="20"/>
          <w:u w:val="single" w:color="auto"/>
          <w:color w:val="0000FF"/>
        </w:rPr>
        <w:t>(LIBOR)</w:t>
      </w:r>
      <w:r>
        <w:rPr>
          <w:rFonts w:ascii="Times New Roman" w:cs="Times New Roman" w:eastAsia="Times New Roman" w:hAnsi="Times New Roman"/>
          <w:sz w:val="20"/>
          <w:szCs w:val="20"/>
          <w:color w:val="000000"/>
        </w:rPr>
        <w:t xml:space="preserve"> pursuant to this clause (a)(1) for such Benchmark Transition Event </w:t>
      </w:r>
      <w:r>
        <w:rPr>
          <w:rFonts w:ascii="Times New Roman" w:cs="Times New Roman" w:eastAsia="Times New Roman" w:hAnsi="Times New Roman"/>
          <w:sz w:val="20"/>
          <w:szCs w:val="20"/>
          <w:u w:val="single" w:color="auto"/>
          <w:color w:val="0000FF"/>
        </w:rPr>
        <w:t>(LIBOR)</w:t>
      </w:r>
      <w:r>
        <w:rPr>
          <w:rFonts w:ascii="Times New Roman" w:cs="Times New Roman" w:eastAsia="Times New Roman" w:hAnsi="Times New Roman"/>
          <w:sz w:val="20"/>
          <w:szCs w:val="20"/>
          <w:color w:val="000000"/>
        </w:rPr>
        <w:t xml:space="preserve"> or Early Opt-in Election, as applicable;</w:t>
      </w:r>
    </w:p>
    <w:p>
      <w:pPr>
        <w:spacing w:after="0" w:line="204" w:lineRule="exact"/>
        <w:rPr>
          <w:rFonts w:ascii="Times New Roman" w:cs="Times New Roman" w:eastAsia="Times New Roman" w:hAnsi="Times New Roman"/>
          <w:sz w:val="20"/>
          <w:szCs w:val="20"/>
          <w:color w:val="auto"/>
        </w:rPr>
      </w:pPr>
    </w:p>
    <w:p>
      <w:pPr>
        <w:ind w:left="1878" w:hanging="528"/>
        <w:spacing w:after="0"/>
        <w:tabs>
          <w:tab w:leader="none" w:pos="1878" w:val="left"/>
        </w:tabs>
        <w:numPr>
          <w:ilvl w:val="1"/>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sum of: (A) Daily Simple SOFR and (B) the related Benchmark Replacement Adjustment </w:t>
      </w:r>
      <w:r>
        <w:rPr>
          <w:rFonts w:ascii="Times New Roman" w:cs="Times New Roman" w:eastAsia="Times New Roman" w:hAnsi="Times New Roman"/>
          <w:sz w:val="20"/>
          <w:szCs w:val="20"/>
          <w:u w:val="single" w:color="auto"/>
          <w:color w:val="0000FF"/>
        </w:rPr>
        <w:t>(LIBOR)</w:t>
      </w:r>
      <w:r>
        <w:rPr>
          <w:rFonts w:ascii="Times New Roman" w:cs="Times New Roman" w:eastAsia="Times New Roman" w:hAnsi="Times New Roman"/>
          <w:sz w:val="20"/>
          <w:szCs w:val="20"/>
          <w:color w:val="auto"/>
        </w:rPr>
        <w:t>;</w:t>
      </w:r>
    </w:p>
    <w:p>
      <w:pPr>
        <w:spacing w:after="0" w:line="310" w:lineRule="exact"/>
        <w:rPr>
          <w:rFonts w:ascii="Times New Roman" w:cs="Times New Roman" w:eastAsia="Times New Roman" w:hAnsi="Times New Roman"/>
          <w:sz w:val="20"/>
          <w:szCs w:val="20"/>
          <w:color w:val="auto"/>
        </w:rPr>
      </w:pPr>
    </w:p>
    <w:p>
      <w:pPr>
        <w:jc w:val="both"/>
        <w:ind w:left="698" w:firstLine="652"/>
        <w:spacing w:after="0" w:line="216" w:lineRule="auto"/>
        <w:tabs>
          <w:tab w:leader="none" w:pos="1875" w:val="left"/>
        </w:tabs>
        <w:numPr>
          <w:ilvl w:val="1"/>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sum of: (A) the alternate benchmark rate that has been selected by the Administrative Agent and Centuri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Dollar-denominated syndicated credit facilities at such time and (B) the related Benchmark Replacement Adjustment </w:t>
      </w:r>
      <w:r>
        <w:rPr>
          <w:rFonts w:ascii="Times New Roman" w:cs="Times New Roman" w:eastAsia="Times New Roman" w:hAnsi="Times New Roman"/>
          <w:sz w:val="20"/>
          <w:szCs w:val="20"/>
          <w:u w:val="single" w:color="auto"/>
          <w:color w:val="0000FF"/>
        </w:rPr>
        <w:t>(LIBOR)</w:t>
      </w:r>
      <w:r>
        <w:rPr>
          <w:rFonts w:ascii="Times New Roman" w:cs="Times New Roman" w:eastAsia="Times New Roman" w:hAnsi="Times New Roman"/>
          <w:sz w:val="20"/>
          <w:szCs w:val="20"/>
          <w:color w:val="auto"/>
        </w:rPr>
        <w:t>; or</w:t>
      </w:r>
    </w:p>
    <w:p>
      <w:pPr>
        <w:spacing w:after="0" w:line="270" w:lineRule="exact"/>
        <w:rPr>
          <w:rFonts w:ascii="Times New Roman" w:cs="Times New Roman" w:eastAsia="Times New Roman" w:hAnsi="Times New Roman"/>
          <w:sz w:val="20"/>
          <w:szCs w:val="20"/>
          <w:color w:val="auto"/>
        </w:rPr>
      </w:pPr>
    </w:p>
    <w:p>
      <w:pPr>
        <w:ind w:left="58" w:right="240" w:firstLine="644"/>
        <w:spacing w:after="0" w:line="269" w:lineRule="auto"/>
        <w:tabs>
          <w:tab w:leader="none" w:pos="1235"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 respect to any Term SOFR Transition Event, the sum of (i) Term SOFR and (ii) the related Benchmark Replacement Adjustment </w:t>
      </w:r>
      <w:r>
        <w:rPr>
          <w:rFonts w:ascii="Times New Roman" w:cs="Times New Roman" w:eastAsia="Times New Roman" w:hAnsi="Times New Roman"/>
          <w:sz w:val="20"/>
          <w:szCs w:val="20"/>
          <w:u w:val="single" w:color="auto"/>
          <w:color w:val="0000FF"/>
        </w:rPr>
        <w:t>(LIBOR)</w:t>
      </w:r>
      <w:r>
        <w:rPr>
          <w:rFonts w:ascii="Times New Roman" w:cs="Times New Roman" w:eastAsia="Times New Roman" w:hAnsi="Times New Roman"/>
          <w:sz w:val="20"/>
          <w:szCs w:val="20"/>
          <w:color w:val="auto"/>
        </w:rPr>
        <w:t>;</w:t>
      </w:r>
    </w:p>
    <w:p>
      <w:pPr>
        <w:spacing w:after="0" w:line="254" w:lineRule="exact"/>
        <w:rPr>
          <w:sz w:val="20"/>
          <w:szCs w:val="20"/>
          <w:color w:val="auto"/>
        </w:rPr>
      </w:pPr>
    </w:p>
    <w:p>
      <w:pPr>
        <w:ind w:left="58"/>
        <w:spacing w:after="0" w:line="215"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in the case of clause (a)(1), if the Administrative Agent decides that Term SOFR is not administratively feasible for the Administrative Agent, then Term SOFR will be deemed unable to be determined for purposes of this definition and (ii) in the case of</w:t>
      </w:r>
    </w:p>
    <w:p>
      <w:pPr>
        <w:ind w:left="58"/>
        <w:spacing w:after="0" w:line="212" w:lineRule="auto"/>
        <w:rPr>
          <w:sz w:val="20"/>
          <w:szCs w:val="20"/>
          <w:color w:val="auto"/>
        </w:rPr>
      </w:pPr>
      <w:r>
        <w:rPr>
          <w:rFonts w:ascii="Times New Roman" w:cs="Times New Roman" w:eastAsia="Times New Roman" w:hAnsi="Times New Roman"/>
          <w:sz w:val="20"/>
          <w:szCs w:val="20"/>
          <w:color w:val="auto"/>
        </w:rPr>
        <w:t>clause (a)(1) or clause (b) of this definition, the applicable Unadjusted Benchmark Replacement is displayed on a screen or other</w:t>
      </w:r>
    </w:p>
    <w:p>
      <w:pPr>
        <w:spacing w:after="0" w:line="1" w:lineRule="exact"/>
        <w:rPr>
          <w:sz w:val="20"/>
          <w:szCs w:val="20"/>
          <w:color w:val="auto"/>
        </w:rPr>
      </w:pPr>
    </w:p>
    <w:p>
      <w:pPr>
        <w:ind w:left="58"/>
        <w:spacing w:after="0" w:line="204" w:lineRule="auto"/>
        <w:rPr>
          <w:sz w:val="20"/>
          <w:szCs w:val="20"/>
          <w:color w:val="auto"/>
        </w:rPr>
      </w:pPr>
      <w:r>
        <w:rPr>
          <w:rFonts w:ascii="Times New Roman" w:cs="Times New Roman" w:eastAsia="Times New Roman" w:hAnsi="Times New Roman"/>
          <w:sz w:val="20"/>
          <w:szCs w:val="20"/>
          <w:color w:val="auto"/>
        </w:rPr>
        <w:t>information service that publishes such rate from time to time as selected by the Administrative Agent in its reasonable discretion and made in a manner substantially consistent with determinations being made for similarly situated customers of such Administrative Agent</w:t>
      </w:r>
    </w:p>
    <w:p>
      <w:pPr>
        <w:ind w:left="58"/>
        <w:spacing w:after="0" w:line="223" w:lineRule="auto"/>
        <w:rPr>
          <w:sz w:val="20"/>
          <w:szCs w:val="20"/>
          <w:color w:val="auto"/>
        </w:rPr>
      </w:pPr>
      <w:r>
        <w:rPr>
          <w:rFonts w:ascii="Times New Roman" w:cs="Times New Roman" w:eastAsia="Times New Roman" w:hAnsi="Times New Roman"/>
          <w:sz w:val="19"/>
          <w:szCs w:val="19"/>
          <w:color w:val="auto"/>
        </w:rPr>
        <w:t xml:space="preserve">under agreements having similar provisions. If the Benchmark Replacement </w:t>
      </w:r>
      <w:r>
        <w:rPr>
          <w:rFonts w:ascii="Times New Roman" w:cs="Times New Roman" w:eastAsia="Times New Roman" w:hAnsi="Times New Roman"/>
          <w:sz w:val="19"/>
          <w:szCs w:val="19"/>
          <w:u w:val="single" w:color="auto"/>
          <w:color w:val="0000FF"/>
        </w:rPr>
        <w:t>(LIBOR)</w:t>
      </w:r>
      <w:r>
        <w:rPr>
          <w:rFonts w:ascii="Times New Roman" w:cs="Times New Roman" w:eastAsia="Times New Roman" w:hAnsi="Times New Roman"/>
          <w:sz w:val="19"/>
          <w:szCs w:val="19"/>
          <w:color w:val="auto"/>
        </w:rPr>
        <w:t xml:space="preserve"> as determined pursuant to clause (a)(1), (a)(2) or (a)</w:t>
      </w:r>
    </w:p>
    <w:p>
      <w:pPr>
        <w:ind w:left="58" w:right="20" w:hanging="4"/>
        <w:spacing w:after="0" w:line="221" w:lineRule="auto"/>
        <w:tabs>
          <w:tab w:leader="none" w:pos="346"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or clause (b) of this definition would be less than the Floor, the Benchmark Replacement </w:t>
      </w:r>
      <w:r>
        <w:rPr>
          <w:rFonts w:ascii="Times New Roman" w:cs="Times New Roman" w:eastAsia="Times New Roman" w:hAnsi="Times New Roman"/>
          <w:sz w:val="20"/>
          <w:szCs w:val="20"/>
          <w:u w:val="single" w:color="auto"/>
          <w:color w:val="0000FF"/>
        </w:rPr>
        <w:t>(LIBOR)</w:t>
      </w:r>
      <w:r>
        <w:rPr>
          <w:rFonts w:ascii="Times New Roman" w:cs="Times New Roman" w:eastAsia="Times New Roman" w:hAnsi="Times New Roman"/>
          <w:sz w:val="20"/>
          <w:szCs w:val="20"/>
          <w:color w:val="auto"/>
        </w:rPr>
        <w:t xml:space="preserve"> will be deemed to be the Floor for the purposes of this Agreement and the other Loan Documents.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18"/>
        <w:spacing w:after="0"/>
        <w:rPr>
          <w:sz w:val="20"/>
          <w:szCs w:val="20"/>
          <w:color w:val="auto"/>
        </w:rPr>
      </w:pPr>
      <w:r>
        <w:rPr>
          <w:rFonts w:ascii="Times New Roman" w:cs="Times New Roman" w:eastAsia="Times New Roman" w:hAnsi="Times New Roman"/>
          <w:sz w:val="14"/>
          <w:szCs w:val="14"/>
          <w:color w:val="FF0000"/>
          <w:strike w:val="1"/>
        </w:rPr>
        <w:t>146960219_6</w:t>
      </w:r>
    </w:p>
    <w:p>
      <w:pPr>
        <w:ind w:left="218" w:hanging="218"/>
        <w:spacing w:after="0" w:line="229" w:lineRule="auto"/>
        <w:tabs>
          <w:tab w:leader="none" w:pos="218"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078"/>
          </w:cols>
          <w:pgMar w:left="382" w:top="1440" w:right="439" w:bottom="1440" w:gutter="0" w:footer="0" w:header="0"/>
        </w:sectPr>
      </w:pPr>
    </w:p>
    <w:bookmarkStart w:id="90" w:name="page91"/>
    <w:bookmarkEnd w:id="90"/>
    <w:p>
      <w:pPr>
        <w:spacing w:after="0" w:line="200" w:lineRule="exact"/>
        <w:rPr>
          <w:sz w:val="20"/>
          <w:szCs w:val="20"/>
          <w:color w:val="auto"/>
        </w:rPr>
      </w:pPr>
    </w:p>
    <w:p>
      <w:pPr>
        <w:spacing w:after="0" w:line="300" w:lineRule="exact"/>
        <w:rPr>
          <w:sz w:val="20"/>
          <w:szCs w:val="20"/>
          <w:color w:val="auto"/>
        </w:rPr>
      </w:pPr>
    </w:p>
    <w:p>
      <w:pPr>
        <w:ind w:left="698"/>
        <w:spacing w:after="0"/>
        <w:rPr>
          <w:sz w:val="20"/>
          <w:szCs w:val="20"/>
          <w:color w:val="auto"/>
        </w:rPr>
      </w:pPr>
      <w:r>
        <w:rPr>
          <w:rFonts w:ascii="Times New Roman" w:cs="Times New Roman" w:eastAsia="Times New Roman" w:hAnsi="Times New Roman"/>
          <w:sz w:val="19"/>
          <w:szCs w:val="19"/>
          <w:color w:val="auto"/>
        </w:rPr>
        <w:t xml:space="preserve">“Benchmark Replacement </w:t>
      </w:r>
      <w:r>
        <w:rPr>
          <w:rFonts w:ascii="Times New Roman" w:cs="Times New Roman" w:eastAsia="Times New Roman" w:hAnsi="Times New Roman"/>
          <w:sz w:val="19"/>
          <w:szCs w:val="19"/>
          <w:color w:val="FF0000"/>
          <w:strike w:val="1"/>
        </w:rPr>
        <w:t>Adjustment</w:t>
      </w:r>
      <w:r>
        <w:rPr>
          <w:rFonts w:ascii="Times New Roman" w:cs="Times New Roman" w:eastAsia="Times New Roman" w:hAnsi="Times New Roman"/>
          <w:sz w:val="19"/>
          <w:szCs w:val="19"/>
          <w:u w:val="single" w:color="auto"/>
          <w:color w:val="0000FF"/>
        </w:rPr>
        <w:t>(Non-LIBOR)” means, with respect to any Benchmark Transition Event (Non-LIBOR) with</w:t>
      </w:r>
    </w:p>
    <w:p>
      <w:pPr>
        <w:spacing w:after="0" w:line="6" w:lineRule="exact"/>
        <w:rPr>
          <w:sz w:val="20"/>
          <w:szCs w:val="20"/>
          <w:color w:val="auto"/>
        </w:rPr>
      </w:pPr>
    </w:p>
    <w:p>
      <w:pPr>
        <w:jc w:val="both"/>
        <w:ind w:left="58"/>
        <w:spacing w:after="0" w:line="215" w:lineRule="auto"/>
        <w:rPr>
          <w:sz w:val="20"/>
          <w:szCs w:val="20"/>
          <w:color w:val="auto"/>
        </w:rPr>
      </w:pPr>
      <w:r>
        <w:rPr>
          <w:rFonts w:ascii="Times New Roman" w:cs="Times New Roman" w:eastAsia="Times New Roman" w:hAnsi="Times New Roman"/>
          <w:sz w:val="19"/>
          <w:szCs w:val="19"/>
          <w:u w:val="single" w:color="auto"/>
          <w:color w:val="0000FF"/>
        </w:rPr>
        <w:t>respect to any Benchmark (other than LIBOR), the sum of: (a) the alternate benchmark rate that has been selected by the Administrative Agent and Centuri giving due consideration to (i) any selection or recommendation of a replacement benchmark rate or the mechanism for</w:t>
      </w:r>
    </w:p>
    <w:p>
      <w:pPr>
        <w:ind w:left="58"/>
        <w:spacing w:after="0" w:line="211" w:lineRule="auto"/>
        <w:rPr>
          <w:sz w:val="20"/>
          <w:szCs w:val="20"/>
          <w:color w:val="auto"/>
        </w:rPr>
      </w:pPr>
      <w:r>
        <w:rPr>
          <w:rFonts w:ascii="Times New Roman" w:cs="Times New Roman" w:eastAsia="Times New Roman" w:hAnsi="Times New Roman"/>
          <w:sz w:val="20"/>
          <w:szCs w:val="20"/>
          <w:u w:val="single" w:color="auto"/>
          <w:color w:val="0000FF"/>
        </w:rPr>
        <w:t>determining such a rate by the Relevant Governmental Body or (ii) any evolving or then-prevailing market convention for determining a</w:t>
      </w:r>
    </w:p>
    <w:p>
      <w:pPr>
        <w:jc w:val="both"/>
        <w:ind w:left="58" w:right="20"/>
        <w:spacing w:after="0" w:line="204" w:lineRule="auto"/>
        <w:rPr>
          <w:sz w:val="20"/>
          <w:szCs w:val="20"/>
          <w:color w:val="auto"/>
        </w:rPr>
      </w:pPr>
      <w:r>
        <w:rPr>
          <w:rFonts w:ascii="Times New Roman" w:cs="Times New Roman" w:eastAsia="Times New Roman" w:hAnsi="Times New Roman"/>
          <w:sz w:val="20"/>
          <w:szCs w:val="20"/>
          <w:u w:val="single" w:color="auto"/>
          <w:color w:val="0000FF"/>
        </w:rPr>
        <w:t>benchmark rate as a replacement to the then-current Benchmark for Dollar-denominated syndicated credit facilities and (b) the related Benchmark Replacement Adjustment (Non-LIBOR); provided that, if such Benchmark Replacement (Non-LIBOR) as so determined</w:t>
      </w:r>
    </w:p>
    <w:p>
      <w:pPr>
        <w:spacing w:after="0" w:line="1" w:lineRule="exact"/>
        <w:rPr>
          <w:sz w:val="20"/>
          <w:szCs w:val="20"/>
          <w:color w:val="auto"/>
        </w:rPr>
      </w:pPr>
    </w:p>
    <w:p>
      <w:pPr>
        <w:jc w:val="both"/>
        <w:ind w:left="58" w:right="20"/>
        <w:spacing w:after="0" w:line="228" w:lineRule="auto"/>
        <w:rPr>
          <w:sz w:val="20"/>
          <w:szCs w:val="20"/>
          <w:color w:val="auto"/>
        </w:rPr>
      </w:pPr>
      <w:r>
        <w:rPr>
          <w:rFonts w:ascii="Times New Roman" w:cs="Times New Roman" w:eastAsia="Times New Roman" w:hAnsi="Times New Roman"/>
          <w:sz w:val="20"/>
          <w:szCs w:val="20"/>
          <w:u w:val="single" w:color="auto"/>
          <w:color w:val="0000FF"/>
        </w:rPr>
        <w:t>would be less than the Floor, such Benchmark Replacement (Non-LIBOR) will be deemed to be the Floor for the purposes of this Agreement and the other Loan Documents.</w:t>
      </w:r>
    </w:p>
    <w:p>
      <w:pPr>
        <w:spacing w:after="0" w:line="243" w:lineRule="exact"/>
        <w:rPr>
          <w:sz w:val="20"/>
          <w:szCs w:val="20"/>
          <w:color w:val="auto"/>
        </w:rPr>
      </w:pPr>
    </w:p>
    <w:p>
      <w:pPr>
        <w:jc w:val="both"/>
        <w:ind w:left="58" w:firstLine="648"/>
        <w:spacing w:after="0" w:line="230" w:lineRule="auto"/>
        <w:rPr>
          <w:sz w:val="20"/>
          <w:szCs w:val="20"/>
          <w:color w:val="auto"/>
        </w:rPr>
      </w:pPr>
      <w:r>
        <w:rPr>
          <w:rFonts w:ascii="Times New Roman" w:cs="Times New Roman" w:eastAsia="Times New Roman" w:hAnsi="Times New Roman"/>
          <w:sz w:val="20"/>
          <w:szCs w:val="20"/>
          <w:u w:val="single" w:color="auto"/>
          <w:color w:val="0000FF"/>
        </w:rPr>
        <w:t>“Benchmark Replacement Adjustment (LIBOR)</w:t>
      </w:r>
      <w:r>
        <w:rPr>
          <w:rFonts w:ascii="Times New Roman" w:cs="Times New Roman" w:eastAsia="Times New Roman" w:hAnsi="Times New Roman"/>
          <w:sz w:val="20"/>
          <w:szCs w:val="20"/>
          <w:color w:val="000000"/>
        </w:rPr>
        <w:t>” means, with respect to any replacement of the then-current Benchmark with an</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Unadjusted Benchmark Replacement for any applicable Interest Period and Available Tenor for any setting of such Unadjusted Benchmark Replacement:</w:t>
      </w:r>
    </w:p>
    <w:p>
      <w:pPr>
        <w:spacing w:after="0" w:line="189" w:lineRule="exact"/>
        <w:rPr>
          <w:sz w:val="20"/>
          <w:szCs w:val="20"/>
          <w:color w:val="auto"/>
        </w:rPr>
      </w:pPr>
    </w:p>
    <w:p>
      <w:pPr>
        <w:jc w:val="both"/>
        <w:ind w:left="58" w:firstLine="644"/>
        <w:spacing w:after="0" w:line="226" w:lineRule="auto"/>
        <w:tabs>
          <w:tab w:leader="none" w:pos="1234" w:val="left"/>
        </w:tabs>
        <w:numPr>
          <w:ilvl w:val="1"/>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for purposes of clauses (a)(1) and (b) of the definition of “Benchmark Replacement </w:t>
      </w:r>
      <w:r>
        <w:rPr>
          <w:rFonts w:ascii="Times New Roman" w:cs="Times New Roman" w:eastAsia="Times New Roman" w:hAnsi="Times New Roman"/>
          <w:sz w:val="20"/>
          <w:szCs w:val="20"/>
          <w:u w:val="single" w:color="auto"/>
          <w:color w:val="0000FF"/>
        </w:rPr>
        <w:t>(LIBOR)</w:t>
      </w:r>
      <w:r>
        <w:rPr>
          <w:rFonts w:ascii="Times New Roman" w:cs="Times New Roman" w:eastAsia="Times New Roman" w:hAnsi="Times New Roman"/>
          <w:sz w:val="20"/>
          <w:szCs w:val="20"/>
          <w:color w:val="auto"/>
        </w:rPr>
        <w:t>,” an amount equal to (A) 0.11448% (11.448 basis points) for an Available Tenor of one-month’s duration, (B) 0.26161% (26.161 basis points) for an Available Tenor of three-months’ duration and (C) 0.42826% (42.826 basis points) for an Available Tenor of six-months’ duration;</w:t>
      </w:r>
    </w:p>
    <w:p>
      <w:pPr>
        <w:spacing w:after="0" w:line="200" w:lineRule="exact"/>
        <w:rPr>
          <w:rFonts w:ascii="Times New Roman" w:cs="Times New Roman" w:eastAsia="Times New Roman" w:hAnsi="Times New Roman"/>
          <w:sz w:val="20"/>
          <w:szCs w:val="20"/>
          <w:color w:val="auto"/>
        </w:rPr>
      </w:pPr>
    </w:p>
    <w:p>
      <w:pPr>
        <w:ind w:left="58" w:firstLine="644"/>
        <w:spacing w:after="0" w:line="283" w:lineRule="auto"/>
        <w:tabs>
          <w:tab w:leader="none" w:pos="1234" w:val="left"/>
        </w:tabs>
        <w:numPr>
          <w:ilvl w:val="1"/>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for purposes of clause (a)(2) of the definition of “Benchmark Replacement </w:t>
      </w:r>
      <w:r>
        <w:rPr>
          <w:rFonts w:ascii="Times New Roman" w:cs="Times New Roman" w:eastAsia="Times New Roman" w:hAnsi="Times New Roman"/>
          <w:sz w:val="20"/>
          <w:szCs w:val="20"/>
          <w:u w:val="single" w:color="auto"/>
          <w:color w:val="0000FF"/>
        </w:rPr>
        <w:t>(LIBOR)</w:t>
      </w:r>
      <w:r>
        <w:rPr>
          <w:rFonts w:ascii="Times New Roman" w:cs="Times New Roman" w:eastAsia="Times New Roman" w:hAnsi="Times New Roman"/>
          <w:sz w:val="20"/>
          <w:szCs w:val="20"/>
          <w:color w:val="auto"/>
        </w:rPr>
        <w:t>,” an amount equal to 0.11448% (11.448 basis points); and</w:t>
      </w:r>
    </w:p>
    <w:p>
      <w:pPr>
        <w:spacing w:after="0" w:line="159" w:lineRule="exact"/>
        <w:rPr>
          <w:rFonts w:ascii="Times New Roman" w:cs="Times New Roman" w:eastAsia="Times New Roman" w:hAnsi="Times New Roman"/>
          <w:sz w:val="20"/>
          <w:szCs w:val="20"/>
          <w:color w:val="auto"/>
        </w:rPr>
      </w:pPr>
    </w:p>
    <w:p>
      <w:pPr>
        <w:jc w:val="both"/>
        <w:ind w:left="58" w:firstLine="644"/>
        <w:spacing w:after="0" w:line="210" w:lineRule="auto"/>
        <w:tabs>
          <w:tab w:leader="none" w:pos="1234" w:val="left"/>
        </w:tabs>
        <w:numPr>
          <w:ilvl w:val="1"/>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for purposes of clause (a)(3) of the definition of “Benchmark Replacement </w:t>
      </w:r>
      <w:r>
        <w:rPr>
          <w:rFonts w:ascii="Times New Roman" w:cs="Times New Roman" w:eastAsia="Times New Roman" w:hAnsi="Times New Roman"/>
          <w:sz w:val="20"/>
          <w:szCs w:val="20"/>
          <w:u w:val="single" w:color="auto"/>
          <w:color w:val="0000FF"/>
        </w:rPr>
        <w:t>(LIBOR)</w:t>
      </w:r>
      <w:r>
        <w:rPr>
          <w:rFonts w:ascii="Times New Roman" w:cs="Times New Roman" w:eastAsia="Times New Roman" w:hAnsi="Times New Roman"/>
          <w:sz w:val="20"/>
          <w:szCs w:val="20"/>
          <w:color w:val="auto"/>
        </w:rPr>
        <w:t xml:space="preserve">,” the spread adjustment, or method for calculating or determining such spread adjustment, (which may be a positive or negative value or zero) that has been selected by the Administrative Agent and Centuri giving due consideration to (i) any selection or recommendation of a spread adjustment, or method for calculating or determining such spread adjustment, for the replacement of such Available Tenor of such Benchmark with the applicable Unadjusted Benchmark Replacement by the Relevant Governmental Body on the applicable Benchmark Replacement Date </w:t>
      </w:r>
      <w:r>
        <w:rPr>
          <w:rFonts w:ascii="Times New Roman" w:cs="Times New Roman" w:eastAsia="Times New Roman" w:hAnsi="Times New Roman"/>
          <w:sz w:val="20"/>
          <w:szCs w:val="20"/>
          <w:u w:val="single" w:color="auto"/>
          <w:color w:val="0000FF"/>
        </w:rPr>
        <w:t>(LIBOR)</w:t>
      </w:r>
      <w:r>
        <w:rPr>
          <w:rFonts w:ascii="Times New Roman" w:cs="Times New Roman" w:eastAsia="Times New Roman" w:hAnsi="Times New Roman"/>
          <w:sz w:val="20"/>
          <w:szCs w:val="20"/>
          <w:color w:val="auto"/>
        </w:rPr>
        <w:t xml:space="preserve"> or</w:t>
      </w:r>
    </w:p>
    <w:p>
      <w:pPr>
        <w:spacing w:after="0" w:line="1" w:lineRule="exact"/>
        <w:rPr>
          <w:rFonts w:ascii="Times New Roman" w:cs="Times New Roman" w:eastAsia="Times New Roman" w:hAnsi="Times New Roman"/>
          <w:sz w:val="20"/>
          <w:szCs w:val="20"/>
          <w:color w:val="auto"/>
        </w:rPr>
      </w:pPr>
    </w:p>
    <w:p>
      <w:pPr>
        <w:ind w:left="358" w:hanging="304"/>
        <w:spacing w:after="0" w:line="222" w:lineRule="auto"/>
        <w:tabs>
          <w:tab w:leader="none" w:pos="358" w:val="left"/>
        </w:tabs>
        <w:numPr>
          <w:ilvl w:val="0"/>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evolving or then-prevailing market convention for determining a spread adjustment, or method for calculating or determining such</w:t>
      </w:r>
    </w:p>
    <w:p>
      <w:pPr>
        <w:ind w:left="58" w:right="20"/>
        <w:spacing w:after="0" w:line="221" w:lineRule="auto"/>
        <w:rPr>
          <w:sz w:val="20"/>
          <w:szCs w:val="20"/>
          <w:color w:val="auto"/>
        </w:rPr>
      </w:pPr>
      <w:r>
        <w:rPr>
          <w:rFonts w:ascii="Times New Roman" w:cs="Times New Roman" w:eastAsia="Times New Roman" w:hAnsi="Times New Roman"/>
          <w:sz w:val="20"/>
          <w:szCs w:val="20"/>
          <w:color w:val="auto"/>
        </w:rPr>
        <w:t>spread adjustment, for the replacement of such Available Tenor of such Benchmark with the applicable Unadjusted Benchmark Replacement for Dollar-denominated syndicated credit facilities.</w:t>
      </w:r>
    </w:p>
    <w:p>
      <w:pPr>
        <w:spacing w:after="0" w:line="202" w:lineRule="exact"/>
        <w:rPr>
          <w:sz w:val="20"/>
          <w:szCs w:val="20"/>
          <w:color w:val="auto"/>
        </w:rPr>
      </w:pPr>
    </w:p>
    <w:p>
      <w:pPr>
        <w:ind w:left="58" w:firstLine="648"/>
        <w:spacing w:after="0" w:line="227" w:lineRule="auto"/>
        <w:rPr>
          <w:sz w:val="20"/>
          <w:szCs w:val="20"/>
          <w:color w:val="auto"/>
        </w:rPr>
      </w:pPr>
      <w:r>
        <w:rPr>
          <w:rFonts w:ascii="Times New Roman" w:cs="Times New Roman" w:eastAsia="Times New Roman" w:hAnsi="Times New Roman"/>
          <w:sz w:val="19"/>
          <w:szCs w:val="19"/>
          <w:u w:val="single" w:color="auto"/>
          <w:color w:val="0000FF"/>
        </w:rPr>
        <w:t>“Benchmark Replacement Adjustment (Non-LIBOR)” means, with respect to any replacement of the then-current Benchmark (other than LIBOR) with an Unadjusted Benchmark Replacement for any applicable Available Tenor, the spread adjustment, or method for</w:t>
      </w:r>
    </w:p>
    <w:p>
      <w:pPr>
        <w:ind w:left="58"/>
        <w:spacing w:after="0" w:line="204" w:lineRule="auto"/>
        <w:rPr>
          <w:sz w:val="20"/>
          <w:szCs w:val="20"/>
          <w:color w:val="auto"/>
        </w:rPr>
      </w:pPr>
      <w:r>
        <w:rPr>
          <w:rFonts w:ascii="Times New Roman" w:cs="Times New Roman" w:eastAsia="Times New Roman" w:hAnsi="Times New Roman"/>
          <w:sz w:val="20"/>
          <w:szCs w:val="20"/>
          <w:u w:val="single" w:color="auto"/>
          <w:color w:val="0000FF"/>
        </w:rPr>
        <w:t>calculating or determining such spread adjustment, (which may be a positive or negative value or zero) that has been selected by the Administrative Agent and Centuri giving due consideration to (a) any selection or recommendation of a spread adjustment, or method for</w:t>
      </w:r>
    </w:p>
    <w:p>
      <w:pPr>
        <w:ind w:left="58"/>
        <w:spacing w:after="0" w:line="211" w:lineRule="auto"/>
        <w:rPr>
          <w:sz w:val="20"/>
          <w:szCs w:val="20"/>
          <w:color w:val="auto"/>
        </w:rPr>
      </w:pPr>
      <w:r>
        <w:rPr>
          <w:rFonts w:ascii="Times New Roman" w:cs="Times New Roman" w:eastAsia="Times New Roman" w:hAnsi="Times New Roman"/>
          <w:sz w:val="20"/>
          <w:szCs w:val="20"/>
          <w:u w:val="single" w:color="auto"/>
          <w:color w:val="0000FF"/>
        </w:rPr>
        <w:t>calculating or determining such spread adjustment, for the replacement of such Benchmark with the applicable Unadjusted Benchmark</w:t>
      </w:r>
    </w:p>
    <w:p>
      <w:pPr>
        <w:spacing w:after="0" w:line="1" w:lineRule="exact"/>
        <w:rPr>
          <w:sz w:val="20"/>
          <w:szCs w:val="20"/>
          <w:color w:val="auto"/>
        </w:rPr>
      </w:pPr>
    </w:p>
    <w:p>
      <w:pPr>
        <w:ind w:left="58"/>
        <w:spacing w:after="0" w:line="204" w:lineRule="auto"/>
        <w:rPr>
          <w:sz w:val="20"/>
          <w:szCs w:val="20"/>
          <w:color w:val="auto"/>
        </w:rPr>
      </w:pPr>
      <w:r>
        <w:rPr>
          <w:rFonts w:ascii="Times New Roman" w:cs="Times New Roman" w:eastAsia="Times New Roman" w:hAnsi="Times New Roman"/>
          <w:sz w:val="20"/>
          <w:szCs w:val="20"/>
          <w:u w:val="single" w:color="auto"/>
          <w:color w:val="0000FF"/>
        </w:rPr>
        <w:t>Replacement by the Relevant Governmental Body or (b) any evolving or then-prevailing market convention for determining a spread adjustment, or method for calculating or determining such spread adjustment, for the replacement of such Benchmark with the applicable</w:t>
      </w:r>
    </w:p>
    <w:p>
      <w:pPr>
        <w:spacing w:after="0" w:line="1" w:lineRule="exact"/>
        <w:rPr>
          <w:sz w:val="20"/>
          <w:szCs w:val="20"/>
          <w:color w:val="auto"/>
        </w:rPr>
      </w:pPr>
    </w:p>
    <w:p>
      <w:pPr>
        <w:ind w:left="58"/>
        <w:spacing w:after="0"/>
        <w:rPr>
          <w:sz w:val="20"/>
          <w:szCs w:val="20"/>
          <w:color w:val="auto"/>
        </w:rPr>
      </w:pPr>
      <w:r>
        <w:rPr>
          <w:rFonts w:ascii="Times New Roman" w:cs="Times New Roman" w:eastAsia="Times New Roman" w:hAnsi="Times New Roman"/>
          <w:sz w:val="20"/>
          <w:szCs w:val="20"/>
          <w:u w:val="single" w:color="auto"/>
          <w:color w:val="0000FF"/>
        </w:rPr>
        <w:t>Unadjusted Benchmark Replacement for Dollar-denominated syndicated credit facilities.</w:t>
      </w:r>
    </w:p>
    <w:p>
      <w:pPr>
        <w:spacing w:after="0" w:line="261" w:lineRule="exact"/>
        <w:rPr>
          <w:sz w:val="20"/>
          <w:szCs w:val="20"/>
          <w:color w:val="auto"/>
        </w:rPr>
      </w:pPr>
    </w:p>
    <w:p>
      <w:pPr>
        <w:ind w:left="73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Replacement Conforming Changes</w:t>
      </w:r>
      <w:r>
        <w:rPr>
          <w:rFonts w:ascii="Times New Roman" w:cs="Times New Roman" w:eastAsia="Times New Roman" w:hAnsi="Times New Roman"/>
          <w:sz w:val="20"/>
          <w:szCs w:val="20"/>
          <w:color w:val="auto"/>
        </w:rPr>
        <w:t>” means</w:t>
      </w:r>
      <w:r>
        <w:rPr>
          <w:rFonts w:ascii="Times New Roman" w:cs="Times New Roman" w:eastAsia="Times New Roman" w:hAnsi="Times New Roman"/>
          <w:sz w:val="20"/>
          <w:szCs w:val="20"/>
          <w:color w:val="FF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445770</wp:posOffset>
            </wp:positionH>
            <wp:positionV relativeFrom="paragraph">
              <wp:posOffset>-62230</wp:posOffset>
            </wp:positionV>
            <wp:extent cx="2540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263" w:lineRule="exact"/>
        <w:rPr>
          <w:sz w:val="20"/>
          <w:szCs w:val="20"/>
          <w:color w:val="auto"/>
        </w:rPr>
      </w:pPr>
    </w:p>
    <w:p>
      <w:pPr>
        <w:ind w:left="58" w:right="440" w:firstLine="644"/>
        <w:spacing w:after="0"/>
        <w:tabs>
          <w:tab w:leader="none" w:pos="1236" w:val="left"/>
        </w:tabs>
        <w:numPr>
          <w:ilvl w:val="0"/>
          <w:numId w:val="43"/>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with respect to any Benchmark Replacement </w:t>
      </w:r>
      <w:r>
        <w:rPr>
          <w:rFonts w:ascii="Times New Roman" w:cs="Times New Roman" w:eastAsia="Times New Roman" w:hAnsi="Times New Roman"/>
          <w:sz w:val="20"/>
          <w:szCs w:val="20"/>
          <w:u w:val="single" w:color="auto"/>
          <w:color w:val="0000FF"/>
        </w:rPr>
        <w:t>(LIBOR)</w:t>
      </w:r>
      <w:r>
        <w:rPr>
          <w:rFonts w:ascii="Times New Roman" w:cs="Times New Roman" w:eastAsia="Times New Roman" w:hAnsi="Times New Roman"/>
          <w:sz w:val="20"/>
          <w:szCs w:val="20"/>
          <w:color w:val="auto"/>
        </w:rPr>
        <w:t>, any technical, administrative or operational changes (including changes to the definition of “Base Rate,” the definition of “Business Day,”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18"/>
        <w:spacing w:after="0"/>
        <w:rPr>
          <w:sz w:val="20"/>
          <w:szCs w:val="20"/>
          <w:color w:val="auto"/>
        </w:rPr>
      </w:pPr>
      <w:r>
        <w:rPr>
          <w:rFonts w:ascii="Times New Roman" w:cs="Times New Roman" w:eastAsia="Times New Roman" w:hAnsi="Times New Roman"/>
          <w:sz w:val="14"/>
          <w:szCs w:val="14"/>
          <w:color w:val="FF0000"/>
          <w:strike w:val="1"/>
        </w:rPr>
        <w:t>146960219_6</w:t>
      </w:r>
    </w:p>
    <w:p>
      <w:pPr>
        <w:spacing w:after="0" w:line="4" w:lineRule="exact"/>
        <w:rPr>
          <w:sz w:val="20"/>
          <w:szCs w:val="20"/>
          <w:color w:val="auto"/>
        </w:rPr>
      </w:pPr>
    </w:p>
    <w:p>
      <w:pPr>
        <w:ind w:left="218" w:hanging="218"/>
        <w:spacing w:after="0"/>
        <w:tabs>
          <w:tab w:leader="none" w:pos="218"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078"/>
          </w:cols>
          <w:pgMar w:left="382" w:top="1440" w:right="439" w:bottom="1440" w:gutter="0" w:footer="0" w:header="0"/>
        </w:sectPr>
      </w:pPr>
    </w:p>
    <w:bookmarkStart w:id="91" w:name="page92"/>
    <w:bookmarkEnd w:id="91"/>
    <w:p>
      <w:pPr>
        <w:ind w:left="58"/>
        <w:spacing w:after="0"/>
        <w:rPr>
          <w:sz w:val="20"/>
          <w:szCs w:val="20"/>
          <w:color w:val="auto"/>
        </w:rPr>
      </w:pPr>
      <w:r>
        <w:rPr>
          <w:rFonts w:ascii="Times New Roman" w:cs="Times New Roman" w:eastAsia="Times New Roman" w:hAnsi="Times New Roman"/>
          <w:sz w:val="20"/>
          <w:szCs w:val="20"/>
          <w:color w:val="auto"/>
        </w:rPr>
        <w:t>the definition of “Interest Period,” timing and frequency of determining rates and making payments of interest, timing of borrowing</w:t>
      </w:r>
    </w:p>
    <w:p>
      <w:pPr>
        <w:ind w:left="58"/>
        <w:spacing w:after="0" w:line="215" w:lineRule="auto"/>
        <w:rPr>
          <w:sz w:val="20"/>
          <w:szCs w:val="20"/>
          <w:color w:val="auto"/>
        </w:rPr>
      </w:pPr>
      <w:r>
        <w:rPr>
          <w:rFonts w:ascii="Times New Roman" w:cs="Times New Roman" w:eastAsia="Times New Roman" w:hAnsi="Times New Roman"/>
          <w:sz w:val="19"/>
          <w:szCs w:val="19"/>
          <w:color w:val="auto"/>
        </w:rPr>
        <w:t>requests or prepayment, conversion or continuation notices, length of lookback periods, the applicability of breakage provisions, and other technical, administrative or operational matters) that the Administrative Agent (in consultation with Centuri) decides may be appropriate to</w:t>
      </w:r>
    </w:p>
    <w:p>
      <w:pPr>
        <w:ind w:left="58"/>
        <w:spacing w:after="0" w:line="211" w:lineRule="auto"/>
        <w:rPr>
          <w:sz w:val="20"/>
          <w:szCs w:val="20"/>
          <w:color w:val="auto"/>
        </w:rPr>
      </w:pPr>
      <w:r>
        <w:rPr>
          <w:rFonts w:ascii="Times New Roman" w:cs="Times New Roman" w:eastAsia="Times New Roman" w:hAnsi="Times New Roman"/>
          <w:sz w:val="20"/>
          <w:szCs w:val="20"/>
          <w:color w:val="auto"/>
        </w:rPr>
        <w:t xml:space="preserve">reflect the adoption and implementation of such Benchmark Replacement </w:t>
      </w:r>
      <w:r>
        <w:rPr>
          <w:rFonts w:ascii="Times New Roman" w:cs="Times New Roman" w:eastAsia="Times New Roman" w:hAnsi="Times New Roman"/>
          <w:sz w:val="20"/>
          <w:szCs w:val="20"/>
          <w:u w:val="single" w:color="auto"/>
          <w:color w:val="0000FF"/>
        </w:rPr>
        <w:t>(LIBOR)</w:t>
      </w:r>
      <w:r>
        <w:rPr>
          <w:rFonts w:ascii="Times New Roman" w:cs="Times New Roman" w:eastAsia="Times New Roman" w:hAnsi="Times New Roman"/>
          <w:sz w:val="20"/>
          <w:szCs w:val="20"/>
          <w:color w:val="auto"/>
        </w:rPr>
        <w:t xml:space="preserve"> and to permit the administration thereof by the</w:t>
      </w:r>
    </w:p>
    <w:p>
      <w:pPr>
        <w:ind w:left="58"/>
        <w:spacing w:after="0" w:line="204" w:lineRule="auto"/>
        <w:rPr>
          <w:sz w:val="20"/>
          <w:szCs w:val="20"/>
          <w:color w:val="auto"/>
        </w:rPr>
      </w:pPr>
      <w:r>
        <w:rPr>
          <w:rFonts w:ascii="Times New Roman" w:cs="Times New Roman" w:eastAsia="Times New Roman" w:hAnsi="Times New Roman"/>
          <w:sz w:val="20"/>
          <w:szCs w:val="20"/>
          <w:color w:val="auto"/>
        </w:rPr>
        <w:t>Administrative Agent in a manner substantially consistent with market practice (or, if the Administrative Agent decides that adoption of any portion of such market practice is not administratively feasible or if the Administrative Agent determines that no market practice for</w:t>
      </w:r>
    </w:p>
    <w:p>
      <w:pPr>
        <w:ind w:left="58"/>
        <w:spacing w:after="0" w:line="211" w:lineRule="auto"/>
        <w:rPr>
          <w:sz w:val="20"/>
          <w:szCs w:val="20"/>
          <w:color w:val="auto"/>
        </w:rPr>
      </w:pPr>
      <w:r>
        <w:rPr>
          <w:rFonts w:ascii="Times New Roman" w:cs="Times New Roman" w:eastAsia="Times New Roman" w:hAnsi="Times New Roman"/>
          <w:sz w:val="20"/>
          <w:szCs w:val="20"/>
          <w:color w:val="auto"/>
        </w:rPr>
        <w:t xml:space="preserve">the administration of such Benchmark Replacement </w:t>
      </w:r>
      <w:r>
        <w:rPr>
          <w:rFonts w:ascii="Times New Roman" w:cs="Times New Roman" w:eastAsia="Times New Roman" w:hAnsi="Times New Roman"/>
          <w:sz w:val="20"/>
          <w:szCs w:val="20"/>
          <w:u w:val="single" w:color="auto"/>
          <w:color w:val="0000FF"/>
        </w:rPr>
        <w:t>(LIBOR)</w:t>
      </w:r>
      <w:r>
        <w:rPr>
          <w:rFonts w:ascii="Times New Roman" w:cs="Times New Roman" w:eastAsia="Times New Roman" w:hAnsi="Times New Roman"/>
          <w:sz w:val="20"/>
          <w:szCs w:val="20"/>
          <w:color w:val="auto"/>
        </w:rPr>
        <w:t xml:space="preserve"> exists, in such other manner of administration as the Administrative Agent</w:t>
      </w:r>
    </w:p>
    <w:p>
      <w:pPr>
        <w:spacing w:after="0" w:line="1" w:lineRule="exact"/>
        <w:rPr>
          <w:sz w:val="20"/>
          <w:szCs w:val="20"/>
          <w:color w:val="auto"/>
        </w:rPr>
      </w:pPr>
    </w:p>
    <w:p>
      <w:pPr>
        <w:ind w:left="58" w:right="20"/>
        <w:spacing w:after="0" w:line="221" w:lineRule="auto"/>
        <w:rPr>
          <w:sz w:val="20"/>
          <w:szCs w:val="20"/>
          <w:color w:val="auto"/>
        </w:rPr>
      </w:pPr>
      <w:r>
        <w:rPr>
          <w:rFonts w:ascii="Times New Roman" w:cs="Times New Roman" w:eastAsia="Times New Roman" w:hAnsi="Times New Roman"/>
          <w:sz w:val="20"/>
          <w:szCs w:val="20"/>
          <w:color w:val="auto"/>
        </w:rPr>
        <w:t>decides (in consultation with Centuri) is reasonably necessary in connection with the administration of this Agreement and the other Loan Documents)</w:t>
      </w:r>
      <w:r>
        <w:rPr>
          <w:rFonts w:ascii="Times New Roman" w:cs="Times New Roman" w:eastAsia="Times New Roman" w:hAnsi="Times New Roman"/>
          <w:sz w:val="20"/>
          <w:szCs w:val="20"/>
          <w:u w:val="single" w:color="auto"/>
          <w:color w:val="0000FF"/>
        </w:rPr>
        <w:t>; and</w:t>
      </w:r>
    </w:p>
    <w:p>
      <w:pPr>
        <w:spacing w:after="0" w:line="256" w:lineRule="exact"/>
        <w:rPr>
          <w:sz w:val="20"/>
          <w:szCs w:val="20"/>
          <w:color w:val="auto"/>
        </w:rPr>
      </w:pPr>
    </w:p>
    <w:p>
      <w:pPr>
        <w:jc w:val="both"/>
        <w:ind w:left="58" w:firstLine="644"/>
        <w:spacing w:after="0" w:line="211" w:lineRule="auto"/>
        <w:tabs>
          <w:tab w:leader="none" w:pos="1236" w:val="left"/>
        </w:tabs>
        <w:numPr>
          <w:ilvl w:val="0"/>
          <w:numId w:val="45"/>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0000FF"/>
        </w:rPr>
        <w:t>with respect to either the use or administration of Term SOFR or the use, administration, adoption or implementation of any Benchmark Replacement (Non-LIBOR), any technical, administrative or operational changes (including changes to the definition of “Base Rate,” the definition of “Business Day,”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Section 5.9 and other technical, administrative or operational matters) that the Administrative Agent (in consultation with Centuri) decides may be appropriate to reflect the adoption and implementation of any such rate or to permit the use and administration thereof by the Administrative Agent in a manner substantially consistent with market practice (or, if the Administrative Agent reasonably decides that adoption of any portion of such market practice is not administratively feasible or if the Administrative Agent reasonably determines that no market practice for the administration of any such rate exists, in such other manner of administration as the Administrative Agent decides (in consultation with Centuri) is reasonably necessary in connection with the administration of this Agreement and the other Loan Documents)</w:t>
      </w:r>
      <w:r>
        <w:rPr>
          <w:rFonts w:ascii="Times New Roman" w:cs="Times New Roman" w:eastAsia="Times New Roman" w:hAnsi="Times New Roman"/>
          <w:sz w:val="20"/>
          <w:szCs w:val="20"/>
          <w:color w:val="000000"/>
        </w:rPr>
        <w:t>.</w:t>
      </w:r>
    </w:p>
    <w:p>
      <w:pPr>
        <w:spacing w:after="0" w:line="241" w:lineRule="exact"/>
        <w:rPr>
          <w:sz w:val="20"/>
          <w:szCs w:val="20"/>
          <w:color w:val="auto"/>
        </w:rPr>
      </w:pPr>
    </w:p>
    <w:p>
      <w:pPr>
        <w:ind w:left="698"/>
        <w:spacing w:after="0"/>
        <w:rPr>
          <w:sz w:val="20"/>
          <w:szCs w:val="20"/>
          <w:color w:val="auto"/>
        </w:rPr>
      </w:pPr>
      <w:r>
        <w:rPr>
          <w:rFonts w:ascii="Times New Roman" w:cs="Times New Roman" w:eastAsia="Times New Roman" w:hAnsi="Times New Roman"/>
          <w:sz w:val="20"/>
          <w:szCs w:val="20"/>
          <w:color w:val="auto"/>
        </w:rPr>
        <w:t xml:space="preserve">“Benchmark Replacement Date </w:t>
      </w:r>
      <w:r>
        <w:rPr>
          <w:rFonts w:ascii="Times New Roman" w:cs="Times New Roman" w:eastAsia="Times New Roman" w:hAnsi="Times New Roman"/>
          <w:sz w:val="20"/>
          <w:szCs w:val="20"/>
          <w:u w:val="single" w:color="auto"/>
          <w:color w:val="0000FF"/>
        </w:rPr>
        <w:t>(LIBOR)</w:t>
      </w:r>
      <w:r>
        <w:rPr>
          <w:rFonts w:ascii="Times New Roman" w:cs="Times New Roman" w:eastAsia="Times New Roman" w:hAnsi="Times New Roman"/>
          <w:sz w:val="20"/>
          <w:szCs w:val="20"/>
          <w:color w:val="auto"/>
        </w:rPr>
        <w:t>” means the earliest to occur of the following events with respect to the then-current</w:t>
      </w:r>
    </w:p>
    <w:p>
      <w:pPr>
        <w:ind w:left="58"/>
        <w:spacing w:after="0"/>
        <w:rPr>
          <w:sz w:val="20"/>
          <w:szCs w:val="20"/>
          <w:color w:val="auto"/>
        </w:rPr>
      </w:pPr>
      <w:r>
        <w:rPr>
          <w:rFonts w:ascii="Times New Roman" w:cs="Times New Roman" w:eastAsia="Times New Roman" w:hAnsi="Times New Roman"/>
          <w:sz w:val="20"/>
          <w:szCs w:val="20"/>
          <w:color w:val="auto"/>
        </w:rPr>
        <w:t>Benchmark:</w:t>
      </w:r>
    </w:p>
    <w:p>
      <w:pPr>
        <w:spacing w:after="0" w:line="207" w:lineRule="exact"/>
        <w:rPr>
          <w:sz w:val="20"/>
          <w:szCs w:val="20"/>
          <w:color w:val="auto"/>
        </w:rPr>
      </w:pPr>
    </w:p>
    <w:p>
      <w:pPr>
        <w:jc w:val="both"/>
        <w:ind w:left="58" w:firstLine="644"/>
        <w:spacing w:after="0" w:line="222" w:lineRule="auto"/>
        <w:tabs>
          <w:tab w:leader="none" w:pos="1236"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clause (a) or (b) of the definition of “Benchmark Transition Event </w:t>
      </w:r>
      <w:r>
        <w:rPr>
          <w:rFonts w:ascii="Times New Roman" w:cs="Times New Roman" w:eastAsia="Times New Roman" w:hAnsi="Times New Roman"/>
          <w:sz w:val="20"/>
          <w:szCs w:val="20"/>
          <w:u w:val="single" w:color="auto"/>
          <w:color w:val="0000FF"/>
        </w:rPr>
        <w:t>(LIBOR)</w:t>
      </w:r>
      <w:r>
        <w:rPr>
          <w:rFonts w:ascii="Times New Roman" w:cs="Times New Roman" w:eastAsia="Times New Roman" w:hAnsi="Times New Roman"/>
          <w:sz w:val="20"/>
          <w:szCs w:val="20"/>
          <w:color w:val="auto"/>
        </w:rPr>
        <w: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w:t>
      </w:r>
    </w:p>
    <w:p>
      <w:pPr>
        <w:spacing w:after="0" w:line="188" w:lineRule="exact"/>
        <w:rPr>
          <w:rFonts w:ascii="Times New Roman" w:cs="Times New Roman" w:eastAsia="Times New Roman" w:hAnsi="Times New Roman"/>
          <w:sz w:val="20"/>
          <w:szCs w:val="20"/>
          <w:color w:val="auto"/>
        </w:rPr>
      </w:pPr>
    </w:p>
    <w:p>
      <w:pPr>
        <w:ind w:left="58" w:right="20" w:firstLine="644"/>
        <w:spacing w:after="0"/>
        <w:tabs>
          <w:tab w:leader="none" w:pos="1234"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clause (c) of the definition of “Benchmark Transition Event </w:t>
      </w:r>
      <w:r>
        <w:rPr>
          <w:rFonts w:ascii="Times New Roman" w:cs="Times New Roman" w:eastAsia="Times New Roman" w:hAnsi="Times New Roman"/>
          <w:sz w:val="20"/>
          <w:szCs w:val="20"/>
          <w:u w:val="single" w:color="auto"/>
          <w:color w:val="0000FF"/>
        </w:rPr>
        <w:t>(LIBOR)</w:t>
      </w:r>
      <w:r>
        <w:rPr>
          <w:rFonts w:ascii="Times New Roman" w:cs="Times New Roman" w:eastAsia="Times New Roman" w:hAnsi="Times New Roman"/>
          <w:sz w:val="20"/>
          <w:szCs w:val="20"/>
          <w:color w:val="auto"/>
        </w:rPr>
        <w:t>,” the date of the public statement or publication of information referenced therein;</w:t>
      </w:r>
    </w:p>
    <w:p>
      <w:pPr>
        <w:spacing w:after="0" w:line="188" w:lineRule="exact"/>
        <w:rPr>
          <w:rFonts w:ascii="Times New Roman" w:cs="Times New Roman" w:eastAsia="Times New Roman" w:hAnsi="Times New Roman"/>
          <w:sz w:val="20"/>
          <w:szCs w:val="20"/>
          <w:color w:val="auto"/>
        </w:rPr>
      </w:pPr>
    </w:p>
    <w:p>
      <w:pPr>
        <w:ind w:left="58" w:right="20" w:firstLine="644"/>
        <w:spacing w:after="0" w:line="233" w:lineRule="auto"/>
        <w:tabs>
          <w:tab w:leader="none" w:pos="1237"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a Term SOFR Transition Event, the date that is thirty (30) days after the Administrative Agent has provided the Term SOFR Notice to the Lenders and Centuri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5.8(c)(i)(</w:t>
      </w:r>
      <w:r>
        <w:rPr>
          <w:rFonts w:ascii="Times New Roman" w:cs="Times New Roman" w:eastAsia="Times New Roman" w:hAnsi="Times New Roman"/>
          <w:sz w:val="20"/>
          <w:szCs w:val="20"/>
          <w:color w:val="FF0000"/>
          <w:strike w:val="1"/>
        </w:rPr>
        <w:t>B</w:t>
      </w:r>
      <w:r>
        <w:rPr>
          <w:rFonts w:ascii="Times New Roman" w:cs="Times New Roman" w:eastAsia="Times New Roman" w:hAnsi="Times New Roman"/>
          <w:sz w:val="20"/>
          <w:szCs w:val="20"/>
          <w:u w:val="single" w:color="auto"/>
          <w:color w:val="0000FF"/>
        </w:rPr>
        <w:t>C</w:t>
      </w:r>
      <w:r>
        <w:rPr>
          <w:rFonts w:ascii="Times New Roman" w:cs="Times New Roman" w:eastAsia="Times New Roman" w:hAnsi="Times New Roman"/>
          <w:sz w:val="20"/>
          <w:szCs w:val="20"/>
          <w:color w:val="auto"/>
        </w:rPr>
        <w:t>); or</w:t>
      </w:r>
    </w:p>
    <w:p>
      <w:pPr>
        <w:spacing w:after="0" w:line="282" w:lineRule="exact"/>
        <w:rPr>
          <w:rFonts w:ascii="Times New Roman" w:cs="Times New Roman" w:eastAsia="Times New Roman" w:hAnsi="Times New Roman"/>
          <w:sz w:val="20"/>
          <w:szCs w:val="20"/>
          <w:color w:val="auto"/>
        </w:rPr>
      </w:pPr>
    </w:p>
    <w:p>
      <w:pPr>
        <w:jc w:val="both"/>
        <w:ind w:left="58" w:firstLine="644"/>
        <w:spacing w:after="0" w:line="249" w:lineRule="auto"/>
        <w:tabs>
          <w:tab w:leader="none" w:pos="1235"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an Early Opt-in Election, the sixth (6</w:t>
      </w:r>
      <w:r>
        <w:rPr>
          <w:rFonts w:ascii="Times New Roman" w:cs="Times New Roman" w:eastAsia="Times New Roman" w:hAnsi="Times New Roman"/>
          <w:sz w:val="12"/>
          <w:szCs w:val="12"/>
          <w:color w:val="auto"/>
        </w:rPr>
        <w:t>th</w:t>
      </w:r>
      <w:r>
        <w:rPr>
          <w:rFonts w:ascii="Times New Roman" w:cs="Times New Roman" w:eastAsia="Times New Roman" w:hAnsi="Times New Roman"/>
          <w:sz w:val="20"/>
          <w:szCs w:val="20"/>
          <w:color w:val="auto"/>
        </w:rPr>
        <w:t>) Business Day after the date notice of such Early Opt-in Election is provided to the Lenders and Centuri, so long as the Administrative Agent has not received, by 5:00 p.m. (New York City time) on the fifth (5</w:t>
      </w:r>
      <w:r>
        <w:rPr>
          <w:rFonts w:ascii="Times New Roman" w:cs="Times New Roman" w:eastAsia="Times New Roman" w:hAnsi="Times New Roman"/>
          <w:sz w:val="12"/>
          <w:szCs w:val="12"/>
          <w:color w:val="auto"/>
        </w:rPr>
        <w:t>th</w:t>
      </w:r>
      <w:r>
        <w:rPr>
          <w:rFonts w:ascii="Times New Roman" w:cs="Times New Roman" w:eastAsia="Times New Roman" w:hAnsi="Times New Roman"/>
          <w:sz w:val="20"/>
          <w:szCs w:val="20"/>
          <w:color w:val="auto"/>
        </w:rPr>
        <w:t>) Business Day after the date notice of such Early Opt-in Election is provided to the Lenders, written notice of objection to such Early Opt-in Election from Lenders comprising the Required Lenders.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18"/>
        <w:spacing w:after="0"/>
        <w:rPr>
          <w:sz w:val="20"/>
          <w:szCs w:val="20"/>
          <w:color w:val="auto"/>
        </w:rPr>
      </w:pPr>
      <w:r>
        <w:rPr>
          <w:rFonts w:ascii="Times New Roman" w:cs="Times New Roman" w:eastAsia="Times New Roman" w:hAnsi="Times New Roman"/>
          <w:sz w:val="14"/>
          <w:szCs w:val="14"/>
          <w:color w:val="FF0000"/>
          <w:strike w:val="1"/>
        </w:rPr>
        <w:t>146960219_6</w:t>
      </w:r>
    </w:p>
    <w:p>
      <w:pPr>
        <w:ind w:left="218" w:hanging="218"/>
        <w:spacing w:after="0" w:line="229" w:lineRule="auto"/>
        <w:tabs>
          <w:tab w:leader="none" w:pos="218"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078"/>
          </w:cols>
          <w:pgMar w:left="382" w:top="1394" w:right="439" w:bottom="1440" w:gutter="0" w:footer="0" w:header="0"/>
        </w:sectPr>
      </w:pPr>
    </w:p>
    <w:bookmarkStart w:id="92" w:name="page93"/>
    <w:bookmarkEnd w:id="92"/>
    <w:p>
      <w:pPr>
        <w:ind w:left="76"/>
        <w:spacing w:after="0"/>
        <w:rPr>
          <w:sz w:val="20"/>
          <w:szCs w:val="20"/>
          <w:color w:val="auto"/>
        </w:rPr>
      </w:pPr>
      <w:r>
        <w:rPr>
          <w:rFonts w:ascii="Times New Roman" w:cs="Times New Roman" w:eastAsia="Times New Roman" w:hAnsi="Times New Roman"/>
          <w:sz w:val="19"/>
          <w:szCs w:val="19"/>
          <w:color w:val="auto"/>
        </w:rPr>
        <w:t xml:space="preserve">For the avoidance of doubt, (i) if the event giving rise to the Benchmark Replacement Date </w:t>
      </w:r>
      <w:r>
        <w:rPr>
          <w:rFonts w:ascii="Times New Roman" w:cs="Times New Roman" w:eastAsia="Times New Roman" w:hAnsi="Times New Roman"/>
          <w:sz w:val="19"/>
          <w:szCs w:val="19"/>
          <w:u w:val="single" w:color="auto"/>
          <w:color w:val="0000FF"/>
        </w:rPr>
        <w:t>(LIBOR)</w:t>
      </w:r>
      <w:r>
        <w:rPr>
          <w:rFonts w:ascii="Times New Roman" w:cs="Times New Roman" w:eastAsia="Times New Roman" w:hAnsi="Times New Roman"/>
          <w:sz w:val="19"/>
          <w:szCs w:val="19"/>
          <w:color w:val="auto"/>
        </w:rPr>
        <w:t xml:space="preserve"> occurs on the same day as, but earlier</w:t>
      </w:r>
    </w:p>
    <w:p>
      <w:pPr>
        <w:spacing w:after="0" w:line="6" w:lineRule="exact"/>
        <w:rPr>
          <w:sz w:val="20"/>
          <w:szCs w:val="20"/>
          <w:color w:val="auto"/>
        </w:rPr>
      </w:pPr>
    </w:p>
    <w:p>
      <w:pPr>
        <w:ind w:left="76"/>
        <w:spacing w:after="0" w:line="215" w:lineRule="auto"/>
        <w:rPr>
          <w:sz w:val="20"/>
          <w:szCs w:val="20"/>
          <w:color w:val="auto"/>
        </w:rPr>
      </w:pPr>
      <w:r>
        <w:rPr>
          <w:rFonts w:ascii="Times New Roman" w:cs="Times New Roman" w:eastAsia="Times New Roman" w:hAnsi="Times New Roman"/>
          <w:sz w:val="19"/>
          <w:szCs w:val="19"/>
          <w:color w:val="auto"/>
        </w:rPr>
        <w:t xml:space="preserve">than, the Reference Time in respect of any determination, the Benchmark Replacement Date </w:t>
      </w:r>
      <w:r>
        <w:rPr>
          <w:rFonts w:ascii="Times New Roman" w:cs="Times New Roman" w:eastAsia="Times New Roman" w:hAnsi="Times New Roman"/>
          <w:sz w:val="19"/>
          <w:szCs w:val="19"/>
          <w:u w:val="single" w:color="auto"/>
          <w:color w:val="0000FF"/>
        </w:rPr>
        <w:t>(LIBOR)</w:t>
      </w:r>
      <w:r>
        <w:rPr>
          <w:rFonts w:ascii="Times New Roman" w:cs="Times New Roman" w:eastAsia="Times New Roman" w:hAnsi="Times New Roman"/>
          <w:sz w:val="19"/>
          <w:szCs w:val="19"/>
          <w:color w:val="auto"/>
        </w:rPr>
        <w:t xml:space="preserve"> will be deemed to have occurred prior to the Reference Time for such determination and (ii) the “Benchmark Replacement Date </w:t>
      </w:r>
      <w:r>
        <w:rPr>
          <w:rFonts w:ascii="Times New Roman" w:cs="Times New Roman" w:eastAsia="Times New Roman" w:hAnsi="Times New Roman"/>
          <w:sz w:val="19"/>
          <w:szCs w:val="19"/>
          <w:u w:val="single" w:color="auto"/>
          <w:color w:val="0000FF"/>
        </w:rPr>
        <w:t>(LIBOR)” will be deemed to have occurred</w:t>
      </w:r>
    </w:p>
    <w:p>
      <w:pPr>
        <w:ind w:left="76"/>
        <w:spacing w:after="0" w:line="228" w:lineRule="auto"/>
        <w:rPr>
          <w:sz w:val="20"/>
          <w:szCs w:val="20"/>
          <w:color w:val="auto"/>
        </w:rPr>
      </w:pPr>
      <w:r>
        <w:rPr>
          <w:rFonts w:ascii="Times New Roman" w:cs="Times New Roman" w:eastAsia="Times New Roman" w:hAnsi="Times New Roman"/>
          <w:sz w:val="20"/>
          <w:szCs w:val="20"/>
          <w:u w:val="single" w:color="auto"/>
          <w:color w:val="0000FF"/>
        </w:rPr>
        <w:t>in the case of clause (a) or (b) with respect to any Benchmark upon the occurrence of the applicable event or events set forth therein with respect to all then-current Available Tenors of such Benchmark (or the published component used in the calculation thereof).</w:t>
      </w:r>
    </w:p>
    <w:p>
      <w:pPr>
        <w:spacing w:after="0" w:line="243" w:lineRule="exact"/>
        <w:rPr>
          <w:sz w:val="20"/>
          <w:szCs w:val="20"/>
          <w:color w:val="auto"/>
        </w:rPr>
      </w:pPr>
    </w:p>
    <w:p>
      <w:pPr>
        <w:ind w:left="716"/>
        <w:spacing w:after="0"/>
        <w:rPr>
          <w:sz w:val="20"/>
          <w:szCs w:val="20"/>
          <w:color w:val="auto"/>
        </w:rPr>
      </w:pPr>
      <w:r>
        <w:rPr>
          <w:rFonts w:ascii="Times New Roman" w:cs="Times New Roman" w:eastAsia="Times New Roman" w:hAnsi="Times New Roman"/>
          <w:sz w:val="19"/>
          <w:szCs w:val="19"/>
          <w:u w:val="single" w:color="auto"/>
          <w:color w:val="0000FF"/>
        </w:rPr>
        <w:t>“Benchmark Replacement Date (Non-LIBOR)” means the earliest to occur of the following events with respect to the then-current</w:t>
      </w:r>
    </w:p>
    <w:p>
      <w:pPr>
        <w:spacing w:after="0" w:line="6" w:lineRule="exact"/>
        <w:rPr>
          <w:sz w:val="20"/>
          <w:szCs w:val="20"/>
          <w:color w:val="auto"/>
        </w:rPr>
      </w:pPr>
    </w:p>
    <w:p>
      <w:pPr>
        <w:ind w:left="76"/>
        <w:spacing w:after="0"/>
        <w:rPr>
          <w:sz w:val="20"/>
          <w:szCs w:val="20"/>
          <w:color w:val="auto"/>
        </w:rPr>
      </w:pPr>
      <w:r>
        <w:rPr>
          <w:rFonts w:ascii="Times New Roman" w:cs="Times New Roman" w:eastAsia="Times New Roman" w:hAnsi="Times New Roman"/>
          <w:sz w:val="20"/>
          <w:szCs w:val="20"/>
          <w:u w:val="single" w:color="auto"/>
          <w:color w:val="0000FF"/>
        </w:rPr>
        <w:t>Benchmark:</w:t>
      </w:r>
    </w:p>
    <w:p>
      <w:pPr>
        <w:spacing w:after="0" w:line="261" w:lineRule="exact"/>
        <w:rPr>
          <w:sz w:val="20"/>
          <w:szCs w:val="20"/>
          <w:color w:val="auto"/>
        </w:rPr>
      </w:pPr>
    </w:p>
    <w:p>
      <w:pPr>
        <w:jc w:val="both"/>
        <w:ind w:left="76" w:firstLine="644"/>
        <w:spacing w:after="0" w:line="222" w:lineRule="auto"/>
        <w:tabs>
          <w:tab w:leader="none" w:pos="1254" w:val="left"/>
        </w:tabs>
        <w:numPr>
          <w:ilvl w:val="0"/>
          <w:numId w:val="48"/>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0000FF"/>
        </w:rPr>
        <w:t>in the case of clause (a) or (b) of the definition of “Benchmark Transition Event (Non- LIBOR),” the later of (i) the date of the public statement or publication of information referenced therein and (ii) the date on which the administrator of such Benchmark (or the published component used in the calculation thereof) permanently or indefinitely as of a specific date ceases to provide all Available Tenors of such Benchmark (or such component thereof); or</w:t>
      </w:r>
    </w:p>
    <w:p>
      <w:pPr>
        <w:spacing w:after="0" w:line="256" w:lineRule="exact"/>
        <w:rPr>
          <w:rFonts w:ascii="Times New Roman" w:cs="Times New Roman" w:eastAsia="Times New Roman" w:hAnsi="Times New Roman"/>
          <w:sz w:val="20"/>
          <w:szCs w:val="20"/>
          <w:u w:val="single" w:color="auto"/>
          <w:color w:val="auto"/>
        </w:rPr>
      </w:pPr>
    </w:p>
    <w:p>
      <w:pPr>
        <w:jc w:val="both"/>
        <w:ind w:left="76" w:firstLine="644"/>
        <w:spacing w:after="0" w:line="217" w:lineRule="auto"/>
        <w:tabs>
          <w:tab w:leader="none" w:pos="1252" w:val="left"/>
        </w:tabs>
        <w:numPr>
          <w:ilvl w:val="0"/>
          <w:numId w:val="48"/>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0000FF"/>
        </w:rPr>
        <w:t>in the case of clause (c) of the definition of “Benchmark Transition Event (Non-LIBOR),” the first date on which such Benchmark (or the published component used in the calculation thereof) has been determined and announced by the regulatory supervisor for the administrator of such Benchmark (or such component thereof) to be non-representative; provided that such non-representativeness will be determined by reference to the most recent statement or publication referenced in such clause (c) and even if any Available Tenor of such Benchmark (or such component thereof) continues to be provided on such date.</w:t>
      </w:r>
    </w:p>
    <w:p>
      <w:pPr>
        <w:spacing w:after="0" w:line="256" w:lineRule="exact"/>
        <w:rPr>
          <w:sz w:val="20"/>
          <w:szCs w:val="20"/>
          <w:color w:val="auto"/>
        </w:rPr>
      </w:pPr>
    </w:p>
    <w:p>
      <w:pPr>
        <w:jc w:val="both"/>
        <w:ind w:left="76" w:firstLine="648"/>
        <w:spacing w:after="0" w:line="230" w:lineRule="auto"/>
        <w:rPr>
          <w:sz w:val="20"/>
          <w:szCs w:val="20"/>
          <w:color w:val="auto"/>
        </w:rPr>
      </w:pPr>
      <w:r>
        <w:rPr>
          <w:rFonts w:ascii="Times New Roman" w:cs="Times New Roman" w:eastAsia="Times New Roman" w:hAnsi="Times New Roman"/>
          <w:sz w:val="20"/>
          <w:szCs w:val="20"/>
          <w:u w:val="single" w:color="auto"/>
          <w:color w:val="0000FF"/>
        </w:rPr>
        <w:t>For the avoidance of doubt, the “Benchmark Replacement Date (Non-LIBOR)</w:t>
      </w:r>
      <w:r>
        <w:rPr>
          <w:rFonts w:ascii="Times New Roman" w:cs="Times New Roman" w:eastAsia="Times New Roman" w:hAnsi="Times New Roman"/>
          <w:sz w:val="20"/>
          <w:szCs w:val="20"/>
          <w:color w:val="000000"/>
        </w:rPr>
        <w:t>” will be deemed to have occurred in the case of</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clause (a) or (b) with respect to any Benchmark upon the occurrence of the applicable event or events set forth therein with respect to all then-current Available Tenors of such Benchmark (or the published component used in the calculation thereof).</w:t>
      </w:r>
    </w:p>
    <w:p>
      <w:pPr>
        <w:spacing w:after="0" w:line="203" w:lineRule="exact"/>
        <w:rPr>
          <w:sz w:val="20"/>
          <w:szCs w:val="20"/>
          <w:color w:val="auto"/>
        </w:rPr>
      </w:pPr>
    </w:p>
    <w:p>
      <w:pPr>
        <w:ind w:left="76" w:right="20" w:firstLine="648"/>
        <w:spacing w:after="0" w:line="269" w:lineRule="auto"/>
        <w:rPr>
          <w:sz w:val="20"/>
          <w:szCs w:val="20"/>
          <w:color w:val="auto"/>
        </w:rPr>
      </w:pPr>
      <w:r>
        <w:rPr>
          <w:rFonts w:ascii="Times New Roman" w:cs="Times New Roman" w:eastAsia="Times New Roman" w:hAnsi="Times New Roman"/>
          <w:sz w:val="20"/>
          <w:szCs w:val="20"/>
          <w:color w:val="auto"/>
        </w:rPr>
        <w:t xml:space="preserve">“Benchmark Transition Event </w:t>
      </w:r>
      <w:r>
        <w:rPr>
          <w:rFonts w:ascii="Times New Roman" w:cs="Times New Roman" w:eastAsia="Times New Roman" w:hAnsi="Times New Roman"/>
          <w:sz w:val="20"/>
          <w:szCs w:val="20"/>
          <w:u w:val="single" w:color="auto"/>
          <w:color w:val="0000FF"/>
        </w:rPr>
        <w:t>(LIBOR)</w:t>
      </w:r>
      <w:r>
        <w:rPr>
          <w:rFonts w:ascii="Times New Roman" w:cs="Times New Roman" w:eastAsia="Times New Roman" w:hAnsi="Times New Roman"/>
          <w:sz w:val="20"/>
          <w:szCs w:val="20"/>
          <w:color w:val="auto"/>
        </w:rPr>
        <w:t>” means the occurrence of one or more of the following events with respect to the then-current Benchmark:</w:t>
      </w:r>
    </w:p>
    <w:p>
      <w:pPr>
        <w:spacing w:after="0" w:line="173" w:lineRule="exact"/>
        <w:rPr>
          <w:sz w:val="20"/>
          <w:szCs w:val="20"/>
          <w:color w:val="auto"/>
        </w:rPr>
      </w:pPr>
    </w:p>
    <w:p>
      <w:pPr>
        <w:jc w:val="both"/>
        <w:ind w:left="76" w:right="20" w:firstLine="644"/>
        <w:spacing w:after="0" w:line="220" w:lineRule="auto"/>
        <w:tabs>
          <w:tab w:leader="none" w:pos="1255"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as of a specific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at the time of such statement or publication, there is no successor administrator that will continue to provide any Available Tenor of such Benchmark (or such component thereof);</w:t>
      </w:r>
    </w:p>
    <w:p>
      <w:pPr>
        <w:spacing w:after="0" w:line="187" w:lineRule="exact"/>
        <w:rPr>
          <w:rFonts w:ascii="Times New Roman" w:cs="Times New Roman" w:eastAsia="Times New Roman" w:hAnsi="Times New Roman"/>
          <w:sz w:val="20"/>
          <w:szCs w:val="20"/>
          <w:color w:val="auto"/>
        </w:rPr>
      </w:pPr>
    </w:p>
    <w:p>
      <w:pPr>
        <w:jc w:val="both"/>
        <w:ind w:left="76" w:firstLine="644"/>
        <w:spacing w:after="0" w:line="213" w:lineRule="auto"/>
        <w:tabs>
          <w:tab w:leader="none" w:pos="1253"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public statement or publication of information by the regulatory supervisor for the administrator of such Benchmark (or the published component used in the calculation thereof), the FRB,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as of a specific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at the time of such statement or publication, there is no successor administrator that will continue to provide any Available Tenor of such Benchmark (or such component thereof); or</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16"/>
        <w:spacing w:after="0"/>
        <w:rPr>
          <w:sz w:val="20"/>
          <w:szCs w:val="20"/>
          <w:color w:val="auto"/>
        </w:rPr>
      </w:pPr>
      <w:r>
        <w:rPr>
          <w:rFonts w:ascii="Times New Roman" w:cs="Times New Roman" w:eastAsia="Times New Roman" w:hAnsi="Times New Roman"/>
          <w:sz w:val="14"/>
          <w:szCs w:val="14"/>
          <w:color w:val="FF0000"/>
          <w:strike w:val="1"/>
        </w:rPr>
        <w:t>146960219_6</w:t>
      </w:r>
    </w:p>
    <w:p>
      <w:pPr>
        <w:spacing w:after="0" w:line="4" w:lineRule="exact"/>
        <w:rPr>
          <w:sz w:val="20"/>
          <w:szCs w:val="20"/>
          <w:color w:val="auto"/>
        </w:rPr>
      </w:pPr>
    </w:p>
    <w:p>
      <w:pPr>
        <w:ind w:left="316" w:hanging="316"/>
        <w:spacing w:after="0"/>
        <w:tabs>
          <w:tab w:leader="none" w:pos="316"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096"/>
          </w:cols>
          <w:pgMar w:left="364" w:top="1399" w:right="439" w:bottom="1440" w:gutter="0" w:footer="0" w:header="0"/>
        </w:sectPr>
      </w:pPr>
    </w:p>
    <w:bookmarkStart w:id="93" w:name="page94"/>
    <w:bookmarkEnd w:id="93"/>
    <w:p>
      <w:pPr>
        <w:jc w:val="both"/>
        <w:ind w:left="58" w:firstLine="644"/>
        <w:spacing w:after="0" w:line="254" w:lineRule="auto"/>
        <w:tabs>
          <w:tab w:leader="none" w:pos="1237"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 longer representative.</w:t>
      </w:r>
    </w:p>
    <w:p>
      <w:pPr>
        <w:spacing w:after="0" w:line="188" w:lineRule="exact"/>
        <w:rPr>
          <w:sz w:val="20"/>
          <w:szCs w:val="20"/>
          <w:color w:val="auto"/>
        </w:rPr>
      </w:pPr>
    </w:p>
    <w:p>
      <w:pPr>
        <w:jc w:val="both"/>
        <w:ind w:left="58"/>
        <w:spacing w:after="0" w:line="230" w:lineRule="auto"/>
        <w:rPr>
          <w:sz w:val="20"/>
          <w:szCs w:val="20"/>
          <w:color w:val="auto"/>
        </w:rPr>
      </w:pPr>
      <w:r>
        <w:rPr>
          <w:rFonts w:ascii="Times New Roman" w:cs="Times New Roman" w:eastAsia="Times New Roman" w:hAnsi="Times New Roman"/>
          <w:sz w:val="20"/>
          <w:szCs w:val="20"/>
          <w:color w:val="auto"/>
        </w:rPr>
        <w:t xml:space="preserve">For the avoidance of doubt, a “Benchmark Transition Event </w:t>
      </w:r>
      <w:r>
        <w:rPr>
          <w:rFonts w:ascii="Times New Roman" w:cs="Times New Roman" w:eastAsia="Times New Roman" w:hAnsi="Times New Roman"/>
          <w:sz w:val="20"/>
          <w:szCs w:val="20"/>
          <w:u w:val="single" w:color="auto"/>
          <w:color w:val="0000FF"/>
        </w:rPr>
        <w:t>(LIBOR)</w:t>
      </w:r>
      <w:r>
        <w:rPr>
          <w:rFonts w:ascii="Times New Roman" w:cs="Times New Roman" w:eastAsia="Times New Roman" w:hAnsi="Times New Roman"/>
          <w:sz w:val="20"/>
          <w:szCs w:val="20"/>
          <w:color w:val="auto"/>
        </w:rPr>
        <w: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89" w:lineRule="exact"/>
        <w:rPr>
          <w:sz w:val="20"/>
          <w:szCs w:val="20"/>
          <w:color w:val="auto"/>
        </w:rPr>
      </w:pPr>
    </w:p>
    <w:p>
      <w:pPr>
        <w:jc w:val="both"/>
        <w:ind w:left="58" w:firstLine="648"/>
        <w:spacing w:after="0"/>
        <w:rPr>
          <w:sz w:val="20"/>
          <w:szCs w:val="20"/>
          <w:color w:val="auto"/>
        </w:rPr>
      </w:pPr>
      <w:r>
        <w:rPr>
          <w:rFonts w:ascii="Times New Roman" w:cs="Times New Roman" w:eastAsia="Times New Roman" w:hAnsi="Times New Roman"/>
          <w:sz w:val="20"/>
          <w:szCs w:val="20"/>
          <w:u w:val="single" w:color="auto"/>
          <w:color w:val="0000FF"/>
        </w:rPr>
        <w:t>“Benchmark Transition Event (Non-LIBOR)” means the occurrence of one or more of the following events with respect to the then-current Benchmark:</w:t>
      </w:r>
    </w:p>
    <w:p>
      <w:pPr>
        <w:spacing w:after="0" w:line="242" w:lineRule="exact"/>
        <w:rPr>
          <w:sz w:val="20"/>
          <w:szCs w:val="20"/>
          <w:color w:val="auto"/>
        </w:rPr>
      </w:pPr>
    </w:p>
    <w:p>
      <w:pPr>
        <w:jc w:val="both"/>
        <w:ind w:left="58" w:firstLine="644"/>
        <w:spacing w:after="0" w:line="220" w:lineRule="auto"/>
        <w:tabs>
          <w:tab w:leader="none" w:pos="1236" w:val="left"/>
        </w:tabs>
        <w:numPr>
          <w:ilvl w:val="0"/>
          <w:numId w:val="52"/>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0000FF"/>
        </w:rPr>
        <w:t>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as of a specific date; provided that, at the time of such statement or publication, there is no successor administrator that will continue to provide any Available Tenor of such Benchmark (or such component thereof);</w:t>
      </w:r>
    </w:p>
    <w:p>
      <w:pPr>
        <w:spacing w:after="0" w:line="255" w:lineRule="exact"/>
        <w:rPr>
          <w:rFonts w:ascii="Times New Roman" w:cs="Times New Roman" w:eastAsia="Times New Roman" w:hAnsi="Times New Roman"/>
          <w:sz w:val="20"/>
          <w:szCs w:val="20"/>
          <w:u w:val="single" w:color="auto"/>
          <w:color w:val="auto"/>
        </w:rPr>
      </w:pPr>
    </w:p>
    <w:p>
      <w:pPr>
        <w:jc w:val="both"/>
        <w:ind w:left="58" w:firstLine="644"/>
        <w:spacing w:after="0" w:line="213" w:lineRule="auto"/>
        <w:tabs>
          <w:tab w:leader="none" w:pos="1234" w:val="left"/>
        </w:tabs>
        <w:numPr>
          <w:ilvl w:val="0"/>
          <w:numId w:val="52"/>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0000FF"/>
        </w:rPr>
        <w:t>a public statement or publication of information by the regulatory supervisor for the administrator of such Benchmark (or the published component used in the calculation thereof), the FRB,</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C000"/>
        </w:rPr>
        <w:t>the Federal Reserve Bank of New York,</w:t>
      </w:r>
      <w:r>
        <w:rPr>
          <w:rFonts w:ascii="Times New Roman" w:cs="Times New Roman" w:eastAsia="Times New Roman" w:hAnsi="Times New Roman"/>
          <w:sz w:val="20"/>
          <w:szCs w:val="20"/>
          <w:color w:val="0000FF"/>
        </w:rPr>
        <w:t xml:space="preserve"> an insolvency official with jurisdiction over the administrator for </w:t>
      </w:r>
      <w:r>
        <w:rPr>
          <w:rFonts w:ascii="Times New Roman" w:cs="Times New Roman" w:eastAsia="Times New Roman" w:hAnsi="Times New Roman"/>
          <w:sz w:val="20"/>
          <w:szCs w:val="20"/>
          <w:u w:val="single" w:color="auto"/>
          <w:color w:val="0000FF"/>
        </w:rPr>
        <w:t>such Benchmark (or such component), a resolution authority with jurisdiction over the administrator</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u w:val="single" w:color="auto"/>
          <w:color w:val="0000FF"/>
        </w:rPr>
        <w:t>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as of a specific date; provided that, at the time of such statement or publication, there is no successor administrator that will continue to provide any Available Tenor of such Benchmark (or such component thereof); or</w:t>
      </w:r>
    </w:p>
    <w:p>
      <w:pPr>
        <w:spacing w:after="0" w:line="257" w:lineRule="exact"/>
        <w:rPr>
          <w:rFonts w:ascii="Times New Roman" w:cs="Times New Roman" w:eastAsia="Times New Roman" w:hAnsi="Times New Roman"/>
          <w:sz w:val="20"/>
          <w:szCs w:val="20"/>
          <w:u w:val="single" w:color="auto"/>
          <w:color w:val="auto"/>
        </w:rPr>
      </w:pPr>
    </w:p>
    <w:p>
      <w:pPr>
        <w:jc w:val="both"/>
        <w:ind w:left="58" w:firstLine="644"/>
        <w:spacing w:after="0" w:line="226" w:lineRule="auto"/>
        <w:tabs>
          <w:tab w:leader="none" w:pos="1236" w:val="left"/>
        </w:tabs>
        <w:numPr>
          <w:ilvl w:val="0"/>
          <w:numId w:val="52"/>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0000FF"/>
        </w:rPr>
        <w:t>a public statement or publication of information by the regulatory supervisor for the administrator of such Benchmark (or the published component used in the calculation thereof)announcing that all Available Tenors of such Benchmark (or such component thereof) are not, or as of a specified future date will not be, representative.</w:t>
      </w:r>
    </w:p>
    <w:p>
      <w:pPr>
        <w:spacing w:after="0" w:line="249" w:lineRule="exact"/>
        <w:rPr>
          <w:sz w:val="20"/>
          <w:szCs w:val="20"/>
          <w:color w:val="auto"/>
        </w:rPr>
      </w:pPr>
    </w:p>
    <w:p>
      <w:pPr>
        <w:ind w:left="698"/>
        <w:spacing w:after="0"/>
        <w:rPr>
          <w:sz w:val="20"/>
          <w:szCs w:val="20"/>
          <w:color w:val="auto"/>
        </w:rPr>
      </w:pPr>
      <w:r>
        <w:rPr>
          <w:rFonts w:ascii="Times New Roman" w:cs="Times New Roman" w:eastAsia="Times New Roman" w:hAnsi="Times New Roman"/>
          <w:sz w:val="20"/>
          <w:szCs w:val="20"/>
          <w:u w:val="single" w:color="auto"/>
          <w:color w:val="0000FF"/>
        </w:rPr>
        <w:t>For the avoidance of doubt, a “Benchmark Transition Event (Non-LIBOR)” will be deemed to have occurred with respect to any</w:t>
      </w:r>
    </w:p>
    <w:p>
      <w:pPr>
        <w:ind w:left="58" w:right="20"/>
        <w:spacing w:after="0" w:line="221" w:lineRule="auto"/>
        <w:rPr>
          <w:sz w:val="20"/>
          <w:szCs w:val="20"/>
          <w:color w:val="auto"/>
        </w:rPr>
      </w:pPr>
      <w:r>
        <w:rPr>
          <w:rFonts w:ascii="Times New Roman" w:cs="Times New Roman" w:eastAsia="Times New Roman" w:hAnsi="Times New Roman"/>
          <w:sz w:val="20"/>
          <w:szCs w:val="20"/>
          <w:u w:val="single" w:color="auto"/>
          <w:color w:val="0000FF"/>
        </w:rPr>
        <w:t>Benchmark if a public statement or publication of information set forth above has occurred with respect to each then-current Available Tenor of such Benchmark (or the published component used in the calculation thereof).</w:t>
      </w:r>
    </w:p>
    <w:p>
      <w:pPr>
        <w:spacing w:after="0" w:line="251" w:lineRule="exact"/>
        <w:rPr>
          <w:sz w:val="20"/>
          <w:szCs w:val="20"/>
          <w:color w:val="auto"/>
        </w:rPr>
      </w:pPr>
    </w:p>
    <w:p>
      <w:pPr>
        <w:ind w:left="698"/>
        <w:spacing w:after="0"/>
        <w:rPr>
          <w:sz w:val="20"/>
          <w:szCs w:val="20"/>
          <w:color w:val="auto"/>
        </w:rPr>
      </w:pPr>
      <w:r>
        <w:rPr>
          <w:rFonts w:ascii="Times New Roman" w:cs="Times New Roman" w:eastAsia="Times New Roman" w:hAnsi="Times New Roman"/>
          <w:sz w:val="20"/>
          <w:szCs w:val="20"/>
          <w:u w:val="single" w:color="auto"/>
          <w:color w:val="0000FF"/>
        </w:rPr>
        <w:t>“Benchmark Transition Start Date” means, in the case of a Benchmark Transition Event (Non- LIBOR), the earlier of (a) the</w:t>
      </w:r>
    </w:p>
    <w:p>
      <w:pPr>
        <w:ind w:left="58"/>
        <w:spacing w:after="0" w:line="204" w:lineRule="auto"/>
        <w:rPr>
          <w:sz w:val="20"/>
          <w:szCs w:val="20"/>
          <w:color w:val="auto"/>
        </w:rPr>
      </w:pPr>
      <w:r>
        <w:rPr>
          <w:rFonts w:ascii="Times New Roman" w:cs="Times New Roman" w:eastAsia="Times New Roman" w:hAnsi="Times New Roman"/>
          <w:sz w:val="20"/>
          <w:szCs w:val="20"/>
          <w:u w:val="single" w:color="auto"/>
          <w:color w:val="0000FF"/>
        </w:rPr>
        <w:t>applicable Benchmark Replacement Date (Non-LIBOR) and (b) if such Benchmark Transition Event (Non-LIBOR) is a public statement or publication of information of a prospective event, the 90th day prior to the expected date of such event as of such public statement or</w:t>
      </w:r>
    </w:p>
    <w:p>
      <w:pPr>
        <w:spacing w:after="0" w:line="1" w:lineRule="exact"/>
        <w:rPr>
          <w:sz w:val="20"/>
          <w:szCs w:val="20"/>
          <w:color w:val="auto"/>
        </w:rPr>
      </w:pPr>
    </w:p>
    <w:p>
      <w:pPr>
        <w:ind w:left="58"/>
        <w:spacing w:after="0" w:line="228" w:lineRule="auto"/>
        <w:rPr>
          <w:sz w:val="20"/>
          <w:szCs w:val="20"/>
          <w:color w:val="auto"/>
        </w:rPr>
      </w:pPr>
      <w:r>
        <w:rPr>
          <w:rFonts w:ascii="Times New Roman" w:cs="Times New Roman" w:eastAsia="Times New Roman" w:hAnsi="Times New Roman"/>
          <w:sz w:val="20"/>
          <w:szCs w:val="20"/>
          <w:u w:val="single" w:color="auto"/>
          <w:color w:val="0000FF"/>
        </w:rPr>
        <w:t>publication of information (or if the expected date of such prospective event is fewer than 90 days after such statement or publication, the date of such statement or publication).</w:t>
      </w:r>
    </w:p>
    <w:p>
      <w:pPr>
        <w:spacing w:after="0" w:line="243" w:lineRule="exact"/>
        <w:rPr>
          <w:sz w:val="20"/>
          <w:szCs w:val="20"/>
          <w:color w:val="auto"/>
        </w:rPr>
      </w:pPr>
    </w:p>
    <w:p>
      <w:pPr>
        <w:ind w:left="58" w:right="380" w:firstLine="648"/>
        <w:spacing w:after="0"/>
        <w:rPr>
          <w:sz w:val="20"/>
          <w:szCs w:val="20"/>
          <w:color w:val="auto"/>
        </w:rPr>
      </w:pPr>
      <w:r>
        <w:rPr>
          <w:rFonts w:ascii="Times New Roman" w:cs="Times New Roman" w:eastAsia="Times New Roman" w:hAnsi="Times New Roman"/>
          <w:sz w:val="20"/>
          <w:szCs w:val="20"/>
          <w:color w:val="auto"/>
        </w:rPr>
        <w:t>“Benchmark Unavailability Period</w:t>
      </w:r>
      <w:r>
        <w:rPr>
          <w:rFonts w:ascii="Times New Roman" w:cs="Times New Roman" w:eastAsia="Times New Roman" w:hAnsi="Times New Roman"/>
          <w:sz w:val="20"/>
          <w:szCs w:val="20"/>
          <w:u w:val="single" w:color="auto"/>
          <w:color w:val="0000FF"/>
        </w:rPr>
        <w:t>” means either a Benchmark Unavailability Period (LIBOR) or a Benchmark Unavailability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Period (Non-LIBOR), as the context so requires.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38"/>
        <w:spacing w:after="0"/>
        <w:rPr>
          <w:sz w:val="20"/>
          <w:szCs w:val="20"/>
          <w:color w:val="auto"/>
        </w:rPr>
      </w:pPr>
      <w:r>
        <w:rPr>
          <w:rFonts w:ascii="Times New Roman" w:cs="Times New Roman" w:eastAsia="Times New Roman" w:hAnsi="Times New Roman"/>
          <w:sz w:val="14"/>
          <w:szCs w:val="14"/>
          <w:color w:val="FF0000"/>
          <w:strike w:val="1"/>
        </w:rPr>
        <w:t>146960219_6</w:t>
      </w:r>
    </w:p>
    <w:p>
      <w:pPr>
        <w:ind w:left="338" w:hanging="338"/>
        <w:spacing w:after="0" w:line="229" w:lineRule="auto"/>
        <w:tabs>
          <w:tab w:leader="none" w:pos="338"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078"/>
          </w:cols>
          <w:pgMar w:left="382" w:top="1413" w:right="439" w:bottom="1440" w:gutter="0" w:footer="0" w:header="0"/>
        </w:sectPr>
      </w:pPr>
    </w:p>
    <w:bookmarkStart w:id="94" w:name="page95"/>
    <w:bookmarkEnd w:id="94"/>
    <w:p>
      <w:pPr>
        <w:spacing w:after="0" w:line="197" w:lineRule="exact"/>
        <w:rPr>
          <w:sz w:val="20"/>
          <w:szCs w:val="20"/>
          <w:color w:val="auto"/>
        </w:rPr>
      </w:pPr>
    </w:p>
    <w:p>
      <w:pPr>
        <w:ind w:left="698"/>
        <w:spacing w:after="0"/>
        <w:rPr>
          <w:sz w:val="20"/>
          <w:szCs w:val="20"/>
          <w:color w:val="auto"/>
        </w:rPr>
      </w:pPr>
      <w:r>
        <w:rPr>
          <w:rFonts w:ascii="Times New Roman" w:cs="Times New Roman" w:eastAsia="Times New Roman" w:hAnsi="Times New Roman"/>
          <w:sz w:val="20"/>
          <w:szCs w:val="20"/>
          <w:u w:val="single" w:color="auto"/>
          <w:color w:val="0000FF"/>
        </w:rPr>
        <w:t>“Benchmark Unavailability Period (LIBOR)</w:t>
      </w:r>
      <w:r>
        <w:rPr>
          <w:rFonts w:ascii="Times New Roman" w:cs="Times New Roman" w:eastAsia="Times New Roman" w:hAnsi="Times New Roman"/>
          <w:sz w:val="20"/>
          <w:szCs w:val="20"/>
          <w:color w:val="000000"/>
        </w:rPr>
        <w:t>” means the period (if any) (x) beginning at the time that a Benchmark Replacement</w:t>
      </w:r>
    </w:p>
    <w:p>
      <w:pPr>
        <w:jc w:val="both"/>
        <w:ind w:left="58"/>
        <w:spacing w:after="0" w:line="215" w:lineRule="auto"/>
        <w:rPr>
          <w:sz w:val="20"/>
          <w:szCs w:val="20"/>
          <w:color w:val="auto"/>
        </w:rPr>
      </w:pPr>
      <w:r>
        <w:rPr>
          <w:rFonts w:ascii="Times New Roman" w:cs="Times New Roman" w:eastAsia="Times New Roman" w:hAnsi="Times New Roman"/>
          <w:sz w:val="19"/>
          <w:szCs w:val="19"/>
          <w:color w:val="auto"/>
        </w:rPr>
        <w:t xml:space="preserve">Date </w:t>
      </w:r>
      <w:r>
        <w:rPr>
          <w:rFonts w:ascii="Times New Roman" w:cs="Times New Roman" w:eastAsia="Times New Roman" w:hAnsi="Times New Roman"/>
          <w:sz w:val="19"/>
          <w:szCs w:val="19"/>
          <w:u w:val="single" w:color="auto"/>
          <w:color w:val="0000FF"/>
        </w:rPr>
        <w:t>(LIBOR)</w:t>
      </w:r>
      <w:r>
        <w:rPr>
          <w:rFonts w:ascii="Times New Roman" w:cs="Times New Roman" w:eastAsia="Times New Roman" w:hAnsi="Times New Roman"/>
          <w:sz w:val="19"/>
          <w:szCs w:val="19"/>
          <w:color w:val="auto"/>
        </w:rPr>
        <w:t xml:space="preserve"> pursuant to clauses (a) or (b) of that definition has occurred if, at such time, no Benchmark Replacement has replaced the then-current Benchmark for all purposes hereunder and under any Loan Document in accordance with </w:t>
      </w:r>
      <w:r>
        <w:rPr>
          <w:rFonts w:ascii="Times New Roman" w:cs="Times New Roman" w:eastAsia="Times New Roman" w:hAnsi="Times New Roman"/>
          <w:sz w:val="19"/>
          <w:szCs w:val="19"/>
          <w:u w:val="single" w:color="auto"/>
          <w:color w:val="auto"/>
        </w:rPr>
        <w:t>Section 5.8(c)</w:t>
      </w:r>
      <w:r>
        <w:rPr>
          <w:rFonts w:ascii="Times New Roman" w:cs="Times New Roman" w:eastAsia="Times New Roman" w:hAnsi="Times New Roman"/>
          <w:sz w:val="19"/>
          <w:szCs w:val="19"/>
          <w:color w:val="auto"/>
        </w:rPr>
        <w:t xml:space="preserve"> and (y) ending at the</w:t>
      </w:r>
    </w:p>
    <w:p>
      <w:pPr>
        <w:jc w:val="both"/>
        <w:ind w:left="58"/>
        <w:spacing w:after="0" w:line="228" w:lineRule="auto"/>
        <w:rPr>
          <w:sz w:val="20"/>
          <w:szCs w:val="20"/>
          <w:color w:val="auto"/>
        </w:rPr>
      </w:pPr>
      <w:r>
        <w:rPr>
          <w:rFonts w:ascii="Times New Roman" w:cs="Times New Roman" w:eastAsia="Times New Roman" w:hAnsi="Times New Roman"/>
          <w:sz w:val="20"/>
          <w:szCs w:val="20"/>
          <w:color w:val="auto"/>
        </w:rPr>
        <w:t xml:space="preserve">time that a Benchmark Replacement has replaced the then-current Benchmark for all purposes hereunder and under any Loan Document in accordance with </w:t>
      </w:r>
      <w:r>
        <w:rPr>
          <w:rFonts w:ascii="Times New Roman" w:cs="Times New Roman" w:eastAsia="Times New Roman" w:hAnsi="Times New Roman"/>
          <w:sz w:val="20"/>
          <w:szCs w:val="20"/>
          <w:u w:val="single" w:color="auto"/>
          <w:color w:val="auto"/>
        </w:rPr>
        <w:t>Section 5.8(c)</w:t>
      </w:r>
      <w:r>
        <w:rPr>
          <w:rFonts w:ascii="Times New Roman" w:cs="Times New Roman" w:eastAsia="Times New Roman" w:hAnsi="Times New Roman"/>
          <w:sz w:val="20"/>
          <w:szCs w:val="20"/>
          <w:color w:val="auto"/>
        </w:rPr>
        <w:t>.</w:t>
      </w:r>
    </w:p>
    <w:p>
      <w:pPr>
        <w:spacing w:after="0" w:line="243" w:lineRule="exact"/>
        <w:rPr>
          <w:sz w:val="20"/>
          <w:szCs w:val="20"/>
          <w:color w:val="auto"/>
        </w:rPr>
      </w:pPr>
    </w:p>
    <w:p>
      <w:pPr>
        <w:jc w:val="both"/>
        <w:ind w:left="58" w:firstLine="648"/>
        <w:spacing w:after="0" w:line="222" w:lineRule="auto"/>
        <w:rPr>
          <w:sz w:val="20"/>
          <w:szCs w:val="20"/>
          <w:color w:val="auto"/>
        </w:rPr>
      </w:pPr>
      <w:r>
        <w:rPr>
          <w:rFonts w:ascii="Times New Roman" w:cs="Times New Roman" w:eastAsia="Times New Roman" w:hAnsi="Times New Roman"/>
          <w:sz w:val="20"/>
          <w:szCs w:val="20"/>
          <w:u w:val="single" w:color="auto"/>
          <w:color w:val="0000FF"/>
        </w:rPr>
        <w:t>“Benchmark Unavailability Period (Non-LIBOR)” means the period (if any) (x) beginning at the time that a Benchmark Replacement Date (Non-LIBOR) has occurred if, at such time, no Benchmark Replacement has replaced the then-current Benchmark for</w:t>
      </w:r>
    </w:p>
    <w:p>
      <w:pPr>
        <w:spacing w:after="0" w:line="2" w:lineRule="exact"/>
        <w:rPr>
          <w:sz w:val="20"/>
          <w:szCs w:val="20"/>
          <w:color w:val="auto"/>
        </w:rPr>
      </w:pPr>
    </w:p>
    <w:p>
      <w:pPr>
        <w:jc w:val="both"/>
        <w:ind w:left="58" w:right="20"/>
        <w:spacing w:after="0" w:line="204" w:lineRule="auto"/>
        <w:rPr>
          <w:sz w:val="20"/>
          <w:szCs w:val="20"/>
          <w:color w:val="auto"/>
        </w:rPr>
      </w:pPr>
      <w:r>
        <w:rPr>
          <w:rFonts w:ascii="Times New Roman" w:cs="Times New Roman" w:eastAsia="Times New Roman" w:hAnsi="Times New Roman"/>
          <w:sz w:val="20"/>
          <w:szCs w:val="20"/>
          <w:u w:val="single" w:color="auto"/>
          <w:color w:val="0000FF"/>
        </w:rPr>
        <w:t>all purposes hereunder and under any Loan Document in accordance with Section 5.8(c)(i) and (y) ending at the time that a Benchmark Replacement has replaced the then-current Benchmark for all purposes hereunder and under any Loan Document in accordance with</w:t>
      </w:r>
    </w:p>
    <w:p>
      <w:pPr>
        <w:spacing w:after="0" w:line="1" w:lineRule="exact"/>
        <w:rPr>
          <w:sz w:val="20"/>
          <w:szCs w:val="20"/>
          <w:color w:val="auto"/>
        </w:rPr>
      </w:pPr>
    </w:p>
    <w:p>
      <w:pPr>
        <w:ind w:left="58"/>
        <w:spacing w:after="0"/>
        <w:rPr>
          <w:sz w:val="20"/>
          <w:szCs w:val="20"/>
          <w:color w:val="auto"/>
        </w:rPr>
      </w:pPr>
      <w:r>
        <w:rPr>
          <w:rFonts w:ascii="Times New Roman" w:cs="Times New Roman" w:eastAsia="Times New Roman" w:hAnsi="Times New Roman"/>
          <w:sz w:val="20"/>
          <w:szCs w:val="20"/>
          <w:u w:val="single" w:color="auto"/>
          <w:color w:val="0000FF"/>
        </w:rPr>
        <w:t>Section 5.8(c)(i).</w:t>
      </w:r>
    </w:p>
    <w:p>
      <w:pPr>
        <w:spacing w:after="0" w:line="261" w:lineRule="exact"/>
        <w:rPr>
          <w:sz w:val="20"/>
          <w:szCs w:val="20"/>
          <w:color w:val="auto"/>
        </w:rPr>
      </w:pPr>
    </w:p>
    <w:p>
      <w:pPr>
        <w:ind w:left="58" w:right="700" w:firstLine="648"/>
        <w:spacing w:after="0" w:line="23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Beneficial Ownership Certification</w:t>
      </w:r>
      <w:r>
        <w:rPr>
          <w:rFonts w:ascii="Times New Roman" w:cs="Times New Roman" w:eastAsia="Times New Roman" w:hAnsi="Times New Roman"/>
          <w:sz w:val="20"/>
          <w:szCs w:val="20"/>
          <w:color w:val="auto"/>
        </w:rPr>
        <w:t>” means any certification regarding beneficial ownership as required by the Beneficial Ownership Regulation.</w:t>
      </w:r>
    </w:p>
    <w:p>
      <w:pPr>
        <w:spacing w:after="0" w:line="201" w:lineRule="exact"/>
        <w:rPr>
          <w:sz w:val="20"/>
          <w:szCs w:val="20"/>
          <w:color w:val="auto"/>
        </w:rPr>
      </w:pPr>
    </w:p>
    <w:p>
      <w:pPr>
        <w:ind w:left="69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Beneficial Ownership Regulation</w:t>
      </w:r>
      <w:r>
        <w:rPr>
          <w:rFonts w:ascii="Times New Roman" w:cs="Times New Roman" w:eastAsia="Times New Roman" w:hAnsi="Times New Roman"/>
          <w:sz w:val="20"/>
          <w:szCs w:val="20"/>
          <w:color w:val="auto"/>
        </w:rPr>
        <w:t>” means 31 CFR § 1010.230.</w:t>
      </w:r>
    </w:p>
    <w:p>
      <w:pPr>
        <w:spacing w:after="0" w:line="270" w:lineRule="exact"/>
        <w:rPr>
          <w:sz w:val="20"/>
          <w:szCs w:val="20"/>
          <w:color w:val="auto"/>
        </w:rPr>
      </w:pPr>
    </w:p>
    <w:p>
      <w:pPr>
        <w:jc w:val="both"/>
        <w:ind w:left="58" w:firstLine="648"/>
        <w:spacing w:after="0" w:line="24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Benefit Plan</w:t>
      </w:r>
      <w:r>
        <w:rPr>
          <w:rFonts w:ascii="Times New Roman" w:cs="Times New Roman" w:eastAsia="Times New Roman" w:hAnsi="Times New Roman"/>
          <w:sz w:val="19"/>
          <w:szCs w:val="19"/>
          <w:color w:val="auto"/>
        </w:rPr>
        <w:t>”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171" w:lineRule="exact"/>
        <w:rPr>
          <w:sz w:val="20"/>
          <w:szCs w:val="20"/>
          <w:color w:val="auto"/>
        </w:rPr>
      </w:pPr>
    </w:p>
    <w:p>
      <w:pPr>
        <w:ind w:left="69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Borrower Materials</w:t>
      </w:r>
      <w:r>
        <w:rPr>
          <w:rFonts w:ascii="Times New Roman" w:cs="Times New Roman" w:eastAsia="Times New Roman" w:hAnsi="Times New Roman"/>
          <w:sz w:val="20"/>
          <w:szCs w:val="20"/>
          <w:color w:val="auto"/>
        </w:rPr>
        <w:t xml:space="preserve">” has the meaning assigned thereto in </w:t>
      </w:r>
      <w:r>
        <w:rPr>
          <w:rFonts w:ascii="Times New Roman" w:cs="Times New Roman" w:eastAsia="Times New Roman" w:hAnsi="Times New Roman"/>
          <w:sz w:val="20"/>
          <w:szCs w:val="20"/>
          <w:u w:val="single" w:color="auto"/>
          <w:color w:val="auto"/>
        </w:rPr>
        <w:t>Section 8.2</w:t>
      </w:r>
      <w:r>
        <w:rPr>
          <w:rFonts w:ascii="Times New Roman" w:cs="Times New Roman" w:eastAsia="Times New Roman" w:hAnsi="Times New Roman"/>
          <w:sz w:val="20"/>
          <w:szCs w:val="20"/>
          <w:color w:val="auto"/>
        </w:rPr>
        <w:t>.</w:t>
      </w:r>
    </w:p>
    <w:p>
      <w:pPr>
        <w:spacing w:after="0" w:line="283" w:lineRule="exact"/>
        <w:rPr>
          <w:sz w:val="20"/>
          <w:szCs w:val="20"/>
          <w:color w:val="auto"/>
        </w:rPr>
      </w:pPr>
    </w:p>
    <w:p>
      <w:pPr>
        <w:ind w:left="69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Borrowers</w:t>
      </w:r>
      <w:r>
        <w:rPr>
          <w:rFonts w:ascii="Times New Roman" w:cs="Times New Roman" w:eastAsia="Times New Roman" w:hAnsi="Times New Roman"/>
          <w:sz w:val="20"/>
          <w:szCs w:val="20"/>
          <w:color w:val="auto"/>
        </w:rPr>
        <w:t>” means, collectively, the US Borrowers and the Canadian Borrowers.</w:t>
      </w:r>
    </w:p>
    <w:p>
      <w:pPr>
        <w:spacing w:after="0" w:line="283" w:lineRule="exact"/>
        <w:rPr>
          <w:sz w:val="20"/>
          <w:szCs w:val="20"/>
          <w:color w:val="auto"/>
        </w:rPr>
      </w:pPr>
    </w:p>
    <w:p>
      <w:pPr>
        <w:ind w:left="69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Business Day</w:t>
      </w:r>
      <w:r>
        <w:rPr>
          <w:rFonts w:ascii="Times New Roman" w:cs="Times New Roman" w:eastAsia="Times New Roman" w:hAnsi="Times New Roman"/>
          <w:sz w:val="20"/>
          <w:szCs w:val="20"/>
          <w:color w:val="auto"/>
        </w:rPr>
        <w:t>” means:</w:t>
      </w:r>
    </w:p>
    <w:p>
      <w:pPr>
        <w:spacing w:after="0" w:line="297" w:lineRule="exact"/>
        <w:rPr>
          <w:sz w:val="20"/>
          <w:szCs w:val="20"/>
          <w:color w:val="auto"/>
        </w:rPr>
      </w:pPr>
    </w:p>
    <w:p>
      <w:pPr>
        <w:ind w:left="58" w:right="20" w:firstLine="644"/>
        <w:spacing w:after="0" w:line="269" w:lineRule="auto"/>
        <w:tabs>
          <w:tab w:leader="none" w:pos="1237"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all purposes other than as set forth in clause (b) below, any day (other than a Saturday, Sunday or legal holiday) on which banks in Charlotte, North Carolina and New York, New York, are open for the conduct of their commercial banking business;</w:t>
      </w:r>
    </w:p>
    <w:p>
      <w:pPr>
        <w:spacing w:after="0" w:line="172" w:lineRule="exact"/>
        <w:rPr>
          <w:rFonts w:ascii="Times New Roman" w:cs="Times New Roman" w:eastAsia="Times New Roman" w:hAnsi="Times New Roman"/>
          <w:sz w:val="20"/>
          <w:szCs w:val="20"/>
          <w:color w:val="auto"/>
        </w:rPr>
      </w:pPr>
    </w:p>
    <w:p>
      <w:pPr>
        <w:jc w:val="both"/>
        <w:ind w:left="58" w:firstLine="644"/>
        <w:spacing w:after="0" w:line="216" w:lineRule="auto"/>
        <w:tabs>
          <w:tab w:leader="none" w:pos="1234"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0000FF"/>
        </w:rPr>
        <w:t>(i)</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with respect to all notices and determinations in connection with, and payments of principal and interest on, any LIBOR</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 xml:space="preserve">Rate Loan, or any Base Rate Loan as to which the interest rate is determined by reference to LIBOR, any day that is a Business Day described in clause (a) and that is also a London Banking Day </w:t>
      </w:r>
      <w:r>
        <w:rPr>
          <w:rFonts w:ascii="Times New Roman" w:cs="Times New Roman" w:eastAsia="Times New Roman" w:hAnsi="Times New Roman"/>
          <w:sz w:val="20"/>
          <w:szCs w:val="20"/>
          <w:u w:val="single" w:color="auto"/>
          <w:color w:val="0000FF"/>
        </w:rPr>
        <w:t>and (ii) with respect to all notices and determinations in connection with,</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00FF"/>
        </w:rPr>
        <w:t>and payments of principal and interest on, any SOFR Loan, or any Base Rate Loan as to which the interest rate is determined by reference to Adjusted Term SOFR, any day that is a Business Day described in clause (a) and that is also a day on which the Federal Reserve Bank of New York is open</w:t>
      </w:r>
      <w:r>
        <w:rPr>
          <w:rFonts w:ascii="Times New Roman" w:cs="Times New Roman" w:eastAsia="Times New Roman" w:hAnsi="Times New Roman"/>
          <w:sz w:val="20"/>
          <w:szCs w:val="20"/>
          <w:color w:val="000000"/>
        </w:rPr>
        <w:t>; and</w:t>
      </w:r>
    </w:p>
    <w:p>
      <w:pPr>
        <w:spacing w:after="0" w:line="256" w:lineRule="exact"/>
        <w:rPr>
          <w:rFonts w:ascii="Times New Roman" w:cs="Times New Roman" w:eastAsia="Times New Roman" w:hAnsi="Times New Roman"/>
          <w:sz w:val="20"/>
          <w:szCs w:val="20"/>
          <w:color w:val="auto"/>
        </w:rPr>
      </w:pPr>
    </w:p>
    <w:p>
      <w:pPr>
        <w:ind w:left="58" w:right="180" w:firstLine="644"/>
        <w:spacing w:after="0"/>
        <w:tabs>
          <w:tab w:leader="none" w:pos="1237"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all notices and determinations in connection with, and payments of principal and interest on, any Canadian Revolving Credit Loan, any day that is a Business Day described in clause</w:t>
      </w:r>
    </w:p>
    <w:p>
      <w:pPr>
        <w:spacing w:after="0" w:line="66" w:lineRule="exact"/>
        <w:rPr>
          <w:rFonts w:ascii="Times New Roman" w:cs="Times New Roman" w:eastAsia="Times New Roman" w:hAnsi="Times New Roman"/>
          <w:sz w:val="20"/>
          <w:szCs w:val="20"/>
          <w:color w:val="auto"/>
        </w:rPr>
      </w:pPr>
    </w:p>
    <w:p>
      <w:pPr>
        <w:ind w:left="318" w:hanging="265"/>
        <w:spacing w:after="0"/>
        <w:tabs>
          <w:tab w:leader="none" w:pos="318"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and on which banks are open for business in London, England and Toronto, Canada. “</w:t>
      </w:r>
      <w:r>
        <w:rPr>
          <w:rFonts w:ascii="Times New Roman" w:cs="Times New Roman" w:eastAsia="Times New Roman" w:hAnsi="Times New Roman"/>
          <w:sz w:val="20"/>
          <w:szCs w:val="20"/>
          <w:u w:val="single" w:color="auto"/>
          <w:color w:val="auto"/>
        </w:rPr>
        <w:t>Calculation Date</w:t>
      </w:r>
      <w:r>
        <w:rPr>
          <w:rFonts w:ascii="Times New Roman" w:cs="Times New Roman" w:eastAsia="Times New Roman" w:hAnsi="Times New Roman"/>
          <w:sz w:val="20"/>
          <w:szCs w:val="20"/>
          <w:color w:val="auto"/>
        </w:rPr>
        <w:t>” has the meaning</w:t>
      </w:r>
    </w:p>
    <w:p>
      <w:pPr>
        <w:spacing w:after="0" w:line="216" w:lineRule="exact"/>
        <w:rPr>
          <w:sz w:val="20"/>
          <w:szCs w:val="20"/>
          <w:color w:val="auto"/>
        </w:rPr>
      </w:pPr>
    </w:p>
    <w:p>
      <w:pPr>
        <w:ind w:left="698"/>
        <w:spacing w:after="0"/>
        <w:rPr>
          <w:sz w:val="20"/>
          <w:szCs w:val="20"/>
          <w:color w:val="auto"/>
        </w:rPr>
      </w:pPr>
      <w:r>
        <w:rPr>
          <w:rFonts w:ascii="Times New Roman" w:cs="Times New Roman" w:eastAsia="Times New Roman" w:hAnsi="Times New Roman"/>
          <w:sz w:val="20"/>
          <w:szCs w:val="20"/>
          <w:color w:val="auto"/>
        </w:rPr>
        <w:t>assigned thereto in the definition of Applicable Margin.</w:t>
      </w:r>
    </w:p>
    <w:p>
      <w:pPr>
        <w:spacing w:after="0" w:line="94" w:lineRule="exact"/>
        <w:rPr>
          <w:sz w:val="20"/>
          <w:szCs w:val="20"/>
          <w:color w:val="auto"/>
        </w:rPr>
      </w:pPr>
    </w:p>
    <w:p>
      <w:pPr>
        <w:jc w:val="both"/>
        <w:ind w:left="58" w:firstLine="648"/>
        <w:spacing w:after="0" w:line="23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Canadian AML Laws</w:t>
      </w:r>
      <w:r>
        <w:rPr>
          <w:rFonts w:ascii="Times New Roman" w:cs="Times New Roman" w:eastAsia="Times New Roman" w:hAnsi="Times New Roman"/>
          <w:sz w:val="20"/>
          <w:szCs w:val="20"/>
          <w:color w:val="auto"/>
        </w:rPr>
        <w:t>” means the Proceeds of Crime (Money Laundering) and Terrorist Financing Act (Canada), as amended, and any other applicable anti-money laundering, anti-terrorist financing, government sanction and “know your client” laws in effect in Canada from time to time.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38"/>
        <w:spacing w:after="0"/>
        <w:rPr>
          <w:sz w:val="20"/>
          <w:szCs w:val="20"/>
          <w:color w:val="auto"/>
        </w:rPr>
      </w:pPr>
      <w:r>
        <w:rPr>
          <w:rFonts w:ascii="Times New Roman" w:cs="Times New Roman" w:eastAsia="Times New Roman" w:hAnsi="Times New Roman"/>
          <w:sz w:val="14"/>
          <w:szCs w:val="14"/>
          <w:color w:val="FF0000"/>
          <w:strike w:val="1"/>
        </w:rPr>
        <w:t>146960219_6</w:t>
      </w:r>
    </w:p>
    <w:p>
      <w:pPr>
        <w:spacing w:after="0" w:line="4" w:lineRule="exact"/>
        <w:rPr>
          <w:sz w:val="20"/>
          <w:szCs w:val="20"/>
          <w:color w:val="auto"/>
        </w:rPr>
      </w:pPr>
    </w:p>
    <w:p>
      <w:pPr>
        <w:ind w:left="338" w:hanging="338"/>
        <w:spacing w:after="0"/>
        <w:tabs>
          <w:tab w:leader="none" w:pos="338"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078"/>
          </w:cols>
          <w:pgMar w:left="382" w:top="1440" w:right="439" w:bottom="1440" w:gutter="0" w:footer="0" w:header="0"/>
        </w:sectPr>
      </w:pPr>
    </w:p>
    <w:bookmarkStart w:id="95" w:name="page96"/>
    <w:bookmarkEnd w:id="95"/>
    <w:p>
      <w:pPr>
        <w:ind w:left="67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Canadian Base Rate</w:t>
      </w:r>
      <w:r>
        <w:rPr>
          <w:rFonts w:ascii="Times New Roman" w:cs="Times New Roman" w:eastAsia="Times New Roman" w:hAnsi="Times New Roman"/>
          <w:sz w:val="20"/>
          <w:szCs w:val="20"/>
          <w:color w:val="auto"/>
        </w:rPr>
        <w:t>” means at any time, the greater of (a) the Canadian Prime Rate and (b) except during any period of time</w:t>
      </w:r>
    </w:p>
    <w:p>
      <w:pPr>
        <w:jc w:val="both"/>
        <w:ind w:left="38"/>
        <w:spacing w:after="0" w:line="215" w:lineRule="auto"/>
        <w:rPr>
          <w:sz w:val="20"/>
          <w:szCs w:val="20"/>
          <w:color w:val="auto"/>
        </w:rPr>
      </w:pPr>
      <w:r>
        <w:rPr>
          <w:rFonts w:ascii="Times New Roman" w:cs="Times New Roman" w:eastAsia="Times New Roman" w:hAnsi="Times New Roman"/>
          <w:sz w:val="19"/>
          <w:szCs w:val="19"/>
          <w:color w:val="auto"/>
        </w:rPr>
        <w:t xml:space="preserve">during which a notice delivered to Centuri under </w:t>
      </w:r>
      <w:r>
        <w:rPr>
          <w:rFonts w:ascii="Times New Roman" w:cs="Times New Roman" w:eastAsia="Times New Roman" w:hAnsi="Times New Roman"/>
          <w:sz w:val="19"/>
          <w:szCs w:val="19"/>
          <w:u w:val="single" w:color="auto"/>
          <w:color w:val="auto"/>
        </w:rPr>
        <w:t>Section 5.8</w:t>
      </w:r>
      <w:r>
        <w:rPr>
          <w:rFonts w:ascii="Times New Roman" w:cs="Times New Roman" w:eastAsia="Times New Roman" w:hAnsi="Times New Roman"/>
          <w:sz w:val="19"/>
          <w:szCs w:val="19"/>
          <w:color w:val="auto"/>
        </w:rPr>
        <w:t xml:space="preserve"> shall remain in effect, the annual rate of interest equal to the sum of (i) the CDOR Rate for an Interest Period of one month at such time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(ii) one percent (1%) per annum; each change in the Canadian Base Rate</w:t>
      </w:r>
    </w:p>
    <w:p>
      <w:pPr>
        <w:ind w:left="38"/>
        <w:spacing w:after="0"/>
        <w:rPr>
          <w:sz w:val="20"/>
          <w:szCs w:val="20"/>
          <w:color w:val="auto"/>
        </w:rPr>
      </w:pPr>
      <w:r>
        <w:rPr>
          <w:rFonts w:ascii="Times New Roman" w:cs="Times New Roman" w:eastAsia="Times New Roman" w:hAnsi="Times New Roman"/>
          <w:sz w:val="20"/>
          <w:szCs w:val="20"/>
          <w:color w:val="auto"/>
        </w:rPr>
        <w:t>shall take effect simultaneously with the corresponding change or changes in the Canadian Prime Rate or the CDOR Rate, as applicable.</w:t>
      </w:r>
    </w:p>
    <w:p>
      <w:pPr>
        <w:spacing w:after="0" w:line="207" w:lineRule="exact"/>
        <w:rPr>
          <w:sz w:val="20"/>
          <w:szCs w:val="20"/>
          <w:color w:val="auto"/>
        </w:rPr>
      </w:pPr>
    </w:p>
    <w:p>
      <w:pPr>
        <w:ind w:left="38"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Canadian Base Rate Loan</w:t>
      </w:r>
      <w:r>
        <w:rPr>
          <w:rFonts w:ascii="Times New Roman" w:cs="Times New Roman" w:eastAsia="Times New Roman" w:hAnsi="Times New Roman"/>
          <w:sz w:val="20"/>
          <w:szCs w:val="20"/>
          <w:color w:val="auto"/>
        </w:rPr>
        <w:t xml:space="preserve">” means any Canadian Loan bearing interest at a rate based upon the Canadian Base Rate as provided in </w:t>
      </w:r>
      <w:r>
        <w:rPr>
          <w:rFonts w:ascii="Times New Roman" w:cs="Times New Roman" w:eastAsia="Times New Roman" w:hAnsi="Times New Roman"/>
          <w:sz w:val="20"/>
          <w:szCs w:val="20"/>
          <w:u w:val="single" w:color="auto"/>
          <w:color w:val="auto"/>
        </w:rPr>
        <w:t>Section 5.1(a)</w:t>
      </w:r>
      <w:r>
        <w:rPr>
          <w:rFonts w:ascii="Times New Roman" w:cs="Times New Roman" w:eastAsia="Times New Roman" w:hAnsi="Times New Roman"/>
          <w:sz w:val="20"/>
          <w:szCs w:val="20"/>
          <w:color w:val="auto"/>
        </w:rPr>
        <w:t>.</w:t>
      </w:r>
    </w:p>
    <w:p>
      <w:pPr>
        <w:spacing w:after="0" w:line="267" w:lineRule="exact"/>
        <w:rPr>
          <w:sz w:val="20"/>
          <w:szCs w:val="20"/>
          <w:color w:val="auto"/>
        </w:rPr>
      </w:pPr>
    </w:p>
    <w:p>
      <w:pPr>
        <w:jc w:val="both"/>
        <w:ind w:left="38"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Canadian Borrowers</w:t>
      </w:r>
      <w:r>
        <w:rPr>
          <w:rFonts w:ascii="Times New Roman" w:cs="Times New Roman" w:eastAsia="Times New Roman" w:hAnsi="Times New Roman"/>
          <w:sz w:val="20"/>
          <w:szCs w:val="20"/>
          <w:color w:val="auto"/>
        </w:rPr>
        <w:t>” means, collectively, Centuri Canada and each Additional Borrower approved by the Lenders that becomes a party hereto as a Canadian Borrower.</w:t>
      </w:r>
    </w:p>
    <w:p>
      <w:pPr>
        <w:spacing w:after="0" w:line="173" w:lineRule="exact"/>
        <w:rPr>
          <w:sz w:val="20"/>
          <w:szCs w:val="20"/>
          <w:color w:val="auto"/>
        </w:rPr>
      </w:pPr>
    </w:p>
    <w:p>
      <w:pPr>
        <w:jc w:val="both"/>
        <w:ind w:left="38" w:firstLine="648"/>
        <w:spacing w:after="0" w:line="22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Canadian Cash Management Bank</w:t>
      </w:r>
      <w:r>
        <w:rPr>
          <w:rFonts w:ascii="Times New Roman" w:cs="Times New Roman" w:eastAsia="Times New Roman" w:hAnsi="Times New Roman"/>
          <w:sz w:val="20"/>
          <w:szCs w:val="20"/>
          <w:color w:val="auto"/>
        </w:rPr>
        <w:t>” means any Person that, (a) at the time it enters into a Cash Management Agreement with a Canadian Credit Party or a Foreign Subsidiary, is a Lender, an Affiliate of a Lender, the Administrative Agent or an Affiliate of the</w:t>
      </w:r>
    </w:p>
    <w:p>
      <w:pPr>
        <w:spacing w:after="0" w:line="2" w:lineRule="exact"/>
        <w:rPr>
          <w:sz w:val="20"/>
          <w:szCs w:val="20"/>
          <w:color w:val="auto"/>
        </w:rPr>
      </w:pPr>
    </w:p>
    <w:p>
      <w:pPr>
        <w:jc w:val="both"/>
        <w:ind w:left="38"/>
        <w:spacing w:after="0" w:line="204" w:lineRule="auto"/>
        <w:rPr>
          <w:sz w:val="20"/>
          <w:szCs w:val="20"/>
          <w:color w:val="auto"/>
        </w:rPr>
      </w:pPr>
      <w:r>
        <w:rPr>
          <w:rFonts w:ascii="Times New Roman" w:cs="Times New Roman" w:eastAsia="Times New Roman" w:hAnsi="Times New Roman"/>
          <w:sz w:val="20"/>
          <w:szCs w:val="20"/>
          <w:color w:val="auto"/>
        </w:rPr>
        <w:t>Administrative Agent, or (b) at the time it (or its Affiliate) becomes a Lender (including on the Closing Date), is a party to a Cash Management Agreement with a Canadian Credit Party or a Foreign Subsidiary, in each case in its capacity as a party to such Cash</w:t>
      </w:r>
    </w:p>
    <w:p>
      <w:pPr>
        <w:spacing w:after="0" w:line="1" w:lineRule="exact"/>
        <w:rPr>
          <w:sz w:val="20"/>
          <w:szCs w:val="20"/>
          <w:color w:val="auto"/>
        </w:rPr>
      </w:pPr>
    </w:p>
    <w:p>
      <w:pPr>
        <w:ind w:left="38"/>
        <w:spacing w:after="0"/>
        <w:rPr>
          <w:sz w:val="20"/>
          <w:szCs w:val="20"/>
          <w:color w:val="auto"/>
        </w:rPr>
      </w:pPr>
      <w:r>
        <w:rPr>
          <w:rFonts w:ascii="Times New Roman" w:cs="Times New Roman" w:eastAsia="Times New Roman" w:hAnsi="Times New Roman"/>
          <w:sz w:val="20"/>
          <w:szCs w:val="20"/>
          <w:color w:val="auto"/>
        </w:rPr>
        <w:t>Management Agreement.</w:t>
      </w:r>
    </w:p>
    <w:p>
      <w:pPr>
        <w:spacing w:after="0" w:line="194" w:lineRule="exact"/>
        <w:rPr>
          <w:sz w:val="20"/>
          <w:szCs w:val="20"/>
          <w:color w:val="auto"/>
        </w:rPr>
      </w:pPr>
    </w:p>
    <w:p>
      <w:pPr>
        <w:jc w:val="both"/>
        <w:ind w:left="38" w:right="20" w:firstLine="648"/>
        <w:spacing w:after="0" w:line="23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Canadian Collateral Agreement</w:t>
      </w:r>
      <w:r>
        <w:rPr>
          <w:rFonts w:ascii="Times New Roman" w:cs="Times New Roman" w:eastAsia="Times New Roman" w:hAnsi="Times New Roman"/>
          <w:sz w:val="20"/>
          <w:szCs w:val="20"/>
          <w:color w:val="auto"/>
        </w:rPr>
        <w:t>” means that certain Second Amended and Restated Canadian Collateral Agreement of even date herewith executed by the Canadian Credit Parties in favor of the Administrative Agent, for the ratable benefit of the Canadian Secured Parties.</w:t>
      </w:r>
    </w:p>
    <w:p>
      <w:pPr>
        <w:spacing w:after="0" w:line="189" w:lineRule="exact"/>
        <w:rPr>
          <w:sz w:val="20"/>
          <w:szCs w:val="20"/>
          <w:color w:val="auto"/>
        </w:rPr>
      </w:pPr>
    </w:p>
    <w:p>
      <w:pPr>
        <w:ind w:left="67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Canadian Credit Parties</w:t>
      </w:r>
      <w:r>
        <w:rPr>
          <w:rFonts w:ascii="Times New Roman" w:cs="Times New Roman" w:eastAsia="Times New Roman" w:hAnsi="Times New Roman"/>
          <w:sz w:val="20"/>
          <w:szCs w:val="20"/>
          <w:color w:val="auto"/>
        </w:rPr>
        <w:t>” means, collectively, the Canadian Borrowers and the Canadian Subsidiary Guarantors.</w:t>
      </w:r>
    </w:p>
    <w:p>
      <w:pPr>
        <w:spacing w:after="0" w:line="210" w:lineRule="exact"/>
        <w:rPr>
          <w:sz w:val="20"/>
          <w:szCs w:val="20"/>
          <w:color w:val="auto"/>
        </w:rPr>
      </w:pPr>
    </w:p>
    <w:p>
      <w:pPr>
        <w:ind w:left="67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Canadian Credit Party Guarantee Agreement</w:t>
      </w:r>
      <w:r>
        <w:rPr>
          <w:rFonts w:ascii="Times New Roman" w:cs="Times New Roman" w:eastAsia="Times New Roman" w:hAnsi="Times New Roman"/>
          <w:sz w:val="20"/>
          <w:szCs w:val="20"/>
          <w:color w:val="auto"/>
        </w:rPr>
        <w:t>” means that certain Amended and Restated Canadian Credit Party Guarantee</w:t>
      </w:r>
    </w:p>
    <w:p>
      <w:pPr>
        <w:jc w:val="both"/>
        <w:ind w:left="38"/>
        <w:spacing w:after="0" w:line="221" w:lineRule="auto"/>
        <w:rPr>
          <w:sz w:val="20"/>
          <w:szCs w:val="20"/>
          <w:color w:val="auto"/>
        </w:rPr>
      </w:pPr>
      <w:r>
        <w:rPr>
          <w:rFonts w:ascii="Times New Roman" w:cs="Times New Roman" w:eastAsia="Times New Roman" w:hAnsi="Times New Roman"/>
          <w:sz w:val="20"/>
          <w:szCs w:val="20"/>
          <w:color w:val="auto"/>
        </w:rPr>
        <w:t>Agreement dated as of the date hereof executed by the Canadian Credit Parties in favor of the Administrative Agent, for the ratable benefit of the Canadian Secured Parties.</w:t>
      </w:r>
    </w:p>
    <w:p>
      <w:pPr>
        <w:spacing w:after="0" w:line="202" w:lineRule="exact"/>
        <w:rPr>
          <w:sz w:val="20"/>
          <w:szCs w:val="20"/>
          <w:color w:val="auto"/>
        </w:rPr>
      </w:pPr>
    </w:p>
    <w:p>
      <w:pPr>
        <w:ind w:left="67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Canadian Dollar</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means, at the time of determination, the lawful currency of Canada.</w:t>
      </w:r>
    </w:p>
    <w:p>
      <w:pPr>
        <w:spacing w:after="0" w:line="216" w:lineRule="exact"/>
        <w:rPr>
          <w:sz w:val="20"/>
          <w:szCs w:val="20"/>
          <w:color w:val="auto"/>
        </w:rPr>
      </w:pPr>
    </w:p>
    <w:p>
      <w:pPr>
        <w:ind w:left="59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Canadian Employee Benefit Plan</w:t>
      </w:r>
      <w:r>
        <w:rPr>
          <w:rFonts w:ascii="Times New Roman" w:cs="Times New Roman" w:eastAsia="Times New Roman" w:hAnsi="Times New Roman"/>
          <w:sz w:val="20"/>
          <w:szCs w:val="20"/>
          <w:color w:val="auto"/>
        </w:rPr>
        <w:t>” means any Canadian Pension Plan or Canadian Multiemployer Plan.</w:t>
      </w:r>
    </w:p>
    <w:p>
      <w:pPr>
        <w:spacing w:after="0" w:line="297" w:lineRule="exact"/>
        <w:rPr>
          <w:sz w:val="20"/>
          <w:szCs w:val="20"/>
          <w:color w:val="auto"/>
        </w:rPr>
      </w:pPr>
    </w:p>
    <w:p>
      <w:pPr>
        <w:jc w:val="both"/>
        <w:ind w:left="38" w:right="20" w:firstLine="648"/>
        <w:spacing w:after="0" w:line="21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Canadian Hedge Bank</w:t>
      </w:r>
      <w:r>
        <w:rPr>
          <w:rFonts w:ascii="Times New Roman" w:cs="Times New Roman" w:eastAsia="Times New Roman" w:hAnsi="Times New Roman"/>
          <w:sz w:val="20"/>
          <w:szCs w:val="20"/>
          <w:color w:val="auto"/>
        </w:rPr>
        <w:t xml:space="preserve">” means any Person that, (a) at the time it enters into a Hedge Agreement with a Canadian Credit Party or a Foreign Subsidiary permitted under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 is a Lender, an Affiliate of a Lender, the Administrative Agent or an Affiliate of the</w:t>
      </w:r>
    </w:p>
    <w:p>
      <w:pPr>
        <w:spacing w:after="0" w:line="1" w:lineRule="exact"/>
        <w:rPr>
          <w:sz w:val="20"/>
          <w:szCs w:val="20"/>
          <w:color w:val="auto"/>
        </w:rPr>
      </w:pPr>
    </w:p>
    <w:p>
      <w:pPr>
        <w:jc w:val="both"/>
        <w:ind w:left="38"/>
        <w:spacing w:after="0" w:line="228" w:lineRule="auto"/>
        <w:rPr>
          <w:sz w:val="20"/>
          <w:szCs w:val="20"/>
          <w:color w:val="auto"/>
        </w:rPr>
      </w:pPr>
      <w:r>
        <w:rPr>
          <w:rFonts w:ascii="Times New Roman" w:cs="Times New Roman" w:eastAsia="Times New Roman" w:hAnsi="Times New Roman"/>
          <w:sz w:val="20"/>
          <w:szCs w:val="20"/>
          <w:color w:val="auto"/>
        </w:rPr>
        <w:t>Administrative Agent or (b) at the time it (or its Affiliate) becomes a Lender (including on the Closing Date), is a party to a Hedge Agreement with a Canadian Credit Party or a Foreign Subsidiary, in each case in its capacity as a party to such Hedge Agreement.</w:t>
      </w:r>
    </w:p>
    <w:p>
      <w:pPr>
        <w:spacing w:after="0" w:line="203" w:lineRule="exact"/>
        <w:rPr>
          <w:sz w:val="20"/>
          <w:szCs w:val="20"/>
          <w:color w:val="auto"/>
        </w:rPr>
      </w:pPr>
    </w:p>
    <w:p>
      <w:pPr>
        <w:jc w:val="both"/>
        <w:ind w:left="38"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Canadian L/C Obligations</w:t>
      </w:r>
      <w:r>
        <w:rPr>
          <w:rFonts w:ascii="Times New Roman" w:cs="Times New Roman" w:eastAsia="Times New Roman" w:hAnsi="Times New Roman"/>
          <w:sz w:val="20"/>
          <w:szCs w:val="20"/>
          <w:color w:val="auto"/>
        </w:rPr>
        <w:t xml:space="preserve">” means at any time, an amount equal to the sum of (a) the aggregate undrawn and unexpired amount of the then outstanding Canadian Letters of Credit and (b) the aggregate amount of drawings under Canadian Letters of Credit which have not then been reimbursed pursuant to </w:t>
      </w:r>
      <w:r>
        <w:rPr>
          <w:rFonts w:ascii="Times New Roman" w:cs="Times New Roman" w:eastAsia="Times New Roman" w:hAnsi="Times New Roman"/>
          <w:sz w:val="20"/>
          <w:szCs w:val="20"/>
          <w:u w:val="single" w:color="auto"/>
          <w:color w:val="auto"/>
        </w:rPr>
        <w:t>Section 3.5</w:t>
      </w:r>
      <w:r>
        <w:rPr>
          <w:rFonts w:ascii="Times New Roman" w:cs="Times New Roman" w:eastAsia="Times New Roman" w:hAnsi="Times New Roman"/>
          <w:sz w:val="20"/>
          <w:szCs w:val="20"/>
          <w:color w:val="auto"/>
        </w:rPr>
        <w:t>.</w:t>
      </w:r>
    </w:p>
    <w:p>
      <w:pPr>
        <w:spacing w:after="0" w:line="255" w:lineRule="exact"/>
        <w:rPr>
          <w:sz w:val="20"/>
          <w:szCs w:val="20"/>
          <w:color w:val="auto"/>
        </w:rPr>
      </w:pPr>
    </w:p>
    <w:p>
      <w:pPr>
        <w:jc w:val="both"/>
        <w:ind w:left="38" w:firstLine="648"/>
        <w:spacing w:after="0" w:line="21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Canadian Letters of Credit</w:t>
      </w:r>
      <w:r>
        <w:rPr>
          <w:rFonts w:ascii="Times New Roman" w:cs="Times New Roman" w:eastAsia="Times New Roman" w:hAnsi="Times New Roman"/>
          <w:sz w:val="20"/>
          <w:szCs w:val="20"/>
          <w:color w:val="auto"/>
        </w:rPr>
        <w:t xml:space="preserve">” means the collective reference to letters of credit denominated in Canadian Dollars pursuant to </w:t>
      </w:r>
      <w:r>
        <w:rPr>
          <w:rFonts w:ascii="Times New Roman" w:cs="Times New Roman" w:eastAsia="Times New Roman" w:hAnsi="Times New Roman"/>
          <w:sz w:val="20"/>
          <w:szCs w:val="20"/>
          <w:u w:val="single" w:color="auto"/>
          <w:color w:val="auto"/>
        </w:rPr>
        <w:t>Section 3.1</w:t>
      </w:r>
      <w:r>
        <w:rPr>
          <w:rFonts w:ascii="Times New Roman" w:cs="Times New Roman" w:eastAsia="Times New Roman" w:hAnsi="Times New Roman"/>
          <w:sz w:val="20"/>
          <w:szCs w:val="20"/>
          <w:color w:val="auto"/>
        </w:rPr>
        <w:t xml:space="preserve"> (including any applicable Existing Letters of Credit). Notwithstanding anything to the contrary contained herein, a letter of</w:t>
      </w:r>
    </w:p>
    <w:p>
      <w:pPr>
        <w:spacing w:after="0" w:line="1" w:lineRule="exact"/>
        <w:rPr>
          <w:sz w:val="20"/>
          <w:szCs w:val="20"/>
          <w:color w:val="auto"/>
        </w:rPr>
      </w:pPr>
    </w:p>
    <w:p>
      <w:pPr>
        <w:ind w:left="38"/>
        <w:spacing w:after="0"/>
        <w:rPr>
          <w:sz w:val="20"/>
          <w:szCs w:val="20"/>
          <w:color w:val="auto"/>
        </w:rPr>
      </w:pPr>
      <w:r>
        <w:rPr>
          <w:rFonts w:ascii="Times New Roman" w:cs="Times New Roman" w:eastAsia="Times New Roman" w:hAnsi="Times New Roman"/>
          <w:sz w:val="20"/>
          <w:szCs w:val="20"/>
          <w:color w:val="auto"/>
        </w:rPr>
        <w:t>credit issued by any Issuing Lender</w:t>
      </w:r>
    </w:p>
    <w:p>
      <w:pPr>
        <w:spacing w:after="0" w:line="200" w:lineRule="exact"/>
        <w:rPr>
          <w:sz w:val="20"/>
          <w:szCs w:val="20"/>
          <w:color w:val="auto"/>
        </w:rPr>
      </w:pPr>
    </w:p>
    <w:p>
      <w:pPr>
        <w:spacing w:after="0" w:line="300" w:lineRule="exact"/>
        <w:rPr>
          <w:sz w:val="20"/>
          <w:szCs w:val="20"/>
          <w:color w:val="auto"/>
        </w:rPr>
      </w:pPr>
    </w:p>
    <w:p>
      <w:pPr>
        <w:ind w:left="338"/>
        <w:spacing w:after="0"/>
        <w:rPr>
          <w:sz w:val="20"/>
          <w:szCs w:val="20"/>
          <w:color w:val="auto"/>
        </w:rPr>
      </w:pPr>
      <w:r>
        <w:rPr>
          <w:rFonts w:ascii="Times New Roman" w:cs="Times New Roman" w:eastAsia="Times New Roman" w:hAnsi="Times New Roman"/>
          <w:sz w:val="14"/>
          <w:szCs w:val="14"/>
          <w:color w:val="FF0000"/>
          <w:strike w:val="1"/>
        </w:rPr>
        <w:t>146960219_6</w:t>
      </w:r>
    </w:p>
    <w:p>
      <w:pPr>
        <w:spacing w:after="0" w:line="4" w:lineRule="exact"/>
        <w:rPr>
          <w:sz w:val="20"/>
          <w:szCs w:val="20"/>
          <w:color w:val="auto"/>
        </w:rPr>
      </w:pPr>
    </w:p>
    <w:p>
      <w:pPr>
        <w:ind w:left="338" w:hanging="338"/>
        <w:spacing w:after="0"/>
        <w:tabs>
          <w:tab w:leader="none" w:pos="338"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078"/>
          </w:cols>
          <w:pgMar w:left="382" w:top="1070" w:right="439" w:bottom="1440" w:gutter="0" w:footer="0" w:header="0"/>
        </w:sectPr>
      </w:pPr>
    </w:p>
    <w:bookmarkStart w:id="96" w:name="page97"/>
    <w:bookmarkEnd w:id="96"/>
    <w:p>
      <w:pPr>
        <w:jc w:val="both"/>
        <w:ind w:left="58"/>
        <w:spacing w:after="0" w:line="254" w:lineRule="auto"/>
        <w:rPr>
          <w:sz w:val="20"/>
          <w:szCs w:val="20"/>
          <w:color w:val="auto"/>
        </w:rPr>
      </w:pPr>
      <w:r>
        <w:rPr>
          <w:rFonts w:ascii="Times New Roman" w:cs="Times New Roman" w:eastAsia="Times New Roman" w:hAnsi="Times New Roman"/>
          <w:sz w:val="20"/>
          <w:szCs w:val="20"/>
          <w:color w:val="auto"/>
        </w:rPr>
        <w:t>(other than Wells Fargo at any time it is also acting as Administrative Agent) shall not be a “Canadian Letter of Credit” for purposes of the Loan Documents until such time as the Administrative Agent has been notified in writing of the issuance thereof by the applicable Issuing Lender.</w:t>
      </w:r>
    </w:p>
    <w:p>
      <w:pPr>
        <w:spacing w:after="0" w:line="188" w:lineRule="exact"/>
        <w:rPr>
          <w:sz w:val="20"/>
          <w:szCs w:val="20"/>
          <w:color w:val="auto"/>
        </w:rPr>
      </w:pPr>
    </w:p>
    <w:p>
      <w:pPr>
        <w:jc w:val="both"/>
        <w:ind w:left="58" w:firstLine="648"/>
        <w:spacing w:after="0" w:line="23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Canadian Multiemployer Plan</w:t>
      </w:r>
      <w:r>
        <w:rPr>
          <w:rFonts w:ascii="Times New Roman" w:cs="Times New Roman" w:eastAsia="Times New Roman" w:hAnsi="Times New Roman"/>
          <w:sz w:val="19"/>
          <w:szCs w:val="19"/>
          <w:color w:val="auto"/>
        </w:rPr>
        <w:t>” means a “multi-employer pension plan” as defined by Canadian Pension Laws and registered in accordance with Canadian Pension Laws and as to which any Credit Party or any Subsidiary thereof is making, or is accruing an obligation</w:t>
      </w:r>
    </w:p>
    <w:p>
      <w:pPr>
        <w:spacing w:after="0" w:line="1" w:lineRule="exact"/>
        <w:rPr>
          <w:sz w:val="20"/>
          <w:szCs w:val="20"/>
          <w:color w:val="auto"/>
        </w:rPr>
      </w:pPr>
    </w:p>
    <w:p>
      <w:pPr>
        <w:jc w:val="both"/>
        <w:ind w:left="58" w:right="20"/>
        <w:spacing w:after="0" w:line="221" w:lineRule="auto"/>
        <w:rPr>
          <w:sz w:val="20"/>
          <w:szCs w:val="20"/>
          <w:color w:val="auto"/>
        </w:rPr>
      </w:pPr>
      <w:r>
        <w:rPr>
          <w:rFonts w:ascii="Times New Roman" w:cs="Times New Roman" w:eastAsia="Times New Roman" w:hAnsi="Times New Roman"/>
          <w:sz w:val="20"/>
          <w:szCs w:val="20"/>
          <w:color w:val="auto"/>
        </w:rPr>
        <w:t>to make, or has accrued an obligation to make contributions within the preceding six (6) years, and shall not include any Multiemployer Plan.</w:t>
      </w:r>
    </w:p>
    <w:p>
      <w:pPr>
        <w:spacing w:after="0" w:line="202" w:lineRule="exact"/>
        <w:rPr>
          <w:sz w:val="20"/>
          <w:szCs w:val="20"/>
          <w:color w:val="auto"/>
        </w:rPr>
      </w:pPr>
    </w:p>
    <w:p>
      <w:pPr>
        <w:jc w:val="both"/>
        <w:ind w:left="58" w:firstLine="648"/>
        <w:spacing w:after="0" w:line="21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Canadian Obligations</w:t>
      </w:r>
      <w:r>
        <w:rPr>
          <w:rFonts w:ascii="Times New Roman" w:cs="Times New Roman" w:eastAsia="Times New Roman" w:hAnsi="Times New Roman"/>
          <w:sz w:val="20"/>
          <w:szCs w:val="20"/>
          <w:color w:val="auto"/>
        </w:rPr>
        <w:t>” means, in each case, whether now in existence or hereafter arising: (a) the principal of and interest on (including interest accruing after the filing of any bankruptcy or similar petition) the Canadian Revolving Credit Loans, Canadian</w:t>
      </w:r>
    </w:p>
    <w:p>
      <w:pPr>
        <w:ind w:left="58"/>
        <w:spacing w:after="0" w:line="212" w:lineRule="auto"/>
        <w:rPr>
          <w:sz w:val="20"/>
          <w:szCs w:val="20"/>
          <w:color w:val="auto"/>
        </w:rPr>
      </w:pPr>
      <w:r>
        <w:rPr>
          <w:rFonts w:ascii="Times New Roman" w:cs="Times New Roman" w:eastAsia="Times New Roman" w:hAnsi="Times New Roman"/>
          <w:sz w:val="20"/>
          <w:szCs w:val="20"/>
          <w:color w:val="auto"/>
        </w:rPr>
        <w:t>Swingline Loans and, to the extent applicable, any Incremental Term Loan made to the Canadian Borrowers, (b) the Canadian L/C</w:t>
      </w:r>
    </w:p>
    <w:p>
      <w:pPr>
        <w:spacing w:after="0" w:line="1" w:lineRule="exact"/>
        <w:rPr>
          <w:sz w:val="20"/>
          <w:szCs w:val="20"/>
          <w:color w:val="auto"/>
        </w:rPr>
      </w:pPr>
    </w:p>
    <w:p>
      <w:pPr>
        <w:jc w:val="both"/>
        <w:ind w:left="58"/>
        <w:spacing w:after="0" w:line="204" w:lineRule="auto"/>
        <w:rPr>
          <w:sz w:val="20"/>
          <w:szCs w:val="20"/>
          <w:color w:val="auto"/>
        </w:rPr>
      </w:pPr>
      <w:r>
        <w:rPr>
          <w:rFonts w:ascii="Times New Roman" w:cs="Times New Roman" w:eastAsia="Times New Roman" w:hAnsi="Times New Roman"/>
          <w:sz w:val="20"/>
          <w:szCs w:val="20"/>
          <w:color w:val="auto"/>
        </w:rPr>
        <w:t>Obligations and (c) all other fees and commissions (including attorneys’ fees), charges, indebtedness, loans, liabilities, financial accommodations, obligations, covenants and duties owing by the Canadian Credit Parties to the Term Loan Lenders, Revolving Credit</w:t>
      </w:r>
    </w:p>
    <w:p>
      <w:pPr>
        <w:ind w:left="58"/>
        <w:spacing w:after="0" w:line="211" w:lineRule="auto"/>
        <w:rPr>
          <w:sz w:val="20"/>
          <w:szCs w:val="20"/>
          <w:color w:val="auto"/>
        </w:rPr>
      </w:pPr>
      <w:r>
        <w:rPr>
          <w:rFonts w:ascii="Times New Roman" w:cs="Times New Roman" w:eastAsia="Times New Roman" w:hAnsi="Times New Roman"/>
          <w:sz w:val="20"/>
          <w:szCs w:val="20"/>
          <w:color w:val="auto"/>
        </w:rPr>
        <w:t>Lenders, the applicable Swingline Lender or the Administrative Agent, in each case under any Loan Document, with respect to any</w:t>
      </w:r>
    </w:p>
    <w:p>
      <w:pPr>
        <w:spacing w:after="0" w:line="1" w:lineRule="exact"/>
        <w:rPr>
          <w:sz w:val="20"/>
          <w:szCs w:val="20"/>
          <w:color w:val="auto"/>
        </w:rPr>
      </w:pPr>
    </w:p>
    <w:p>
      <w:pPr>
        <w:jc w:val="both"/>
        <w:ind w:left="58"/>
        <w:spacing w:after="0" w:line="204" w:lineRule="auto"/>
        <w:rPr>
          <w:sz w:val="20"/>
          <w:szCs w:val="20"/>
          <w:color w:val="auto"/>
        </w:rPr>
      </w:pPr>
      <w:r>
        <w:rPr>
          <w:rFonts w:ascii="Times New Roman" w:cs="Times New Roman" w:eastAsia="Times New Roman" w:hAnsi="Times New Roman"/>
          <w:sz w:val="20"/>
          <w:szCs w:val="20"/>
          <w:color w:val="auto"/>
        </w:rPr>
        <w:t>Canadian Revolving Credit Loan, any Canadian Swingline Loan, any Canadian Letter of Credit and, to the extent applicable, any Incremental Term Loan made to the Canadian Borrowers of every kind, nature and description, direct or indirect, absolute or contingent,</w:t>
      </w:r>
    </w:p>
    <w:p>
      <w:pPr>
        <w:spacing w:after="0" w:line="1" w:lineRule="exact"/>
        <w:rPr>
          <w:sz w:val="20"/>
          <w:szCs w:val="20"/>
          <w:color w:val="auto"/>
        </w:rPr>
      </w:pPr>
    </w:p>
    <w:p>
      <w:pPr>
        <w:jc w:val="both"/>
        <w:ind w:left="58"/>
        <w:spacing w:after="0" w:line="204" w:lineRule="auto"/>
        <w:rPr>
          <w:sz w:val="20"/>
          <w:szCs w:val="20"/>
          <w:color w:val="auto"/>
        </w:rPr>
      </w:pPr>
      <w:r>
        <w:rPr>
          <w:rFonts w:ascii="Times New Roman" w:cs="Times New Roman" w:eastAsia="Times New Roman" w:hAnsi="Times New Roman"/>
          <w:sz w:val="20"/>
          <w:szCs w:val="20"/>
          <w:color w:val="auto"/>
        </w:rPr>
        <w:t>due or to become due, contractual or tortious, liquidated or unliquidated, and whether or not evidenced by any note and including interest and fees that accrue after the commencement by or against any Credit Party or any Affiliate thereof of any proceeding under any Debtor</w:t>
      </w:r>
    </w:p>
    <w:p>
      <w:pPr>
        <w:spacing w:after="0" w:line="1" w:lineRule="exact"/>
        <w:rPr>
          <w:sz w:val="20"/>
          <w:szCs w:val="20"/>
          <w:color w:val="auto"/>
        </w:rPr>
      </w:pPr>
    </w:p>
    <w:p>
      <w:pPr>
        <w:jc w:val="both"/>
        <w:ind w:left="58" w:right="20"/>
        <w:spacing w:after="0" w:line="228" w:lineRule="auto"/>
        <w:rPr>
          <w:sz w:val="20"/>
          <w:szCs w:val="20"/>
          <w:color w:val="auto"/>
        </w:rPr>
      </w:pPr>
      <w:r>
        <w:rPr>
          <w:rFonts w:ascii="Times New Roman" w:cs="Times New Roman" w:eastAsia="Times New Roman" w:hAnsi="Times New Roman"/>
          <w:sz w:val="20"/>
          <w:szCs w:val="20"/>
          <w:color w:val="auto"/>
        </w:rPr>
        <w:t>Relief Laws, naming such Person as the debtor in such proceeding, regardless of whether such interest and fees are allowed claims in such proceeding.</w:t>
      </w:r>
    </w:p>
    <w:p>
      <w:pPr>
        <w:spacing w:after="0" w:line="203" w:lineRule="exact"/>
        <w:rPr>
          <w:sz w:val="20"/>
          <w:szCs w:val="20"/>
          <w:color w:val="auto"/>
        </w:rPr>
      </w:pPr>
    </w:p>
    <w:p>
      <w:pPr>
        <w:jc w:val="both"/>
        <w:ind w:left="58"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Canadian Pension Laws</w:t>
      </w:r>
      <w:r>
        <w:rPr>
          <w:rFonts w:ascii="Times New Roman" w:cs="Times New Roman" w:eastAsia="Times New Roman" w:hAnsi="Times New Roman"/>
          <w:sz w:val="20"/>
          <w:szCs w:val="20"/>
          <w:color w:val="auto"/>
        </w:rPr>
        <w:t>” means the Pensions Benefit Act (Ontario), the ITA and any other Canadian federal or provincial pension benefits standards legislation and the regulations thereunder applicable to a Canadian Pension Plan or a Canadian Multiemployer Plan.</w:t>
      </w:r>
    </w:p>
    <w:p>
      <w:pPr>
        <w:spacing w:after="0" w:line="188" w:lineRule="exact"/>
        <w:rPr>
          <w:sz w:val="20"/>
          <w:szCs w:val="20"/>
          <w:color w:val="auto"/>
        </w:rPr>
      </w:pPr>
    </w:p>
    <w:p>
      <w:pPr>
        <w:jc w:val="both"/>
        <w:ind w:left="58" w:right="20" w:firstLine="648"/>
        <w:spacing w:after="0" w:line="22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Canadian Pension Plan</w:t>
      </w:r>
      <w:r>
        <w:rPr>
          <w:rFonts w:ascii="Times New Roman" w:cs="Times New Roman" w:eastAsia="Times New Roman" w:hAnsi="Times New Roman"/>
          <w:sz w:val="20"/>
          <w:szCs w:val="20"/>
          <w:color w:val="auto"/>
        </w:rPr>
        <w:t>” means any “registered pension plan” as defined under Section 248(l) of the ITA or any other registered or unregistered pension, or retirement or retirement savings plan and which</w:t>
      </w:r>
    </w:p>
    <w:p>
      <w:pPr>
        <w:spacing w:after="0" w:line="2" w:lineRule="exact"/>
        <w:rPr>
          <w:sz w:val="20"/>
          <w:szCs w:val="20"/>
          <w:color w:val="auto"/>
        </w:rPr>
      </w:pPr>
    </w:p>
    <w:p>
      <w:pPr>
        <w:jc w:val="both"/>
        <w:ind w:left="58" w:hanging="4"/>
        <w:spacing w:after="0" w:line="216" w:lineRule="auto"/>
        <w:tabs>
          <w:tab w:leader="none" w:pos="37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sponsored, maintained, funded, contributed to or required to be contributed to, or administered for the employees or former employees of any Credit Party or any Subsidiary thereof or (b) has at any time within the preceding six (6) years been sponsored, maintained, funded, contributed to or required to be contributed to, or administered for the employees or former employees of any Credit Party or any Subsidiary thereof, and shall not include any Pension Plan, other than a Canadian Multiemployer Plan.</w:t>
      </w:r>
    </w:p>
    <w:p>
      <w:pPr>
        <w:spacing w:after="0" w:line="190" w:lineRule="exact"/>
        <w:rPr>
          <w:sz w:val="20"/>
          <w:szCs w:val="20"/>
          <w:color w:val="auto"/>
        </w:rPr>
      </w:pPr>
    </w:p>
    <w:p>
      <w:pPr>
        <w:ind w:left="58" w:firstLine="648"/>
        <w:spacing w:after="0" w:line="22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Canadian Pension Plan Unfunded Liability</w:t>
      </w:r>
      <w:r>
        <w:rPr>
          <w:rFonts w:ascii="Times New Roman" w:cs="Times New Roman" w:eastAsia="Times New Roman" w:hAnsi="Times New Roman"/>
          <w:sz w:val="19"/>
          <w:szCs w:val="19"/>
          <w:color w:val="auto"/>
        </w:rPr>
        <w:t>” means an unfunded liability in respect of any Canadian Pension Plan, including a going concern unfunded liability, solvency deficiency, reduced solvency deficiency or wind-up deficiency, in each case, as reported in the</w:t>
      </w:r>
    </w:p>
    <w:p>
      <w:pPr>
        <w:ind w:left="58"/>
        <w:spacing w:after="0"/>
        <w:rPr>
          <w:sz w:val="20"/>
          <w:szCs w:val="20"/>
          <w:color w:val="auto"/>
        </w:rPr>
      </w:pPr>
      <w:r>
        <w:rPr>
          <w:rFonts w:ascii="Times New Roman" w:cs="Times New Roman" w:eastAsia="Times New Roman" w:hAnsi="Times New Roman"/>
          <w:sz w:val="20"/>
          <w:szCs w:val="20"/>
          <w:color w:val="auto"/>
        </w:rPr>
        <w:t xml:space="preserve">most recent valuation report delivered under </w:t>
      </w:r>
      <w:r>
        <w:rPr>
          <w:rFonts w:ascii="Times New Roman" w:cs="Times New Roman" w:eastAsia="Times New Roman" w:hAnsi="Times New Roman"/>
          <w:sz w:val="20"/>
          <w:szCs w:val="20"/>
          <w:u w:val="single" w:color="auto"/>
          <w:color w:val="auto"/>
        </w:rPr>
        <w:t>Section 8.2(j)</w:t>
      </w:r>
      <w:r>
        <w:rPr>
          <w:rFonts w:ascii="Times New Roman" w:cs="Times New Roman" w:eastAsia="Times New Roman" w:hAnsi="Times New Roman"/>
          <w:sz w:val="20"/>
          <w:szCs w:val="20"/>
          <w:color w:val="auto"/>
        </w:rPr>
        <w:t xml:space="preserve"> in respect of such Canadian Pension Plan.</w:t>
      </w:r>
    </w:p>
    <w:p>
      <w:pPr>
        <w:spacing w:after="0" w:line="261" w:lineRule="exact"/>
        <w:rPr>
          <w:sz w:val="20"/>
          <w:szCs w:val="20"/>
          <w:color w:val="auto"/>
        </w:rPr>
      </w:pPr>
    </w:p>
    <w:p>
      <w:pPr>
        <w:ind w:left="58" w:firstLine="648"/>
        <w:spacing w:after="0" w:line="21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Canadian Prime Rate</w:t>
      </w:r>
      <w:r>
        <w:rPr>
          <w:rFonts w:ascii="Times New Roman" w:cs="Times New Roman" w:eastAsia="Times New Roman" w:hAnsi="Times New Roman"/>
          <w:sz w:val="20"/>
          <w:szCs w:val="20"/>
          <w:color w:val="auto"/>
        </w:rPr>
        <w:t>” means the rate of interest publicly announced from time to time by the Canadian Reference Bank as its prime rate in effect for determining interest rates on Canadian Dollar denominated commercial loans in Canada (which such rate is not</w:t>
      </w:r>
    </w:p>
    <w:p>
      <w:pPr>
        <w:ind w:left="58"/>
        <w:spacing w:after="0" w:line="224" w:lineRule="auto"/>
        <w:rPr>
          <w:sz w:val="20"/>
          <w:szCs w:val="20"/>
          <w:color w:val="auto"/>
        </w:rPr>
      </w:pPr>
      <w:r>
        <w:rPr>
          <w:rFonts w:ascii="Times New Roman" w:cs="Times New Roman" w:eastAsia="Times New Roman" w:hAnsi="Times New Roman"/>
          <w:sz w:val="19"/>
          <w:szCs w:val="19"/>
          <w:color w:val="auto"/>
        </w:rPr>
        <w:t>necessarily the most favored rate of the Canadian Reference Bank and the Canadian Reference Bank may lend to its customers at rates that</w:t>
      </w:r>
    </w:p>
    <w:p>
      <w:pPr>
        <w:ind w:left="58" w:right="20"/>
        <w:spacing w:after="0" w:line="221" w:lineRule="auto"/>
        <w:rPr>
          <w:sz w:val="20"/>
          <w:szCs w:val="20"/>
          <w:color w:val="auto"/>
        </w:rPr>
      </w:pPr>
      <w:r>
        <w:rPr>
          <w:rFonts w:ascii="Times New Roman" w:cs="Times New Roman" w:eastAsia="Times New Roman" w:hAnsi="Times New Roman"/>
          <w:sz w:val="20"/>
          <w:szCs w:val="20"/>
          <w:color w:val="auto"/>
        </w:rPr>
        <w:t>are at, above or below such rate) or, if the Canadian Reference Bank ceases to announce a rate so designated, any similar successor rate designated by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38"/>
        <w:spacing w:after="0"/>
        <w:rPr>
          <w:sz w:val="20"/>
          <w:szCs w:val="20"/>
          <w:color w:val="auto"/>
        </w:rPr>
      </w:pPr>
      <w:r>
        <w:rPr>
          <w:rFonts w:ascii="Times New Roman" w:cs="Times New Roman" w:eastAsia="Times New Roman" w:hAnsi="Times New Roman"/>
          <w:sz w:val="14"/>
          <w:szCs w:val="14"/>
          <w:color w:val="FF0000"/>
          <w:strike w:val="1"/>
        </w:rPr>
        <w:t>146960219_6</w:t>
      </w:r>
    </w:p>
    <w:p>
      <w:pPr>
        <w:ind w:left="338" w:hanging="338"/>
        <w:spacing w:after="0" w:line="229" w:lineRule="auto"/>
        <w:tabs>
          <w:tab w:leader="none" w:pos="338"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078"/>
          </w:cols>
          <w:pgMar w:left="382" w:top="1413" w:right="439" w:bottom="1440" w:gutter="0" w:footer="0" w:header="0"/>
        </w:sectPr>
      </w:pPr>
    </w:p>
    <w:bookmarkStart w:id="97" w:name="page98"/>
    <w:bookmarkEnd w:id="97"/>
    <w:p>
      <w:pPr>
        <w:spacing w:after="0" w:line="216" w:lineRule="exact"/>
        <w:rPr>
          <w:sz w:val="20"/>
          <w:szCs w:val="20"/>
          <w:color w:val="auto"/>
        </w:rPr>
      </w:pPr>
    </w:p>
    <w:p>
      <w:pPr>
        <w:jc w:val="both"/>
        <w:ind w:left="58" w:firstLine="648"/>
        <w:spacing w:after="0" w:line="29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Canadian Reference Bank</w:t>
      </w:r>
      <w:r>
        <w:rPr>
          <w:rFonts w:ascii="Times New Roman" w:cs="Times New Roman" w:eastAsia="Times New Roman" w:hAnsi="Times New Roman"/>
          <w:sz w:val="19"/>
          <w:szCs w:val="19"/>
          <w:color w:val="auto"/>
        </w:rPr>
        <w:t>” means any one or more of The Bank of Nova Scotia, Bank of Montreal, Royal Bank of Canada, The Toronto-Dominion Bank, Canadian Imperial Bank of Commerce or National Bank of Canada, as the Administrative Agent may determine.</w:t>
      </w:r>
    </w:p>
    <w:p>
      <w:pPr>
        <w:spacing w:after="0" w:line="151" w:lineRule="exact"/>
        <w:rPr>
          <w:sz w:val="20"/>
          <w:szCs w:val="20"/>
          <w:color w:val="auto"/>
        </w:rPr>
      </w:pPr>
    </w:p>
    <w:p>
      <w:pPr>
        <w:jc w:val="both"/>
        <w:ind w:left="58" w:right="20" w:firstLine="648"/>
        <w:spacing w:after="0" w:line="23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Canadian Revolving Credit Loan</w:t>
      </w:r>
      <w:r>
        <w:rPr>
          <w:rFonts w:ascii="Times New Roman" w:cs="Times New Roman" w:eastAsia="Times New Roman" w:hAnsi="Times New Roman"/>
          <w:sz w:val="19"/>
          <w:szCs w:val="19"/>
          <w:color w:val="auto"/>
        </w:rPr>
        <w:t xml:space="preserve">” means any revolving loan denominated in Canadian Dollars made to the Canadian Borrowers pursuant to </w:t>
      </w:r>
      <w:r>
        <w:rPr>
          <w:rFonts w:ascii="Times New Roman" w:cs="Times New Roman" w:eastAsia="Times New Roman" w:hAnsi="Times New Roman"/>
          <w:sz w:val="19"/>
          <w:szCs w:val="19"/>
          <w:u w:val="single" w:color="auto"/>
          <w:color w:val="auto"/>
        </w:rPr>
        <w:t>Section 2.1</w:t>
      </w:r>
      <w:r>
        <w:rPr>
          <w:rFonts w:ascii="Times New Roman" w:cs="Times New Roman" w:eastAsia="Times New Roman" w:hAnsi="Times New Roman"/>
          <w:sz w:val="19"/>
          <w:szCs w:val="19"/>
          <w:color w:val="auto"/>
        </w:rPr>
        <w:t>, and all such revolving loans collectively as the context requires, and shall include any Extended Revolving Credit</w:t>
      </w:r>
    </w:p>
    <w:p>
      <w:pPr>
        <w:spacing w:after="0" w:line="1" w:lineRule="exact"/>
        <w:rPr>
          <w:sz w:val="20"/>
          <w:szCs w:val="20"/>
          <w:color w:val="auto"/>
        </w:rPr>
      </w:pPr>
    </w:p>
    <w:p>
      <w:pPr>
        <w:jc w:val="both"/>
        <w:ind w:left="58" w:right="20"/>
        <w:spacing w:after="0" w:line="221" w:lineRule="auto"/>
        <w:rPr>
          <w:sz w:val="20"/>
          <w:szCs w:val="20"/>
          <w:color w:val="auto"/>
        </w:rPr>
      </w:pPr>
      <w:r>
        <w:rPr>
          <w:rFonts w:ascii="Times New Roman" w:cs="Times New Roman" w:eastAsia="Times New Roman" w:hAnsi="Times New Roman"/>
          <w:sz w:val="20"/>
          <w:szCs w:val="20"/>
          <w:color w:val="auto"/>
        </w:rPr>
        <w:t>Loans, any Refinancing Revolving Loans and any loans made pursuant to an Incremental Revolving Credit Facility Increase, in each case, related to such loans.</w:t>
      </w:r>
    </w:p>
    <w:p>
      <w:pPr>
        <w:spacing w:after="0" w:line="189" w:lineRule="exact"/>
        <w:rPr>
          <w:sz w:val="20"/>
          <w:szCs w:val="20"/>
          <w:color w:val="auto"/>
        </w:rPr>
      </w:pPr>
    </w:p>
    <w:p>
      <w:pPr>
        <w:jc w:val="both"/>
        <w:ind w:left="58" w:firstLine="648"/>
        <w:spacing w:after="0" w:line="23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Canadian Revolving Credit Note</w:t>
      </w:r>
      <w:r>
        <w:rPr>
          <w:rFonts w:ascii="Times New Roman" w:cs="Times New Roman" w:eastAsia="Times New Roman" w:hAnsi="Times New Roman"/>
          <w:sz w:val="20"/>
          <w:szCs w:val="20"/>
          <w:color w:val="auto"/>
        </w:rPr>
        <w:t xml:space="preserve">” means a promissory note made by the Canadian Borrowers in favor of a Revolving Credit Lender evidencing the Canadian Revolving Credit Loans made by such Revolving Credit Lender, substantially in the form attached as </w:t>
      </w:r>
      <w:r>
        <w:rPr>
          <w:rFonts w:ascii="Times New Roman" w:cs="Times New Roman" w:eastAsia="Times New Roman" w:hAnsi="Times New Roman"/>
          <w:sz w:val="20"/>
          <w:szCs w:val="20"/>
          <w:b w:val="1"/>
          <w:bCs w:val="1"/>
          <w:i w:val="1"/>
          <w:iCs w:val="1"/>
          <w:color w:val="auto"/>
        </w:rPr>
        <w:t>Exhibit A-2</w:t>
      </w:r>
      <w:r>
        <w:rPr>
          <w:rFonts w:ascii="Times New Roman" w:cs="Times New Roman" w:eastAsia="Times New Roman" w:hAnsi="Times New Roman"/>
          <w:sz w:val="20"/>
          <w:szCs w:val="20"/>
          <w:color w:val="auto"/>
        </w:rPr>
        <w:t>, and any substitutes therefor, and any replacements, restatements, renewals or extension thereof, in whole or in part.</w:t>
      </w:r>
    </w:p>
    <w:p>
      <w:pPr>
        <w:spacing w:after="0" w:line="189" w:lineRule="exact"/>
        <w:rPr>
          <w:sz w:val="20"/>
          <w:szCs w:val="20"/>
          <w:color w:val="auto"/>
        </w:rPr>
      </w:pPr>
    </w:p>
    <w:p>
      <w:pPr>
        <w:ind w:left="698"/>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Canadian Secured Obligations</w:t>
      </w:r>
      <w:r>
        <w:rPr>
          <w:rFonts w:ascii="Times New Roman" w:cs="Times New Roman" w:eastAsia="Times New Roman" w:hAnsi="Times New Roman"/>
          <w:sz w:val="19"/>
          <w:szCs w:val="19"/>
          <w:color w:val="auto"/>
        </w:rPr>
        <w:t>” means, collectively, (a) the Canadian Obligations and (b) all existing or future payment and other</w:t>
      </w:r>
    </w:p>
    <w:p>
      <w:pPr>
        <w:spacing w:after="0" w:line="6" w:lineRule="exact"/>
        <w:rPr>
          <w:sz w:val="20"/>
          <w:szCs w:val="20"/>
          <w:color w:val="auto"/>
        </w:rPr>
      </w:pPr>
    </w:p>
    <w:p>
      <w:pPr>
        <w:jc w:val="both"/>
        <w:ind w:left="58" w:right="20"/>
        <w:spacing w:after="0" w:line="221" w:lineRule="auto"/>
        <w:rPr>
          <w:sz w:val="20"/>
          <w:szCs w:val="20"/>
          <w:color w:val="auto"/>
        </w:rPr>
      </w:pPr>
      <w:r>
        <w:rPr>
          <w:rFonts w:ascii="Times New Roman" w:cs="Times New Roman" w:eastAsia="Times New Roman" w:hAnsi="Times New Roman"/>
          <w:sz w:val="20"/>
          <w:szCs w:val="20"/>
          <w:color w:val="auto"/>
        </w:rPr>
        <w:t>obligations owing by any Canadian Credit Party or any Foreign Subsidiary under (i) any Secured Hedge Agreement with a Canadian Hedge Bank and (ii) any Secured Cash Management Agreement with a Canadian Cash Management Bank.</w:t>
      </w:r>
    </w:p>
    <w:p>
      <w:pPr>
        <w:spacing w:after="0" w:line="189" w:lineRule="exact"/>
        <w:rPr>
          <w:sz w:val="20"/>
          <w:szCs w:val="20"/>
          <w:color w:val="auto"/>
        </w:rPr>
      </w:pPr>
    </w:p>
    <w:p>
      <w:pPr>
        <w:jc w:val="both"/>
        <w:ind w:left="58" w:right="20" w:firstLine="648"/>
        <w:spacing w:after="0" w:line="23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Canadian Secured Parties</w:t>
      </w:r>
      <w:r>
        <w:rPr>
          <w:rFonts w:ascii="Times New Roman" w:cs="Times New Roman" w:eastAsia="Times New Roman" w:hAnsi="Times New Roman"/>
          <w:sz w:val="19"/>
          <w:szCs w:val="19"/>
          <w:color w:val="auto"/>
        </w:rPr>
        <w:t xml:space="preserve">” means, collectively, the Administrative Agent, the Lenders, the Canadian Hedge Banks, the Canadian Cash Management Banks, each co-agent or sub-agent appointed by the Administrative Agent from time to time pursuant to </w:t>
      </w:r>
      <w:r>
        <w:rPr>
          <w:rFonts w:ascii="Times New Roman" w:cs="Times New Roman" w:eastAsia="Times New Roman" w:hAnsi="Times New Roman"/>
          <w:sz w:val="19"/>
          <w:szCs w:val="19"/>
          <w:u w:val="single" w:color="auto"/>
          <w:color w:val="auto"/>
        </w:rPr>
        <w:t>Section 11.5</w:t>
      </w:r>
      <w:r>
        <w:rPr>
          <w:rFonts w:ascii="Times New Roman" w:cs="Times New Roman" w:eastAsia="Times New Roman" w:hAnsi="Times New Roman"/>
          <w:sz w:val="19"/>
          <w:szCs w:val="19"/>
          <w:color w:val="auto"/>
        </w:rPr>
        <w:t>,</w:t>
      </w:r>
    </w:p>
    <w:p>
      <w:pPr>
        <w:spacing w:after="0" w:line="1" w:lineRule="exact"/>
        <w:rPr>
          <w:sz w:val="20"/>
          <w:szCs w:val="20"/>
          <w:color w:val="auto"/>
        </w:rPr>
      </w:pPr>
    </w:p>
    <w:p>
      <w:pPr>
        <w:jc w:val="both"/>
        <w:ind w:left="58" w:right="20"/>
        <w:spacing w:after="0" w:line="221" w:lineRule="auto"/>
        <w:rPr>
          <w:sz w:val="20"/>
          <w:szCs w:val="20"/>
          <w:color w:val="auto"/>
        </w:rPr>
      </w:pPr>
      <w:r>
        <w:rPr>
          <w:rFonts w:ascii="Times New Roman" w:cs="Times New Roman" w:eastAsia="Times New Roman" w:hAnsi="Times New Roman"/>
          <w:sz w:val="20"/>
          <w:szCs w:val="20"/>
          <w:color w:val="auto"/>
        </w:rPr>
        <w:t>any other holder from time to time of any Canadian Secured Obligations and, in each case, their respective successors and permitted assigns.</w:t>
      </w:r>
    </w:p>
    <w:p>
      <w:pPr>
        <w:spacing w:after="0" w:line="216" w:lineRule="exact"/>
        <w:rPr>
          <w:sz w:val="20"/>
          <w:szCs w:val="20"/>
          <w:color w:val="auto"/>
        </w:rPr>
      </w:pPr>
    </w:p>
    <w:p>
      <w:pPr>
        <w:jc w:val="both"/>
        <w:ind w:left="58"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Canadian Subsidiary</w:t>
      </w:r>
      <w:r>
        <w:rPr>
          <w:rFonts w:ascii="Times New Roman" w:cs="Times New Roman" w:eastAsia="Times New Roman" w:hAnsi="Times New Roman"/>
          <w:sz w:val="20"/>
          <w:szCs w:val="20"/>
          <w:color w:val="auto"/>
        </w:rPr>
        <w:t>” means any Subsidiary of Centuri that is organized under the laws of Canada or any province or territory thereof, including, without limitation, the Canadian Borrowers.</w:t>
      </w:r>
    </w:p>
    <w:p>
      <w:pPr>
        <w:spacing w:after="0" w:line="186" w:lineRule="exact"/>
        <w:rPr>
          <w:sz w:val="20"/>
          <w:szCs w:val="20"/>
          <w:color w:val="auto"/>
        </w:rPr>
      </w:pPr>
    </w:p>
    <w:p>
      <w:pPr>
        <w:jc w:val="both"/>
        <w:ind w:left="58"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Canadian Subsidiary Guarantors</w:t>
      </w:r>
      <w:r>
        <w:rPr>
          <w:rFonts w:ascii="Times New Roman" w:cs="Times New Roman" w:eastAsia="Times New Roman" w:hAnsi="Times New Roman"/>
          <w:sz w:val="20"/>
          <w:szCs w:val="20"/>
          <w:color w:val="auto"/>
        </w:rPr>
        <w:t xml:space="preserve">” means, collectively, all direct and indirect Canadian Subsidiaries in existence on the Closing Date (other than the Canadian Borrowers) or which become a party to the Canadian Credit Party Guarantee Agreement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8.14</w:t>
      </w:r>
      <w:r>
        <w:rPr>
          <w:rFonts w:ascii="Times New Roman" w:cs="Times New Roman" w:eastAsia="Times New Roman" w:hAnsi="Times New Roman"/>
          <w:sz w:val="20"/>
          <w:szCs w:val="20"/>
          <w:color w:val="auto"/>
        </w:rPr>
        <w:t>.</w:t>
      </w:r>
    </w:p>
    <w:p>
      <w:pPr>
        <w:spacing w:after="0" w:line="255" w:lineRule="exact"/>
        <w:rPr>
          <w:sz w:val="20"/>
          <w:szCs w:val="20"/>
          <w:color w:val="auto"/>
        </w:rPr>
      </w:pPr>
    </w:p>
    <w:p>
      <w:pPr>
        <w:jc w:val="both"/>
        <w:ind w:left="58"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Canadian Swingline Loan</w:t>
      </w:r>
      <w:r>
        <w:rPr>
          <w:rFonts w:ascii="Times New Roman" w:cs="Times New Roman" w:eastAsia="Times New Roman" w:hAnsi="Times New Roman"/>
          <w:sz w:val="20"/>
          <w:szCs w:val="20"/>
          <w:color w:val="auto"/>
        </w:rPr>
        <w:t xml:space="preserve">” means any swingline loan denominated in Canadian Dollars made by the applicable Swingline Lender to a Canadian Borrower pursuant to </w:t>
      </w:r>
      <w:r>
        <w:rPr>
          <w:rFonts w:ascii="Times New Roman" w:cs="Times New Roman" w:eastAsia="Times New Roman" w:hAnsi="Times New Roman"/>
          <w:sz w:val="20"/>
          <w:szCs w:val="20"/>
          <w:u w:val="single" w:color="auto"/>
          <w:color w:val="auto"/>
        </w:rPr>
        <w:t>Section 2.2</w:t>
      </w:r>
      <w:r>
        <w:rPr>
          <w:rFonts w:ascii="Times New Roman" w:cs="Times New Roman" w:eastAsia="Times New Roman" w:hAnsi="Times New Roman"/>
          <w:sz w:val="20"/>
          <w:szCs w:val="20"/>
          <w:color w:val="auto"/>
        </w:rPr>
        <w:t>, and all such swingline loans collectively as the context requires.</w:t>
      </w:r>
    </w:p>
    <w:p>
      <w:pPr>
        <w:spacing w:after="0" w:line="202" w:lineRule="exact"/>
        <w:rPr>
          <w:sz w:val="20"/>
          <w:szCs w:val="20"/>
          <w:color w:val="auto"/>
        </w:rPr>
      </w:pPr>
    </w:p>
    <w:p>
      <w:pPr>
        <w:jc w:val="both"/>
        <w:ind w:left="58"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Canadian Swingline Note</w:t>
      </w:r>
      <w:r>
        <w:rPr>
          <w:rFonts w:ascii="Times New Roman" w:cs="Times New Roman" w:eastAsia="Times New Roman" w:hAnsi="Times New Roman"/>
          <w:sz w:val="20"/>
          <w:szCs w:val="20"/>
          <w:color w:val="auto"/>
        </w:rPr>
        <w:t xml:space="preserve">” means a promissory note made by the Canadian Borrowers in favor of the applicable Swingline Lender evidencing the Canadian Swingline Loans made by the Swingline Lender, substantially in the form attached as </w:t>
      </w:r>
      <w:r>
        <w:rPr>
          <w:rFonts w:ascii="Times New Roman" w:cs="Times New Roman" w:eastAsia="Times New Roman" w:hAnsi="Times New Roman"/>
          <w:sz w:val="20"/>
          <w:szCs w:val="20"/>
          <w:b w:val="1"/>
          <w:bCs w:val="1"/>
          <w:i w:val="1"/>
          <w:iCs w:val="1"/>
          <w:color w:val="auto"/>
        </w:rPr>
        <w:t>Exhibit A-4</w:t>
      </w:r>
      <w:r>
        <w:rPr>
          <w:rFonts w:ascii="Times New Roman" w:cs="Times New Roman" w:eastAsia="Times New Roman" w:hAnsi="Times New Roman"/>
          <w:sz w:val="20"/>
          <w:szCs w:val="20"/>
          <w:color w:val="auto"/>
        </w:rPr>
        <w:t>, and any substitutes therefor, and any replacements, restatements, renewals or extension thereof, in whole or in part.</w:t>
      </w:r>
    </w:p>
    <w:p>
      <w:pPr>
        <w:spacing w:after="0" w:line="182" w:lineRule="exact"/>
        <w:rPr>
          <w:sz w:val="20"/>
          <w:szCs w:val="20"/>
          <w:color w:val="auto"/>
        </w:rPr>
      </w:pPr>
    </w:p>
    <w:p>
      <w:pPr>
        <w:ind w:left="69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Canadian Term Loan Note</w:t>
      </w:r>
      <w:r>
        <w:rPr>
          <w:rFonts w:ascii="Times New Roman" w:cs="Times New Roman" w:eastAsia="Times New Roman" w:hAnsi="Times New Roman"/>
          <w:sz w:val="20"/>
          <w:szCs w:val="20"/>
          <w:color w:val="auto"/>
        </w:rPr>
        <w:t>” means a promissory note made by any Canadian Borrower in favor of a Term Loan Lender</w:t>
      </w:r>
    </w:p>
    <w:p>
      <w:pPr>
        <w:jc w:val="both"/>
        <w:ind w:left="58" w:right="20"/>
        <w:spacing w:after="0" w:line="221" w:lineRule="auto"/>
        <w:rPr>
          <w:sz w:val="20"/>
          <w:szCs w:val="20"/>
          <w:color w:val="auto"/>
        </w:rPr>
      </w:pPr>
      <w:r>
        <w:rPr>
          <w:rFonts w:ascii="Times New Roman" w:cs="Times New Roman" w:eastAsia="Times New Roman" w:hAnsi="Times New Roman"/>
          <w:sz w:val="20"/>
          <w:szCs w:val="20"/>
          <w:color w:val="auto"/>
        </w:rPr>
        <w:t xml:space="preserve">evidencing the portion of any Incremental Term Loans made to such Canadian Borrower by such Term Loan Lender, substantially in the form attached as </w:t>
      </w:r>
      <w:r>
        <w:rPr>
          <w:rFonts w:ascii="Times New Roman" w:cs="Times New Roman" w:eastAsia="Times New Roman" w:hAnsi="Times New Roman"/>
          <w:sz w:val="20"/>
          <w:szCs w:val="20"/>
          <w:b w:val="1"/>
          <w:bCs w:val="1"/>
          <w:i w:val="1"/>
          <w:iCs w:val="1"/>
          <w:color w:val="auto"/>
        </w:rPr>
        <w:t>Exhibit A-6</w:t>
      </w:r>
      <w:r>
        <w:rPr>
          <w:rFonts w:ascii="Times New Roman" w:cs="Times New Roman" w:eastAsia="Times New Roman" w:hAnsi="Times New Roman"/>
          <w:sz w:val="20"/>
          <w:szCs w:val="20"/>
          <w:color w:val="auto"/>
        </w:rPr>
        <w:t>, and any substitutes therefor, and any replacements, restatements or extensions thereof, in whole or in part.</w:t>
      </w:r>
    </w:p>
    <w:p>
      <w:pPr>
        <w:spacing w:after="0" w:line="202" w:lineRule="exact"/>
        <w:rPr>
          <w:sz w:val="20"/>
          <w:szCs w:val="20"/>
          <w:color w:val="auto"/>
        </w:rPr>
      </w:pPr>
    </w:p>
    <w:p>
      <w:pPr>
        <w:jc w:val="both"/>
        <w:ind w:left="58" w:right="20" w:firstLine="648"/>
        <w:spacing w:after="0" w:line="21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Canadian Termination Event</w:t>
      </w:r>
      <w:r>
        <w:rPr>
          <w:rFonts w:ascii="Times New Roman" w:cs="Times New Roman" w:eastAsia="Times New Roman" w:hAnsi="Times New Roman"/>
          <w:sz w:val="20"/>
          <w:szCs w:val="20"/>
          <w:color w:val="auto"/>
        </w:rPr>
        <w:t>” means a Canadian Pension Plan Unfunded Liability in excess of the Threshold Amount or the occurrence of any of the following which, individually or in the aggregate, has resulted or could reasonably be expected to result in</w:t>
      </w:r>
    </w:p>
    <w:p>
      <w:pPr>
        <w:spacing w:after="0" w:line="1" w:lineRule="exact"/>
        <w:rPr>
          <w:sz w:val="20"/>
          <w:szCs w:val="20"/>
          <w:color w:val="auto"/>
        </w:rPr>
      </w:pPr>
    </w:p>
    <w:p>
      <w:pPr>
        <w:jc w:val="both"/>
        <w:ind w:left="58" w:right="20"/>
        <w:spacing w:after="0" w:line="228" w:lineRule="auto"/>
        <w:rPr>
          <w:sz w:val="20"/>
          <w:szCs w:val="20"/>
          <w:color w:val="auto"/>
        </w:rPr>
      </w:pPr>
      <w:r>
        <w:rPr>
          <w:rFonts w:ascii="Times New Roman" w:cs="Times New Roman" w:eastAsia="Times New Roman" w:hAnsi="Times New Roman"/>
          <w:sz w:val="20"/>
          <w:szCs w:val="20"/>
          <w:color w:val="auto"/>
        </w:rPr>
        <w:t>liability of any Credit Party or any Subsidiary thereof in an aggregate amount in excess of the Threshold Amount: (a) the institution of any steps by any Governmental Authority to order the termination or wind-up, in full or in part, of any Canadian Employee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38"/>
        <w:spacing w:after="0"/>
        <w:rPr>
          <w:sz w:val="20"/>
          <w:szCs w:val="20"/>
          <w:color w:val="auto"/>
        </w:rPr>
      </w:pPr>
      <w:r>
        <w:rPr>
          <w:rFonts w:ascii="Times New Roman" w:cs="Times New Roman" w:eastAsia="Times New Roman" w:hAnsi="Times New Roman"/>
          <w:sz w:val="14"/>
          <w:szCs w:val="14"/>
          <w:color w:val="FF0000"/>
          <w:strike w:val="1"/>
        </w:rPr>
        <w:t>146960219_6</w:t>
      </w:r>
    </w:p>
    <w:p>
      <w:pPr>
        <w:spacing w:after="0" w:line="4" w:lineRule="exact"/>
        <w:rPr>
          <w:sz w:val="20"/>
          <w:szCs w:val="20"/>
          <w:color w:val="auto"/>
        </w:rPr>
      </w:pPr>
    </w:p>
    <w:p>
      <w:pPr>
        <w:ind w:left="338" w:hanging="338"/>
        <w:spacing w:after="0"/>
        <w:tabs>
          <w:tab w:leader="none" w:pos="338"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078"/>
          </w:cols>
          <w:pgMar w:left="382" w:top="1440" w:right="439" w:bottom="1440" w:gutter="0" w:footer="0" w:header="0"/>
        </w:sectPr>
      </w:pPr>
    </w:p>
    <w:bookmarkStart w:id="98" w:name="page99"/>
    <w:bookmarkEnd w:id="98"/>
    <w:p>
      <w:pPr>
        <w:ind w:left="40"/>
        <w:spacing w:after="0"/>
        <w:rPr>
          <w:sz w:val="20"/>
          <w:szCs w:val="20"/>
          <w:color w:val="auto"/>
        </w:rPr>
      </w:pPr>
      <w:r>
        <w:rPr>
          <w:rFonts w:ascii="Times New Roman" w:cs="Times New Roman" w:eastAsia="Times New Roman" w:hAnsi="Times New Roman"/>
          <w:sz w:val="20"/>
          <w:szCs w:val="20"/>
          <w:color w:val="auto"/>
        </w:rPr>
        <w:t>Benefit Plan, (b) the institution of any steps by a Credit Party to terminate, in full or in part, any Canadian Pension Plan if such plan has a</w:t>
      </w:r>
    </w:p>
    <w:p>
      <w:pPr>
        <w:ind w:left="40"/>
        <w:spacing w:after="0" w:line="204" w:lineRule="auto"/>
        <w:rPr>
          <w:sz w:val="20"/>
          <w:szCs w:val="20"/>
          <w:color w:val="auto"/>
        </w:rPr>
      </w:pPr>
      <w:r>
        <w:rPr>
          <w:rFonts w:ascii="Times New Roman" w:cs="Times New Roman" w:eastAsia="Times New Roman" w:hAnsi="Times New Roman"/>
          <w:sz w:val="20"/>
          <w:szCs w:val="20"/>
          <w:color w:val="auto"/>
        </w:rPr>
        <w:t>Canadian Pension Plan Unfunded Liability, (c) an event respecting any Canadian Employee Benefit Plan which could reasonably be expected to result in the revocation of the registration of such Canadian Employee Benefit Plan which could otherwise reasonably be</w:t>
      </w:r>
    </w:p>
    <w:p>
      <w:pPr>
        <w:ind w:left="40"/>
        <w:spacing w:after="0" w:line="211" w:lineRule="auto"/>
        <w:rPr>
          <w:sz w:val="20"/>
          <w:szCs w:val="20"/>
          <w:color w:val="auto"/>
        </w:rPr>
      </w:pPr>
      <w:r>
        <w:rPr>
          <w:rFonts w:ascii="Times New Roman" w:cs="Times New Roman" w:eastAsia="Times New Roman" w:hAnsi="Times New Roman"/>
          <w:sz w:val="20"/>
          <w:szCs w:val="20"/>
          <w:color w:val="auto"/>
        </w:rPr>
        <w:t>expected to adversely affect the Tax status of any such Canadian Employee Benefit Plan, (d) any event or condition which would</w:t>
      </w:r>
    </w:p>
    <w:p>
      <w:pPr>
        <w:spacing w:after="0" w:line="1" w:lineRule="exact"/>
        <w:rPr>
          <w:sz w:val="20"/>
          <w:szCs w:val="20"/>
          <w:color w:val="auto"/>
        </w:rPr>
      </w:pPr>
    </w:p>
    <w:p>
      <w:pPr>
        <w:ind w:left="40"/>
        <w:spacing w:after="0" w:line="204" w:lineRule="auto"/>
        <w:rPr>
          <w:sz w:val="20"/>
          <w:szCs w:val="20"/>
          <w:color w:val="auto"/>
        </w:rPr>
      </w:pPr>
      <w:r>
        <w:rPr>
          <w:rFonts w:ascii="Times New Roman" w:cs="Times New Roman" w:eastAsia="Times New Roman" w:hAnsi="Times New Roman"/>
          <w:sz w:val="20"/>
          <w:szCs w:val="20"/>
          <w:color w:val="auto"/>
        </w:rPr>
        <w:t>reasonably constitute grounds under Canadian Pension Laws for the full or partial termination of, or the appointment of a trustee or replacement administrator to administer, any Canadian Employee Benefit Plan, (e) the partial or complete withdrawal of any Credit Party</w:t>
      </w:r>
    </w:p>
    <w:p>
      <w:pPr>
        <w:ind w:left="40"/>
        <w:spacing w:after="0" w:line="211" w:lineRule="auto"/>
        <w:rPr>
          <w:sz w:val="20"/>
          <w:szCs w:val="20"/>
          <w:color w:val="auto"/>
        </w:rPr>
      </w:pPr>
      <w:r>
        <w:rPr>
          <w:rFonts w:ascii="Times New Roman" w:cs="Times New Roman" w:eastAsia="Times New Roman" w:hAnsi="Times New Roman"/>
          <w:sz w:val="20"/>
          <w:szCs w:val="20"/>
          <w:color w:val="auto"/>
        </w:rPr>
        <w:t>from a Canadian Multiemployer Plan if a withdrawal liability is asserted by such plan or by any Governmental Authority, or (f) any event</w:t>
      </w:r>
    </w:p>
    <w:p>
      <w:pPr>
        <w:spacing w:after="0" w:line="1" w:lineRule="exact"/>
        <w:rPr>
          <w:sz w:val="20"/>
          <w:szCs w:val="20"/>
          <w:color w:val="auto"/>
        </w:rPr>
      </w:pPr>
    </w:p>
    <w:p>
      <w:pPr>
        <w:ind w:left="40"/>
        <w:spacing w:after="0" w:line="221" w:lineRule="auto"/>
        <w:rPr>
          <w:sz w:val="20"/>
          <w:szCs w:val="20"/>
          <w:color w:val="auto"/>
        </w:rPr>
      </w:pPr>
      <w:r>
        <w:rPr>
          <w:rFonts w:ascii="Times New Roman" w:cs="Times New Roman" w:eastAsia="Times New Roman" w:hAnsi="Times New Roman"/>
          <w:sz w:val="20"/>
          <w:szCs w:val="20"/>
          <w:color w:val="auto"/>
        </w:rPr>
        <w:t>or condition which results in the increase in the liability of any Credit Party or any Subsidiary thereof under a Canadian Multiemployer Plan.</w:t>
      </w:r>
    </w:p>
    <w:p>
      <w:pPr>
        <w:spacing w:after="0" w:line="189" w:lineRule="exact"/>
        <w:rPr>
          <w:sz w:val="20"/>
          <w:szCs w:val="20"/>
          <w:color w:val="auto"/>
        </w:rPr>
      </w:pPr>
    </w:p>
    <w:p>
      <w:pPr>
        <w:ind w:left="420" w:firstLine="921"/>
        <w:spacing w:after="0" w:line="23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Capital Expenditures</w:t>
      </w:r>
      <w:r>
        <w:rPr>
          <w:rFonts w:ascii="Times New Roman" w:cs="Times New Roman" w:eastAsia="Times New Roman" w:hAnsi="Times New Roman"/>
          <w:sz w:val="19"/>
          <w:szCs w:val="19"/>
          <w:color w:val="auto"/>
        </w:rPr>
        <w:t>” means, with respect to the Consolidated Companies on a Consolidated basis, for any period, (a) the additions to property, plant and equipment and other capital expenditures that are (or would be) set forth in a consolidated statement of</w:t>
      </w:r>
    </w:p>
    <w:p>
      <w:pPr>
        <w:spacing w:after="0" w:line="1" w:lineRule="exact"/>
        <w:rPr>
          <w:sz w:val="20"/>
          <w:szCs w:val="20"/>
          <w:color w:val="auto"/>
        </w:rPr>
      </w:pPr>
    </w:p>
    <w:p>
      <w:pPr>
        <w:ind w:left="60" w:firstLine="235"/>
        <w:spacing w:after="0" w:line="215" w:lineRule="auto"/>
        <w:rPr>
          <w:sz w:val="20"/>
          <w:szCs w:val="20"/>
          <w:color w:val="auto"/>
        </w:rPr>
      </w:pPr>
      <w:r>
        <w:rPr>
          <w:rFonts w:ascii="Times New Roman" w:cs="Times New Roman" w:eastAsia="Times New Roman" w:hAnsi="Times New Roman"/>
          <w:sz w:val="19"/>
          <w:szCs w:val="19"/>
          <w:color w:val="auto"/>
        </w:rPr>
        <w:t>cash flows of such Person for such period prepared in accordance with GAAP and (b) Capital Lease Obligations during such period, but excluding expenditures for the restoration, repair or replacement of any fixed or capital asset which was destroyed or damaged, in whole or</w:t>
      </w:r>
    </w:p>
    <w:p>
      <w:pPr>
        <w:jc w:val="right"/>
        <w:spacing w:after="0"/>
        <w:rPr>
          <w:sz w:val="20"/>
          <w:szCs w:val="20"/>
          <w:color w:val="auto"/>
        </w:rPr>
      </w:pPr>
      <w:r>
        <w:rPr>
          <w:rFonts w:ascii="Times New Roman" w:cs="Times New Roman" w:eastAsia="Times New Roman" w:hAnsi="Times New Roman"/>
          <w:sz w:val="20"/>
          <w:szCs w:val="20"/>
          <w:color w:val="auto"/>
        </w:rPr>
        <w:t>in part, to the extent financed by the proceeds of an insurance policy maintained by such Person.</w:t>
      </w:r>
    </w:p>
    <w:p>
      <w:pPr>
        <w:spacing w:after="0" w:line="18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Capital Lease Obligations</w:t>
      </w:r>
      <w:r>
        <w:rPr>
          <w:rFonts w:ascii="Times New Roman" w:cs="Times New Roman" w:eastAsia="Times New Roman" w:hAnsi="Times New Roman"/>
          <w:sz w:val="20"/>
          <w:szCs w:val="20"/>
          <w:color w:val="auto"/>
        </w:rPr>
        <w:t xml:space="preserve">” of any Person means, subject to </w:t>
      </w:r>
      <w:r>
        <w:rPr>
          <w:rFonts w:ascii="Times New Roman" w:cs="Times New Roman" w:eastAsia="Times New Roman" w:hAnsi="Times New Roman"/>
          <w:sz w:val="20"/>
          <w:szCs w:val="20"/>
          <w:u w:val="single" w:color="auto"/>
          <w:color w:val="auto"/>
        </w:rPr>
        <w:t>Section 1.3(b)</w:t>
      </w:r>
      <w:r>
        <w:rPr>
          <w:rFonts w:ascii="Times New Roman" w:cs="Times New Roman" w:eastAsia="Times New Roman" w:hAnsi="Times New Roman"/>
          <w:sz w:val="20"/>
          <w:szCs w:val="20"/>
          <w:color w:val="auto"/>
        </w:rPr>
        <w:t>, the obligations of such Person to pay rent or other</w:t>
      </w:r>
    </w:p>
    <w:p>
      <w:pPr>
        <w:ind w:left="40"/>
        <w:spacing w:after="0" w:line="204" w:lineRule="auto"/>
        <w:rPr>
          <w:sz w:val="20"/>
          <w:szCs w:val="20"/>
          <w:color w:val="auto"/>
        </w:rPr>
      </w:pPr>
      <w:r>
        <w:rPr>
          <w:rFonts w:ascii="Times New Roman" w:cs="Times New Roman" w:eastAsia="Times New Roman" w:hAnsi="Times New Roman"/>
          <w:sz w:val="20"/>
          <w:szCs w:val="20"/>
          <w:color w:val="auto"/>
        </w:rPr>
        <w:t>amounts under any lease of (or other arrangement conveying the right to use) real or personal property, or a combination thereof, which obligations are required to be classified and accounted for as finance leases on a balance sheet of such Person under GAAP, and the</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amount of such obligations shall be the capitalized amount thereof determined in accordance with GAAP.</w:t>
      </w:r>
    </w:p>
    <w:p>
      <w:pPr>
        <w:spacing w:after="0" w:line="18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Cash Collateralize</w:t>
      </w:r>
      <w:r>
        <w:rPr>
          <w:rFonts w:ascii="Times New Roman" w:cs="Times New Roman" w:eastAsia="Times New Roman" w:hAnsi="Times New Roman"/>
          <w:sz w:val="20"/>
          <w:szCs w:val="20"/>
          <w:color w:val="auto"/>
        </w:rPr>
        <w:t>” means, to deposit in a Controlled Account or to pledge and deposit with, or deliver to the Administrative</w:t>
      </w:r>
    </w:p>
    <w:p>
      <w:pPr>
        <w:ind w:left="40"/>
        <w:spacing w:after="0" w:line="204" w:lineRule="auto"/>
        <w:rPr>
          <w:sz w:val="20"/>
          <w:szCs w:val="20"/>
          <w:color w:val="auto"/>
        </w:rPr>
      </w:pPr>
      <w:r>
        <w:rPr>
          <w:rFonts w:ascii="Times New Roman" w:cs="Times New Roman" w:eastAsia="Times New Roman" w:hAnsi="Times New Roman"/>
          <w:sz w:val="20"/>
          <w:szCs w:val="20"/>
          <w:color w:val="auto"/>
        </w:rPr>
        <w:t>Agent, or directly to the applicable Issuing Lender (with notice thereof to the Administrative Agent), for the benefit of one or more of the Issuing Lenders, one or both of the Swingline Lenders or the Lenders, as collateral for L/C Obligations or obligations of the Lenders to</w:t>
      </w:r>
    </w:p>
    <w:p>
      <w:pPr>
        <w:ind w:left="40"/>
        <w:spacing w:after="0" w:line="223" w:lineRule="auto"/>
        <w:rPr>
          <w:sz w:val="20"/>
          <w:szCs w:val="20"/>
          <w:color w:val="auto"/>
        </w:rPr>
      </w:pPr>
      <w:r>
        <w:rPr>
          <w:rFonts w:ascii="Times New Roman" w:cs="Times New Roman" w:eastAsia="Times New Roman" w:hAnsi="Times New Roman"/>
          <w:sz w:val="19"/>
          <w:szCs w:val="19"/>
          <w:color w:val="auto"/>
        </w:rPr>
        <w:t>fund participations in respect of L/C Obligations or Swingline Loans, cash or deposit account balances or, if the Administrative Agent and</w:t>
      </w:r>
    </w:p>
    <w:p>
      <w:pPr>
        <w:ind w:left="40"/>
        <w:spacing w:after="0" w:line="204" w:lineRule="auto"/>
        <w:rPr>
          <w:sz w:val="20"/>
          <w:szCs w:val="20"/>
          <w:color w:val="auto"/>
        </w:rPr>
      </w:pPr>
      <w:r>
        <w:rPr>
          <w:rFonts w:ascii="Times New Roman" w:cs="Times New Roman" w:eastAsia="Times New Roman" w:hAnsi="Times New Roman"/>
          <w:sz w:val="20"/>
          <w:szCs w:val="20"/>
          <w:color w:val="auto"/>
        </w:rPr>
        <w:t>the applicable Issuing Lender and/or the applicable Swingline Lender, as the case may be, shall agree, in their sole discretion, other credit support, in each case pursuant to documentation in form and substance satisfactory to the Administrative Agent, such Issuing Lender</w:t>
      </w:r>
    </w:p>
    <w:p>
      <w:pPr>
        <w:spacing w:after="0" w:line="1" w:lineRule="exact"/>
        <w:rPr>
          <w:sz w:val="20"/>
          <w:szCs w:val="20"/>
          <w:color w:val="auto"/>
        </w:rPr>
      </w:pPr>
    </w:p>
    <w:p>
      <w:pPr>
        <w:ind w:left="40"/>
        <w:spacing w:after="0" w:line="228" w:lineRule="auto"/>
        <w:rPr>
          <w:sz w:val="20"/>
          <w:szCs w:val="20"/>
          <w:color w:val="auto"/>
        </w:rPr>
      </w:pPr>
      <w:r>
        <w:rPr>
          <w:rFonts w:ascii="Times New Roman" w:cs="Times New Roman" w:eastAsia="Times New Roman" w:hAnsi="Times New Roman"/>
          <w:sz w:val="20"/>
          <w:szCs w:val="20"/>
          <w:color w:val="auto"/>
        </w:rPr>
        <w:t>and/or such Swingline Lender, as applicable. “</w:t>
      </w:r>
      <w:r>
        <w:rPr>
          <w:rFonts w:ascii="Times New Roman" w:cs="Times New Roman" w:eastAsia="Times New Roman" w:hAnsi="Times New Roman"/>
          <w:sz w:val="20"/>
          <w:szCs w:val="20"/>
          <w:u w:val="single" w:color="auto"/>
          <w:color w:val="auto"/>
        </w:rPr>
        <w:t>Cash Collateral</w:t>
      </w:r>
      <w:r>
        <w:rPr>
          <w:rFonts w:ascii="Times New Roman" w:cs="Times New Roman" w:eastAsia="Times New Roman" w:hAnsi="Times New Roman"/>
          <w:sz w:val="20"/>
          <w:szCs w:val="20"/>
          <w:color w:val="auto"/>
        </w:rPr>
        <w:t>” shall have a meaning correlative to the foregoing and shall include the proceeds of such cash collateral and other credit support.</w:t>
      </w:r>
    </w:p>
    <w:p>
      <w:pPr>
        <w:spacing w:after="0" w:line="189" w:lineRule="exact"/>
        <w:rPr>
          <w:sz w:val="20"/>
          <w:szCs w:val="20"/>
          <w:color w:val="auto"/>
        </w:rPr>
      </w:pPr>
    </w:p>
    <w:p>
      <w:pPr>
        <w:ind w:left="40" w:firstLine="648"/>
        <w:spacing w:after="0" w:line="22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Cash Equivalents</w:t>
      </w:r>
      <w:r>
        <w:rPr>
          <w:rFonts w:ascii="Times New Roman" w:cs="Times New Roman" w:eastAsia="Times New Roman" w:hAnsi="Times New Roman"/>
          <w:sz w:val="19"/>
          <w:szCs w:val="19"/>
          <w:color w:val="auto"/>
        </w:rPr>
        <w:t>” means, collectively, (a) marketable direct obligations issued or unconditionally guaranteed by Canada or the United States (or any agency thereof) maturing within one (1) year from the date of acquisition thereof, (b) commercial paper maturing no</w:t>
      </w:r>
    </w:p>
    <w:p>
      <w:pPr>
        <w:ind w:left="40"/>
        <w:spacing w:after="0" w:line="211" w:lineRule="auto"/>
        <w:rPr>
          <w:sz w:val="20"/>
          <w:szCs w:val="20"/>
          <w:color w:val="auto"/>
        </w:rPr>
      </w:pPr>
      <w:r>
        <w:rPr>
          <w:rFonts w:ascii="Times New Roman" w:cs="Times New Roman" w:eastAsia="Times New Roman" w:hAnsi="Times New Roman"/>
          <w:sz w:val="20"/>
          <w:szCs w:val="20"/>
          <w:color w:val="auto"/>
        </w:rPr>
        <w:t>more than two hundred seventy (270) days from the date of creation thereof and currently having the highest rating obtainable from either</w:t>
      </w:r>
    </w:p>
    <w:p>
      <w:pPr>
        <w:spacing w:after="0" w:line="1" w:lineRule="exact"/>
        <w:rPr>
          <w:sz w:val="20"/>
          <w:szCs w:val="20"/>
          <w:color w:val="auto"/>
        </w:rPr>
      </w:pPr>
    </w:p>
    <w:p>
      <w:pPr>
        <w:ind w:left="40"/>
        <w:spacing w:after="0" w:line="204" w:lineRule="auto"/>
        <w:rPr>
          <w:sz w:val="20"/>
          <w:szCs w:val="20"/>
          <w:color w:val="auto"/>
        </w:rPr>
      </w:pPr>
      <w:r>
        <w:rPr>
          <w:rFonts w:ascii="Times New Roman" w:cs="Times New Roman" w:eastAsia="Times New Roman" w:hAnsi="Times New Roman"/>
          <w:sz w:val="20"/>
          <w:szCs w:val="20"/>
          <w:color w:val="auto"/>
        </w:rPr>
        <w:t>S&amp;P or Moody’s (or, if at any time either S&amp;P or Moody’s are not rating such fund, an equivalent rating from another nationally recognized statistical rating agency), (c) investments in certificates of deposit, banker’s acceptances, money market deposits and time</w:t>
      </w:r>
    </w:p>
    <w:p>
      <w:pPr>
        <w:ind w:left="40"/>
        <w:spacing w:after="0" w:line="211" w:lineRule="auto"/>
        <w:rPr>
          <w:sz w:val="20"/>
          <w:szCs w:val="20"/>
          <w:color w:val="auto"/>
        </w:rPr>
      </w:pPr>
      <w:r>
        <w:rPr>
          <w:rFonts w:ascii="Times New Roman" w:cs="Times New Roman" w:eastAsia="Times New Roman" w:hAnsi="Times New Roman"/>
          <w:sz w:val="20"/>
          <w:szCs w:val="20"/>
          <w:color w:val="auto"/>
        </w:rPr>
        <w:t>deposits maturing within one hundred eighty (180) days from the date of acquisition thereof issued or guaranteed by or placed with, and</w:t>
      </w:r>
    </w:p>
    <w:p>
      <w:pPr>
        <w:spacing w:after="0" w:line="1" w:lineRule="exact"/>
        <w:rPr>
          <w:sz w:val="20"/>
          <w:szCs w:val="20"/>
          <w:color w:val="auto"/>
        </w:rPr>
      </w:pPr>
    </w:p>
    <w:p>
      <w:pPr>
        <w:ind w:left="40"/>
        <w:spacing w:after="0" w:line="204" w:lineRule="auto"/>
        <w:rPr>
          <w:sz w:val="20"/>
          <w:szCs w:val="20"/>
          <w:color w:val="auto"/>
        </w:rPr>
      </w:pPr>
      <w:r>
        <w:rPr>
          <w:rFonts w:ascii="Times New Roman" w:cs="Times New Roman" w:eastAsia="Times New Roman" w:hAnsi="Times New Roman"/>
          <w:sz w:val="20"/>
          <w:szCs w:val="20"/>
          <w:color w:val="auto"/>
        </w:rPr>
        <w:t>money market deposit accounts issued or offered by, any domestic office of any commercial bank organized under the laws of the United States of America or any state thereof that has a combined capital and surplus and undivided profits of not less than $500,000,000 and</w:t>
      </w:r>
    </w:p>
    <w:p>
      <w:pPr>
        <w:ind w:left="40"/>
        <w:spacing w:after="0" w:line="211" w:lineRule="auto"/>
        <w:rPr>
          <w:sz w:val="20"/>
          <w:szCs w:val="20"/>
          <w:color w:val="auto"/>
        </w:rPr>
      </w:pPr>
      <w:r>
        <w:rPr>
          <w:rFonts w:ascii="Times New Roman" w:cs="Times New Roman" w:eastAsia="Times New Roman" w:hAnsi="Times New Roman"/>
          <w:sz w:val="20"/>
          <w:szCs w:val="20"/>
          <w:color w:val="auto"/>
        </w:rPr>
        <w:t>having a long-term debt rating of “A” or better by S&amp;P or “A2” or better from Moody’s (or, if at any time either S&amp;P or Moody’s are not</w:t>
      </w:r>
    </w:p>
    <w:p>
      <w:pPr>
        <w:spacing w:after="0" w:line="1" w:lineRule="exact"/>
        <w:rPr>
          <w:sz w:val="20"/>
          <w:szCs w:val="20"/>
          <w:color w:val="auto"/>
        </w:rPr>
      </w:pPr>
    </w:p>
    <w:p>
      <w:pPr>
        <w:ind w:left="40"/>
        <w:spacing w:after="0" w:line="211" w:lineRule="auto"/>
        <w:rPr>
          <w:sz w:val="20"/>
          <w:szCs w:val="20"/>
          <w:color w:val="auto"/>
        </w:rPr>
      </w:pPr>
      <w:r>
        <w:rPr>
          <w:rFonts w:ascii="Times New Roman" w:cs="Times New Roman" w:eastAsia="Times New Roman" w:hAnsi="Times New Roman"/>
          <w:sz w:val="20"/>
          <w:szCs w:val="20"/>
          <w:color w:val="auto"/>
        </w:rPr>
        <w:t>rating the debt of such bank, an equivalent rating from another nationally recognized statistical rating agency), (d) time deposits maturing no more than thirty</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(30) days from the date of creation thereof with commercial banks or savings banks or savings and loan</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FF0000"/>
          <w:strike w:val="1"/>
        </w:rPr>
        <w:t>146960219_6</w:t>
      </w:r>
    </w:p>
    <w:p>
      <w:pPr>
        <w:ind w:left="340" w:hanging="338"/>
        <w:spacing w:after="0" w:line="229" w:lineRule="auto"/>
        <w:tabs>
          <w:tab w:leader="none" w:pos="34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080"/>
          </w:cols>
          <w:pgMar w:left="380" w:top="1394" w:right="439" w:bottom="1440" w:gutter="0" w:footer="0" w:header="0"/>
        </w:sectPr>
      </w:pPr>
    </w:p>
    <w:bookmarkStart w:id="99" w:name="page100"/>
    <w:bookmarkEnd w:id="99"/>
    <w:p>
      <w:pPr>
        <w:ind w:left="58"/>
        <w:spacing w:after="0"/>
        <w:rPr>
          <w:sz w:val="20"/>
          <w:szCs w:val="20"/>
          <w:color w:val="auto"/>
        </w:rPr>
      </w:pPr>
      <w:r>
        <w:rPr>
          <w:rFonts w:ascii="Times New Roman" w:cs="Times New Roman" w:eastAsia="Times New Roman" w:hAnsi="Times New Roman"/>
          <w:sz w:val="19"/>
          <w:szCs w:val="19"/>
          <w:color w:val="auto"/>
        </w:rPr>
        <w:t>associations each having membership either in the FDIC or the CDIC or the deposits of which are insured by the FDIC or the CDIC and in</w:t>
      </w:r>
    </w:p>
    <w:p>
      <w:pPr>
        <w:spacing w:after="0" w:line="6" w:lineRule="exact"/>
        <w:rPr>
          <w:sz w:val="20"/>
          <w:szCs w:val="20"/>
          <w:color w:val="auto"/>
        </w:rPr>
      </w:pPr>
    </w:p>
    <w:p>
      <w:pPr>
        <w:jc w:val="both"/>
        <w:ind w:left="58"/>
        <w:spacing w:after="0" w:line="204" w:lineRule="auto"/>
        <w:rPr>
          <w:sz w:val="20"/>
          <w:szCs w:val="20"/>
          <w:color w:val="auto"/>
        </w:rPr>
      </w:pPr>
      <w:r>
        <w:rPr>
          <w:rFonts w:ascii="Times New Roman" w:cs="Times New Roman" w:eastAsia="Times New Roman" w:hAnsi="Times New Roman"/>
          <w:sz w:val="20"/>
          <w:szCs w:val="20"/>
          <w:color w:val="auto"/>
        </w:rPr>
        <w:t>amounts not exceeding the maximum amounts of insurance thereunder, and (e) investments in any money market fund or money market mutual fund that has (i) substantially all of its assets invested in the types of investments referred to in clauses (a) through (d) above, (ii)</w:t>
      </w:r>
    </w:p>
    <w:p>
      <w:pPr>
        <w:spacing w:after="0" w:line="1" w:lineRule="exact"/>
        <w:rPr>
          <w:sz w:val="20"/>
          <w:szCs w:val="20"/>
          <w:color w:val="auto"/>
        </w:rPr>
      </w:pPr>
    </w:p>
    <w:p>
      <w:pPr>
        <w:jc w:val="both"/>
        <w:ind w:left="58" w:right="20"/>
        <w:spacing w:after="0" w:line="228" w:lineRule="auto"/>
        <w:rPr>
          <w:sz w:val="20"/>
          <w:szCs w:val="20"/>
          <w:color w:val="auto"/>
        </w:rPr>
      </w:pPr>
      <w:r>
        <w:rPr>
          <w:rFonts w:ascii="Times New Roman" w:cs="Times New Roman" w:eastAsia="Times New Roman" w:hAnsi="Times New Roman"/>
          <w:sz w:val="20"/>
          <w:szCs w:val="20"/>
          <w:color w:val="auto"/>
        </w:rPr>
        <w:t>net assets of not less than $250,000,000 and (iii) a rating of at least A-2 from S&amp;P or at least P-2 from Moody’s (or, if at any time either S&amp;P or Moody’s are not rating such fund, an equivalent rating from another nationally recognized statistical rating agency).</w:t>
      </w:r>
    </w:p>
    <w:p>
      <w:pPr>
        <w:spacing w:after="0" w:line="203" w:lineRule="exact"/>
        <w:rPr>
          <w:sz w:val="20"/>
          <w:szCs w:val="20"/>
          <w:color w:val="auto"/>
        </w:rPr>
      </w:pPr>
    </w:p>
    <w:p>
      <w:pPr>
        <w:jc w:val="both"/>
        <w:ind w:left="58"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Cash Management Agreement</w:t>
      </w:r>
      <w:r>
        <w:rPr>
          <w:rFonts w:ascii="Times New Roman" w:cs="Times New Roman" w:eastAsia="Times New Roman" w:hAnsi="Times New Roman"/>
          <w:sz w:val="20"/>
          <w:szCs w:val="20"/>
          <w:color w:val="auto"/>
        </w:rPr>
        <w:t>” means any agreement to provide cash management services, including treasury, depository, overdraft, credit or debit card (including non-card electronic payables and purchasing cards), electronic funds transfer and other cash management arrangements.</w:t>
      </w:r>
    </w:p>
    <w:p>
      <w:pPr>
        <w:spacing w:after="0" w:line="201" w:lineRule="exact"/>
        <w:rPr>
          <w:sz w:val="20"/>
          <w:szCs w:val="20"/>
          <w:color w:val="auto"/>
        </w:rPr>
      </w:pPr>
    </w:p>
    <w:p>
      <w:pPr>
        <w:ind w:left="59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Cash Management Bank</w:t>
      </w:r>
      <w:r>
        <w:rPr>
          <w:rFonts w:ascii="Times New Roman" w:cs="Times New Roman" w:eastAsia="Times New Roman" w:hAnsi="Times New Roman"/>
          <w:sz w:val="20"/>
          <w:szCs w:val="20"/>
          <w:color w:val="auto"/>
        </w:rPr>
        <w:t>” means any US Cash Management Bank or Canadian Cash Management Bank.</w:t>
      </w:r>
    </w:p>
    <w:p>
      <w:pPr>
        <w:spacing w:after="0" w:line="283" w:lineRule="exact"/>
        <w:rPr>
          <w:sz w:val="20"/>
          <w:szCs w:val="20"/>
          <w:color w:val="auto"/>
        </w:rPr>
      </w:pPr>
    </w:p>
    <w:p>
      <w:pPr>
        <w:ind w:left="69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CDIC</w:t>
      </w:r>
      <w:r>
        <w:rPr>
          <w:rFonts w:ascii="Times New Roman" w:cs="Times New Roman" w:eastAsia="Times New Roman" w:hAnsi="Times New Roman"/>
          <w:sz w:val="20"/>
          <w:szCs w:val="20"/>
          <w:color w:val="auto"/>
        </w:rPr>
        <w:t>” means the Canada Deposit Insurance Corporation.</w:t>
      </w:r>
    </w:p>
    <w:p>
      <w:pPr>
        <w:spacing w:after="0" w:line="283" w:lineRule="exact"/>
        <w:rPr>
          <w:sz w:val="20"/>
          <w:szCs w:val="20"/>
          <w:color w:val="auto"/>
        </w:rPr>
      </w:pPr>
    </w:p>
    <w:p>
      <w:pPr>
        <w:jc w:val="both"/>
        <w:ind w:left="58" w:right="20" w:firstLine="648"/>
        <w:spacing w:after="0" w:line="22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CDOR Rate</w:t>
      </w:r>
      <w:r>
        <w:rPr>
          <w:rFonts w:ascii="Times New Roman" w:cs="Times New Roman" w:eastAsia="Times New Roman" w:hAnsi="Times New Roman"/>
          <w:sz w:val="19"/>
          <w:szCs w:val="19"/>
          <w:color w:val="auto"/>
        </w:rPr>
        <w:t>” means the rate of interest per annum determined by the Administrative Agent on the basis of the rate applicable to Canadian Dollar bankers’ acceptances for the applicable Interest Period (or if such Interest Period is not equal to a number of months, for a</w:t>
      </w:r>
    </w:p>
    <w:p>
      <w:pPr>
        <w:ind w:left="58"/>
        <w:spacing w:after="0" w:line="211" w:lineRule="auto"/>
        <w:rPr>
          <w:sz w:val="20"/>
          <w:szCs w:val="20"/>
          <w:color w:val="auto"/>
        </w:rPr>
      </w:pPr>
      <w:r>
        <w:rPr>
          <w:rFonts w:ascii="Times New Roman" w:cs="Times New Roman" w:eastAsia="Times New Roman" w:hAnsi="Times New Roman"/>
          <w:sz w:val="20"/>
          <w:szCs w:val="20"/>
          <w:color w:val="auto"/>
        </w:rPr>
        <w:t>term equivalent to the number of months closest to such Interest Period) appearing on the “CDOR Page”, or any successor page of</w:t>
      </w:r>
    </w:p>
    <w:p>
      <w:pPr>
        <w:spacing w:after="0" w:line="1" w:lineRule="exact"/>
        <w:rPr>
          <w:sz w:val="20"/>
          <w:szCs w:val="20"/>
          <w:color w:val="auto"/>
        </w:rPr>
      </w:pPr>
    </w:p>
    <w:p>
      <w:pPr>
        <w:jc w:val="both"/>
        <w:ind w:left="58" w:right="20"/>
        <w:spacing w:after="0" w:line="215" w:lineRule="auto"/>
        <w:rPr>
          <w:sz w:val="20"/>
          <w:szCs w:val="20"/>
          <w:color w:val="auto"/>
        </w:rPr>
      </w:pPr>
      <w:r>
        <w:rPr>
          <w:rFonts w:ascii="Times New Roman" w:cs="Times New Roman" w:eastAsia="Times New Roman" w:hAnsi="Times New Roman"/>
          <w:sz w:val="19"/>
          <w:szCs w:val="19"/>
          <w:color w:val="auto"/>
        </w:rPr>
        <w:t>Refinitiv Benchmark Services (UK) Limited (or such other page or commercially available source displaying Canadian interbank bid rates for Canadian Dollar bankers’ acceptances as may be designated by the Administrative Agent from time to time), as of 10:00 a.m. (Toronto,</w:t>
      </w:r>
    </w:p>
    <w:p>
      <w:pPr>
        <w:ind w:left="58"/>
        <w:spacing w:after="0" w:line="211" w:lineRule="auto"/>
        <w:rPr>
          <w:sz w:val="20"/>
          <w:szCs w:val="20"/>
          <w:color w:val="auto"/>
        </w:rPr>
      </w:pPr>
      <w:r>
        <w:rPr>
          <w:rFonts w:ascii="Times New Roman" w:cs="Times New Roman" w:eastAsia="Times New Roman" w:hAnsi="Times New Roman"/>
          <w:sz w:val="20"/>
          <w:szCs w:val="20"/>
          <w:color w:val="auto"/>
        </w:rPr>
        <w:t>Ontario time) on the first day of the applicable Interest Period (or if such day is not a Business Day, then on the immediately preceding</w:t>
      </w:r>
    </w:p>
    <w:p>
      <w:pPr>
        <w:jc w:val="both"/>
        <w:ind w:left="58"/>
        <w:spacing w:after="0" w:line="221" w:lineRule="auto"/>
        <w:rPr>
          <w:sz w:val="20"/>
          <w:szCs w:val="20"/>
          <w:color w:val="auto"/>
        </w:rPr>
      </w:pPr>
      <w:r>
        <w:rPr>
          <w:rFonts w:ascii="Times New Roman" w:cs="Times New Roman" w:eastAsia="Times New Roman" w:hAnsi="Times New Roman"/>
          <w:sz w:val="20"/>
          <w:szCs w:val="20"/>
          <w:color w:val="auto"/>
        </w:rPr>
        <w:t>Business Day). Each calculation by the Administrative Agent of the CDOR Rate shall be conclusive and binding for all purposes, absent manifest error.</w:t>
      </w:r>
    </w:p>
    <w:p>
      <w:pPr>
        <w:spacing w:after="0" w:line="202" w:lineRule="exact"/>
        <w:rPr>
          <w:sz w:val="20"/>
          <w:szCs w:val="20"/>
          <w:color w:val="auto"/>
        </w:rPr>
      </w:pPr>
    </w:p>
    <w:p>
      <w:pPr>
        <w:jc w:val="both"/>
        <w:ind w:left="58" w:right="20" w:firstLine="648"/>
        <w:spacing w:after="0" w:line="283" w:lineRule="auto"/>
        <w:rPr>
          <w:sz w:val="20"/>
          <w:szCs w:val="20"/>
          <w:color w:val="auto"/>
        </w:rPr>
      </w:pPr>
      <w:r>
        <w:rPr>
          <w:rFonts w:ascii="Times New Roman" w:cs="Times New Roman" w:eastAsia="Times New Roman" w:hAnsi="Times New Roman"/>
          <w:sz w:val="20"/>
          <w:szCs w:val="20"/>
          <w:color w:val="auto"/>
        </w:rPr>
        <w:t>Notwithstanding the foregoing, if the CDOR Rate shall be less than zero, such rate shall be deemed to be zero for purposes of this Agreement.</w:t>
      </w:r>
    </w:p>
    <w:p>
      <w:pPr>
        <w:spacing w:after="0" w:line="160" w:lineRule="exact"/>
        <w:rPr>
          <w:sz w:val="20"/>
          <w:szCs w:val="20"/>
          <w:color w:val="auto"/>
        </w:rPr>
      </w:pPr>
    </w:p>
    <w:p>
      <w:pPr>
        <w:ind w:left="5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CDOR Rate Loan</w:t>
      </w:r>
      <w:r>
        <w:rPr>
          <w:rFonts w:ascii="Times New Roman" w:cs="Times New Roman" w:eastAsia="Times New Roman" w:hAnsi="Times New Roman"/>
          <w:sz w:val="20"/>
          <w:szCs w:val="20"/>
          <w:color w:val="auto"/>
        </w:rPr>
        <w:t>” means any Loan bearing interest at a rate determined by reference to the CDOR Rate.</w:t>
      </w:r>
    </w:p>
    <w:p>
      <w:pPr>
        <w:spacing w:after="0" w:line="283" w:lineRule="exact"/>
        <w:rPr>
          <w:sz w:val="20"/>
          <w:szCs w:val="20"/>
          <w:color w:val="auto"/>
        </w:rPr>
      </w:pPr>
    </w:p>
    <w:p>
      <w:pPr>
        <w:ind w:left="69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Centuri</w:t>
      </w:r>
      <w:r>
        <w:rPr>
          <w:rFonts w:ascii="Times New Roman" w:cs="Times New Roman" w:eastAsia="Times New Roman" w:hAnsi="Times New Roman"/>
          <w:sz w:val="20"/>
          <w:szCs w:val="20"/>
          <w:color w:val="auto"/>
        </w:rPr>
        <w:t>” means Centuri Group, Inc. (formerly known as Centuri Construction Group, Inc.), a Nevada corporation.</w:t>
      </w:r>
    </w:p>
    <w:p>
      <w:pPr>
        <w:spacing w:after="0" w:line="210" w:lineRule="exact"/>
        <w:rPr>
          <w:sz w:val="20"/>
          <w:szCs w:val="20"/>
          <w:color w:val="auto"/>
        </w:rPr>
      </w:pPr>
    </w:p>
    <w:p>
      <w:pPr>
        <w:ind w:left="69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Centuri Canada</w:t>
      </w:r>
      <w:r>
        <w:rPr>
          <w:rFonts w:ascii="Times New Roman" w:cs="Times New Roman" w:eastAsia="Times New Roman" w:hAnsi="Times New Roman"/>
          <w:sz w:val="20"/>
          <w:szCs w:val="20"/>
          <w:color w:val="auto"/>
        </w:rPr>
        <w:t>” means Centuri Canada Division Inc., a corporation organized under the laws of the Province of Ontario,</w:t>
      </w:r>
    </w:p>
    <w:p>
      <w:pPr>
        <w:ind w:left="58"/>
        <w:spacing w:after="0"/>
        <w:rPr>
          <w:sz w:val="20"/>
          <w:szCs w:val="20"/>
          <w:color w:val="auto"/>
        </w:rPr>
      </w:pPr>
      <w:r>
        <w:rPr>
          <w:rFonts w:ascii="Times New Roman" w:cs="Times New Roman" w:eastAsia="Times New Roman" w:hAnsi="Times New Roman"/>
          <w:sz w:val="20"/>
          <w:szCs w:val="20"/>
          <w:color w:val="auto"/>
        </w:rPr>
        <w:t>Canada.</w:t>
      </w:r>
    </w:p>
    <w:p>
      <w:pPr>
        <w:spacing w:after="0" w:line="194" w:lineRule="exact"/>
        <w:rPr>
          <w:sz w:val="20"/>
          <w:szCs w:val="20"/>
          <w:color w:val="auto"/>
        </w:rPr>
      </w:pPr>
    </w:p>
    <w:p>
      <w:pPr>
        <w:ind w:left="69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Centuri U.S. Division</w:t>
      </w:r>
      <w:r>
        <w:rPr>
          <w:rFonts w:ascii="Times New Roman" w:cs="Times New Roman" w:eastAsia="Times New Roman" w:hAnsi="Times New Roman"/>
          <w:sz w:val="20"/>
          <w:szCs w:val="20"/>
          <w:color w:val="auto"/>
        </w:rPr>
        <w:t>” means Centuri U.S. Division, Inc., formerly known as Meritus Group, Inc., a Nevada corporation.</w:t>
      </w:r>
    </w:p>
    <w:p>
      <w:pPr>
        <w:spacing w:after="0" w:line="229" w:lineRule="exact"/>
        <w:rPr>
          <w:sz w:val="20"/>
          <w:szCs w:val="20"/>
          <w:color w:val="auto"/>
        </w:rPr>
      </w:pPr>
    </w:p>
    <w:p>
      <w:pPr>
        <w:jc w:val="both"/>
        <w:ind w:left="58" w:right="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CFC</w:t>
      </w:r>
      <w:r>
        <w:rPr>
          <w:rFonts w:ascii="Times New Roman" w:cs="Times New Roman" w:eastAsia="Times New Roman" w:hAnsi="Times New Roman"/>
          <w:sz w:val="20"/>
          <w:szCs w:val="20"/>
          <w:color w:val="auto"/>
        </w:rPr>
        <w:t>” means a Foreign Subsidiary that is a “controlled foreign corporation” under Section 957 of the Code and any Subsidiary owned directly or indirectly by such Foreign Subsidiary.</w:t>
      </w:r>
    </w:p>
    <w:p>
      <w:pPr>
        <w:spacing w:after="0" w:line="160" w:lineRule="exact"/>
        <w:rPr>
          <w:sz w:val="20"/>
          <w:szCs w:val="20"/>
          <w:color w:val="auto"/>
        </w:rPr>
      </w:pPr>
    </w:p>
    <w:p>
      <w:pPr>
        <w:ind w:left="698"/>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CFC Holdco</w:t>
      </w:r>
      <w:r>
        <w:rPr>
          <w:rFonts w:ascii="Times New Roman" w:cs="Times New Roman" w:eastAsia="Times New Roman" w:hAnsi="Times New Roman"/>
          <w:sz w:val="19"/>
          <w:szCs w:val="19"/>
          <w:color w:val="auto"/>
        </w:rPr>
        <w:t>” means a Subsidiary substantially all the assets of which consist of Equity Interests in Foreign Subsidiaries that each</w:t>
      </w:r>
    </w:p>
    <w:p>
      <w:pPr>
        <w:spacing w:after="0" w:line="6" w:lineRule="exact"/>
        <w:rPr>
          <w:sz w:val="20"/>
          <w:szCs w:val="20"/>
          <w:color w:val="auto"/>
        </w:rPr>
      </w:pPr>
    </w:p>
    <w:p>
      <w:pPr>
        <w:jc w:val="both"/>
        <w:ind w:left="58"/>
        <w:spacing w:after="0" w:line="204" w:lineRule="auto"/>
        <w:rPr>
          <w:sz w:val="20"/>
          <w:szCs w:val="20"/>
          <w:color w:val="auto"/>
        </w:rPr>
      </w:pPr>
      <w:r>
        <w:rPr>
          <w:rFonts w:ascii="Times New Roman" w:cs="Times New Roman" w:eastAsia="Times New Roman" w:hAnsi="Times New Roman"/>
          <w:sz w:val="20"/>
          <w:szCs w:val="20"/>
          <w:color w:val="auto"/>
        </w:rPr>
        <w:t>constitute a CFC and/or Indebtedness or accounts receivable owed by Foreign Subsidiaries that each constitute a CFC or are treated as owed by any such Foreign Subsidiaries for</w:t>
      </w:r>
    </w:p>
    <w:p>
      <w:pPr>
        <w:spacing w:after="0" w:line="1" w:lineRule="exact"/>
        <w:rPr>
          <w:sz w:val="20"/>
          <w:szCs w:val="20"/>
          <w:color w:val="auto"/>
        </w:rPr>
      </w:pPr>
    </w:p>
    <w:p>
      <w:pPr>
        <w:ind w:left="58"/>
        <w:spacing w:after="0"/>
        <w:rPr>
          <w:sz w:val="20"/>
          <w:szCs w:val="20"/>
          <w:color w:val="auto"/>
        </w:rPr>
      </w:pPr>
      <w:r>
        <w:rPr>
          <w:rFonts w:ascii="Times New Roman" w:cs="Times New Roman" w:eastAsia="Times New Roman" w:hAnsi="Times New Roman"/>
          <w:sz w:val="20"/>
          <w:szCs w:val="20"/>
          <w:color w:val="auto"/>
        </w:rPr>
        <w:t>U.S. federal income tax purposes.</w:t>
      </w:r>
    </w:p>
    <w:p>
      <w:pPr>
        <w:spacing w:after="0" w:line="200" w:lineRule="exact"/>
        <w:rPr>
          <w:sz w:val="20"/>
          <w:szCs w:val="20"/>
          <w:color w:val="auto"/>
        </w:rPr>
      </w:pPr>
    </w:p>
    <w:p>
      <w:pPr>
        <w:spacing w:after="0" w:line="300" w:lineRule="exact"/>
        <w:rPr>
          <w:sz w:val="20"/>
          <w:szCs w:val="20"/>
          <w:color w:val="auto"/>
        </w:rPr>
      </w:pPr>
    </w:p>
    <w:p>
      <w:pPr>
        <w:ind w:left="338"/>
        <w:spacing w:after="0"/>
        <w:rPr>
          <w:sz w:val="20"/>
          <w:szCs w:val="20"/>
          <w:color w:val="auto"/>
        </w:rPr>
      </w:pPr>
      <w:r>
        <w:rPr>
          <w:rFonts w:ascii="Times New Roman" w:cs="Times New Roman" w:eastAsia="Times New Roman" w:hAnsi="Times New Roman"/>
          <w:sz w:val="14"/>
          <w:szCs w:val="14"/>
          <w:color w:val="FF0000"/>
          <w:strike w:val="1"/>
        </w:rPr>
        <w:t>146960219_6</w:t>
      </w:r>
    </w:p>
    <w:p>
      <w:pPr>
        <w:spacing w:after="0" w:line="4" w:lineRule="exact"/>
        <w:rPr>
          <w:sz w:val="20"/>
          <w:szCs w:val="20"/>
          <w:color w:val="auto"/>
        </w:rPr>
      </w:pPr>
    </w:p>
    <w:p>
      <w:pPr>
        <w:ind w:left="338" w:hanging="338"/>
        <w:spacing w:after="0"/>
        <w:tabs>
          <w:tab w:leader="none" w:pos="338"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078"/>
          </w:cols>
          <w:pgMar w:left="382" w:top="1075" w:right="439" w:bottom="1440" w:gutter="0" w:footer="0" w:header="0"/>
        </w:sectPr>
      </w:pPr>
    </w:p>
    <w:bookmarkStart w:id="100" w:name="page101"/>
    <w:bookmarkEnd w:id="100"/>
    <w:p>
      <w:pPr>
        <w:ind w:left="678"/>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Change in Control</w:t>
      </w:r>
      <w:r>
        <w:rPr>
          <w:rFonts w:ascii="Times New Roman" w:cs="Times New Roman" w:eastAsia="Times New Roman" w:hAnsi="Times New Roman"/>
          <w:sz w:val="19"/>
          <w:szCs w:val="19"/>
          <w:color w:val="auto"/>
        </w:rPr>
        <w:t>” means an event or series of events by which (a) Centuri shall fail to own, directly or indirectly, and control (i)</w:t>
      </w:r>
    </w:p>
    <w:p>
      <w:pPr>
        <w:spacing w:after="0" w:line="6" w:lineRule="exact"/>
        <w:rPr>
          <w:sz w:val="20"/>
          <w:szCs w:val="20"/>
          <w:color w:val="auto"/>
        </w:rPr>
      </w:pPr>
    </w:p>
    <w:p>
      <w:pPr>
        <w:ind w:left="38"/>
        <w:spacing w:after="0" w:line="215" w:lineRule="auto"/>
        <w:rPr>
          <w:sz w:val="20"/>
          <w:szCs w:val="20"/>
          <w:color w:val="auto"/>
        </w:rPr>
      </w:pPr>
      <w:r>
        <w:rPr>
          <w:rFonts w:ascii="Times New Roman" w:cs="Times New Roman" w:eastAsia="Times New Roman" w:hAnsi="Times New Roman"/>
          <w:sz w:val="19"/>
          <w:szCs w:val="19"/>
          <w:color w:val="auto"/>
        </w:rPr>
        <w:t>one hundred percent (100%) on a fully diluted basis of the economic and voting Equity Interests of each US Borrower, and (ii) one hundred percent (100%) on a fully diluted basis of the economic and voting Equity Interests of Centuri Canada or (b) Southwest Gas shall</w:t>
      </w:r>
    </w:p>
    <w:p>
      <w:pPr>
        <w:ind w:left="38" w:right="20"/>
        <w:spacing w:after="0" w:line="228" w:lineRule="auto"/>
        <w:rPr>
          <w:sz w:val="20"/>
          <w:szCs w:val="20"/>
          <w:color w:val="auto"/>
        </w:rPr>
      </w:pPr>
      <w:r>
        <w:rPr>
          <w:rFonts w:ascii="Times New Roman" w:cs="Times New Roman" w:eastAsia="Times New Roman" w:hAnsi="Times New Roman"/>
          <w:sz w:val="20"/>
          <w:szCs w:val="20"/>
          <w:color w:val="auto"/>
        </w:rPr>
        <w:t>fail to own, directly or indirectly, and control at least fifty-one percent (51%) on a fully diluted basis of the economic and voting Equity Interests of each of the Borrowers.</w:t>
      </w:r>
    </w:p>
    <w:p>
      <w:pPr>
        <w:spacing w:after="0" w:line="170" w:lineRule="exact"/>
        <w:rPr>
          <w:sz w:val="20"/>
          <w:szCs w:val="20"/>
          <w:color w:val="auto"/>
        </w:rPr>
      </w:pPr>
    </w:p>
    <w:p>
      <w:pPr>
        <w:ind w:left="67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Change in Law</w:t>
      </w:r>
      <w:r>
        <w:rPr>
          <w:rFonts w:ascii="Times New Roman" w:cs="Times New Roman" w:eastAsia="Times New Roman" w:hAnsi="Times New Roman"/>
          <w:sz w:val="20"/>
          <w:szCs w:val="20"/>
          <w:color w:val="auto"/>
        </w:rPr>
        <w:t>” means the occurrence, after the date of this Agreement, of any of the following:</w:t>
      </w:r>
    </w:p>
    <w:p>
      <w:pPr>
        <w:jc w:val="both"/>
        <w:ind w:left="38" w:hanging="2"/>
        <w:spacing w:after="0" w:line="212" w:lineRule="auto"/>
        <w:tabs>
          <w:tab w:leader="none" w:pos="595"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notwithstanding anything herein to the contrary, (i) the Dodd-Frank Wall Street Reform and Consumer Protection Act and all requests, rules, guidelines or directives thereunder or issued in connection therewith and (ii)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implemented or issued.</w:t>
      </w:r>
    </w:p>
    <w:p>
      <w:pPr>
        <w:spacing w:after="0" w:line="189" w:lineRule="exact"/>
        <w:rPr>
          <w:sz w:val="20"/>
          <w:szCs w:val="20"/>
          <w:color w:val="auto"/>
        </w:rPr>
      </w:pPr>
    </w:p>
    <w:p>
      <w:pPr>
        <w:ind w:left="67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CIBC</w:t>
      </w:r>
      <w:r>
        <w:rPr>
          <w:rFonts w:ascii="Times New Roman" w:cs="Times New Roman" w:eastAsia="Times New Roman" w:hAnsi="Times New Roman"/>
          <w:sz w:val="20"/>
          <w:szCs w:val="20"/>
          <w:color w:val="auto"/>
        </w:rPr>
        <w:t>” means Canadian Imperial Bank of Commerce.</w:t>
      </w:r>
    </w:p>
    <w:p>
      <w:pPr>
        <w:spacing w:after="0" w:line="278" w:lineRule="exact"/>
        <w:rPr>
          <w:sz w:val="20"/>
          <w:szCs w:val="20"/>
          <w:color w:val="auto"/>
        </w:rPr>
      </w:pPr>
    </w:p>
    <w:p>
      <w:pPr>
        <w:ind w:left="67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Class</w:t>
      </w:r>
      <w:r>
        <w:rPr>
          <w:rFonts w:ascii="Times New Roman" w:cs="Times New Roman" w:eastAsia="Times New Roman" w:hAnsi="Times New Roman"/>
          <w:sz w:val="20"/>
          <w:szCs w:val="20"/>
          <w:color w:val="auto"/>
        </w:rPr>
        <w:t>” means (a) when used in reference to any Loan, whether such Loan is a Revolving Credit Loan, Swingline Loan, Term</w:t>
      </w:r>
    </w:p>
    <w:p>
      <w:pPr>
        <w:ind w:left="38"/>
        <w:spacing w:after="0" w:line="215" w:lineRule="auto"/>
        <w:rPr>
          <w:sz w:val="20"/>
          <w:szCs w:val="20"/>
          <w:color w:val="auto"/>
        </w:rPr>
      </w:pPr>
      <w:r>
        <w:rPr>
          <w:rFonts w:ascii="Times New Roman" w:cs="Times New Roman" w:eastAsia="Times New Roman" w:hAnsi="Times New Roman"/>
          <w:sz w:val="19"/>
          <w:szCs w:val="19"/>
          <w:color w:val="auto"/>
        </w:rPr>
        <w:t>Loan, Extended Term Loan, Extended Revolving Credit Loan, Refinancing Revolving Loan of a given Refinancing Series or Refinancing Term Loan of a given Refinancing Series, and (b) when used in reference to any Commitment, whether such Commitment is a Revolving</w:t>
      </w:r>
    </w:p>
    <w:p>
      <w:pPr>
        <w:ind w:left="38" w:right="20"/>
        <w:spacing w:after="0" w:line="228" w:lineRule="auto"/>
        <w:rPr>
          <w:sz w:val="20"/>
          <w:szCs w:val="20"/>
          <w:color w:val="auto"/>
        </w:rPr>
      </w:pPr>
      <w:r>
        <w:rPr>
          <w:rFonts w:ascii="Times New Roman" w:cs="Times New Roman" w:eastAsia="Times New Roman" w:hAnsi="Times New Roman"/>
          <w:sz w:val="20"/>
          <w:szCs w:val="20"/>
          <w:color w:val="auto"/>
        </w:rPr>
        <w:t>Credit Commitment, a Term Loan Commitment, an Extended Revolving Credit Commitment or Refinancing Revolving Credit Commitment of a given Refinancing Series.</w:t>
      </w:r>
    </w:p>
    <w:p>
      <w:pPr>
        <w:spacing w:after="0" w:line="176" w:lineRule="exact"/>
        <w:rPr>
          <w:sz w:val="20"/>
          <w:szCs w:val="20"/>
          <w:color w:val="auto"/>
        </w:rPr>
      </w:pPr>
    </w:p>
    <w:p>
      <w:pPr>
        <w:ind w:left="67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Closing Date</w:t>
      </w:r>
      <w:r>
        <w:rPr>
          <w:rFonts w:ascii="Times New Roman" w:cs="Times New Roman" w:eastAsia="Times New Roman" w:hAnsi="Times New Roman"/>
          <w:sz w:val="20"/>
          <w:szCs w:val="20"/>
          <w:color w:val="auto"/>
        </w:rPr>
        <w:t>” means the date of this Agreement.</w:t>
      </w:r>
    </w:p>
    <w:p>
      <w:pPr>
        <w:spacing w:after="0" w:line="297" w:lineRule="exact"/>
        <w:rPr>
          <w:sz w:val="20"/>
          <w:szCs w:val="20"/>
          <w:color w:val="auto"/>
        </w:rPr>
      </w:pPr>
    </w:p>
    <w:p>
      <w:pPr>
        <w:ind w:left="67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Code</w:t>
      </w:r>
      <w:r>
        <w:rPr>
          <w:rFonts w:ascii="Times New Roman" w:cs="Times New Roman" w:eastAsia="Times New Roman" w:hAnsi="Times New Roman"/>
          <w:sz w:val="20"/>
          <w:szCs w:val="20"/>
          <w:color w:val="auto"/>
        </w:rPr>
        <w:t>” means the United States Internal Revenue Code of 1986, and the rules and regulations promulgated thereunder.</w:t>
      </w:r>
    </w:p>
    <w:p>
      <w:pPr>
        <w:spacing w:after="0" w:line="229" w:lineRule="exact"/>
        <w:rPr>
          <w:sz w:val="20"/>
          <w:szCs w:val="20"/>
          <w:color w:val="auto"/>
        </w:rPr>
      </w:pPr>
    </w:p>
    <w:p>
      <w:pPr>
        <w:ind w:left="67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Collateral</w:t>
      </w:r>
      <w:r>
        <w:rPr>
          <w:rFonts w:ascii="Times New Roman" w:cs="Times New Roman" w:eastAsia="Times New Roman" w:hAnsi="Times New Roman"/>
          <w:sz w:val="20"/>
          <w:szCs w:val="20"/>
          <w:color w:val="auto"/>
        </w:rPr>
        <w:t>” means the collateral security for the Secured Obligations pledged or granted pursuant to the Security Documents.</w:t>
      </w:r>
    </w:p>
    <w:p>
      <w:pPr>
        <w:spacing w:after="0" w:line="229" w:lineRule="exact"/>
        <w:rPr>
          <w:sz w:val="20"/>
          <w:szCs w:val="20"/>
          <w:color w:val="auto"/>
        </w:rPr>
      </w:pPr>
    </w:p>
    <w:p>
      <w:pPr>
        <w:ind w:left="67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Commitment Fee</w:t>
      </w:r>
      <w:r>
        <w:rPr>
          <w:rFonts w:ascii="Times New Roman" w:cs="Times New Roman" w:eastAsia="Times New Roman" w:hAnsi="Times New Roman"/>
          <w:sz w:val="20"/>
          <w:szCs w:val="20"/>
          <w:color w:val="auto"/>
        </w:rPr>
        <w:t xml:space="preserve">” has the meaning assigned thereto in </w:t>
      </w:r>
      <w:r>
        <w:rPr>
          <w:rFonts w:ascii="Times New Roman" w:cs="Times New Roman" w:eastAsia="Times New Roman" w:hAnsi="Times New Roman"/>
          <w:sz w:val="20"/>
          <w:szCs w:val="20"/>
          <w:u w:val="single" w:color="auto"/>
          <w:color w:val="auto"/>
        </w:rPr>
        <w:t>Section 5.3(a)</w:t>
      </w:r>
      <w:r>
        <w:rPr>
          <w:rFonts w:ascii="Times New Roman" w:cs="Times New Roman" w:eastAsia="Times New Roman" w:hAnsi="Times New Roman"/>
          <w:sz w:val="20"/>
          <w:szCs w:val="20"/>
          <w:color w:val="auto"/>
        </w:rPr>
        <w:t>.</w:t>
      </w:r>
    </w:p>
    <w:p>
      <w:pPr>
        <w:spacing w:after="0" w:line="283" w:lineRule="exact"/>
        <w:rPr>
          <w:sz w:val="20"/>
          <w:szCs w:val="20"/>
          <w:color w:val="auto"/>
        </w:rPr>
      </w:pPr>
    </w:p>
    <w:p>
      <w:pPr>
        <w:ind w:left="38" w:right="5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Commitment Percentage</w:t>
      </w:r>
      <w:r>
        <w:rPr>
          <w:rFonts w:ascii="Times New Roman" w:cs="Times New Roman" w:eastAsia="Times New Roman" w:hAnsi="Times New Roman"/>
          <w:sz w:val="20"/>
          <w:szCs w:val="20"/>
          <w:color w:val="auto"/>
        </w:rPr>
        <w:t>” means, as to any Lender, such Lender’s Revolving Credit Commitment Percentage or Term Loan Percentage, as applicable.</w:t>
      </w:r>
    </w:p>
    <w:p>
      <w:pPr>
        <w:spacing w:after="0" w:line="186" w:lineRule="exact"/>
        <w:rPr>
          <w:sz w:val="20"/>
          <w:szCs w:val="20"/>
          <w:color w:val="auto"/>
        </w:rPr>
      </w:pPr>
    </w:p>
    <w:p>
      <w:pPr>
        <w:ind w:left="38" w:right="280" w:firstLine="648"/>
        <w:spacing w:after="0" w:line="23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Commitments</w:t>
      </w:r>
      <w:r>
        <w:rPr>
          <w:rFonts w:ascii="Times New Roman" w:cs="Times New Roman" w:eastAsia="Times New Roman" w:hAnsi="Times New Roman"/>
          <w:sz w:val="20"/>
          <w:szCs w:val="20"/>
          <w:color w:val="auto"/>
        </w:rPr>
        <w:t>” means, collectively, as to all Lenders, the Revolving Credit Commitments and the Term Loan Commitments of such Lenders.</w:t>
      </w:r>
    </w:p>
    <w:p>
      <w:pPr>
        <w:spacing w:after="0" w:line="201" w:lineRule="exact"/>
        <w:rPr>
          <w:sz w:val="20"/>
          <w:szCs w:val="20"/>
          <w:color w:val="auto"/>
        </w:rPr>
      </w:pPr>
    </w:p>
    <w:p>
      <w:pPr>
        <w:ind w:left="67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Commodity Exchange Act</w:t>
      </w:r>
      <w:r>
        <w:rPr>
          <w:rFonts w:ascii="Times New Roman" w:cs="Times New Roman" w:eastAsia="Times New Roman" w:hAnsi="Times New Roman"/>
          <w:sz w:val="20"/>
          <w:szCs w:val="20"/>
          <w:color w:val="auto"/>
        </w:rPr>
        <w:t>” means the Commodity Exchange Act (7 U.S.C. § 1 et seq.).</w:t>
      </w:r>
    </w:p>
    <w:p>
      <w:pPr>
        <w:spacing w:after="0" w:line="283" w:lineRule="exact"/>
        <w:rPr>
          <w:sz w:val="20"/>
          <w:szCs w:val="20"/>
          <w:color w:val="auto"/>
        </w:rPr>
      </w:pPr>
    </w:p>
    <w:p>
      <w:pPr>
        <w:ind w:left="38" w:right="104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Connection Income Taxes</w:t>
      </w:r>
      <w:r>
        <w:rPr>
          <w:rFonts w:ascii="Times New Roman" w:cs="Times New Roman" w:eastAsia="Times New Roman" w:hAnsi="Times New Roman"/>
          <w:sz w:val="20"/>
          <w:szCs w:val="20"/>
          <w:color w:val="auto"/>
        </w:rPr>
        <w:t>” means Other Connection Taxes that are imposed on or measured by net income (however denominated) or that are franchise Taxes or branch profits Taxes.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38"/>
        <w:spacing w:after="0"/>
        <w:rPr>
          <w:sz w:val="20"/>
          <w:szCs w:val="20"/>
          <w:color w:val="auto"/>
        </w:rPr>
      </w:pPr>
      <w:r>
        <w:rPr>
          <w:rFonts w:ascii="Times New Roman" w:cs="Times New Roman" w:eastAsia="Times New Roman" w:hAnsi="Times New Roman"/>
          <w:sz w:val="14"/>
          <w:szCs w:val="14"/>
          <w:color w:val="FF0000"/>
          <w:strike w:val="1"/>
        </w:rPr>
        <w:t>146960219_6</w:t>
      </w:r>
    </w:p>
    <w:p>
      <w:pPr>
        <w:spacing w:after="0" w:line="4" w:lineRule="exact"/>
        <w:rPr>
          <w:sz w:val="20"/>
          <w:szCs w:val="20"/>
          <w:color w:val="auto"/>
        </w:rPr>
      </w:pPr>
    </w:p>
    <w:p>
      <w:pPr>
        <w:ind w:left="338" w:hanging="338"/>
        <w:spacing w:after="0"/>
        <w:tabs>
          <w:tab w:leader="none" w:pos="338"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078"/>
          </w:cols>
          <w:pgMar w:left="382" w:top="1399" w:right="439" w:bottom="1440" w:gutter="0" w:footer="0" w:header="0"/>
        </w:sectPr>
      </w:pPr>
    </w:p>
    <w:bookmarkStart w:id="101" w:name="page102"/>
    <w:bookmarkEnd w:id="101"/>
    <w:p>
      <w:pPr>
        <w:ind w:left="58"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w:t>
      </w:r>
      <w:r>
        <w:rPr>
          <w:rFonts w:ascii="Times New Roman" w:cs="Times New Roman" w:eastAsia="Times New Roman" w:hAnsi="Times New Roman"/>
          <w:sz w:val="20"/>
          <w:szCs w:val="20"/>
          <w:color w:val="auto"/>
        </w:rPr>
        <w:t>” means, when used with reference to financial statements or financial statement items of any Person, such statements or items on a consolidated basis in accordance with applicable principles of consolidation under GAAP.</w:t>
      </w:r>
    </w:p>
    <w:p>
      <w:pPr>
        <w:spacing w:after="0" w:line="186" w:lineRule="exact"/>
        <w:rPr>
          <w:sz w:val="20"/>
          <w:szCs w:val="20"/>
          <w:color w:val="auto"/>
        </w:rPr>
      </w:pPr>
    </w:p>
    <w:p>
      <w:pPr>
        <w:ind w:left="69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Companies</w:t>
      </w:r>
      <w:r>
        <w:rPr>
          <w:rFonts w:ascii="Times New Roman" w:cs="Times New Roman" w:eastAsia="Times New Roman" w:hAnsi="Times New Roman"/>
          <w:sz w:val="20"/>
          <w:szCs w:val="20"/>
          <w:color w:val="auto"/>
        </w:rPr>
        <w:t>” means Centuri and its Subsidiaries.</w:t>
      </w:r>
    </w:p>
    <w:p>
      <w:pPr>
        <w:spacing w:after="0" w:line="270" w:lineRule="exact"/>
        <w:rPr>
          <w:sz w:val="20"/>
          <w:szCs w:val="20"/>
          <w:color w:val="auto"/>
        </w:rPr>
      </w:pPr>
    </w:p>
    <w:p>
      <w:pPr>
        <w:ind w:left="58"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EBITDA</w:t>
      </w:r>
      <w:r>
        <w:rPr>
          <w:rFonts w:ascii="Times New Roman" w:cs="Times New Roman" w:eastAsia="Times New Roman" w:hAnsi="Times New Roman"/>
          <w:sz w:val="20"/>
          <w:szCs w:val="20"/>
          <w:color w:val="auto"/>
        </w:rPr>
        <w:t>” means, for any period, the sum of the following determined on a Consolidated basis, without duplication, for the Consolidated Companies in accordance with GAAP:</w:t>
      </w:r>
    </w:p>
    <w:p>
      <w:pPr>
        <w:spacing w:after="0" w:line="188" w:lineRule="exact"/>
        <w:rPr>
          <w:sz w:val="20"/>
          <w:szCs w:val="20"/>
          <w:color w:val="auto"/>
        </w:rPr>
      </w:pPr>
    </w:p>
    <w:p>
      <w:pPr>
        <w:ind w:left="1878" w:hanging="528"/>
        <w:spacing w:after="0"/>
        <w:tabs>
          <w:tab w:leader="none" w:pos="1878" w:val="left"/>
        </w:tabs>
        <w:numPr>
          <w:ilvl w:val="2"/>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Consolidated Net Income for such period </w:t>
      </w:r>
      <w:r>
        <w:rPr>
          <w:rFonts w:ascii="Times New Roman" w:cs="Times New Roman" w:eastAsia="Times New Roman" w:hAnsi="Times New Roman"/>
          <w:sz w:val="20"/>
          <w:szCs w:val="20"/>
          <w:u w:val="single" w:color="auto"/>
          <w:color w:val="auto"/>
        </w:rPr>
        <w:t>plus</w:t>
      </w:r>
    </w:p>
    <w:p>
      <w:pPr>
        <w:spacing w:after="0" w:line="283" w:lineRule="exact"/>
        <w:rPr>
          <w:rFonts w:ascii="Times New Roman" w:cs="Times New Roman" w:eastAsia="Times New Roman" w:hAnsi="Times New Roman"/>
          <w:sz w:val="20"/>
          <w:szCs w:val="20"/>
          <w:color w:val="auto"/>
        </w:rPr>
      </w:pPr>
    </w:p>
    <w:p>
      <w:pPr>
        <w:ind w:left="58" w:right="220" w:firstLine="644"/>
        <w:spacing w:after="0"/>
        <w:tabs>
          <w:tab w:leader="none" w:pos="1235"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sum of the following, without duplication, to the extent deducted in determining Consolidated Net Income (other than as set forth in clause (b)(x)(B)) for such period:</w:t>
      </w:r>
    </w:p>
    <w:p>
      <w:pPr>
        <w:spacing w:after="0" w:line="188" w:lineRule="exact"/>
        <w:rPr>
          <w:rFonts w:ascii="Times New Roman" w:cs="Times New Roman" w:eastAsia="Times New Roman" w:hAnsi="Times New Roman"/>
          <w:sz w:val="20"/>
          <w:szCs w:val="20"/>
          <w:color w:val="auto"/>
        </w:rPr>
      </w:pPr>
    </w:p>
    <w:p>
      <w:pPr>
        <w:ind w:left="1878" w:hanging="528"/>
        <w:spacing w:after="0"/>
        <w:tabs>
          <w:tab w:leader="none" w:pos="1878" w:val="left"/>
        </w:tabs>
        <w:numPr>
          <w:ilvl w:val="2"/>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income and franchise taxes,</w:t>
      </w:r>
    </w:p>
    <w:p>
      <w:pPr>
        <w:spacing w:after="0" w:line="215" w:lineRule="exact"/>
        <w:rPr>
          <w:rFonts w:ascii="Times New Roman" w:cs="Times New Roman" w:eastAsia="Times New Roman" w:hAnsi="Times New Roman"/>
          <w:sz w:val="20"/>
          <w:szCs w:val="20"/>
          <w:color w:val="auto"/>
        </w:rPr>
      </w:pPr>
    </w:p>
    <w:p>
      <w:pPr>
        <w:ind w:left="1998" w:hanging="648"/>
        <w:spacing w:after="0"/>
        <w:tabs>
          <w:tab w:leader="none" w:pos="1998" w:val="left"/>
        </w:tabs>
        <w:numPr>
          <w:ilvl w:val="2"/>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Consolidated Interest Expense,</w:t>
      </w:r>
    </w:p>
    <w:p>
      <w:pPr>
        <w:spacing w:after="0" w:line="229" w:lineRule="exact"/>
        <w:rPr>
          <w:rFonts w:ascii="Times New Roman" w:cs="Times New Roman" w:eastAsia="Times New Roman" w:hAnsi="Times New Roman"/>
          <w:sz w:val="20"/>
          <w:szCs w:val="20"/>
          <w:color w:val="auto"/>
        </w:rPr>
      </w:pPr>
    </w:p>
    <w:p>
      <w:pPr>
        <w:jc w:val="both"/>
        <w:ind w:left="698" w:firstLine="652"/>
        <w:spacing w:after="0" w:line="222" w:lineRule="auto"/>
        <w:tabs>
          <w:tab w:leader="none" w:pos="1886" w:val="left"/>
        </w:tabs>
        <w:numPr>
          <w:ilvl w:val="2"/>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amortization (including, for the avoidance of doubt, impairment charges, and amortization of goodwill and intangible assets acquired or arising from a business acquisition, regardless of whether presented as a separate line item or included in other book entries), depreciation and other non-cash charges (except to the extent that such non-cash charges are reserved for cash charges to be taken in the future), including any non-cash equity based compensation expense,</w:t>
      </w:r>
    </w:p>
    <w:p>
      <w:pPr>
        <w:spacing w:after="0" w:line="188" w:lineRule="exact"/>
        <w:rPr>
          <w:rFonts w:ascii="Times New Roman" w:cs="Times New Roman" w:eastAsia="Times New Roman" w:hAnsi="Times New Roman"/>
          <w:sz w:val="20"/>
          <w:szCs w:val="20"/>
          <w:color w:val="auto"/>
        </w:rPr>
      </w:pPr>
    </w:p>
    <w:p>
      <w:pPr>
        <w:ind w:left="698" w:right="20" w:firstLine="652"/>
        <w:spacing w:after="0" w:line="233" w:lineRule="auto"/>
        <w:tabs>
          <w:tab w:leader="none" w:pos="1875" w:val="left"/>
        </w:tabs>
        <w:numPr>
          <w:ilvl w:val="3"/>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non-recurring expenses and restructuring charges reducing Consolidated Net Income which do not represent a cash item in such period,</w:t>
      </w:r>
    </w:p>
    <w:p>
      <w:pPr>
        <w:spacing w:after="0" w:line="201" w:lineRule="exact"/>
        <w:rPr>
          <w:rFonts w:ascii="Times New Roman" w:cs="Times New Roman" w:eastAsia="Times New Roman" w:hAnsi="Times New Roman"/>
          <w:sz w:val="20"/>
          <w:szCs w:val="20"/>
          <w:color w:val="auto"/>
        </w:rPr>
      </w:pPr>
    </w:p>
    <w:p>
      <w:pPr>
        <w:ind w:left="1978" w:hanging="628"/>
        <w:spacing w:after="0"/>
        <w:tabs>
          <w:tab w:leader="none" w:pos="1978" w:val="left"/>
        </w:tabs>
        <w:numPr>
          <w:ilvl w:val="3"/>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one-time fees and expenses in connection with the Drum Acquisition,</w:t>
      </w:r>
    </w:p>
    <w:p>
      <w:pPr>
        <w:spacing w:after="0" w:line="215" w:lineRule="exact"/>
        <w:rPr>
          <w:rFonts w:ascii="Times New Roman" w:cs="Times New Roman" w:eastAsia="Times New Roman" w:hAnsi="Times New Roman"/>
          <w:sz w:val="20"/>
          <w:szCs w:val="20"/>
          <w:color w:val="auto"/>
        </w:rPr>
      </w:pPr>
    </w:p>
    <w:p>
      <w:pPr>
        <w:ind w:left="698" w:right="20" w:firstLine="652"/>
        <w:spacing w:after="0" w:line="233" w:lineRule="auto"/>
        <w:tabs>
          <w:tab w:leader="none" w:pos="1875" w:val="left"/>
        </w:tabs>
        <w:numPr>
          <w:ilvl w:val="3"/>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unrealized losses resulting from mark to market accounting for hedging activities, including, without limitation those resulting from the application of FASB Accounting Standards Codification 815,</w:t>
      </w:r>
    </w:p>
    <w:p>
      <w:pPr>
        <w:spacing w:after="0" w:line="201" w:lineRule="exact"/>
        <w:rPr>
          <w:rFonts w:ascii="Times New Roman" w:cs="Times New Roman" w:eastAsia="Times New Roman" w:hAnsi="Times New Roman"/>
          <w:sz w:val="20"/>
          <w:szCs w:val="20"/>
          <w:color w:val="auto"/>
        </w:rPr>
      </w:pPr>
    </w:p>
    <w:p>
      <w:pPr>
        <w:ind w:left="1878" w:hanging="528"/>
        <w:spacing w:after="0"/>
        <w:tabs>
          <w:tab w:leader="none" w:pos="1878" w:val="left"/>
        </w:tabs>
        <w:numPr>
          <w:ilvl w:val="3"/>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unrealized non-cash losses resulting from foreign currency balance sheet adjustments required by GAAP,</w:t>
      </w:r>
    </w:p>
    <w:p>
      <w:pPr>
        <w:spacing w:after="0" w:line="242" w:lineRule="exact"/>
        <w:rPr>
          <w:rFonts w:ascii="Times New Roman" w:cs="Times New Roman" w:eastAsia="Times New Roman" w:hAnsi="Times New Roman"/>
          <w:sz w:val="20"/>
          <w:szCs w:val="20"/>
          <w:color w:val="auto"/>
        </w:rPr>
      </w:pPr>
    </w:p>
    <w:p>
      <w:pPr>
        <w:ind w:left="698" w:firstLine="651"/>
        <w:spacing w:after="0" w:line="215" w:lineRule="auto"/>
        <w:tabs>
          <w:tab w:leader="none" w:pos="1877" w:val="left"/>
        </w:tabs>
        <w:numPr>
          <w:ilvl w:val="3"/>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transaction fees, charges and other amounts related to this Agreement and any amendment or other modification to the Loan Documents, in each case to the extent paid within six</w:t>
      </w:r>
    </w:p>
    <w:p>
      <w:pPr>
        <w:spacing w:after="0" w:line="1" w:lineRule="exact"/>
        <w:rPr>
          <w:rFonts w:ascii="Times New Roman" w:cs="Times New Roman" w:eastAsia="Times New Roman" w:hAnsi="Times New Roman"/>
          <w:sz w:val="20"/>
          <w:szCs w:val="20"/>
          <w:color w:val="auto"/>
        </w:rPr>
      </w:pPr>
    </w:p>
    <w:p>
      <w:pPr>
        <w:ind w:left="978" w:hanging="277"/>
        <w:spacing w:after="0"/>
        <w:tabs>
          <w:tab w:leader="none" w:pos="978"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months of the Closing Date or the effectiveness of such amendment or other modification,</w:t>
      </w:r>
    </w:p>
    <w:p>
      <w:pPr>
        <w:spacing w:after="0" w:line="193" w:lineRule="exact"/>
        <w:rPr>
          <w:rFonts w:ascii="Times New Roman" w:cs="Times New Roman" w:eastAsia="Times New Roman" w:hAnsi="Times New Roman"/>
          <w:sz w:val="20"/>
          <w:szCs w:val="20"/>
          <w:color w:val="auto"/>
        </w:rPr>
      </w:pPr>
    </w:p>
    <w:p>
      <w:pPr>
        <w:jc w:val="both"/>
        <w:ind w:left="698" w:firstLine="651"/>
        <w:spacing w:after="0" w:line="215" w:lineRule="auto"/>
        <w:tabs>
          <w:tab w:leader="none" w:pos="1875" w:val="left"/>
        </w:tabs>
        <w:numPr>
          <w:ilvl w:val="3"/>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transaction fees, charges and other amounts (including any financing fees, merger and acquisition fees, legal fees and expenses, due diligence fees or any other fees and expenses in connection therewith) in connection with any Permitted Acquisition, Investment, disposition, issuance or repurchase of Equity Interests, or the incurrence, amendment or waiver of Indebtedness permitted hereunder (other than those related to the Transactions or with respect to any amendment or modification of the Loan Documents), in each case, whether or not consummated, in each case to the extent paid within six (6) months of the closing or effectiveness of such event or the termination or abandonment of such transaction, as the case may be;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aggregate amount added pursuant to this clause (b)(ix) taken together with the aggregate amount added pursuant to clause (b)(x) for any four quarter period shall in no event exceed twenty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38"/>
        <w:spacing w:after="0"/>
        <w:rPr>
          <w:sz w:val="20"/>
          <w:szCs w:val="20"/>
          <w:color w:val="auto"/>
        </w:rPr>
      </w:pPr>
      <w:r>
        <w:rPr>
          <w:rFonts w:ascii="Times New Roman" w:cs="Times New Roman" w:eastAsia="Times New Roman" w:hAnsi="Times New Roman"/>
          <w:sz w:val="14"/>
          <w:szCs w:val="14"/>
          <w:color w:val="FF0000"/>
          <w:strike w:val="1"/>
        </w:rPr>
        <w:t>146960219_6</w:t>
      </w:r>
    </w:p>
    <w:p>
      <w:pPr>
        <w:spacing w:after="0" w:line="4" w:lineRule="exact"/>
        <w:rPr>
          <w:sz w:val="20"/>
          <w:szCs w:val="20"/>
          <w:color w:val="auto"/>
        </w:rPr>
      </w:pPr>
    </w:p>
    <w:p>
      <w:pPr>
        <w:ind w:left="338" w:hanging="338"/>
        <w:spacing w:after="0"/>
        <w:tabs>
          <w:tab w:leader="none" w:pos="338"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078"/>
          </w:cols>
          <w:pgMar w:left="382" w:top="1413" w:right="439" w:bottom="1440" w:gutter="0" w:footer="0" w:header="0"/>
        </w:sectPr>
      </w:pPr>
    </w:p>
    <w:bookmarkStart w:id="102" w:name="page103"/>
    <w:bookmarkEnd w:id="102"/>
    <w:p>
      <w:pPr>
        <w:ind w:left="720" w:right="40"/>
        <w:spacing w:after="0"/>
        <w:rPr>
          <w:sz w:val="20"/>
          <w:szCs w:val="20"/>
          <w:color w:val="auto"/>
        </w:rPr>
      </w:pPr>
      <w:r>
        <w:rPr>
          <w:rFonts w:ascii="Times New Roman" w:cs="Times New Roman" w:eastAsia="Times New Roman" w:hAnsi="Times New Roman"/>
          <w:sz w:val="20"/>
          <w:szCs w:val="20"/>
          <w:color w:val="auto"/>
        </w:rPr>
        <w:t>percent (20%) of Consolidated EBITDA for such period (calculated prior to any such add-backs pursuant to clauses (b)(ix) and (b) (x)),</w:t>
      </w:r>
    </w:p>
    <w:p>
      <w:pPr>
        <w:spacing w:after="0" w:line="188" w:lineRule="exact"/>
        <w:rPr>
          <w:sz w:val="20"/>
          <w:szCs w:val="20"/>
          <w:color w:val="auto"/>
        </w:rPr>
      </w:pPr>
    </w:p>
    <w:p>
      <w:pPr>
        <w:jc w:val="both"/>
        <w:ind w:left="720" w:firstLine="652"/>
        <w:spacing w:after="0" w:line="219" w:lineRule="auto"/>
        <w:tabs>
          <w:tab w:leader="none" w:pos="1906" w:val="left"/>
        </w:tabs>
        <w:numPr>
          <w:ilvl w:val="2"/>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 other unusual and non-recurring cash expenses or charges, (B) the amount of any “run rate” synergies, operating expense reductions and other net cost savings and integration costs, in each case projected by the Borrowers in connection with Permitted Acquisitions, Asset Dispositions (including the termination or discontinuance of activities constituting such business) and/or other operating improvement, restructuring, cost savings initiative or other similar initiative taken after the Closing Date that have been consummated during the applicable period (calculated on a Pro Forma Basis as though such synergies, expense reductions and cost savings had been realized on the first day of the period for which Consolidated EBITDA is being determined), net of the amount of actual benefits realized during such period from such actions and (C) solely during the period from June 30, 2021 through December 31, 2022, the amount of projected EBITDA relating to the fourteen Exelon and Avangrid Master Services Agreements awarded in 2020 in an amount equal to $14,300,000 </w:t>
      </w:r>
      <w:r>
        <w:rPr>
          <w:rFonts w:ascii="Times New Roman" w:cs="Times New Roman" w:eastAsia="Times New Roman" w:hAnsi="Times New Roman"/>
          <w:sz w:val="19"/>
          <w:szCs w:val="19"/>
          <w:u w:val="single" w:color="auto"/>
          <w:color w:val="auto"/>
        </w:rPr>
        <w:t>less</w:t>
      </w:r>
      <w:r>
        <w:rPr>
          <w:rFonts w:ascii="Times New Roman" w:cs="Times New Roman" w:eastAsia="Times New Roman" w:hAnsi="Times New Roman"/>
          <w:sz w:val="19"/>
          <w:szCs w:val="19"/>
          <w:color w:val="auto"/>
        </w:rPr>
        <w:t xml:space="preserve"> the cumulative amount of actual EBITDA relating to such agreements after June 30, 2021);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such synergies, expense reductions and cost savings are reasonably identifiable, factually supportable, expected to have a continuing impact on the operations of the Combined Companies and have been determined by the Borrowers in good faith to be reasonably anticipated to be realizable within eighteen</w:t>
      </w:r>
    </w:p>
    <w:p>
      <w:pPr>
        <w:spacing w:after="0" w:line="5" w:lineRule="exact"/>
        <w:rPr>
          <w:rFonts w:ascii="Times New Roman" w:cs="Times New Roman" w:eastAsia="Times New Roman" w:hAnsi="Times New Roman"/>
          <w:sz w:val="19"/>
          <w:szCs w:val="19"/>
          <w:color w:val="auto"/>
        </w:rPr>
      </w:pPr>
    </w:p>
    <w:p>
      <w:pPr>
        <w:jc w:val="both"/>
        <w:ind w:left="720" w:firstLine="4"/>
        <w:spacing w:after="0" w:line="212" w:lineRule="auto"/>
        <w:tabs>
          <w:tab w:leader="none" w:pos="1136" w:val="left"/>
        </w:tabs>
        <w:numPr>
          <w:ilvl w:val="1"/>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months following any such action as set forth in reasonable detail on a certificate of a Responsible Officer of Centuri delivered to the Administrative Agent, (ii) no such amounts shall be added pursuant to this clause to the extent duplicative of any expenses or charges otherwise added to Consolidated EBITDA, whether through a pro forma adjustment, the definition of Pro Forma Basis or otherwise and (iii) the aggregate amount added pursuant to this clause (b)(x) taken together with the aggregate amount added pursuant to clause (b)(ix) for any four quarter period shall in no event exceed twenty percent (20%) of Consolidated EBITDA for such period (calculated prior to any such add-backs pursuant to clauses (b)(ix) and (b)(x)), </w:t>
      </w:r>
      <w:r>
        <w:rPr>
          <w:rFonts w:ascii="Times New Roman" w:cs="Times New Roman" w:eastAsia="Times New Roman" w:hAnsi="Times New Roman"/>
          <w:sz w:val="20"/>
          <w:szCs w:val="20"/>
          <w:u w:val="single" w:color="auto"/>
          <w:color w:val="auto"/>
        </w:rPr>
        <w:t>less</w:t>
      </w:r>
    </w:p>
    <w:p>
      <w:pPr>
        <w:spacing w:after="0" w:line="252" w:lineRule="exact"/>
        <w:rPr>
          <w:rFonts w:ascii="Times New Roman" w:cs="Times New Roman" w:eastAsia="Times New Roman" w:hAnsi="Times New Roman"/>
          <w:sz w:val="20"/>
          <w:szCs w:val="20"/>
          <w:color w:val="auto"/>
        </w:rPr>
      </w:pPr>
    </w:p>
    <w:p>
      <w:pPr>
        <w:ind w:left="1260" w:hanging="536"/>
        <w:spacing w:after="0"/>
        <w:tabs>
          <w:tab w:leader="none" w:pos="126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sum of the following, without duplication, to the extent included in determining Consolidated Net Income for such</w:t>
      </w:r>
    </w:p>
    <w:p>
      <w:pPr>
        <w:ind w:left="80"/>
        <w:spacing w:after="0"/>
        <w:rPr>
          <w:sz w:val="20"/>
          <w:szCs w:val="20"/>
          <w:color w:val="auto"/>
        </w:rPr>
      </w:pPr>
      <w:r>
        <w:rPr>
          <w:rFonts w:ascii="Times New Roman" w:cs="Times New Roman" w:eastAsia="Times New Roman" w:hAnsi="Times New Roman"/>
          <w:sz w:val="20"/>
          <w:szCs w:val="20"/>
          <w:color w:val="auto"/>
        </w:rPr>
        <w:t>period:</w:t>
      </w:r>
    </w:p>
    <w:p>
      <w:pPr>
        <w:spacing w:after="0" w:line="194" w:lineRule="exact"/>
        <w:rPr>
          <w:sz w:val="20"/>
          <w:szCs w:val="20"/>
          <w:color w:val="auto"/>
        </w:rPr>
      </w:pPr>
    </w:p>
    <w:p>
      <w:pPr>
        <w:ind w:left="1900" w:hanging="528"/>
        <w:spacing w:after="0"/>
        <w:tabs>
          <w:tab w:leader="none" w:pos="190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interest income,</w:t>
      </w:r>
    </w:p>
    <w:p>
      <w:pPr>
        <w:spacing w:after="0" w:line="215" w:lineRule="exact"/>
        <w:rPr>
          <w:rFonts w:ascii="Times New Roman" w:cs="Times New Roman" w:eastAsia="Times New Roman" w:hAnsi="Times New Roman"/>
          <w:sz w:val="20"/>
          <w:szCs w:val="20"/>
          <w:color w:val="auto"/>
        </w:rPr>
      </w:pPr>
    </w:p>
    <w:p>
      <w:pPr>
        <w:ind w:left="2000" w:hanging="628"/>
        <w:spacing w:after="0"/>
        <w:tabs>
          <w:tab w:leader="none" w:pos="200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unusual or non-recurring gains,</w:t>
      </w:r>
    </w:p>
    <w:p>
      <w:pPr>
        <w:spacing w:after="0" w:line="215" w:lineRule="exact"/>
        <w:rPr>
          <w:rFonts w:ascii="Times New Roman" w:cs="Times New Roman" w:eastAsia="Times New Roman" w:hAnsi="Times New Roman"/>
          <w:sz w:val="20"/>
          <w:szCs w:val="20"/>
          <w:color w:val="auto"/>
        </w:rPr>
      </w:pPr>
    </w:p>
    <w:p>
      <w:pPr>
        <w:ind w:left="2000" w:hanging="629"/>
        <w:spacing w:after="0"/>
        <w:tabs>
          <w:tab w:leader="none" w:pos="200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unrealized gains for items set forth in the foregoing clauses (b)(vi) and (vii),</w:t>
      </w:r>
    </w:p>
    <w:p>
      <w:pPr>
        <w:spacing w:after="0" w:line="229" w:lineRule="exact"/>
        <w:rPr>
          <w:rFonts w:ascii="Times New Roman" w:cs="Times New Roman" w:eastAsia="Times New Roman" w:hAnsi="Times New Roman"/>
          <w:sz w:val="20"/>
          <w:szCs w:val="20"/>
          <w:color w:val="auto"/>
        </w:rPr>
      </w:pPr>
    </w:p>
    <w:p>
      <w:pPr>
        <w:ind w:left="2000" w:hanging="629"/>
        <w:spacing w:after="0"/>
        <w:tabs>
          <w:tab w:leader="none" w:pos="200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non-cash gains or non-cash items increasing Consolidated Net Income, and</w:t>
      </w:r>
    </w:p>
    <w:p>
      <w:pPr>
        <w:spacing w:after="0" w:line="229" w:lineRule="exact"/>
        <w:rPr>
          <w:rFonts w:ascii="Times New Roman" w:cs="Times New Roman" w:eastAsia="Times New Roman" w:hAnsi="Times New Roman"/>
          <w:sz w:val="20"/>
          <w:szCs w:val="20"/>
          <w:color w:val="auto"/>
        </w:rPr>
      </w:pPr>
    </w:p>
    <w:p>
      <w:pPr>
        <w:jc w:val="both"/>
        <w:ind w:left="720" w:firstLine="651"/>
        <w:spacing w:after="0" w:line="254" w:lineRule="auto"/>
        <w:tabs>
          <w:tab w:leader="none" w:pos="1901"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cash expense made during such period which represents the reversal of any non-cash expense that was added in a prior period pursuant to clause (b)(iii) above subsequent to the fiscal quarter in which the relevant non-cash expenses, charges or losses were incurred.</w:t>
      </w:r>
    </w:p>
    <w:p>
      <w:pPr>
        <w:spacing w:after="0" w:line="10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For purposes of this Agreement, Consolidated EBITDA shall be adjusted on a Pro Forma Basis. Notwithstanding the foregoing,</w:t>
      </w:r>
    </w:p>
    <w:p>
      <w:pPr>
        <w:spacing w:after="0" w:line="21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Consolidated EBITDA for the fiscal quarters ending September 30,</w:t>
      </w:r>
    </w:p>
    <w:p>
      <w:pPr>
        <w:spacing w:after="0" w:line="81" w:lineRule="exact"/>
        <w:rPr>
          <w:sz w:val="20"/>
          <w:szCs w:val="20"/>
          <w:color w:val="auto"/>
        </w:rPr>
      </w:pPr>
    </w:p>
    <w:p>
      <w:pPr>
        <w:ind w:left="80" w:right="2800"/>
        <w:spacing w:after="0" w:line="233" w:lineRule="auto"/>
        <w:rPr>
          <w:sz w:val="20"/>
          <w:szCs w:val="20"/>
          <w:color w:val="auto"/>
        </w:rPr>
      </w:pPr>
      <w:r>
        <w:rPr>
          <w:rFonts w:ascii="Times New Roman" w:cs="Times New Roman" w:eastAsia="Times New Roman" w:hAnsi="Times New Roman"/>
          <w:sz w:val="20"/>
          <w:szCs w:val="20"/>
          <w:color w:val="auto"/>
        </w:rPr>
        <w:t xml:space="preserve">2020, January 3, 2021, April 4, 2021 and July 4, 2021 shall be the amounts corresponding to such fiscal quarters set forth on </w:t>
      </w:r>
      <w:r>
        <w:rPr>
          <w:rFonts w:ascii="Times New Roman" w:cs="Times New Roman" w:eastAsia="Times New Roman" w:hAnsi="Times New Roman"/>
          <w:sz w:val="20"/>
          <w:szCs w:val="20"/>
          <w:u w:val="single" w:color="auto"/>
          <w:color w:val="auto"/>
        </w:rPr>
        <w:t>Schedule 1.1(c)</w:t>
      </w:r>
      <w:r>
        <w:rPr>
          <w:rFonts w:ascii="Times New Roman" w:cs="Times New Roman" w:eastAsia="Times New Roman" w:hAnsi="Times New Roman"/>
          <w:sz w:val="20"/>
          <w:szCs w:val="20"/>
          <w:color w:val="auto"/>
        </w:rPr>
        <w:t>.</w:t>
      </w:r>
    </w:p>
    <w:p>
      <w:pPr>
        <w:spacing w:after="0" w:line="255" w:lineRule="exact"/>
        <w:rPr>
          <w:sz w:val="20"/>
          <w:szCs w:val="20"/>
          <w:color w:val="auto"/>
        </w:rPr>
      </w:pPr>
    </w:p>
    <w:p>
      <w:pPr>
        <w:ind w:left="80" w:right="400"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Funded Indebtedness</w:t>
      </w:r>
      <w:r>
        <w:rPr>
          <w:rFonts w:ascii="Times New Roman" w:cs="Times New Roman" w:eastAsia="Times New Roman" w:hAnsi="Times New Roman"/>
          <w:sz w:val="20"/>
          <w:szCs w:val="20"/>
          <w:color w:val="auto"/>
        </w:rPr>
        <w:t>” means, as of any date of determination with respect to the Consolidated Companies on a Consolidated basis, without duplication, the sum of all Indebtedness (other</w:t>
      </w:r>
    </w:p>
    <w:p>
      <w:pPr>
        <w:spacing w:after="0" w:line="25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20</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146960219_6</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100"/>
          </w:cols>
          <w:pgMar w:left="360" w:top="1399" w:right="439" w:bottom="1440" w:gutter="0" w:footer="0" w:header="0"/>
        </w:sectPr>
      </w:pPr>
    </w:p>
    <w:bookmarkStart w:id="103" w:name="page104"/>
    <w:bookmarkEnd w:id="103"/>
    <w:p>
      <w:pPr>
        <w:ind w:left="60"/>
        <w:spacing w:after="0"/>
        <w:rPr>
          <w:sz w:val="20"/>
          <w:szCs w:val="20"/>
          <w:color w:val="auto"/>
        </w:rPr>
      </w:pPr>
      <w:r>
        <w:rPr>
          <w:rFonts w:ascii="Times New Roman" w:cs="Times New Roman" w:eastAsia="Times New Roman" w:hAnsi="Times New Roman"/>
          <w:sz w:val="20"/>
          <w:szCs w:val="20"/>
          <w:color w:val="auto"/>
        </w:rPr>
        <w:t>than Indebtedness in respect of obligations under any undrawn letter of credit) of the Consolidated Companies.</w:t>
      </w:r>
    </w:p>
    <w:p>
      <w:pPr>
        <w:spacing w:after="0" w:line="216" w:lineRule="exact"/>
        <w:rPr>
          <w:sz w:val="20"/>
          <w:szCs w:val="20"/>
          <w:color w:val="auto"/>
        </w:rPr>
      </w:pPr>
    </w:p>
    <w:p>
      <w:pPr>
        <w:jc w:val="both"/>
        <w:ind w:left="60" w:firstLine="648"/>
        <w:spacing w:after="0" w:line="23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Interest Coverage Ratio</w:t>
      </w:r>
      <w:r>
        <w:rPr>
          <w:rFonts w:ascii="Times New Roman" w:cs="Times New Roman" w:eastAsia="Times New Roman" w:hAnsi="Times New Roman"/>
          <w:sz w:val="20"/>
          <w:szCs w:val="20"/>
          <w:color w:val="auto"/>
        </w:rPr>
        <w:t>” means, as of any date of determination, determined on a Consolidated basis, without duplication, for the Consolidated Companies in accordance with GAAP: the ratio of (a) Consolidated EBITDA for the period of four (4) consecutive fiscal quarters ending on such date to (b) Consolidated Interest Expense for such period.</w:t>
      </w:r>
    </w:p>
    <w:p>
      <w:pPr>
        <w:spacing w:after="0" w:line="189" w:lineRule="exact"/>
        <w:rPr>
          <w:sz w:val="20"/>
          <w:szCs w:val="20"/>
          <w:color w:val="auto"/>
        </w:rPr>
      </w:pPr>
    </w:p>
    <w:p>
      <w:pPr>
        <w:jc w:val="both"/>
        <w:ind w:left="60" w:firstLine="648"/>
        <w:spacing w:after="0" w:line="21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Interest Expense</w:t>
      </w:r>
      <w:r>
        <w:rPr>
          <w:rFonts w:ascii="Times New Roman" w:cs="Times New Roman" w:eastAsia="Times New Roman" w:hAnsi="Times New Roman"/>
          <w:sz w:val="20"/>
          <w:szCs w:val="20"/>
          <w:color w:val="auto"/>
        </w:rPr>
        <w:t>” means, for any period, the sum of the following determined on a Consolidated basis, without duplication, for the Consolidated Companies in accordance with GAAP, interest expense (including, without limitation, interest expense</w:t>
      </w:r>
    </w:p>
    <w:p>
      <w:pPr>
        <w:ind w:left="60"/>
        <w:spacing w:after="0" w:line="212" w:lineRule="auto"/>
        <w:rPr>
          <w:sz w:val="20"/>
          <w:szCs w:val="20"/>
          <w:color w:val="auto"/>
        </w:rPr>
      </w:pPr>
      <w:r>
        <w:rPr>
          <w:rFonts w:ascii="Times New Roman" w:cs="Times New Roman" w:eastAsia="Times New Roman" w:hAnsi="Times New Roman"/>
          <w:sz w:val="20"/>
          <w:szCs w:val="20"/>
          <w:color w:val="auto"/>
        </w:rPr>
        <w:t>attributable to Capital Lease Obligations and all net payment obligations pursuant to Hedge Agreements) for such period. For purposes of</w:t>
      </w:r>
    </w:p>
    <w:p>
      <w:pPr>
        <w:spacing w:after="0" w:line="1" w:lineRule="exact"/>
        <w:rPr>
          <w:sz w:val="20"/>
          <w:szCs w:val="20"/>
          <w:color w:val="auto"/>
        </w:rPr>
      </w:pPr>
    </w:p>
    <w:p>
      <w:pPr>
        <w:jc w:val="both"/>
        <w:ind w:left="60"/>
        <w:spacing w:after="0" w:line="204" w:lineRule="auto"/>
        <w:rPr>
          <w:sz w:val="20"/>
          <w:szCs w:val="20"/>
          <w:color w:val="auto"/>
        </w:rPr>
      </w:pPr>
      <w:r>
        <w:rPr>
          <w:rFonts w:ascii="Times New Roman" w:cs="Times New Roman" w:eastAsia="Times New Roman" w:hAnsi="Times New Roman"/>
          <w:sz w:val="20"/>
          <w:szCs w:val="20"/>
          <w:color w:val="auto"/>
        </w:rPr>
        <w:t>this Agreement, Consolidated Interest Expense shall be adjusted on a Pro Forma Basis. Notwithstanding the foregoing, Consolidated Interest Expense for the period of four (4) consecutive fiscal quarters ending on September 30, 2021, December 31, 2021 and March 31,</w:t>
      </w:r>
    </w:p>
    <w:p>
      <w:pPr>
        <w:ind w:left="60"/>
        <w:spacing w:after="0" w:line="223" w:lineRule="auto"/>
        <w:rPr>
          <w:sz w:val="20"/>
          <w:szCs w:val="20"/>
          <w:color w:val="auto"/>
        </w:rPr>
      </w:pPr>
      <w:r>
        <w:rPr>
          <w:rFonts w:ascii="Times New Roman" w:cs="Times New Roman" w:eastAsia="Times New Roman" w:hAnsi="Times New Roman"/>
          <w:sz w:val="19"/>
          <w:szCs w:val="19"/>
          <w:color w:val="auto"/>
        </w:rPr>
        <w:t>2022 shall be calculated (i) for the fiscal quarter ending September 30, 2021, Consolidated Interest Expense for the fiscal quarter ending on</w:t>
      </w:r>
    </w:p>
    <w:p>
      <w:pPr>
        <w:jc w:val="both"/>
        <w:ind w:left="60"/>
        <w:spacing w:after="0" w:line="215" w:lineRule="auto"/>
        <w:rPr>
          <w:sz w:val="20"/>
          <w:szCs w:val="20"/>
          <w:color w:val="auto"/>
        </w:rPr>
      </w:pPr>
      <w:r>
        <w:rPr>
          <w:rFonts w:ascii="Times New Roman" w:cs="Times New Roman" w:eastAsia="Times New Roman" w:hAnsi="Times New Roman"/>
          <w:sz w:val="19"/>
          <w:szCs w:val="19"/>
          <w:color w:val="auto"/>
        </w:rPr>
        <w:t xml:space="preserve">such date </w:t>
      </w:r>
      <w:r>
        <w:rPr>
          <w:rFonts w:ascii="Times New Roman" w:cs="Times New Roman" w:eastAsia="Times New Roman" w:hAnsi="Times New Roman"/>
          <w:sz w:val="19"/>
          <w:szCs w:val="19"/>
          <w:u w:val="single" w:color="auto"/>
          <w:color w:val="auto"/>
        </w:rPr>
        <w:t>times</w:t>
      </w:r>
      <w:r>
        <w:rPr>
          <w:rFonts w:ascii="Times New Roman" w:cs="Times New Roman" w:eastAsia="Times New Roman" w:hAnsi="Times New Roman"/>
          <w:sz w:val="19"/>
          <w:szCs w:val="19"/>
          <w:color w:val="auto"/>
        </w:rPr>
        <w:t xml:space="preserve"> four (4), (ii) for the fiscal quarter ending December 31, 2021, Consolidated Interest Expense for the two consecutive fiscal quarters ending on such date </w:t>
      </w:r>
      <w:r>
        <w:rPr>
          <w:rFonts w:ascii="Times New Roman" w:cs="Times New Roman" w:eastAsia="Times New Roman" w:hAnsi="Times New Roman"/>
          <w:sz w:val="19"/>
          <w:szCs w:val="19"/>
          <w:u w:val="single" w:color="auto"/>
          <w:color w:val="auto"/>
        </w:rPr>
        <w:t>times</w:t>
      </w:r>
      <w:r>
        <w:rPr>
          <w:rFonts w:ascii="Times New Roman" w:cs="Times New Roman" w:eastAsia="Times New Roman" w:hAnsi="Times New Roman"/>
          <w:sz w:val="19"/>
          <w:szCs w:val="19"/>
          <w:color w:val="auto"/>
        </w:rPr>
        <w:t xml:space="preserve"> two (2) and (iii) for the fiscal quarter ending March 31, 2022, Consolidated Interest Expense for the</w:t>
      </w:r>
    </w:p>
    <w:p>
      <w:pPr>
        <w:ind w:left="60"/>
        <w:spacing w:after="0"/>
        <w:rPr>
          <w:sz w:val="20"/>
          <w:szCs w:val="20"/>
          <w:color w:val="auto"/>
        </w:rPr>
      </w:pPr>
      <w:r>
        <w:rPr>
          <w:rFonts w:ascii="Times New Roman" w:cs="Times New Roman" w:eastAsia="Times New Roman" w:hAnsi="Times New Roman"/>
          <w:sz w:val="20"/>
          <w:szCs w:val="20"/>
          <w:color w:val="auto"/>
        </w:rPr>
        <w:t xml:space="preserve">three consecutive fiscal quarters ending on such date </w:t>
      </w:r>
      <w:r>
        <w:rPr>
          <w:rFonts w:ascii="Times New Roman" w:cs="Times New Roman" w:eastAsia="Times New Roman" w:hAnsi="Times New Roman"/>
          <w:sz w:val="20"/>
          <w:szCs w:val="20"/>
          <w:u w:val="single" w:color="auto"/>
          <w:color w:val="auto"/>
        </w:rPr>
        <w:t>times</w:t>
      </w:r>
      <w:r>
        <w:rPr>
          <w:rFonts w:ascii="Times New Roman" w:cs="Times New Roman" w:eastAsia="Times New Roman" w:hAnsi="Times New Roman"/>
          <w:sz w:val="20"/>
          <w:szCs w:val="20"/>
          <w:color w:val="auto"/>
        </w:rPr>
        <w:t xml:space="preserve"> four-third (4/3).</w:t>
      </w:r>
    </w:p>
    <w:p>
      <w:pPr>
        <w:spacing w:after="0" w:line="19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Consolidated Net Leverage Ratio</w:t>
      </w:r>
      <w:r>
        <w:rPr>
          <w:rFonts w:ascii="Times New Roman" w:cs="Times New Roman" w:eastAsia="Times New Roman" w:hAnsi="Times New Roman"/>
          <w:sz w:val="19"/>
          <w:szCs w:val="19"/>
          <w:color w:val="auto"/>
        </w:rPr>
        <w:t>” means, as of any date of determination, the ratio of (a) Consolidated Funded Indebtedness on</w:t>
      </w:r>
    </w:p>
    <w:p>
      <w:pPr>
        <w:spacing w:after="0" w:line="6" w:lineRule="exact"/>
        <w:rPr>
          <w:sz w:val="20"/>
          <w:szCs w:val="20"/>
          <w:color w:val="auto"/>
        </w:rPr>
      </w:pPr>
    </w:p>
    <w:p>
      <w:pPr>
        <w:ind w:left="100" w:firstLine="442"/>
        <w:spacing w:after="0" w:line="215" w:lineRule="auto"/>
        <w:rPr>
          <w:sz w:val="20"/>
          <w:szCs w:val="20"/>
          <w:color w:val="auto"/>
        </w:rPr>
      </w:pPr>
      <w:r>
        <w:rPr>
          <w:rFonts w:ascii="Times New Roman" w:cs="Times New Roman" w:eastAsia="Times New Roman" w:hAnsi="Times New Roman"/>
          <w:sz w:val="19"/>
          <w:szCs w:val="19"/>
          <w:color w:val="auto"/>
        </w:rPr>
        <w:t xml:space="preserve">such date </w:t>
      </w:r>
      <w:r>
        <w:rPr>
          <w:rFonts w:ascii="Times New Roman" w:cs="Times New Roman" w:eastAsia="Times New Roman" w:hAnsi="Times New Roman"/>
          <w:sz w:val="19"/>
          <w:szCs w:val="19"/>
          <w:u w:val="single" w:color="auto"/>
          <w:color w:val="auto"/>
        </w:rPr>
        <w:t>minus</w:t>
      </w:r>
      <w:r>
        <w:rPr>
          <w:rFonts w:ascii="Times New Roman" w:cs="Times New Roman" w:eastAsia="Times New Roman" w:hAnsi="Times New Roman"/>
          <w:sz w:val="19"/>
          <w:szCs w:val="19"/>
          <w:color w:val="auto"/>
        </w:rPr>
        <w:t xml:space="preserve"> the amount of Unrestricted cash and Cash Equivalents of Centuri and its Subsidiaries (excluding the proceeds of any Incremental Term Loans or any other Indebtedness incurred or made substantially concurrent with the determination of the amount of such</w:t>
      </w:r>
    </w:p>
    <w:p>
      <w:pPr>
        <w:jc w:val="right"/>
        <w:ind w:left="160"/>
        <w:spacing w:after="0" w:line="228" w:lineRule="auto"/>
        <w:rPr>
          <w:sz w:val="20"/>
          <w:szCs w:val="20"/>
          <w:color w:val="auto"/>
        </w:rPr>
      </w:pPr>
      <w:r>
        <w:rPr>
          <w:rFonts w:ascii="Times New Roman" w:cs="Times New Roman" w:eastAsia="Times New Roman" w:hAnsi="Times New Roman"/>
          <w:sz w:val="20"/>
          <w:szCs w:val="20"/>
          <w:color w:val="auto"/>
        </w:rPr>
        <w:t>Unrestricted cash and Cash Equivalents) on such date, not to exceed $150,000,000, to (b) Consolidated EBITDA for the period of four (4) consecutive fiscal quarters ending on or immediately prior to such date.</w:t>
      </w:r>
    </w:p>
    <w:p>
      <w:pPr>
        <w:spacing w:after="0" w:line="18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Net Income</w:t>
      </w:r>
      <w:r>
        <w:rPr>
          <w:rFonts w:ascii="Times New Roman" w:cs="Times New Roman" w:eastAsia="Times New Roman" w:hAnsi="Times New Roman"/>
          <w:sz w:val="20"/>
          <w:szCs w:val="20"/>
          <w:color w:val="auto"/>
        </w:rPr>
        <w:t>” means, for any period, the net income (or loss) of the Consolidated Companies for such period,</w:t>
      </w:r>
    </w:p>
    <w:p>
      <w:pPr>
        <w:ind w:left="60"/>
        <w:spacing w:after="0" w:line="215" w:lineRule="auto"/>
        <w:rPr>
          <w:sz w:val="20"/>
          <w:szCs w:val="20"/>
          <w:color w:val="auto"/>
        </w:rPr>
      </w:pPr>
      <w:r>
        <w:rPr>
          <w:rFonts w:ascii="Times New Roman" w:cs="Times New Roman" w:eastAsia="Times New Roman" w:hAnsi="Times New Roman"/>
          <w:sz w:val="19"/>
          <w:szCs w:val="19"/>
          <w:color w:val="auto"/>
        </w:rPr>
        <w:t xml:space="preserve">determined on a Consolidated basis, without duplication, in accordance with GAAP;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 in calculating Consolidated Net Income of the Consolidated Companies for any period, there shall be excluded (a) the net income (or loss) of any Person (other than a Subsidiary</w:t>
      </w:r>
    </w:p>
    <w:p>
      <w:pPr>
        <w:ind w:left="60"/>
        <w:spacing w:after="0" w:line="222" w:lineRule="auto"/>
        <w:rPr>
          <w:sz w:val="20"/>
          <w:szCs w:val="20"/>
          <w:color w:val="auto"/>
        </w:rPr>
      </w:pPr>
      <w:r>
        <w:rPr>
          <w:rFonts w:ascii="Times New Roman" w:cs="Times New Roman" w:eastAsia="Times New Roman" w:hAnsi="Times New Roman"/>
          <w:sz w:val="19"/>
          <w:szCs w:val="19"/>
          <w:color w:val="auto"/>
        </w:rPr>
        <w:t>which shall be subject to clause (c) below), in which any of the Consolidated Companies has a joint interest with a third party, except to the</w:t>
      </w:r>
    </w:p>
    <w:p>
      <w:pPr>
        <w:ind w:left="60"/>
        <w:spacing w:after="0" w:line="204" w:lineRule="auto"/>
        <w:rPr>
          <w:sz w:val="20"/>
          <w:szCs w:val="20"/>
          <w:color w:val="auto"/>
        </w:rPr>
      </w:pPr>
      <w:r>
        <w:rPr>
          <w:rFonts w:ascii="Times New Roman" w:cs="Times New Roman" w:eastAsia="Times New Roman" w:hAnsi="Times New Roman"/>
          <w:sz w:val="20"/>
          <w:szCs w:val="20"/>
          <w:color w:val="auto"/>
        </w:rPr>
        <w:t>extent such net income is actually paid in cash to any of the Consolidated Companies by dividend or other distribution during such period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net income (or loss) of</w:t>
      </w:r>
    </w:p>
    <w:p>
      <w:pPr>
        <w:ind w:left="60"/>
        <w:spacing w:after="0" w:line="211" w:lineRule="auto"/>
        <w:rPr>
          <w:sz w:val="20"/>
          <w:szCs w:val="20"/>
          <w:color w:val="auto"/>
        </w:rPr>
      </w:pPr>
      <w:r>
        <w:rPr>
          <w:rFonts w:ascii="Times New Roman" w:cs="Times New Roman" w:eastAsia="Times New Roman" w:hAnsi="Times New Roman"/>
          <w:sz w:val="20"/>
          <w:szCs w:val="20"/>
          <w:color w:val="auto"/>
        </w:rPr>
        <w:t>W.S. Nicholls Western Construction, Ltd. and VRO Construction Partners 1, LLC attributable to the ownership percentage held by the</w:t>
      </w:r>
    </w:p>
    <w:p>
      <w:pPr>
        <w:spacing w:after="0" w:line="1" w:lineRule="exact"/>
        <w:rPr>
          <w:sz w:val="20"/>
          <w:szCs w:val="20"/>
          <w:color w:val="auto"/>
        </w:rPr>
      </w:pPr>
    </w:p>
    <w:p>
      <w:pPr>
        <w:ind w:left="60" w:right="20"/>
        <w:spacing w:after="0" w:line="204" w:lineRule="auto"/>
        <w:rPr>
          <w:sz w:val="20"/>
          <w:szCs w:val="20"/>
          <w:color w:val="auto"/>
        </w:rPr>
      </w:pPr>
      <w:r>
        <w:rPr>
          <w:rFonts w:ascii="Times New Roman" w:cs="Times New Roman" w:eastAsia="Times New Roman" w:hAnsi="Times New Roman"/>
          <w:sz w:val="20"/>
          <w:szCs w:val="20"/>
          <w:color w:val="auto"/>
        </w:rPr>
        <w:t>Consolidated Companies shall be included regardless of whether such amounts are paid in cash to the Consolidated Companies), (b) the net income (or loss) of any Person accrued prior to the date it becomes a Subsidiary of any of the Consolidated Companies or is merged</w:t>
      </w:r>
    </w:p>
    <w:p>
      <w:pPr>
        <w:ind w:left="60"/>
        <w:spacing w:after="0" w:line="211" w:lineRule="auto"/>
        <w:rPr>
          <w:sz w:val="20"/>
          <w:szCs w:val="20"/>
          <w:color w:val="auto"/>
        </w:rPr>
      </w:pPr>
      <w:r>
        <w:rPr>
          <w:rFonts w:ascii="Times New Roman" w:cs="Times New Roman" w:eastAsia="Times New Roman" w:hAnsi="Times New Roman"/>
          <w:sz w:val="20"/>
          <w:szCs w:val="20"/>
          <w:color w:val="auto"/>
        </w:rPr>
        <w:t>into or consolidated with any of the Consolidated Companies or that Person’s assets are acquired by any of the Consolidated Companies</w:t>
      </w:r>
    </w:p>
    <w:p>
      <w:pPr>
        <w:spacing w:after="0" w:line="1" w:lineRule="exact"/>
        <w:rPr>
          <w:sz w:val="20"/>
          <w:szCs w:val="20"/>
          <w:color w:val="auto"/>
        </w:rPr>
      </w:pPr>
    </w:p>
    <w:p>
      <w:pPr>
        <w:ind w:left="60" w:right="20"/>
        <w:spacing w:after="0" w:line="204" w:lineRule="auto"/>
        <w:rPr>
          <w:sz w:val="20"/>
          <w:szCs w:val="20"/>
          <w:color w:val="auto"/>
        </w:rPr>
      </w:pPr>
      <w:r>
        <w:rPr>
          <w:rFonts w:ascii="Times New Roman" w:cs="Times New Roman" w:eastAsia="Times New Roman" w:hAnsi="Times New Roman"/>
          <w:sz w:val="20"/>
          <w:szCs w:val="20"/>
          <w:color w:val="auto"/>
        </w:rPr>
        <w:t>except to the extent included pursuant to the foregoing clause (a), (c) the net income (if positive), of any Subsidiary to the extent that the declaration or payment of dividends or similar distributions by such Subsidiary to any of the Consolidated Companies of such net income</w:t>
      </w:r>
    </w:p>
    <w:p>
      <w:pPr>
        <w:spacing w:after="0" w:line="1" w:lineRule="exact"/>
        <w:rPr>
          <w:sz w:val="20"/>
          <w:szCs w:val="20"/>
          <w:color w:val="auto"/>
        </w:rPr>
      </w:pPr>
    </w:p>
    <w:p>
      <w:pPr>
        <w:jc w:val="both"/>
        <w:ind w:left="60" w:hanging="2"/>
        <w:spacing w:after="0" w:line="218" w:lineRule="auto"/>
        <w:tabs>
          <w:tab w:leader="none" w:pos="297"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not at the time permitted by operation of the terms of its charter or any agreement, instrument, judgment, decree, order, statute, rule or governmental regulation applicable to such Subsidiary or (ii) would be subject to any taxes payable on such dividends or distributions, but in each case only to the extent of such prohibition or taxes and (d) any gain or loss from Asset Dispositions during such period.</w:t>
      </w:r>
    </w:p>
    <w:p>
      <w:pPr>
        <w:spacing w:after="0" w:line="188" w:lineRule="exact"/>
        <w:rPr>
          <w:sz w:val="20"/>
          <w:szCs w:val="20"/>
          <w:color w:val="auto"/>
        </w:rPr>
      </w:pPr>
    </w:p>
    <w:p>
      <w:pPr>
        <w:ind w:left="60"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Total Assets</w:t>
      </w:r>
      <w:r>
        <w:rPr>
          <w:rFonts w:ascii="Times New Roman" w:cs="Times New Roman" w:eastAsia="Times New Roman" w:hAnsi="Times New Roman"/>
          <w:sz w:val="20"/>
          <w:szCs w:val="20"/>
          <w:color w:val="auto"/>
        </w:rPr>
        <w:t>” means, on any date of determination, the Consolidated total assets of Centuri and its Subsidiaries as set forth on the Consolidated balance sheet of Centuri as of the last day of</w:t>
      </w:r>
    </w:p>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21</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146960219_6</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100"/>
          </w:cols>
          <w:pgMar w:left="360" w:top="1399" w:right="439" w:bottom="1440" w:gutter="0" w:footer="0" w:header="0"/>
        </w:sectPr>
      </w:pPr>
    </w:p>
    <w:bookmarkStart w:id="104" w:name="page105"/>
    <w:bookmarkEnd w:id="104"/>
    <w:p>
      <w:pPr>
        <w:jc w:val="both"/>
        <w:ind w:left="38" w:right="20"/>
        <w:spacing w:after="0" w:line="269" w:lineRule="auto"/>
        <w:rPr>
          <w:sz w:val="20"/>
          <w:szCs w:val="20"/>
          <w:color w:val="auto"/>
        </w:rPr>
      </w:pPr>
      <w:r>
        <w:rPr>
          <w:rFonts w:ascii="Times New Roman" w:cs="Times New Roman" w:eastAsia="Times New Roman" w:hAnsi="Times New Roman"/>
          <w:sz w:val="20"/>
          <w:szCs w:val="20"/>
          <w:color w:val="auto"/>
        </w:rPr>
        <w:t xml:space="preserve">the fiscal quarter of Centuri ending on or immediately prior to such date and for which financial statements have been provided to the Administrative Agent in accordance with </w:t>
      </w:r>
      <w:r>
        <w:rPr>
          <w:rFonts w:ascii="Times New Roman" w:cs="Times New Roman" w:eastAsia="Times New Roman" w:hAnsi="Times New Roman"/>
          <w:sz w:val="20"/>
          <w:szCs w:val="20"/>
          <w:u w:val="single" w:color="auto"/>
          <w:color w:val="auto"/>
        </w:rPr>
        <w:t>Section 8.1</w:t>
      </w:r>
      <w:r>
        <w:rPr>
          <w:rFonts w:ascii="Times New Roman" w:cs="Times New Roman" w:eastAsia="Times New Roman" w:hAnsi="Times New Roman"/>
          <w:sz w:val="20"/>
          <w:szCs w:val="20"/>
          <w:color w:val="auto"/>
        </w:rPr>
        <w:t>, determined on a Consolidated basis.</w:t>
      </w:r>
    </w:p>
    <w:p>
      <w:pPr>
        <w:spacing w:after="0" w:line="173" w:lineRule="exact"/>
        <w:rPr>
          <w:sz w:val="20"/>
          <w:szCs w:val="20"/>
          <w:color w:val="auto"/>
        </w:rPr>
      </w:pPr>
    </w:p>
    <w:p>
      <w:pPr>
        <w:jc w:val="both"/>
        <w:ind w:left="38" w:firstLine="648"/>
        <w:spacing w:after="0" w:line="23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Control</w:t>
      </w:r>
      <w:r>
        <w:rPr>
          <w:rFonts w:ascii="Times New Roman" w:cs="Times New Roman" w:eastAsia="Times New Roman" w:hAnsi="Times New Roman"/>
          <w:sz w:val="20"/>
          <w:szCs w:val="20"/>
          <w:color w:val="auto"/>
        </w:rPr>
        <w:t>” means the possession, directly or indirectly, of the power to direct or cause the direction of the management or policies of a Person, whether through the ability to exercise voting power, by contract or otherwise. “</w:t>
      </w:r>
      <w:r>
        <w:rPr>
          <w:rFonts w:ascii="Times New Roman" w:cs="Times New Roman" w:eastAsia="Times New Roman" w:hAnsi="Times New Roman"/>
          <w:sz w:val="20"/>
          <w:szCs w:val="20"/>
          <w:u w:val="single" w:color="auto"/>
          <w:color w:val="auto"/>
        </w:rPr>
        <w:t>Controlling</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Controlled</w:t>
      </w:r>
      <w:r>
        <w:rPr>
          <w:rFonts w:ascii="Times New Roman" w:cs="Times New Roman" w:eastAsia="Times New Roman" w:hAnsi="Times New Roman"/>
          <w:sz w:val="20"/>
          <w:szCs w:val="20"/>
          <w:color w:val="auto"/>
        </w:rPr>
        <w:t>” have meanings correlative thereto.</w:t>
      </w:r>
    </w:p>
    <w:p>
      <w:pPr>
        <w:spacing w:after="0" w:line="243" w:lineRule="exact"/>
        <w:rPr>
          <w:sz w:val="20"/>
          <w:szCs w:val="20"/>
          <w:color w:val="auto"/>
        </w:rPr>
      </w:pPr>
    </w:p>
    <w:p>
      <w:pPr>
        <w:jc w:val="both"/>
        <w:ind w:left="38"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Corresponding Tenor</w:t>
      </w:r>
      <w:r>
        <w:rPr>
          <w:rFonts w:ascii="Times New Roman" w:cs="Times New Roman" w:eastAsia="Times New Roman" w:hAnsi="Times New Roman"/>
          <w:sz w:val="20"/>
          <w:szCs w:val="20"/>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183" w:lineRule="exact"/>
        <w:rPr>
          <w:sz w:val="20"/>
          <w:szCs w:val="20"/>
          <w:color w:val="auto"/>
        </w:rPr>
      </w:pPr>
    </w:p>
    <w:p>
      <w:pPr>
        <w:ind w:left="67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Credit Facility</w:t>
      </w:r>
      <w:r>
        <w:rPr>
          <w:rFonts w:ascii="Times New Roman" w:cs="Times New Roman" w:eastAsia="Times New Roman" w:hAnsi="Times New Roman"/>
          <w:sz w:val="20"/>
          <w:szCs w:val="20"/>
          <w:color w:val="auto"/>
        </w:rPr>
        <w:t>” means, collectively, the Revolving Credit Facility, the Term Loan Facility, the Swingline Facility and the L/C</w:t>
      </w:r>
    </w:p>
    <w:p>
      <w:pPr>
        <w:ind w:left="38"/>
        <w:spacing w:after="0"/>
        <w:rPr>
          <w:sz w:val="20"/>
          <w:szCs w:val="20"/>
          <w:color w:val="auto"/>
        </w:rPr>
      </w:pPr>
      <w:r>
        <w:rPr>
          <w:rFonts w:ascii="Times New Roman" w:cs="Times New Roman" w:eastAsia="Times New Roman" w:hAnsi="Times New Roman"/>
          <w:sz w:val="20"/>
          <w:szCs w:val="20"/>
          <w:color w:val="auto"/>
        </w:rPr>
        <w:t>Facility.</w:t>
      </w:r>
    </w:p>
    <w:p>
      <w:pPr>
        <w:spacing w:after="0" w:line="194" w:lineRule="exact"/>
        <w:rPr>
          <w:sz w:val="20"/>
          <w:szCs w:val="20"/>
          <w:color w:val="auto"/>
        </w:rPr>
      </w:pPr>
    </w:p>
    <w:p>
      <w:pPr>
        <w:ind w:left="67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Credit Parties</w:t>
      </w:r>
      <w:r>
        <w:rPr>
          <w:rFonts w:ascii="Times New Roman" w:cs="Times New Roman" w:eastAsia="Times New Roman" w:hAnsi="Times New Roman"/>
          <w:sz w:val="20"/>
          <w:szCs w:val="20"/>
          <w:color w:val="auto"/>
        </w:rPr>
        <w:t>” means, collectively, the US Credit Parties and the Canadian Credit Parties.</w:t>
      </w:r>
    </w:p>
    <w:p>
      <w:pPr>
        <w:spacing w:after="0" w:line="278" w:lineRule="exact"/>
        <w:rPr>
          <w:sz w:val="20"/>
          <w:szCs w:val="20"/>
          <w:color w:val="auto"/>
        </w:rPr>
      </w:pPr>
    </w:p>
    <w:p>
      <w:pPr>
        <w:ind w:left="67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Daily Simple SOFR</w:t>
      </w:r>
      <w:r>
        <w:rPr>
          <w:rFonts w:ascii="Times New Roman" w:cs="Times New Roman" w:eastAsia="Times New Roman" w:hAnsi="Times New Roman"/>
          <w:sz w:val="20"/>
          <w:szCs w:val="20"/>
          <w:color w:val="auto"/>
        </w:rPr>
        <w:t>” means, for any day, SOFR, with the conventions for this rate (which will include a lookback) being</w:t>
      </w:r>
    </w:p>
    <w:p>
      <w:pPr>
        <w:jc w:val="both"/>
        <w:ind w:left="38"/>
        <w:spacing w:after="0" w:line="204" w:lineRule="auto"/>
        <w:rPr>
          <w:sz w:val="20"/>
          <w:szCs w:val="20"/>
          <w:color w:val="auto"/>
        </w:rPr>
      </w:pPr>
      <w:r>
        <w:rPr>
          <w:rFonts w:ascii="Times New Roman" w:cs="Times New Roman" w:eastAsia="Times New Roman" w:hAnsi="Times New Roman"/>
          <w:sz w:val="20"/>
          <w:szCs w:val="20"/>
          <w:color w:val="auto"/>
        </w:rPr>
        <w:t xml:space="preserve">established by the Administrative Agent in accordance with the conventions for this rate selected or recommended by the Relevant Governmental Body for determining “Daily Simple SOFR” for syndicated business loans;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if the Administrative Agent</w:t>
      </w:r>
    </w:p>
    <w:p>
      <w:pPr>
        <w:spacing w:after="0" w:line="1" w:lineRule="exact"/>
        <w:rPr>
          <w:sz w:val="20"/>
          <w:szCs w:val="20"/>
          <w:color w:val="auto"/>
        </w:rPr>
      </w:pPr>
    </w:p>
    <w:p>
      <w:pPr>
        <w:jc w:val="both"/>
        <w:ind w:left="38"/>
        <w:spacing w:after="0" w:line="228" w:lineRule="auto"/>
        <w:rPr>
          <w:sz w:val="20"/>
          <w:szCs w:val="20"/>
          <w:color w:val="auto"/>
        </w:rPr>
      </w:pPr>
      <w:r>
        <w:rPr>
          <w:rFonts w:ascii="Times New Roman" w:cs="Times New Roman" w:eastAsia="Times New Roman" w:hAnsi="Times New Roman"/>
          <w:sz w:val="20"/>
          <w:szCs w:val="20"/>
          <w:color w:val="auto"/>
        </w:rPr>
        <w:t>decides that any such convention is not administratively feasible for the Administrative Agent, then the Administrative Agent may establish another convention in its reasonable discretion.</w:t>
      </w:r>
    </w:p>
    <w:p>
      <w:pPr>
        <w:spacing w:after="0" w:line="203" w:lineRule="exact"/>
        <w:rPr>
          <w:sz w:val="20"/>
          <w:szCs w:val="20"/>
          <w:color w:val="auto"/>
        </w:rPr>
      </w:pPr>
    </w:p>
    <w:p>
      <w:pPr>
        <w:ind w:left="67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Debt Issuance</w:t>
      </w:r>
      <w:r>
        <w:rPr>
          <w:rFonts w:ascii="Times New Roman" w:cs="Times New Roman" w:eastAsia="Times New Roman" w:hAnsi="Times New Roman"/>
          <w:sz w:val="20"/>
          <w:szCs w:val="20"/>
          <w:color w:val="auto"/>
        </w:rPr>
        <w:t>” means the issuance of any Indebtedness for borrowed money by any Credit Party or any of its Subsidiaries.</w:t>
      </w:r>
    </w:p>
    <w:p>
      <w:pPr>
        <w:spacing w:after="0" w:line="229" w:lineRule="exact"/>
        <w:rPr>
          <w:sz w:val="20"/>
          <w:szCs w:val="20"/>
          <w:color w:val="auto"/>
        </w:rPr>
      </w:pPr>
    </w:p>
    <w:p>
      <w:pPr>
        <w:ind w:left="678"/>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Debt Ratings</w:t>
      </w:r>
      <w:r>
        <w:rPr>
          <w:rFonts w:ascii="Times New Roman" w:cs="Times New Roman" w:eastAsia="Times New Roman" w:hAnsi="Times New Roman"/>
          <w:sz w:val="19"/>
          <w:szCs w:val="19"/>
          <w:color w:val="auto"/>
        </w:rPr>
        <w:t>” means the collective reference to (a) the public corporate family rating of Centuri as determined by Moody’s from</w:t>
      </w:r>
    </w:p>
    <w:p>
      <w:pPr>
        <w:spacing w:after="0" w:line="6" w:lineRule="exact"/>
        <w:rPr>
          <w:sz w:val="20"/>
          <w:szCs w:val="20"/>
          <w:color w:val="auto"/>
        </w:rPr>
      </w:pPr>
    </w:p>
    <w:p>
      <w:pPr>
        <w:jc w:val="both"/>
        <w:ind w:left="38"/>
        <w:spacing w:after="0" w:line="215" w:lineRule="auto"/>
        <w:rPr>
          <w:sz w:val="20"/>
          <w:szCs w:val="20"/>
          <w:color w:val="auto"/>
        </w:rPr>
      </w:pPr>
      <w:r>
        <w:rPr>
          <w:rFonts w:ascii="Times New Roman" w:cs="Times New Roman" w:eastAsia="Times New Roman" w:hAnsi="Times New Roman"/>
          <w:sz w:val="19"/>
          <w:szCs w:val="19"/>
          <w:color w:val="auto"/>
        </w:rPr>
        <w:t>time to time, (b) the public corporate credit rating of Centuri as determined by S&amp;P from time to time and (c) the public ratings with respect to the Term Loan Facility as determined by both Moody’s and S&amp;P from time to time, and “</w:t>
      </w:r>
      <w:r>
        <w:rPr>
          <w:rFonts w:ascii="Times New Roman" w:cs="Times New Roman" w:eastAsia="Times New Roman" w:hAnsi="Times New Roman"/>
          <w:sz w:val="19"/>
          <w:szCs w:val="19"/>
          <w:u w:val="single" w:color="auto"/>
          <w:color w:val="auto"/>
        </w:rPr>
        <w:t>Debt Rating</w:t>
      </w:r>
      <w:r>
        <w:rPr>
          <w:rFonts w:ascii="Times New Roman" w:cs="Times New Roman" w:eastAsia="Times New Roman" w:hAnsi="Times New Roman"/>
          <w:sz w:val="19"/>
          <w:szCs w:val="19"/>
          <w:color w:val="auto"/>
        </w:rPr>
        <w:t>” means, as applicable, any</w:t>
      </w:r>
    </w:p>
    <w:p>
      <w:pPr>
        <w:ind w:left="38"/>
        <w:spacing w:after="0"/>
        <w:rPr>
          <w:sz w:val="20"/>
          <w:szCs w:val="20"/>
          <w:color w:val="auto"/>
        </w:rPr>
      </w:pPr>
      <w:r>
        <w:rPr>
          <w:rFonts w:ascii="Times New Roman" w:cs="Times New Roman" w:eastAsia="Times New Roman" w:hAnsi="Times New Roman"/>
          <w:sz w:val="20"/>
          <w:szCs w:val="20"/>
          <w:color w:val="auto"/>
        </w:rPr>
        <w:t>of the foregoing.</w:t>
      </w:r>
    </w:p>
    <w:p>
      <w:pPr>
        <w:spacing w:after="0" w:line="261" w:lineRule="exact"/>
        <w:rPr>
          <w:sz w:val="20"/>
          <w:szCs w:val="20"/>
          <w:color w:val="auto"/>
        </w:rPr>
      </w:pPr>
    </w:p>
    <w:p>
      <w:pPr>
        <w:ind w:left="678"/>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Debtor Relief Laws</w:t>
      </w:r>
      <w:r>
        <w:rPr>
          <w:rFonts w:ascii="Times New Roman" w:cs="Times New Roman" w:eastAsia="Times New Roman" w:hAnsi="Times New Roman"/>
          <w:sz w:val="19"/>
          <w:szCs w:val="19"/>
          <w:color w:val="auto"/>
        </w:rPr>
        <w:t>” means the Bankruptcy Code of the United States of America, the Bankruptcy and Insolvency Act (Canada),</w:t>
      </w:r>
    </w:p>
    <w:p>
      <w:pPr>
        <w:spacing w:after="0" w:line="6" w:lineRule="exact"/>
        <w:rPr>
          <w:sz w:val="20"/>
          <w:szCs w:val="20"/>
          <w:color w:val="auto"/>
        </w:rPr>
      </w:pPr>
    </w:p>
    <w:p>
      <w:pPr>
        <w:jc w:val="both"/>
        <w:ind w:left="38"/>
        <w:spacing w:after="0" w:line="215" w:lineRule="auto"/>
        <w:rPr>
          <w:sz w:val="20"/>
          <w:szCs w:val="20"/>
          <w:color w:val="auto"/>
        </w:rPr>
      </w:pPr>
      <w:r>
        <w:rPr>
          <w:rFonts w:ascii="Times New Roman" w:cs="Times New Roman" w:eastAsia="Times New Roman" w:hAnsi="Times New Roman"/>
          <w:sz w:val="19"/>
          <w:szCs w:val="19"/>
          <w:color w:val="auto"/>
        </w:rPr>
        <w:t>the Winding-Up and Restructuring Act (Canada), the Companies’ Creditors Arrangement Act (Canada) and all other liquidation, conservatorship, bankruptcy, assignment for the benefit of creditors, moratorium, rearrangement, receivership, insolvency, reorganization,</w:t>
      </w:r>
    </w:p>
    <w:p>
      <w:pPr>
        <w:ind w:left="38"/>
        <w:spacing w:after="0"/>
        <w:rPr>
          <w:sz w:val="20"/>
          <w:szCs w:val="20"/>
          <w:color w:val="auto"/>
        </w:rPr>
      </w:pPr>
      <w:r>
        <w:rPr>
          <w:rFonts w:ascii="Times New Roman" w:cs="Times New Roman" w:eastAsia="Times New Roman" w:hAnsi="Times New Roman"/>
          <w:sz w:val="20"/>
          <w:szCs w:val="20"/>
          <w:color w:val="auto"/>
        </w:rPr>
        <w:t>or similar debtor relief Laws of the United States, Canada or other applicable jurisdictions from time to time in effect.</w:t>
      </w:r>
    </w:p>
    <w:p>
      <w:pPr>
        <w:spacing w:after="0" w:line="194" w:lineRule="exact"/>
        <w:rPr>
          <w:sz w:val="20"/>
          <w:szCs w:val="20"/>
          <w:color w:val="auto"/>
        </w:rPr>
      </w:pPr>
    </w:p>
    <w:p>
      <w:pPr>
        <w:jc w:val="both"/>
        <w:ind w:left="38" w:right="20"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w:t>
      </w:r>
      <w:r>
        <w:rPr>
          <w:rFonts w:ascii="Times New Roman" w:cs="Times New Roman" w:eastAsia="Times New Roman" w:hAnsi="Times New Roman"/>
          <w:sz w:val="20"/>
          <w:szCs w:val="20"/>
          <w:color w:val="auto"/>
        </w:rPr>
        <w:t xml:space="preserve">” means any of the events specified in </w:t>
      </w:r>
      <w:r>
        <w:rPr>
          <w:rFonts w:ascii="Times New Roman" w:cs="Times New Roman" w:eastAsia="Times New Roman" w:hAnsi="Times New Roman"/>
          <w:sz w:val="20"/>
          <w:szCs w:val="20"/>
          <w:u w:val="single" w:color="auto"/>
          <w:color w:val="auto"/>
        </w:rPr>
        <w:t>Section 10.1</w:t>
      </w:r>
      <w:r>
        <w:rPr>
          <w:rFonts w:ascii="Times New Roman" w:cs="Times New Roman" w:eastAsia="Times New Roman" w:hAnsi="Times New Roman"/>
          <w:sz w:val="20"/>
          <w:szCs w:val="20"/>
          <w:color w:val="auto"/>
        </w:rPr>
        <w:t xml:space="preserve"> which with the passage of time, the giving of notice or any other condition, would constitute an Event of Default.</w:t>
      </w:r>
    </w:p>
    <w:p>
      <w:pPr>
        <w:spacing w:after="0" w:line="188" w:lineRule="exact"/>
        <w:rPr>
          <w:sz w:val="20"/>
          <w:szCs w:val="20"/>
          <w:color w:val="auto"/>
        </w:rPr>
      </w:pPr>
    </w:p>
    <w:p>
      <w:pPr>
        <w:ind w:left="678"/>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Defaulting Lender</w:t>
      </w:r>
      <w:r>
        <w:rPr>
          <w:rFonts w:ascii="Times New Roman" w:cs="Times New Roman" w:eastAsia="Times New Roman" w:hAnsi="Times New Roman"/>
          <w:sz w:val="19"/>
          <w:szCs w:val="19"/>
          <w:color w:val="auto"/>
        </w:rPr>
        <w:t xml:space="preserve">” means, subject to </w:t>
      </w:r>
      <w:r>
        <w:rPr>
          <w:rFonts w:ascii="Times New Roman" w:cs="Times New Roman" w:eastAsia="Times New Roman" w:hAnsi="Times New Roman"/>
          <w:sz w:val="19"/>
          <w:szCs w:val="19"/>
          <w:u w:val="single" w:color="auto"/>
          <w:color w:val="auto"/>
        </w:rPr>
        <w:t>Section 5.15(b)</w:t>
      </w:r>
      <w:r>
        <w:rPr>
          <w:rFonts w:ascii="Times New Roman" w:cs="Times New Roman" w:eastAsia="Times New Roman" w:hAnsi="Times New Roman"/>
          <w:sz w:val="19"/>
          <w:szCs w:val="19"/>
          <w:color w:val="auto"/>
        </w:rPr>
        <w:t>, any Lender that (a) has failed to (i) fund all or any portion of the Revolving</w:t>
      </w:r>
    </w:p>
    <w:p>
      <w:pPr>
        <w:spacing w:after="0" w:line="6" w:lineRule="exact"/>
        <w:rPr>
          <w:sz w:val="20"/>
          <w:szCs w:val="20"/>
          <w:color w:val="auto"/>
        </w:rPr>
      </w:pPr>
    </w:p>
    <w:p>
      <w:pPr>
        <w:jc w:val="both"/>
        <w:ind w:left="38"/>
        <w:spacing w:after="0" w:line="204" w:lineRule="auto"/>
        <w:rPr>
          <w:sz w:val="20"/>
          <w:szCs w:val="20"/>
          <w:color w:val="auto"/>
        </w:rPr>
      </w:pPr>
      <w:r>
        <w:rPr>
          <w:rFonts w:ascii="Times New Roman" w:cs="Times New Roman" w:eastAsia="Times New Roman" w:hAnsi="Times New Roman"/>
          <w:sz w:val="20"/>
          <w:szCs w:val="20"/>
          <w:color w:val="auto"/>
        </w:rPr>
        <w:t>Credit Loans or any Term Loan required to be funded by it hereunder within two Business Days of the date such Loans were required to be funded hereunder unless such Lender notifies the Administrative Agent and Centuri in writing that such failure is the result of such</w:t>
      </w:r>
    </w:p>
    <w:p>
      <w:pPr>
        <w:ind w:left="38"/>
        <w:spacing w:after="0" w:line="223" w:lineRule="auto"/>
        <w:rPr>
          <w:sz w:val="20"/>
          <w:szCs w:val="20"/>
          <w:color w:val="auto"/>
        </w:rPr>
      </w:pPr>
      <w:r>
        <w:rPr>
          <w:rFonts w:ascii="Times New Roman" w:cs="Times New Roman" w:eastAsia="Times New Roman" w:hAnsi="Times New Roman"/>
          <w:sz w:val="19"/>
          <w:szCs w:val="19"/>
          <w:color w:val="auto"/>
        </w:rPr>
        <w:t>Lender’s determination that one or more conditions precedent to funding (each of which conditions precedent, together with any applicable</w:t>
      </w:r>
    </w:p>
    <w:p>
      <w:pPr>
        <w:jc w:val="both"/>
        <w:ind w:left="38"/>
        <w:spacing w:after="0" w:line="215" w:lineRule="auto"/>
        <w:rPr>
          <w:sz w:val="20"/>
          <w:szCs w:val="20"/>
          <w:color w:val="auto"/>
        </w:rPr>
      </w:pPr>
      <w:r>
        <w:rPr>
          <w:rFonts w:ascii="Times New Roman" w:cs="Times New Roman" w:eastAsia="Times New Roman" w:hAnsi="Times New Roman"/>
          <w:sz w:val="19"/>
          <w:szCs w:val="19"/>
          <w:color w:val="auto"/>
        </w:rPr>
        <w:t>default, shall be specifically identified in such writing) has not been satisfied, or (ii) pay to the Administrative Agent, any Issuing Lender, any Swingline Lender or any other Lender any other amount required to be paid by it hereunder (including in respect of its participation in</w:t>
      </w:r>
    </w:p>
    <w:p>
      <w:pPr>
        <w:jc w:val="both"/>
        <w:ind w:left="38"/>
        <w:spacing w:after="0" w:line="228" w:lineRule="auto"/>
        <w:rPr>
          <w:sz w:val="20"/>
          <w:szCs w:val="20"/>
          <w:color w:val="auto"/>
        </w:rPr>
      </w:pPr>
      <w:r>
        <w:rPr>
          <w:rFonts w:ascii="Times New Roman" w:cs="Times New Roman" w:eastAsia="Times New Roman" w:hAnsi="Times New Roman"/>
          <w:sz w:val="20"/>
          <w:szCs w:val="20"/>
          <w:color w:val="auto"/>
        </w:rPr>
        <w:t>Letters of Credit or Swingline Loans) within two Business Days of the date when due, (b) has notified Centuri, the Administrative Agent, any Issuing Lender or any Swingline Lender in writing that it does not intend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38"/>
        <w:spacing w:after="0"/>
        <w:rPr>
          <w:sz w:val="20"/>
          <w:szCs w:val="20"/>
          <w:color w:val="auto"/>
        </w:rPr>
      </w:pPr>
      <w:r>
        <w:rPr>
          <w:rFonts w:ascii="Times New Roman" w:cs="Times New Roman" w:eastAsia="Times New Roman" w:hAnsi="Times New Roman"/>
          <w:sz w:val="14"/>
          <w:szCs w:val="14"/>
          <w:color w:val="FF0000"/>
          <w:strike w:val="1"/>
        </w:rPr>
        <w:t>146960219_6</w:t>
      </w:r>
    </w:p>
    <w:p>
      <w:pPr>
        <w:spacing w:after="0" w:line="4" w:lineRule="exact"/>
        <w:rPr>
          <w:sz w:val="20"/>
          <w:szCs w:val="20"/>
          <w:color w:val="auto"/>
        </w:rPr>
      </w:pPr>
    </w:p>
    <w:p>
      <w:pPr>
        <w:ind w:left="338" w:hanging="338"/>
        <w:spacing w:after="0"/>
        <w:tabs>
          <w:tab w:leader="none" w:pos="338"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078"/>
          </w:cols>
          <w:pgMar w:left="382" w:top="1413" w:right="439" w:bottom="1440" w:gutter="0" w:footer="0" w:header="0"/>
        </w:sectPr>
      </w:pPr>
    </w:p>
    <w:bookmarkStart w:id="105" w:name="page106"/>
    <w:bookmarkEnd w:id="105"/>
    <w:p>
      <w:pPr>
        <w:spacing w:after="0" w:line="203" w:lineRule="exact"/>
        <w:rPr>
          <w:sz w:val="20"/>
          <w:szCs w:val="20"/>
          <w:color w:val="auto"/>
        </w:rPr>
      </w:pPr>
    </w:p>
    <w:p>
      <w:pPr>
        <w:ind w:left="38"/>
        <w:spacing w:after="0"/>
        <w:rPr>
          <w:sz w:val="20"/>
          <w:szCs w:val="20"/>
          <w:color w:val="auto"/>
        </w:rPr>
      </w:pPr>
      <w:r>
        <w:rPr>
          <w:rFonts w:ascii="Times New Roman" w:cs="Times New Roman" w:eastAsia="Times New Roman" w:hAnsi="Times New Roman"/>
          <w:sz w:val="19"/>
          <w:szCs w:val="19"/>
          <w:color w:val="auto"/>
        </w:rPr>
        <w:t>comply with its funding obligations hereunder, or has made a public statement to that effect (unless such writing or public statement relates</w:t>
      </w:r>
    </w:p>
    <w:p>
      <w:pPr>
        <w:spacing w:after="0" w:line="6" w:lineRule="exact"/>
        <w:rPr>
          <w:sz w:val="20"/>
          <w:szCs w:val="20"/>
          <w:color w:val="auto"/>
        </w:rPr>
      </w:pPr>
    </w:p>
    <w:p>
      <w:pPr>
        <w:ind w:left="38"/>
        <w:spacing w:after="0" w:line="215" w:lineRule="auto"/>
        <w:rPr>
          <w:sz w:val="20"/>
          <w:szCs w:val="20"/>
          <w:color w:val="auto"/>
        </w:rPr>
      </w:pPr>
      <w:r>
        <w:rPr>
          <w:rFonts w:ascii="Times New Roman" w:cs="Times New Roman" w:eastAsia="Times New Roman" w:hAnsi="Times New Roman"/>
          <w:sz w:val="19"/>
          <w:szCs w:val="19"/>
          <w:color w:val="auto"/>
        </w:rPr>
        <w:t>to such Lender’s obligation to fund a Loan hereunder and states that such position is based on such Lender’s determination that a condition precedent to funding (which condition precedent, together with any applicable default, shall be specifically identified in such writing or</w:t>
      </w:r>
    </w:p>
    <w:p>
      <w:pPr>
        <w:ind w:left="38"/>
        <w:spacing w:after="0" w:line="211" w:lineRule="auto"/>
        <w:rPr>
          <w:sz w:val="20"/>
          <w:szCs w:val="20"/>
          <w:color w:val="auto"/>
        </w:rPr>
      </w:pPr>
      <w:r>
        <w:rPr>
          <w:rFonts w:ascii="Times New Roman" w:cs="Times New Roman" w:eastAsia="Times New Roman" w:hAnsi="Times New Roman"/>
          <w:sz w:val="20"/>
          <w:szCs w:val="20"/>
          <w:color w:val="auto"/>
        </w:rPr>
        <w:t>public statement) cannot be satisfied), (c) has failed, within three Business Days after written request by the Administrative Agent or</w:t>
      </w:r>
    </w:p>
    <w:p>
      <w:pPr>
        <w:ind w:left="38" w:right="20"/>
        <w:spacing w:after="0" w:line="204" w:lineRule="auto"/>
        <w:rPr>
          <w:sz w:val="20"/>
          <w:szCs w:val="20"/>
          <w:color w:val="auto"/>
        </w:rPr>
      </w:pPr>
      <w:r>
        <w:rPr>
          <w:rFonts w:ascii="Times New Roman" w:cs="Times New Roman" w:eastAsia="Times New Roman" w:hAnsi="Times New Roman"/>
          <w:sz w:val="20"/>
          <w:szCs w:val="20"/>
          <w:color w:val="auto"/>
        </w:rPr>
        <w:t>Centuri, to confirm in writing to the Administrative Agent and Centuri that it will comply with its prospective funding obligations hereunder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Lender shall cease to be a Defaulting Lender pursuant to this clause (c) upon receipt of such written</w:t>
      </w:r>
    </w:p>
    <w:p>
      <w:pPr>
        <w:ind w:left="38"/>
        <w:spacing w:after="0" w:line="211" w:lineRule="auto"/>
        <w:rPr>
          <w:sz w:val="20"/>
          <w:szCs w:val="20"/>
          <w:color w:val="auto"/>
        </w:rPr>
      </w:pPr>
      <w:r>
        <w:rPr>
          <w:rFonts w:ascii="Times New Roman" w:cs="Times New Roman" w:eastAsia="Times New Roman" w:hAnsi="Times New Roman"/>
          <w:sz w:val="20"/>
          <w:szCs w:val="20"/>
          <w:color w:val="auto"/>
        </w:rPr>
        <w:t>confirmation by the Administrative Agent and Centuri), or (d) has, or has a direct or indirect parent company that has, (i) become the</w:t>
      </w:r>
    </w:p>
    <w:p>
      <w:pPr>
        <w:spacing w:after="0" w:line="1" w:lineRule="exact"/>
        <w:rPr>
          <w:sz w:val="20"/>
          <w:szCs w:val="20"/>
          <w:color w:val="auto"/>
        </w:rPr>
      </w:pPr>
    </w:p>
    <w:p>
      <w:pPr>
        <w:ind w:left="38"/>
        <w:spacing w:after="0" w:line="204" w:lineRule="auto"/>
        <w:rPr>
          <w:sz w:val="20"/>
          <w:szCs w:val="20"/>
          <w:color w:val="auto"/>
        </w:rPr>
      </w:pPr>
      <w:r>
        <w:rPr>
          <w:rFonts w:ascii="Times New Roman" w:cs="Times New Roman" w:eastAsia="Times New Roman" w:hAnsi="Times New Roman"/>
          <w:sz w:val="20"/>
          <w:szCs w:val="20"/>
          <w:color w:val="auto"/>
        </w:rPr>
        <w:t>subject of a proceeding under any Debtor Relief Law, (ii) had appointed for it a receiver, custodian, conservator, trustee, administrator, assignee for the benefit of creditors or similar Person charged with reorganization or liquidation of its business or assets, including the</w:t>
      </w:r>
    </w:p>
    <w:p>
      <w:pPr>
        <w:ind w:left="38"/>
        <w:spacing w:after="0" w:line="211" w:lineRule="auto"/>
        <w:rPr>
          <w:sz w:val="20"/>
          <w:szCs w:val="20"/>
          <w:color w:val="auto"/>
        </w:rPr>
      </w:pPr>
      <w:r>
        <w:rPr>
          <w:rFonts w:ascii="Times New Roman" w:cs="Times New Roman" w:eastAsia="Times New Roman" w:hAnsi="Times New Roman"/>
          <w:sz w:val="20"/>
          <w:szCs w:val="20"/>
          <w:color w:val="auto"/>
        </w:rPr>
        <w:t>CDIC, the FDIC or any other state or federal regulatory authority acting in such a capacity or (iii) become the subject of a Bail-In Action;</w:t>
      </w:r>
    </w:p>
    <w:p>
      <w:pPr>
        <w:spacing w:after="0" w:line="1" w:lineRule="exact"/>
        <w:rPr>
          <w:sz w:val="20"/>
          <w:szCs w:val="20"/>
          <w:color w:val="auto"/>
        </w:rPr>
      </w:pPr>
    </w:p>
    <w:p>
      <w:pPr>
        <w:ind w:left="38"/>
        <w:spacing w:after="0" w:line="215" w:lineRule="auto"/>
        <w:rPr>
          <w:sz w:val="20"/>
          <w:szCs w:val="20"/>
          <w:color w:val="auto"/>
        </w:rPr>
      </w:pP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w:t>
      </w:r>
    </w:p>
    <w:p>
      <w:pPr>
        <w:ind w:left="38"/>
        <w:spacing w:after="0" w:line="211" w:lineRule="auto"/>
        <w:rPr>
          <w:sz w:val="20"/>
          <w:szCs w:val="20"/>
          <w:color w:val="auto"/>
        </w:rPr>
      </w:pPr>
      <w:r>
        <w:rPr>
          <w:rFonts w:ascii="Times New Roman" w:cs="Times New Roman" w:eastAsia="Times New Roman" w:hAnsi="Times New Roman"/>
          <w:sz w:val="20"/>
          <w:szCs w:val="20"/>
          <w:color w:val="auto"/>
        </w:rPr>
        <w:t>or provide such Lender with immunity from the jurisdiction of courts within the United States or from the enforcement of judgments or</w:t>
      </w:r>
    </w:p>
    <w:p>
      <w:pPr>
        <w:ind w:left="38"/>
        <w:spacing w:after="0" w:line="204" w:lineRule="auto"/>
        <w:rPr>
          <w:sz w:val="20"/>
          <w:szCs w:val="20"/>
          <w:color w:val="auto"/>
        </w:rPr>
      </w:pPr>
      <w:r>
        <w:rPr>
          <w:rFonts w:ascii="Times New Roman" w:cs="Times New Roman" w:eastAsia="Times New Roman" w:hAnsi="Times New Roman"/>
          <w:sz w:val="20"/>
          <w:szCs w:val="20"/>
          <w:color w:val="auto"/>
        </w:rPr>
        <w:t>writs of attachment on its assets or permit such Lender (or such Governmental Authority) to reject, repudiate, disavow or disaffirm any contracts or agreements made with such Lender. Any determination by the Administrative Agent that a Lender is a Defaulting Lender</w:t>
      </w:r>
    </w:p>
    <w:p>
      <w:pPr>
        <w:ind w:left="38"/>
        <w:spacing w:after="0" w:line="211" w:lineRule="auto"/>
        <w:rPr>
          <w:sz w:val="20"/>
          <w:szCs w:val="20"/>
          <w:color w:val="auto"/>
        </w:rPr>
      </w:pPr>
      <w:r>
        <w:rPr>
          <w:rFonts w:ascii="Times New Roman" w:cs="Times New Roman" w:eastAsia="Times New Roman" w:hAnsi="Times New Roman"/>
          <w:sz w:val="20"/>
          <w:szCs w:val="20"/>
          <w:color w:val="auto"/>
        </w:rPr>
        <w:t>under any one or more of clauses (a) through</w:t>
      </w:r>
    </w:p>
    <w:p>
      <w:pPr>
        <w:spacing w:after="0" w:line="1" w:lineRule="exact"/>
        <w:rPr>
          <w:sz w:val="20"/>
          <w:szCs w:val="20"/>
          <w:color w:val="auto"/>
        </w:rPr>
      </w:pPr>
    </w:p>
    <w:p>
      <w:pPr>
        <w:jc w:val="both"/>
        <w:ind w:left="38" w:right="20" w:hanging="2"/>
        <w:spacing w:after="0" w:line="218" w:lineRule="auto"/>
        <w:tabs>
          <w:tab w:leader="none" w:pos="593"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above shall be conclusive and binding absent manifest error, and such Lender shall be deemed to be a Defaulting Lender (subject to </w:t>
      </w:r>
      <w:r>
        <w:rPr>
          <w:rFonts w:ascii="Times New Roman" w:cs="Times New Roman" w:eastAsia="Times New Roman" w:hAnsi="Times New Roman"/>
          <w:sz w:val="20"/>
          <w:szCs w:val="20"/>
          <w:u w:val="single" w:color="auto"/>
          <w:color w:val="auto"/>
        </w:rPr>
        <w:t>Section 5.15(b)</w:t>
      </w:r>
      <w:r>
        <w:rPr>
          <w:rFonts w:ascii="Times New Roman" w:cs="Times New Roman" w:eastAsia="Times New Roman" w:hAnsi="Times New Roman"/>
          <w:sz w:val="20"/>
          <w:szCs w:val="20"/>
          <w:color w:val="auto"/>
        </w:rPr>
        <w:t>) upon delivery of written notice of such determination to Centuri, each Issuing Lender, each Swingline Lender and each Lender.</w:t>
      </w:r>
    </w:p>
    <w:p>
      <w:pPr>
        <w:spacing w:after="0" w:line="183" w:lineRule="exact"/>
        <w:rPr>
          <w:sz w:val="20"/>
          <w:szCs w:val="20"/>
          <w:color w:val="auto"/>
        </w:rPr>
      </w:pPr>
    </w:p>
    <w:p>
      <w:pPr>
        <w:ind w:left="67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Disqualified Equity Interests</w:t>
      </w:r>
      <w:r>
        <w:rPr>
          <w:rFonts w:ascii="Times New Roman" w:cs="Times New Roman" w:eastAsia="Times New Roman" w:hAnsi="Times New Roman"/>
          <w:sz w:val="20"/>
          <w:szCs w:val="20"/>
          <w:color w:val="auto"/>
        </w:rPr>
        <w:t>” means any Equity Interests that, by their terms (or by the terms of any security or other Equity</w:t>
      </w:r>
    </w:p>
    <w:p>
      <w:pPr>
        <w:ind w:left="38"/>
        <w:spacing w:after="0" w:line="215" w:lineRule="auto"/>
        <w:rPr>
          <w:sz w:val="20"/>
          <w:szCs w:val="20"/>
          <w:color w:val="auto"/>
        </w:rPr>
      </w:pPr>
      <w:r>
        <w:rPr>
          <w:rFonts w:ascii="Times New Roman" w:cs="Times New Roman" w:eastAsia="Times New Roman" w:hAnsi="Times New Roman"/>
          <w:sz w:val="19"/>
          <w:szCs w:val="19"/>
          <w:color w:val="auto"/>
        </w:rPr>
        <w:t>Interest into which they are convertible or for which they are exchangeable) or upon the happening of any event or condition, (a) mature or are mandatorily redeemable (other than solely for Qualified Equity Interests), pursuant to a sinking fund obligation or otherwise (except as</w:t>
      </w:r>
    </w:p>
    <w:p>
      <w:pPr>
        <w:ind w:left="38"/>
        <w:spacing w:after="0" w:line="211" w:lineRule="auto"/>
        <w:rPr>
          <w:sz w:val="20"/>
          <w:szCs w:val="20"/>
          <w:color w:val="auto"/>
        </w:rPr>
      </w:pPr>
      <w:r>
        <w:rPr>
          <w:rFonts w:ascii="Times New Roman" w:cs="Times New Roman" w:eastAsia="Times New Roman" w:hAnsi="Times New Roman"/>
          <w:sz w:val="20"/>
          <w:szCs w:val="20"/>
          <w:color w:val="auto"/>
        </w:rPr>
        <w:t>a result of a change of control or asset sale so long as any rights of the holders thereof upon the occurrence of a change of control or asset</w:t>
      </w:r>
    </w:p>
    <w:p>
      <w:pPr>
        <w:jc w:val="both"/>
        <w:ind w:left="38"/>
        <w:spacing w:after="0" w:line="204" w:lineRule="auto"/>
        <w:rPr>
          <w:sz w:val="20"/>
          <w:szCs w:val="20"/>
          <w:color w:val="auto"/>
        </w:rPr>
      </w:pPr>
      <w:r>
        <w:rPr>
          <w:rFonts w:ascii="Times New Roman" w:cs="Times New Roman" w:eastAsia="Times New Roman" w:hAnsi="Times New Roman"/>
          <w:sz w:val="20"/>
          <w:szCs w:val="20"/>
          <w:color w:val="auto"/>
        </w:rPr>
        <w:t>sale event shall be subject to the prior repayment in full of the Loans and all other Obligations that are accrued and payable and the termination of the Commitments), (b) are redeemable at the option of the holder thereof (other than solely for Qualified Equity Interests)</w:t>
      </w:r>
    </w:p>
    <w:p>
      <w:pPr>
        <w:ind w:left="38"/>
        <w:spacing w:after="0" w:line="211" w:lineRule="auto"/>
        <w:rPr>
          <w:sz w:val="20"/>
          <w:szCs w:val="20"/>
          <w:color w:val="auto"/>
        </w:rPr>
      </w:pPr>
      <w:r>
        <w:rPr>
          <w:rFonts w:ascii="Times New Roman" w:cs="Times New Roman" w:eastAsia="Times New Roman" w:hAnsi="Times New Roman"/>
          <w:sz w:val="20"/>
          <w:szCs w:val="20"/>
          <w:color w:val="auto"/>
        </w:rPr>
        <w:t>(except as a result of a change of control or asset sale so long as any rights of the holders thereof upon the occurrence of a change of</w:t>
      </w:r>
    </w:p>
    <w:p>
      <w:pPr>
        <w:spacing w:after="0" w:line="1" w:lineRule="exact"/>
        <w:rPr>
          <w:sz w:val="20"/>
          <w:szCs w:val="20"/>
          <w:color w:val="auto"/>
        </w:rPr>
      </w:pPr>
    </w:p>
    <w:p>
      <w:pPr>
        <w:ind w:left="38"/>
        <w:spacing w:after="0" w:line="215" w:lineRule="auto"/>
        <w:rPr>
          <w:sz w:val="20"/>
          <w:szCs w:val="20"/>
          <w:color w:val="auto"/>
        </w:rPr>
      </w:pPr>
      <w:r>
        <w:rPr>
          <w:rFonts w:ascii="Times New Roman" w:cs="Times New Roman" w:eastAsia="Times New Roman" w:hAnsi="Times New Roman"/>
          <w:sz w:val="19"/>
          <w:szCs w:val="19"/>
          <w:color w:val="auto"/>
        </w:rPr>
        <w:t>control or asset sale event shall be subject to the prior repayment in full of the Loans and all other Obligations that are accrued and payable and the termination of the Commitments), in whole or in part, (c) provide for the scheduled payment of dividends in cash or (d) are or</w:t>
      </w:r>
    </w:p>
    <w:p>
      <w:pPr>
        <w:ind w:left="38"/>
        <w:spacing w:after="0" w:line="222" w:lineRule="auto"/>
        <w:rPr>
          <w:sz w:val="20"/>
          <w:szCs w:val="20"/>
          <w:color w:val="auto"/>
        </w:rPr>
      </w:pPr>
      <w:r>
        <w:rPr>
          <w:rFonts w:ascii="Times New Roman" w:cs="Times New Roman" w:eastAsia="Times New Roman" w:hAnsi="Times New Roman"/>
          <w:sz w:val="19"/>
          <w:szCs w:val="19"/>
          <w:color w:val="auto"/>
        </w:rPr>
        <w:t>become convertible into or exchangeable for Indebtedness or any other Equity Interests that would constitute Disqualified Equity Interests,</w:t>
      </w:r>
    </w:p>
    <w:p>
      <w:pPr>
        <w:ind w:left="38"/>
        <w:spacing w:after="0" w:line="204" w:lineRule="auto"/>
        <w:rPr>
          <w:sz w:val="20"/>
          <w:szCs w:val="20"/>
          <w:color w:val="auto"/>
        </w:rPr>
      </w:pPr>
      <w:r>
        <w:rPr>
          <w:rFonts w:ascii="Times New Roman" w:cs="Times New Roman" w:eastAsia="Times New Roman" w:hAnsi="Times New Roman"/>
          <w:sz w:val="20"/>
          <w:szCs w:val="20"/>
          <w:color w:val="auto"/>
        </w:rPr>
        <w:t xml:space="preserve">in each case, prior to the date that is 91 days after the Term Loan Maturity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such Equity Interests are issued pursuant to a plan for the benefit of the Consolidated Companies or by any such plan to such employees, such Equity Interests shall not constitute</w:t>
      </w:r>
    </w:p>
    <w:p>
      <w:pPr>
        <w:spacing w:after="0" w:line="1" w:lineRule="exact"/>
        <w:rPr>
          <w:sz w:val="20"/>
          <w:szCs w:val="20"/>
          <w:color w:val="auto"/>
        </w:rPr>
      </w:pPr>
    </w:p>
    <w:p>
      <w:pPr>
        <w:ind w:left="38"/>
        <w:spacing w:after="0" w:line="221" w:lineRule="auto"/>
        <w:rPr>
          <w:sz w:val="20"/>
          <w:szCs w:val="20"/>
          <w:color w:val="auto"/>
        </w:rPr>
      </w:pPr>
      <w:r>
        <w:rPr>
          <w:rFonts w:ascii="Times New Roman" w:cs="Times New Roman" w:eastAsia="Times New Roman" w:hAnsi="Times New Roman"/>
          <w:sz w:val="20"/>
          <w:szCs w:val="20"/>
          <w:color w:val="auto"/>
        </w:rPr>
        <w:t>Disqualified Equity Interests solely because they may be required to be repurchased by the Consolidated Companies in order to satisfy applicable statutory or regulatory obligations.</w:t>
      </w:r>
    </w:p>
    <w:p>
      <w:pPr>
        <w:spacing w:after="0" w:line="202" w:lineRule="exact"/>
        <w:rPr>
          <w:sz w:val="20"/>
          <w:szCs w:val="20"/>
          <w:color w:val="auto"/>
        </w:rPr>
      </w:pPr>
    </w:p>
    <w:p>
      <w:pPr>
        <w:ind w:left="38" w:right="20" w:firstLine="648"/>
        <w:spacing w:after="0" w:line="22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Dollar Amount</w:t>
      </w:r>
      <w:r>
        <w:rPr>
          <w:rFonts w:ascii="Times New Roman" w:cs="Times New Roman" w:eastAsia="Times New Roman" w:hAnsi="Times New Roman"/>
          <w:sz w:val="19"/>
          <w:szCs w:val="19"/>
          <w:color w:val="auto"/>
        </w:rPr>
        <w:t>” means, with respect to any sum expressed in Canadian Dollars, the amount of Dollars which is equivalent to the amount so expressed in Canadian Dollars at the Spot Rate determined by the Administrative Agent to be available to it at the relevant time</w:t>
      </w:r>
    </w:p>
    <w:p>
      <w:pPr>
        <w:ind w:left="38"/>
        <w:spacing w:after="0"/>
        <w:rPr>
          <w:sz w:val="20"/>
          <w:szCs w:val="20"/>
          <w:color w:val="auto"/>
        </w:rPr>
      </w:pPr>
      <w:r>
        <w:rPr>
          <w:rFonts w:ascii="Times New Roman" w:cs="Times New Roman" w:eastAsia="Times New Roman" w:hAnsi="Times New Roman"/>
          <w:sz w:val="20"/>
          <w:szCs w:val="20"/>
          <w:color w:val="auto"/>
        </w:rPr>
        <w:t>(including on each Revaluation Date).</w:t>
      </w:r>
    </w:p>
    <w:p>
      <w:pPr>
        <w:spacing w:after="0" w:line="194" w:lineRule="exact"/>
        <w:rPr>
          <w:sz w:val="20"/>
          <w:szCs w:val="20"/>
          <w:color w:val="auto"/>
        </w:rPr>
      </w:pPr>
    </w:p>
    <w:p>
      <w:pPr>
        <w:ind w:left="67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Dollars</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 means, unless otherwise qualified, dollars in lawful currency of the United States.</w:t>
      </w:r>
    </w:p>
    <w:p>
      <w:pPr>
        <w:spacing w:after="0" w:line="283" w:lineRule="exact"/>
        <w:rPr>
          <w:sz w:val="20"/>
          <w:szCs w:val="20"/>
          <w:color w:val="auto"/>
        </w:rPr>
      </w:pPr>
    </w:p>
    <w:p>
      <w:pPr>
        <w:ind w:left="67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Drum</w:t>
      </w:r>
      <w:r>
        <w:rPr>
          <w:rFonts w:ascii="Times New Roman" w:cs="Times New Roman" w:eastAsia="Times New Roman" w:hAnsi="Times New Roman"/>
          <w:sz w:val="20"/>
          <w:szCs w:val="20"/>
          <w:color w:val="auto"/>
        </w:rPr>
        <w:t>” means Drum Parent, Inc., a Delaware corporation.</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38"/>
        <w:spacing w:after="0"/>
        <w:rPr>
          <w:sz w:val="20"/>
          <w:szCs w:val="20"/>
          <w:color w:val="auto"/>
        </w:rPr>
      </w:pPr>
      <w:r>
        <w:rPr>
          <w:rFonts w:ascii="Times New Roman" w:cs="Times New Roman" w:eastAsia="Times New Roman" w:hAnsi="Times New Roman"/>
          <w:sz w:val="14"/>
          <w:szCs w:val="14"/>
          <w:color w:val="FF0000"/>
          <w:strike w:val="1"/>
        </w:rPr>
        <w:t>146960219_6</w:t>
      </w:r>
    </w:p>
    <w:p>
      <w:pPr>
        <w:spacing w:after="0" w:line="4" w:lineRule="exact"/>
        <w:rPr>
          <w:sz w:val="20"/>
          <w:szCs w:val="20"/>
          <w:color w:val="auto"/>
        </w:rPr>
      </w:pPr>
    </w:p>
    <w:p>
      <w:pPr>
        <w:ind w:left="338" w:hanging="338"/>
        <w:spacing w:after="0"/>
        <w:tabs>
          <w:tab w:leader="none" w:pos="338"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078"/>
          </w:cols>
          <w:pgMar w:left="382" w:top="1440" w:right="439" w:bottom="1440" w:gutter="0" w:footer="0" w:header="0"/>
        </w:sectPr>
      </w:pPr>
    </w:p>
    <w:bookmarkStart w:id="106" w:name="page107"/>
    <w:bookmarkEnd w:id="106"/>
    <w:p>
      <w:pPr>
        <w:ind w:left="69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Drum Acquisition</w:t>
      </w:r>
      <w:r>
        <w:rPr>
          <w:rFonts w:ascii="Times New Roman" w:cs="Times New Roman" w:eastAsia="Times New Roman" w:hAnsi="Times New Roman"/>
          <w:sz w:val="20"/>
          <w:szCs w:val="20"/>
          <w:color w:val="auto"/>
        </w:rPr>
        <w:t>” means the acquisition of Drum and its Subsidiaries pursuant to the Drum Merger Agreement.</w:t>
      </w:r>
    </w:p>
    <w:p>
      <w:pPr>
        <w:spacing w:after="0" w:line="216" w:lineRule="exact"/>
        <w:rPr>
          <w:sz w:val="20"/>
          <w:szCs w:val="20"/>
          <w:color w:val="auto"/>
        </w:rPr>
      </w:pPr>
    </w:p>
    <w:p>
      <w:pPr>
        <w:ind w:left="69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Drum Material Adverse Effect</w:t>
      </w:r>
      <w:r>
        <w:rPr>
          <w:rFonts w:ascii="Times New Roman" w:cs="Times New Roman" w:eastAsia="Times New Roman" w:hAnsi="Times New Roman"/>
          <w:sz w:val="20"/>
          <w:szCs w:val="20"/>
          <w:color w:val="auto"/>
        </w:rPr>
        <w:t>” means a “Material Adverse Effect”, as defined in the Drum Merger Agreement.</w:t>
      </w:r>
    </w:p>
    <w:p>
      <w:pPr>
        <w:spacing w:after="0" w:line="216" w:lineRule="exact"/>
        <w:rPr>
          <w:sz w:val="20"/>
          <w:szCs w:val="20"/>
          <w:color w:val="auto"/>
        </w:rPr>
      </w:pPr>
    </w:p>
    <w:p>
      <w:pPr>
        <w:ind w:left="698"/>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Drum Merger Agreement</w:t>
      </w:r>
      <w:r>
        <w:rPr>
          <w:rFonts w:ascii="Times New Roman" w:cs="Times New Roman" w:eastAsia="Times New Roman" w:hAnsi="Times New Roman"/>
          <w:sz w:val="19"/>
          <w:szCs w:val="19"/>
          <w:color w:val="auto"/>
        </w:rPr>
        <w:t>” means that certain Agreement and Plan of Merger effective as of June 28, 2021, by and among Drum,</w:t>
      </w:r>
    </w:p>
    <w:p>
      <w:pPr>
        <w:spacing w:after="0" w:line="6" w:lineRule="exact"/>
        <w:rPr>
          <w:sz w:val="20"/>
          <w:szCs w:val="20"/>
          <w:color w:val="auto"/>
        </w:rPr>
      </w:pPr>
    </w:p>
    <w:p>
      <w:pPr>
        <w:ind w:left="58"/>
        <w:spacing w:after="0" w:line="204" w:lineRule="auto"/>
        <w:rPr>
          <w:sz w:val="20"/>
          <w:szCs w:val="20"/>
          <w:color w:val="auto"/>
        </w:rPr>
      </w:pPr>
      <w:r>
        <w:rPr>
          <w:rFonts w:ascii="Times New Roman" w:cs="Times New Roman" w:eastAsia="Times New Roman" w:hAnsi="Times New Roman"/>
          <w:sz w:val="20"/>
          <w:szCs w:val="20"/>
          <w:color w:val="auto"/>
        </w:rPr>
        <w:t>Electric T&amp;D Holdings LLC, as buyer, Centuri, ETDH Merger Sub, Inc. and OCM Drum Investors, L.P., as representative of the stockholders and optionholders of Drum immediately prior to the Drum Acquisition, as sellers, together with all schedules and exhibits</w:t>
      </w:r>
    </w:p>
    <w:p>
      <w:pPr>
        <w:spacing w:after="0" w:line="1" w:lineRule="exact"/>
        <w:rPr>
          <w:sz w:val="20"/>
          <w:szCs w:val="20"/>
          <w:color w:val="auto"/>
        </w:rPr>
      </w:pPr>
    </w:p>
    <w:p>
      <w:pPr>
        <w:ind w:left="58"/>
        <w:spacing w:after="0"/>
        <w:rPr>
          <w:sz w:val="20"/>
          <w:szCs w:val="20"/>
          <w:color w:val="auto"/>
        </w:rPr>
      </w:pPr>
      <w:r>
        <w:rPr>
          <w:rFonts w:ascii="Times New Roman" w:cs="Times New Roman" w:eastAsia="Times New Roman" w:hAnsi="Times New Roman"/>
          <w:sz w:val="20"/>
          <w:szCs w:val="20"/>
          <w:color w:val="auto"/>
        </w:rPr>
        <w:t>thereto and as the same may be amended, restated, supplemented or otherwise modified from time to time prior to the Closing Date.</w:t>
      </w:r>
    </w:p>
    <w:p>
      <w:pPr>
        <w:spacing w:after="0" w:line="194" w:lineRule="exact"/>
        <w:rPr>
          <w:sz w:val="20"/>
          <w:szCs w:val="20"/>
          <w:color w:val="auto"/>
        </w:rPr>
      </w:pPr>
    </w:p>
    <w:p>
      <w:pPr>
        <w:ind w:left="69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Early Opt-in Election</w:t>
      </w:r>
      <w:r>
        <w:rPr>
          <w:rFonts w:ascii="Times New Roman" w:cs="Times New Roman" w:eastAsia="Times New Roman" w:hAnsi="Times New Roman"/>
          <w:sz w:val="20"/>
          <w:szCs w:val="20"/>
          <w:color w:val="auto"/>
        </w:rPr>
        <w:t>” means, if the then-current Benchmark is USD LIBOR, the occurrence of:</w:t>
      </w:r>
    </w:p>
    <w:p>
      <w:pPr>
        <w:spacing w:after="0" w:line="283" w:lineRule="exact"/>
        <w:rPr>
          <w:sz w:val="20"/>
          <w:szCs w:val="20"/>
          <w:color w:val="auto"/>
        </w:rPr>
      </w:pPr>
    </w:p>
    <w:p>
      <w:pPr>
        <w:jc w:val="both"/>
        <w:ind w:left="58" w:firstLine="644"/>
        <w:spacing w:after="0" w:line="222" w:lineRule="auto"/>
        <w:tabs>
          <w:tab w:leader="none" w:pos="1237"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notification by the Administrative Agent to (or the request by Centuri to the Administrative Agent to notify) each of the other parties hereto that at least five currently outstanding Dollar-denominated syndicated credit facilities at such time contain (as a result of amendment or as originally executed) a SOFR-based rate (including SOFR, a term SOFR or any other rate based upon SOFR) as a benchmark rate (and such syndicated credit facilities are identified in such notice and are publicly available for review), and</w:t>
      </w:r>
    </w:p>
    <w:p>
      <w:pPr>
        <w:spacing w:after="0" w:line="202" w:lineRule="exact"/>
        <w:rPr>
          <w:rFonts w:ascii="Times New Roman" w:cs="Times New Roman" w:eastAsia="Times New Roman" w:hAnsi="Times New Roman"/>
          <w:sz w:val="20"/>
          <w:szCs w:val="20"/>
          <w:color w:val="auto"/>
        </w:rPr>
      </w:pPr>
    </w:p>
    <w:p>
      <w:pPr>
        <w:ind w:left="58" w:firstLine="644"/>
        <w:spacing w:after="0" w:line="269" w:lineRule="auto"/>
        <w:tabs>
          <w:tab w:leader="none" w:pos="1235"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joint election by the Administrative Agent and Centuri to trigger a fallback from USD LIBOR and the provision by the Administrative Agent of written notice of such election to the Lenders.</w:t>
      </w:r>
    </w:p>
    <w:p>
      <w:pPr>
        <w:spacing w:after="0" w:line="186" w:lineRule="exact"/>
        <w:rPr>
          <w:sz w:val="20"/>
          <w:szCs w:val="20"/>
          <w:color w:val="auto"/>
        </w:rPr>
      </w:pPr>
    </w:p>
    <w:p>
      <w:pPr>
        <w:jc w:val="both"/>
        <w:ind w:left="58" w:firstLine="648"/>
        <w:spacing w:after="0" w:line="21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ECF Percentage</w:t>
      </w:r>
      <w:r>
        <w:rPr>
          <w:rFonts w:ascii="Times New Roman" w:cs="Times New Roman" w:eastAsia="Times New Roman" w:hAnsi="Times New Roman"/>
          <w:sz w:val="20"/>
          <w:szCs w:val="20"/>
          <w:color w:val="auto"/>
        </w:rPr>
        <w:t>” means, with respect to any Fiscal Year, (a) 50%, if the Consolidated Net Leverage Ratio at the end of such Fiscal Year is greater than 4.00 to 1.00, (b) 25%, if the Consolidated Net Leverage Ratio at the end of such Fiscal Year is greater than to</w:t>
      </w:r>
    </w:p>
    <w:p>
      <w:pPr>
        <w:spacing w:after="0" w:line="1" w:lineRule="exact"/>
        <w:rPr>
          <w:sz w:val="20"/>
          <w:szCs w:val="20"/>
          <w:color w:val="auto"/>
        </w:rPr>
      </w:pPr>
    </w:p>
    <w:p>
      <w:pPr>
        <w:jc w:val="both"/>
        <w:ind w:left="58" w:right="20"/>
        <w:spacing w:after="0" w:line="228" w:lineRule="auto"/>
        <w:rPr>
          <w:sz w:val="20"/>
          <w:szCs w:val="20"/>
          <w:color w:val="auto"/>
        </w:rPr>
      </w:pPr>
      <w:r>
        <w:rPr>
          <w:rFonts w:ascii="Times New Roman" w:cs="Times New Roman" w:eastAsia="Times New Roman" w:hAnsi="Times New Roman"/>
          <w:sz w:val="20"/>
          <w:szCs w:val="20"/>
          <w:color w:val="auto"/>
        </w:rPr>
        <w:t>3.50 to 1.00 but less than or equal to 4.00 to 1.00 and (c) 0%, if the Consolidated Net Leverage Ratio at the end of such Fiscal Year is less than or equal to 3.50 to 1.00.</w:t>
      </w:r>
    </w:p>
    <w:p>
      <w:pPr>
        <w:spacing w:after="0" w:line="189" w:lineRule="exact"/>
        <w:rPr>
          <w:sz w:val="20"/>
          <w:szCs w:val="20"/>
          <w:color w:val="auto"/>
        </w:rPr>
      </w:pPr>
    </w:p>
    <w:p>
      <w:pPr>
        <w:jc w:val="both"/>
        <w:ind w:left="58" w:firstLine="648"/>
        <w:spacing w:after="0" w:line="22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EEA Financial Institution</w:t>
      </w:r>
      <w:r>
        <w:rPr>
          <w:rFonts w:ascii="Times New Roman" w:cs="Times New Roman" w:eastAsia="Times New Roman" w:hAnsi="Times New Roman"/>
          <w:sz w:val="19"/>
          <w:szCs w:val="19"/>
          <w:color w:val="auto"/>
        </w:rPr>
        <w:t>” means (a) any credit institution or investment firm established in any EEA Member Country which is subject to the supervision of an EEA Resolution Authority, (b) any entity established in an EEA Member Country which is a parent of an</w:t>
      </w:r>
    </w:p>
    <w:p>
      <w:pPr>
        <w:jc w:val="both"/>
        <w:ind w:left="58" w:right="20"/>
        <w:spacing w:after="0" w:line="228" w:lineRule="auto"/>
        <w:rPr>
          <w:sz w:val="20"/>
          <w:szCs w:val="20"/>
          <w:color w:val="auto"/>
        </w:rPr>
      </w:pPr>
      <w:r>
        <w:rPr>
          <w:rFonts w:ascii="Times New Roman" w:cs="Times New Roman" w:eastAsia="Times New Roman" w:hAnsi="Times New Roman"/>
          <w:sz w:val="20"/>
          <w:szCs w:val="20"/>
          <w:color w:val="auto"/>
        </w:rPr>
        <w:t>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89" w:lineRule="exact"/>
        <w:rPr>
          <w:sz w:val="20"/>
          <w:szCs w:val="20"/>
          <w:color w:val="auto"/>
        </w:rPr>
      </w:pPr>
    </w:p>
    <w:p>
      <w:pPr>
        <w:ind w:left="69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EEA Member Country</w:t>
      </w:r>
      <w:r>
        <w:rPr>
          <w:rFonts w:ascii="Times New Roman" w:cs="Times New Roman" w:eastAsia="Times New Roman" w:hAnsi="Times New Roman"/>
          <w:sz w:val="20"/>
          <w:szCs w:val="20"/>
          <w:color w:val="auto"/>
        </w:rPr>
        <w:t>” means any of the member states of the European Union, Iceland, Liechtenstein, and Norway.</w:t>
      </w:r>
    </w:p>
    <w:p>
      <w:pPr>
        <w:spacing w:after="0" w:line="229" w:lineRule="exact"/>
        <w:rPr>
          <w:sz w:val="20"/>
          <w:szCs w:val="20"/>
          <w:color w:val="auto"/>
        </w:rPr>
      </w:pPr>
    </w:p>
    <w:p>
      <w:pPr>
        <w:jc w:val="both"/>
        <w:ind w:left="58"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EEA Resolution Authority</w:t>
      </w:r>
      <w:r>
        <w:rPr>
          <w:rFonts w:ascii="Times New Roman" w:cs="Times New Roman" w:eastAsia="Times New Roman" w:hAnsi="Times New Roman"/>
          <w:sz w:val="20"/>
          <w:szCs w:val="20"/>
          <w:color w:val="auto"/>
        </w:rPr>
        <w:t>” means any public administrative authority or any Person entrusted with public administrative authority of any EEA Member Country (including any delegee) having responsibility for the resolution of any credit institution or investment firm established in any EEA Member Country.</w:t>
      </w:r>
    </w:p>
    <w:p>
      <w:pPr>
        <w:spacing w:after="0" w:line="188" w:lineRule="exact"/>
        <w:rPr>
          <w:sz w:val="20"/>
          <w:szCs w:val="20"/>
          <w:color w:val="auto"/>
        </w:rPr>
      </w:pPr>
    </w:p>
    <w:p>
      <w:pPr>
        <w:ind w:left="69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Electronic Record</w:t>
      </w:r>
      <w:r>
        <w:rPr>
          <w:rFonts w:ascii="Times New Roman" w:cs="Times New Roman" w:eastAsia="Times New Roman" w:hAnsi="Times New Roman"/>
          <w:sz w:val="20"/>
          <w:szCs w:val="20"/>
          <w:color w:val="auto"/>
        </w:rPr>
        <w:t>” has the meaning assigned to that term in, and shall be interpreted in accordance with, 15 U.S.C. 7006.</w:t>
      </w:r>
    </w:p>
    <w:p>
      <w:pPr>
        <w:spacing w:after="0" w:line="216" w:lineRule="exact"/>
        <w:rPr>
          <w:sz w:val="20"/>
          <w:szCs w:val="20"/>
          <w:color w:val="auto"/>
        </w:rPr>
      </w:pPr>
    </w:p>
    <w:p>
      <w:pPr>
        <w:ind w:left="69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Electronic Signature</w:t>
      </w:r>
      <w:r>
        <w:rPr>
          <w:rFonts w:ascii="Times New Roman" w:cs="Times New Roman" w:eastAsia="Times New Roman" w:hAnsi="Times New Roman"/>
          <w:sz w:val="20"/>
          <w:szCs w:val="20"/>
          <w:color w:val="auto"/>
        </w:rPr>
        <w:t>” has the meaning assigned to that term in, and shall be interpreted in accordance with, 15 U.S.C. 7006.</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38"/>
        <w:spacing w:after="0"/>
        <w:rPr>
          <w:sz w:val="20"/>
          <w:szCs w:val="20"/>
          <w:color w:val="auto"/>
        </w:rPr>
      </w:pPr>
      <w:r>
        <w:rPr>
          <w:rFonts w:ascii="Times New Roman" w:cs="Times New Roman" w:eastAsia="Times New Roman" w:hAnsi="Times New Roman"/>
          <w:sz w:val="14"/>
          <w:szCs w:val="14"/>
          <w:color w:val="FF0000"/>
          <w:strike w:val="1"/>
        </w:rPr>
        <w:t>146960219_6</w:t>
      </w:r>
    </w:p>
    <w:p>
      <w:pPr>
        <w:spacing w:after="0" w:line="4" w:lineRule="exact"/>
        <w:rPr>
          <w:sz w:val="20"/>
          <w:szCs w:val="20"/>
          <w:color w:val="auto"/>
        </w:rPr>
      </w:pPr>
    </w:p>
    <w:p>
      <w:pPr>
        <w:ind w:left="338" w:hanging="338"/>
        <w:spacing w:after="0"/>
        <w:tabs>
          <w:tab w:leader="none" w:pos="338"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078"/>
          </w:cols>
          <w:pgMar w:left="382" w:top="1399" w:right="439" w:bottom="1440" w:gutter="0" w:footer="0" w:header="0"/>
        </w:sectPr>
      </w:pPr>
    </w:p>
    <w:bookmarkStart w:id="107" w:name="page108"/>
    <w:bookmarkEnd w:id="107"/>
    <w:p>
      <w:pPr>
        <w:ind w:left="38" w:right="640"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Eligible Assignee</w:t>
      </w:r>
      <w:r>
        <w:rPr>
          <w:rFonts w:ascii="Times New Roman" w:cs="Times New Roman" w:eastAsia="Times New Roman" w:hAnsi="Times New Roman"/>
          <w:sz w:val="20"/>
          <w:szCs w:val="20"/>
          <w:color w:val="auto"/>
        </w:rPr>
        <w:t xml:space="preserve">” means any Person that meets the requirements to be an assignee under </w:t>
      </w:r>
      <w:r>
        <w:rPr>
          <w:rFonts w:ascii="Times New Roman" w:cs="Times New Roman" w:eastAsia="Times New Roman" w:hAnsi="Times New Roman"/>
          <w:sz w:val="20"/>
          <w:szCs w:val="20"/>
          <w:u w:val="single" w:color="auto"/>
          <w:color w:val="auto"/>
        </w:rPr>
        <w:t>Section 12.9(b)(iii)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(v)</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(vi)</w:t>
      </w:r>
      <w:r>
        <w:rPr>
          <w:rFonts w:ascii="Times New Roman" w:cs="Times New Roman" w:eastAsia="Times New Roman" w:hAnsi="Times New Roman"/>
          <w:sz w:val="20"/>
          <w:szCs w:val="20"/>
          <w:color w:val="auto"/>
        </w:rPr>
        <w:t xml:space="preserve"> (subject to such consents, if any, as may be required under </w:t>
      </w:r>
      <w:r>
        <w:rPr>
          <w:rFonts w:ascii="Times New Roman" w:cs="Times New Roman" w:eastAsia="Times New Roman" w:hAnsi="Times New Roman"/>
          <w:sz w:val="20"/>
          <w:szCs w:val="20"/>
          <w:u w:val="single" w:color="auto"/>
          <w:color w:val="auto"/>
        </w:rPr>
        <w:t>Section 12.9(b)(iii)</w:t>
      </w:r>
      <w:r>
        <w:rPr>
          <w:rFonts w:ascii="Times New Roman" w:cs="Times New Roman" w:eastAsia="Times New Roman" w:hAnsi="Times New Roman"/>
          <w:sz w:val="20"/>
          <w:szCs w:val="20"/>
          <w:color w:val="auto"/>
        </w:rPr>
        <w:t>).</w:t>
      </w:r>
    </w:p>
    <w:p>
      <w:pPr>
        <w:spacing w:after="0" w:line="256" w:lineRule="exact"/>
        <w:rPr>
          <w:sz w:val="20"/>
          <w:szCs w:val="20"/>
          <w:color w:val="auto"/>
        </w:rPr>
      </w:pPr>
    </w:p>
    <w:p>
      <w:pPr>
        <w:ind w:left="38" w:firstLine="648"/>
        <w:spacing w:after="0" w:line="21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Employee Benefit Plan</w:t>
      </w:r>
      <w:r>
        <w:rPr>
          <w:rFonts w:ascii="Times New Roman" w:cs="Times New Roman" w:eastAsia="Times New Roman" w:hAnsi="Times New Roman"/>
          <w:sz w:val="20"/>
          <w:szCs w:val="20"/>
          <w:color w:val="auto"/>
        </w:rPr>
        <w:t>” means (a) any employee benefit plan within the meaning of Section 3(3) of ERISA that is maintained for employees of any Credit Party or any ERISA Affiliate or (b) any Pension Plan or Multiemployer Plan that has at any time within the</w:t>
      </w:r>
    </w:p>
    <w:p>
      <w:pPr>
        <w:spacing w:after="0" w:line="1" w:lineRule="exact"/>
        <w:rPr>
          <w:sz w:val="20"/>
          <w:szCs w:val="20"/>
          <w:color w:val="auto"/>
        </w:rPr>
      </w:pPr>
    </w:p>
    <w:p>
      <w:pPr>
        <w:ind w:left="38" w:right="20"/>
        <w:spacing w:after="0" w:line="221" w:lineRule="auto"/>
        <w:rPr>
          <w:sz w:val="20"/>
          <w:szCs w:val="20"/>
          <w:color w:val="auto"/>
        </w:rPr>
      </w:pPr>
      <w:r>
        <w:rPr>
          <w:rFonts w:ascii="Times New Roman" w:cs="Times New Roman" w:eastAsia="Times New Roman" w:hAnsi="Times New Roman"/>
          <w:sz w:val="20"/>
          <w:szCs w:val="20"/>
          <w:color w:val="auto"/>
        </w:rPr>
        <w:t>preceding seven (7) years been maintained, funded or administered for the employees of any Credit Party or any current or former ERISA Affiliate.</w:t>
      </w:r>
    </w:p>
    <w:p>
      <w:pPr>
        <w:spacing w:after="0" w:line="202" w:lineRule="exact"/>
        <w:rPr>
          <w:sz w:val="20"/>
          <w:szCs w:val="20"/>
          <w:color w:val="auto"/>
        </w:rPr>
      </w:pPr>
    </w:p>
    <w:p>
      <w:pPr>
        <w:ind w:left="158" w:firstLine="736"/>
        <w:spacing w:after="0" w:line="22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Environmental Claims</w:t>
      </w:r>
      <w:r>
        <w:rPr>
          <w:rFonts w:ascii="Times New Roman" w:cs="Times New Roman" w:eastAsia="Times New Roman" w:hAnsi="Times New Roman"/>
          <w:sz w:val="19"/>
          <w:szCs w:val="19"/>
          <w:color w:val="auto"/>
        </w:rPr>
        <w:t>” means any and all administrative, regulatory or judicial actions, suits, demands, demand letters, claims, liens, accusations, allegations, notices of noncompliance or violation, investigations (other than internal reports prepared by any Person in</w:t>
      </w:r>
    </w:p>
    <w:p>
      <w:pPr>
        <w:ind w:left="238"/>
        <w:spacing w:after="0" w:line="222" w:lineRule="auto"/>
        <w:rPr>
          <w:sz w:val="20"/>
          <w:szCs w:val="20"/>
          <w:color w:val="auto"/>
        </w:rPr>
      </w:pPr>
      <w:r>
        <w:rPr>
          <w:rFonts w:ascii="Times New Roman" w:cs="Times New Roman" w:eastAsia="Times New Roman" w:hAnsi="Times New Roman"/>
          <w:sz w:val="19"/>
          <w:szCs w:val="19"/>
          <w:color w:val="auto"/>
        </w:rPr>
        <w:t>the ordinary course of business and not in response to any third party action or request of any kind) or proceedings relating in any way to</w:t>
      </w:r>
    </w:p>
    <w:p>
      <w:pPr>
        <w:spacing w:after="0" w:line="1" w:lineRule="exact"/>
        <w:rPr>
          <w:sz w:val="20"/>
          <w:szCs w:val="20"/>
          <w:color w:val="auto"/>
        </w:rPr>
      </w:pPr>
    </w:p>
    <w:p>
      <w:pPr>
        <w:jc w:val="right"/>
        <w:ind w:left="238"/>
        <w:spacing w:after="0" w:line="215" w:lineRule="auto"/>
        <w:rPr>
          <w:sz w:val="20"/>
          <w:szCs w:val="20"/>
          <w:color w:val="auto"/>
        </w:rPr>
      </w:pPr>
      <w:r>
        <w:rPr>
          <w:rFonts w:ascii="Times New Roman" w:cs="Times New Roman" w:eastAsia="Times New Roman" w:hAnsi="Times New Roman"/>
          <w:sz w:val="19"/>
          <w:szCs w:val="19"/>
          <w:color w:val="auto"/>
        </w:rPr>
        <w:t>any actual or alleged violation of or liability under any Environmental Law or relating to any permit issued, or any approval given, under any such Environmental Law, including, without limitation, any and all claims by Governmental Authorities for enforcement, cleanup,</w:t>
      </w:r>
    </w:p>
    <w:p>
      <w:pPr>
        <w:jc w:val="right"/>
        <w:ind w:left="318"/>
        <w:spacing w:after="0" w:line="228" w:lineRule="auto"/>
        <w:rPr>
          <w:sz w:val="20"/>
          <w:szCs w:val="20"/>
          <w:color w:val="auto"/>
        </w:rPr>
      </w:pPr>
      <w:r>
        <w:rPr>
          <w:rFonts w:ascii="Times New Roman" w:cs="Times New Roman" w:eastAsia="Times New Roman" w:hAnsi="Times New Roman"/>
          <w:sz w:val="20"/>
          <w:szCs w:val="20"/>
          <w:color w:val="auto"/>
        </w:rPr>
        <w:t>removal, response, remedial or other actions or damages, contribution, indemnification, cost recovery, compensation or injunctive relief resulting from Hazardous Materials or arising from alleged injury or threat of injury to human health or the environment.</w:t>
      </w:r>
    </w:p>
    <w:p>
      <w:pPr>
        <w:spacing w:after="0" w:line="189" w:lineRule="exact"/>
        <w:rPr>
          <w:sz w:val="20"/>
          <w:szCs w:val="20"/>
          <w:color w:val="auto"/>
        </w:rPr>
      </w:pPr>
    </w:p>
    <w:p>
      <w:pPr>
        <w:ind w:left="38" w:firstLine="648"/>
        <w:spacing w:after="0" w:line="21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Environmental Laws</w:t>
      </w:r>
      <w:r>
        <w:rPr>
          <w:rFonts w:ascii="Times New Roman" w:cs="Times New Roman" w:eastAsia="Times New Roman" w:hAnsi="Times New Roman"/>
          <w:sz w:val="20"/>
          <w:szCs w:val="20"/>
          <w:color w:val="auto"/>
        </w:rPr>
        <w:t>” means any and all federal, foreign, state, provincial and local laws, statutes, ordinances, codes, rules, standards and regulations, permits, licenses, approvals, interpretations and orders of courts or Governmental Authorities, relating to the</w:t>
      </w:r>
    </w:p>
    <w:p>
      <w:pPr>
        <w:ind w:left="38"/>
        <w:spacing w:after="0" w:line="212" w:lineRule="auto"/>
        <w:rPr>
          <w:sz w:val="20"/>
          <w:szCs w:val="20"/>
          <w:color w:val="auto"/>
        </w:rPr>
      </w:pPr>
      <w:r>
        <w:rPr>
          <w:rFonts w:ascii="Times New Roman" w:cs="Times New Roman" w:eastAsia="Times New Roman" w:hAnsi="Times New Roman"/>
          <w:sz w:val="20"/>
          <w:szCs w:val="20"/>
          <w:color w:val="auto"/>
        </w:rPr>
        <w:t>protection of human health or the environment, including, but not limited to, requirements pertaining to the manufacture, processing,</w:t>
      </w:r>
    </w:p>
    <w:p>
      <w:pPr>
        <w:spacing w:after="0" w:line="1" w:lineRule="exact"/>
        <w:rPr>
          <w:sz w:val="20"/>
          <w:szCs w:val="20"/>
          <w:color w:val="auto"/>
        </w:rPr>
      </w:pPr>
    </w:p>
    <w:p>
      <w:pPr>
        <w:ind w:left="38"/>
        <w:spacing w:after="0" w:line="221" w:lineRule="auto"/>
        <w:rPr>
          <w:sz w:val="20"/>
          <w:szCs w:val="20"/>
          <w:color w:val="auto"/>
        </w:rPr>
      </w:pPr>
      <w:r>
        <w:rPr>
          <w:rFonts w:ascii="Times New Roman" w:cs="Times New Roman" w:eastAsia="Times New Roman" w:hAnsi="Times New Roman"/>
          <w:sz w:val="20"/>
          <w:szCs w:val="20"/>
          <w:color w:val="auto"/>
        </w:rPr>
        <w:t>distribution, use, treatment, storage, disposal, transportation, handling, reporting, licensing, permitting, investigation or remediation of Hazardous Materials.</w:t>
      </w:r>
    </w:p>
    <w:p>
      <w:pPr>
        <w:spacing w:after="0" w:line="202" w:lineRule="exact"/>
        <w:rPr>
          <w:sz w:val="20"/>
          <w:szCs w:val="20"/>
          <w:color w:val="auto"/>
        </w:rPr>
      </w:pPr>
    </w:p>
    <w:p>
      <w:pPr>
        <w:jc w:val="both"/>
        <w:ind w:left="38" w:right="20" w:firstLine="648"/>
        <w:spacing w:after="0" w:line="21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Equity Interests</w:t>
      </w:r>
      <w:r>
        <w:rPr>
          <w:rFonts w:ascii="Times New Roman" w:cs="Times New Roman" w:eastAsia="Times New Roman" w:hAnsi="Times New Roman"/>
          <w:sz w:val="20"/>
          <w:szCs w:val="20"/>
          <w:color w:val="auto"/>
        </w:rPr>
        <w:t>” means (a) in the case of a corporation, capital stock, (b) in the case of an association or business entity, any and all shares, interests, participations, rights or other equivalents (however designated) of capital stock, (c) in the case of a partnership,</w:t>
      </w:r>
    </w:p>
    <w:p>
      <w:pPr>
        <w:spacing w:after="0" w:line="1" w:lineRule="exact"/>
        <w:rPr>
          <w:sz w:val="20"/>
          <w:szCs w:val="20"/>
          <w:color w:val="auto"/>
        </w:rPr>
      </w:pPr>
    </w:p>
    <w:p>
      <w:pPr>
        <w:ind w:left="38"/>
        <w:spacing w:after="0" w:line="215" w:lineRule="auto"/>
        <w:rPr>
          <w:sz w:val="20"/>
          <w:szCs w:val="20"/>
          <w:color w:val="auto"/>
        </w:rPr>
      </w:pPr>
      <w:r>
        <w:rPr>
          <w:rFonts w:ascii="Times New Roman" w:cs="Times New Roman" w:eastAsia="Times New Roman" w:hAnsi="Times New Roman"/>
          <w:sz w:val="19"/>
          <w:szCs w:val="19"/>
          <w:color w:val="auto"/>
        </w:rPr>
        <w:t>partnership interests (whether general or limited), (d) in the case of a limited liability company, membership interests, (e) any other interest or participation that confers on a Person the right to receive a share of the profits and losses of, or distributions of assets of, the issuing</w:t>
      </w:r>
    </w:p>
    <w:p>
      <w:pPr>
        <w:ind w:left="38"/>
        <w:spacing w:after="0"/>
        <w:rPr>
          <w:sz w:val="20"/>
          <w:szCs w:val="20"/>
          <w:color w:val="auto"/>
        </w:rPr>
      </w:pPr>
      <w:r>
        <w:rPr>
          <w:rFonts w:ascii="Times New Roman" w:cs="Times New Roman" w:eastAsia="Times New Roman" w:hAnsi="Times New Roman"/>
          <w:sz w:val="20"/>
          <w:szCs w:val="20"/>
          <w:color w:val="auto"/>
        </w:rPr>
        <w:t>Person and (f) any and all warrants, rights or options to purchase any of the foregoing.</w:t>
      </w:r>
    </w:p>
    <w:p>
      <w:pPr>
        <w:spacing w:after="0" w:line="207" w:lineRule="exact"/>
        <w:rPr>
          <w:sz w:val="20"/>
          <w:szCs w:val="20"/>
          <w:color w:val="auto"/>
        </w:rPr>
      </w:pPr>
    </w:p>
    <w:p>
      <w:pPr>
        <w:ind w:left="67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ERISA</w:t>
      </w:r>
      <w:r>
        <w:rPr>
          <w:rFonts w:ascii="Times New Roman" w:cs="Times New Roman" w:eastAsia="Times New Roman" w:hAnsi="Times New Roman"/>
          <w:sz w:val="20"/>
          <w:szCs w:val="20"/>
          <w:color w:val="auto"/>
        </w:rPr>
        <w:t>” means the Employee Retirement Income Security Act of 1974, and the rules and regulations thereunder.</w:t>
      </w:r>
    </w:p>
    <w:p>
      <w:pPr>
        <w:spacing w:after="0" w:line="243" w:lineRule="exact"/>
        <w:rPr>
          <w:sz w:val="20"/>
          <w:szCs w:val="20"/>
          <w:color w:val="auto"/>
        </w:rPr>
      </w:pPr>
    </w:p>
    <w:p>
      <w:pPr>
        <w:ind w:left="38" w:right="20" w:firstLine="648"/>
        <w:spacing w:after="0" w:line="23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ERISA Affiliate</w:t>
      </w:r>
      <w:r>
        <w:rPr>
          <w:rFonts w:ascii="Times New Roman" w:cs="Times New Roman" w:eastAsia="Times New Roman" w:hAnsi="Times New Roman"/>
          <w:sz w:val="20"/>
          <w:szCs w:val="20"/>
          <w:color w:val="auto"/>
        </w:rPr>
        <w:t>” means any Person who together with any Credit Party or any of its Subsidiaries is treated as a single employer within the meaning of Section 414(b), (c), (m) or (o) of the Code or Section 4001(b) of ERISA.</w:t>
      </w:r>
    </w:p>
    <w:p>
      <w:pPr>
        <w:spacing w:after="0" w:line="201" w:lineRule="exact"/>
        <w:rPr>
          <w:sz w:val="20"/>
          <w:szCs w:val="20"/>
          <w:color w:val="auto"/>
        </w:rPr>
      </w:pPr>
    </w:p>
    <w:p>
      <w:pPr>
        <w:ind w:left="67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Erroneous Payment</w:t>
      </w:r>
      <w:r>
        <w:rPr>
          <w:rFonts w:ascii="Times New Roman" w:cs="Times New Roman" w:eastAsia="Times New Roman" w:hAnsi="Times New Roman"/>
          <w:sz w:val="20"/>
          <w:szCs w:val="20"/>
          <w:color w:val="auto"/>
        </w:rPr>
        <w:t xml:space="preserve">” has the meaning assigned thereto in </w:t>
      </w:r>
      <w:r>
        <w:rPr>
          <w:rFonts w:ascii="Times New Roman" w:cs="Times New Roman" w:eastAsia="Times New Roman" w:hAnsi="Times New Roman"/>
          <w:sz w:val="20"/>
          <w:szCs w:val="20"/>
          <w:u w:val="single" w:color="auto"/>
          <w:color w:val="auto"/>
        </w:rPr>
        <w:t>Section 11.11(a)</w:t>
      </w:r>
      <w:r>
        <w:rPr>
          <w:rFonts w:ascii="Times New Roman" w:cs="Times New Roman" w:eastAsia="Times New Roman" w:hAnsi="Times New Roman"/>
          <w:sz w:val="20"/>
          <w:szCs w:val="20"/>
          <w:color w:val="auto"/>
        </w:rPr>
        <w:t>.</w:t>
      </w:r>
    </w:p>
    <w:p>
      <w:pPr>
        <w:spacing w:after="0" w:line="283" w:lineRule="exact"/>
        <w:rPr>
          <w:sz w:val="20"/>
          <w:szCs w:val="20"/>
          <w:color w:val="auto"/>
        </w:rPr>
      </w:pPr>
    </w:p>
    <w:p>
      <w:pPr>
        <w:ind w:left="67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Erroneous Payment Deficiency Assignment</w:t>
      </w:r>
      <w:r>
        <w:rPr>
          <w:rFonts w:ascii="Times New Roman" w:cs="Times New Roman" w:eastAsia="Times New Roman" w:hAnsi="Times New Roman"/>
          <w:sz w:val="20"/>
          <w:szCs w:val="20"/>
          <w:color w:val="auto"/>
        </w:rPr>
        <w:t xml:space="preserve">” has the meaning assigned thereto in </w:t>
      </w:r>
      <w:r>
        <w:rPr>
          <w:rFonts w:ascii="Times New Roman" w:cs="Times New Roman" w:eastAsia="Times New Roman" w:hAnsi="Times New Roman"/>
          <w:sz w:val="20"/>
          <w:szCs w:val="20"/>
          <w:u w:val="single" w:color="auto"/>
          <w:color w:val="auto"/>
        </w:rPr>
        <w:t>Section 11.11(d)</w:t>
      </w:r>
      <w:r>
        <w:rPr>
          <w:rFonts w:ascii="Times New Roman" w:cs="Times New Roman" w:eastAsia="Times New Roman" w:hAnsi="Times New Roman"/>
          <w:sz w:val="20"/>
          <w:szCs w:val="20"/>
          <w:color w:val="auto"/>
        </w:rPr>
        <w:t>.</w:t>
      </w:r>
    </w:p>
    <w:p>
      <w:pPr>
        <w:spacing w:after="0" w:line="270" w:lineRule="exact"/>
        <w:rPr>
          <w:sz w:val="20"/>
          <w:szCs w:val="20"/>
          <w:color w:val="auto"/>
        </w:rPr>
      </w:pPr>
    </w:p>
    <w:p>
      <w:pPr>
        <w:ind w:left="67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Erroneous Payment Impacted Class</w:t>
      </w:r>
      <w:r>
        <w:rPr>
          <w:rFonts w:ascii="Times New Roman" w:cs="Times New Roman" w:eastAsia="Times New Roman" w:hAnsi="Times New Roman"/>
          <w:sz w:val="20"/>
          <w:szCs w:val="20"/>
          <w:color w:val="auto"/>
        </w:rPr>
        <w:t xml:space="preserve">” has the meaning assigned thereto in </w:t>
      </w:r>
      <w:r>
        <w:rPr>
          <w:rFonts w:ascii="Times New Roman" w:cs="Times New Roman" w:eastAsia="Times New Roman" w:hAnsi="Times New Roman"/>
          <w:sz w:val="20"/>
          <w:szCs w:val="20"/>
          <w:u w:val="single" w:color="auto"/>
          <w:color w:val="auto"/>
        </w:rPr>
        <w:t>Section 11.11(d)</w:t>
      </w:r>
      <w:r>
        <w:rPr>
          <w:rFonts w:ascii="Times New Roman" w:cs="Times New Roman" w:eastAsia="Times New Roman" w:hAnsi="Times New Roman"/>
          <w:sz w:val="20"/>
          <w:szCs w:val="20"/>
          <w:color w:val="auto"/>
        </w:rPr>
        <w:t>.</w:t>
      </w:r>
    </w:p>
    <w:p>
      <w:pPr>
        <w:spacing w:after="0" w:line="283" w:lineRule="exact"/>
        <w:rPr>
          <w:sz w:val="20"/>
          <w:szCs w:val="20"/>
          <w:color w:val="auto"/>
        </w:rPr>
      </w:pPr>
    </w:p>
    <w:p>
      <w:pPr>
        <w:ind w:left="67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Erroneous Payment Return Deficiency</w:t>
      </w:r>
      <w:r>
        <w:rPr>
          <w:rFonts w:ascii="Times New Roman" w:cs="Times New Roman" w:eastAsia="Times New Roman" w:hAnsi="Times New Roman"/>
          <w:sz w:val="20"/>
          <w:szCs w:val="20"/>
          <w:color w:val="auto"/>
        </w:rPr>
        <w:t xml:space="preserve">” has the meaning assigned thereto in </w:t>
      </w:r>
      <w:r>
        <w:rPr>
          <w:rFonts w:ascii="Times New Roman" w:cs="Times New Roman" w:eastAsia="Times New Roman" w:hAnsi="Times New Roman"/>
          <w:sz w:val="20"/>
          <w:szCs w:val="20"/>
          <w:u w:val="single" w:color="auto"/>
          <w:color w:val="auto"/>
        </w:rPr>
        <w:t>Section 11.11(d)</w:t>
      </w:r>
      <w:r>
        <w:rPr>
          <w:rFonts w:ascii="Times New Roman" w:cs="Times New Roman" w:eastAsia="Times New Roman" w:hAnsi="Times New Roman"/>
          <w:sz w:val="20"/>
          <w:szCs w:val="20"/>
          <w:color w:val="auto"/>
        </w:rPr>
        <w:t>.</w:t>
      </w:r>
    </w:p>
    <w:p>
      <w:pPr>
        <w:spacing w:after="0" w:line="283" w:lineRule="exact"/>
        <w:rPr>
          <w:sz w:val="20"/>
          <w:szCs w:val="20"/>
          <w:color w:val="auto"/>
        </w:rPr>
      </w:pPr>
    </w:p>
    <w:p>
      <w:pPr>
        <w:ind w:left="38" w:right="120"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EU Bail-In Legislation Schedule</w:t>
      </w:r>
      <w:r>
        <w:rPr>
          <w:rFonts w:ascii="Times New Roman" w:cs="Times New Roman" w:eastAsia="Times New Roman" w:hAnsi="Times New Roman"/>
          <w:sz w:val="20"/>
          <w:szCs w:val="20"/>
          <w:color w:val="auto"/>
        </w:rPr>
        <w:t>” means the EU Bail-In Legislation Schedule published by the Loan Market Association (or any successor thereto) as in effect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38"/>
        <w:spacing w:after="0"/>
        <w:rPr>
          <w:sz w:val="20"/>
          <w:szCs w:val="20"/>
          <w:color w:val="auto"/>
        </w:rPr>
      </w:pPr>
      <w:r>
        <w:rPr>
          <w:rFonts w:ascii="Times New Roman" w:cs="Times New Roman" w:eastAsia="Times New Roman" w:hAnsi="Times New Roman"/>
          <w:sz w:val="14"/>
          <w:szCs w:val="14"/>
          <w:color w:val="FF0000"/>
          <w:strike w:val="1"/>
        </w:rPr>
        <w:t>146960219_6</w:t>
      </w:r>
    </w:p>
    <w:p>
      <w:pPr>
        <w:spacing w:after="0" w:line="4" w:lineRule="exact"/>
        <w:rPr>
          <w:sz w:val="20"/>
          <w:szCs w:val="20"/>
          <w:color w:val="auto"/>
        </w:rPr>
      </w:pPr>
    </w:p>
    <w:p>
      <w:pPr>
        <w:ind w:left="338" w:hanging="338"/>
        <w:spacing w:after="0"/>
        <w:tabs>
          <w:tab w:leader="none" w:pos="338"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078"/>
          </w:cols>
          <w:pgMar w:left="382" w:top="1399" w:right="439" w:bottom="1440" w:gutter="0" w:footer="0" w:header="0"/>
        </w:sectPr>
      </w:pPr>
    </w:p>
    <w:bookmarkStart w:id="108" w:name="page109"/>
    <w:bookmarkEnd w:id="108"/>
    <w:p>
      <w:pPr>
        <w:spacing w:after="0" w:line="197" w:lineRule="exact"/>
        <w:rPr>
          <w:sz w:val="20"/>
          <w:szCs w:val="20"/>
          <w:color w:val="auto"/>
        </w:rPr>
      </w:pPr>
    </w:p>
    <w:p>
      <w:pPr>
        <w:ind w:left="67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Eurodollar Reserve Percentage</w:t>
      </w:r>
      <w:r>
        <w:rPr>
          <w:rFonts w:ascii="Times New Roman" w:cs="Times New Roman" w:eastAsia="Times New Roman" w:hAnsi="Times New Roman"/>
          <w:sz w:val="20"/>
          <w:szCs w:val="20"/>
          <w:color w:val="auto"/>
        </w:rPr>
        <w:t>” means, for any day, the percentage which is in effect for such day as prescribed by the FRB for</w:t>
      </w:r>
    </w:p>
    <w:p>
      <w:pPr>
        <w:ind w:left="38"/>
        <w:spacing w:after="0" w:line="221" w:lineRule="auto"/>
        <w:rPr>
          <w:sz w:val="20"/>
          <w:szCs w:val="20"/>
          <w:color w:val="auto"/>
        </w:rPr>
      </w:pPr>
      <w:r>
        <w:rPr>
          <w:rFonts w:ascii="Times New Roman" w:cs="Times New Roman" w:eastAsia="Times New Roman" w:hAnsi="Times New Roman"/>
          <w:sz w:val="20"/>
          <w:szCs w:val="20"/>
          <w:color w:val="auto"/>
        </w:rPr>
        <w:t>determining the maximum reserve requirement (including, without limitation, any basic, supplemental or emergency reserves) in respect of eurocurrency liabilities or any similar category of liabilities for a member bank of the Federal Reserve System in New York City.</w:t>
      </w:r>
    </w:p>
    <w:p>
      <w:pPr>
        <w:spacing w:after="0" w:line="202" w:lineRule="exact"/>
        <w:rPr>
          <w:sz w:val="20"/>
          <w:szCs w:val="20"/>
          <w:color w:val="auto"/>
        </w:rPr>
      </w:pPr>
    </w:p>
    <w:p>
      <w:pPr>
        <w:ind w:left="38" w:right="20" w:firstLine="648"/>
        <w:spacing w:after="0" w:line="23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Event of Default</w:t>
      </w:r>
      <w:r>
        <w:rPr>
          <w:rFonts w:ascii="Times New Roman" w:cs="Times New Roman" w:eastAsia="Times New Roman" w:hAnsi="Times New Roman"/>
          <w:sz w:val="20"/>
          <w:szCs w:val="20"/>
          <w:color w:val="auto"/>
        </w:rPr>
        <w:t xml:space="preserve">” means any of the events specified in </w:t>
      </w:r>
      <w:r>
        <w:rPr>
          <w:rFonts w:ascii="Times New Roman" w:cs="Times New Roman" w:eastAsia="Times New Roman" w:hAnsi="Times New Roman"/>
          <w:sz w:val="20"/>
          <w:szCs w:val="20"/>
          <w:u w:val="single" w:color="auto"/>
          <w:color w:val="auto"/>
        </w:rPr>
        <w:t>Section 10.1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requirement for passage of time, giving of notice, or any other condition, has been satisfied.</w:t>
      </w:r>
    </w:p>
    <w:p>
      <w:pPr>
        <w:spacing w:after="0" w:line="201" w:lineRule="exact"/>
        <w:rPr>
          <w:sz w:val="20"/>
          <w:szCs w:val="20"/>
          <w:color w:val="auto"/>
        </w:rPr>
      </w:pPr>
    </w:p>
    <w:p>
      <w:pPr>
        <w:ind w:left="67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Excess Cash Flow</w:t>
      </w:r>
      <w:r>
        <w:rPr>
          <w:rFonts w:ascii="Times New Roman" w:cs="Times New Roman" w:eastAsia="Times New Roman" w:hAnsi="Times New Roman"/>
          <w:sz w:val="20"/>
          <w:szCs w:val="20"/>
          <w:color w:val="auto"/>
        </w:rPr>
        <w:t>” means, for Centuri and its Subsidiaries on a Consolidated basis, in accordance with GAAP for any Fiscal</w:t>
      </w:r>
    </w:p>
    <w:p>
      <w:pPr>
        <w:spacing w:after="0" w:line="28" w:lineRule="exact"/>
        <w:rPr>
          <w:sz w:val="20"/>
          <w:szCs w:val="20"/>
          <w:color w:val="auto"/>
        </w:rPr>
      </w:pPr>
    </w:p>
    <w:p>
      <w:pPr>
        <w:ind w:left="38"/>
        <w:spacing w:after="0"/>
        <w:rPr>
          <w:sz w:val="20"/>
          <w:szCs w:val="20"/>
          <w:color w:val="auto"/>
        </w:rPr>
      </w:pPr>
      <w:r>
        <w:rPr>
          <w:rFonts w:ascii="Times New Roman" w:cs="Times New Roman" w:eastAsia="Times New Roman" w:hAnsi="Times New Roman"/>
          <w:sz w:val="20"/>
          <w:szCs w:val="20"/>
          <w:color w:val="auto"/>
        </w:rPr>
        <w:t>Year:</w:t>
      </w:r>
    </w:p>
    <w:p>
      <w:pPr>
        <w:spacing w:after="0" w:line="214" w:lineRule="exact"/>
        <w:rPr>
          <w:sz w:val="20"/>
          <w:szCs w:val="20"/>
          <w:color w:val="auto"/>
        </w:rPr>
      </w:pPr>
    </w:p>
    <w:p>
      <w:pPr>
        <w:ind w:left="1318" w:hanging="634"/>
        <w:spacing w:after="0"/>
        <w:tabs>
          <w:tab w:leader="none" w:pos="1318"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sum, without duplication, of:</w:t>
      </w:r>
    </w:p>
    <w:p>
      <w:pPr>
        <w:spacing w:after="0" w:line="215" w:lineRule="exact"/>
        <w:rPr>
          <w:rFonts w:ascii="Times New Roman" w:cs="Times New Roman" w:eastAsia="Times New Roman" w:hAnsi="Times New Roman"/>
          <w:sz w:val="20"/>
          <w:szCs w:val="20"/>
          <w:color w:val="auto"/>
        </w:rPr>
      </w:pPr>
    </w:p>
    <w:p>
      <w:pPr>
        <w:ind w:left="1878" w:hanging="546"/>
        <w:spacing w:after="0"/>
        <w:tabs>
          <w:tab w:leader="none" w:pos="1878" w:val="left"/>
        </w:tabs>
        <w:numPr>
          <w:ilvl w:val="1"/>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Consolidated Net Income for such Fiscal Year; </w:t>
      </w:r>
      <w:r>
        <w:rPr>
          <w:rFonts w:ascii="Times New Roman" w:cs="Times New Roman" w:eastAsia="Times New Roman" w:hAnsi="Times New Roman"/>
          <w:sz w:val="20"/>
          <w:szCs w:val="20"/>
          <w:u w:val="single" w:color="auto"/>
          <w:color w:val="auto"/>
        </w:rPr>
        <w:t>plus</w:t>
      </w:r>
    </w:p>
    <w:p>
      <w:pPr>
        <w:spacing w:after="0" w:line="283" w:lineRule="exact"/>
        <w:rPr>
          <w:rFonts w:ascii="Times New Roman" w:cs="Times New Roman" w:eastAsia="Times New Roman" w:hAnsi="Times New Roman"/>
          <w:sz w:val="20"/>
          <w:szCs w:val="20"/>
          <w:color w:val="auto"/>
        </w:rPr>
      </w:pPr>
    </w:p>
    <w:p>
      <w:pPr>
        <w:jc w:val="both"/>
        <w:ind w:left="678" w:right="20" w:firstLine="654"/>
        <w:spacing w:after="0" w:line="226" w:lineRule="auto"/>
        <w:tabs>
          <w:tab w:leader="none" w:pos="1879" w:val="left"/>
        </w:tabs>
        <w:numPr>
          <w:ilvl w:val="1"/>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 amount equal to the amount of all non-cash charges to the extent deducted in determining Consolidated Net Income for such Fiscal Year (excluding any non-cash charges representing an accrual or reserve for a potential cash charge in any future Fiscal Year or amortization of a prepaid cash gain that was paid in a prior Fiscal Year); </w:t>
      </w:r>
      <w:r>
        <w:rPr>
          <w:rFonts w:ascii="Times New Roman" w:cs="Times New Roman" w:eastAsia="Times New Roman" w:hAnsi="Times New Roman"/>
          <w:sz w:val="20"/>
          <w:szCs w:val="20"/>
          <w:u w:val="single" w:color="auto"/>
          <w:color w:val="auto"/>
        </w:rPr>
        <w:t>plus</w:t>
      </w:r>
    </w:p>
    <w:p>
      <w:pPr>
        <w:spacing w:after="0" w:line="254" w:lineRule="exact"/>
        <w:rPr>
          <w:rFonts w:ascii="Times New Roman" w:cs="Times New Roman" w:eastAsia="Times New Roman" w:hAnsi="Times New Roman"/>
          <w:sz w:val="20"/>
          <w:szCs w:val="20"/>
          <w:color w:val="auto"/>
        </w:rPr>
      </w:pPr>
    </w:p>
    <w:p>
      <w:pPr>
        <w:ind w:left="1978" w:hanging="646"/>
        <w:spacing w:after="0"/>
        <w:tabs>
          <w:tab w:leader="none" w:pos="1978" w:val="left"/>
        </w:tabs>
        <w:numPr>
          <w:ilvl w:val="1"/>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decreases in Working Capital for such Fiscal Year,</w:t>
      </w:r>
    </w:p>
    <w:p>
      <w:pPr>
        <w:spacing w:after="0" w:line="283" w:lineRule="exact"/>
        <w:rPr>
          <w:sz w:val="20"/>
          <w:szCs w:val="20"/>
          <w:color w:val="auto"/>
        </w:rPr>
      </w:pPr>
    </w:p>
    <w:p>
      <w:pPr>
        <w:ind w:left="678"/>
        <w:spacing w:after="0"/>
        <w:rPr>
          <w:sz w:val="20"/>
          <w:szCs w:val="20"/>
          <w:color w:val="auto"/>
        </w:rPr>
      </w:pPr>
      <w:r>
        <w:rPr>
          <w:rFonts w:ascii="Times New Roman" w:cs="Times New Roman" w:eastAsia="Times New Roman" w:hAnsi="Times New Roman"/>
          <w:sz w:val="20"/>
          <w:szCs w:val="20"/>
          <w:u w:val="single" w:color="auto"/>
          <w:color w:val="auto"/>
        </w:rPr>
        <w:t>minus</w:t>
      </w:r>
    </w:p>
    <w:p>
      <w:pPr>
        <w:spacing w:after="0" w:line="283" w:lineRule="exact"/>
        <w:rPr>
          <w:sz w:val="20"/>
          <w:szCs w:val="20"/>
          <w:color w:val="auto"/>
        </w:rPr>
      </w:pPr>
    </w:p>
    <w:p>
      <w:pPr>
        <w:ind w:left="1318" w:hanging="634"/>
        <w:spacing w:after="0"/>
        <w:tabs>
          <w:tab w:leader="none" w:pos="1318"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sum, without duplication, of:</w:t>
      </w:r>
    </w:p>
    <w:p>
      <w:pPr>
        <w:spacing w:after="0" w:line="215" w:lineRule="exact"/>
        <w:rPr>
          <w:rFonts w:ascii="Times New Roman" w:cs="Times New Roman" w:eastAsia="Times New Roman" w:hAnsi="Times New Roman"/>
          <w:sz w:val="20"/>
          <w:szCs w:val="20"/>
          <w:color w:val="auto"/>
        </w:rPr>
      </w:pPr>
    </w:p>
    <w:p>
      <w:pPr>
        <w:jc w:val="both"/>
        <w:ind w:left="678" w:firstLine="654"/>
        <w:spacing w:after="0" w:line="212" w:lineRule="auto"/>
        <w:tabs>
          <w:tab w:leader="none" w:pos="1883" w:val="left"/>
        </w:tabs>
        <w:numPr>
          <w:ilvl w:val="1"/>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aggregate amount of cash actually paid by Centuri and its Subsidiaries during such Fiscal Year on account of Capital Expenditures, Permitted Acquisitions and other Investments pursuant to </w:t>
      </w:r>
      <w:r>
        <w:rPr>
          <w:rFonts w:ascii="Times New Roman" w:cs="Times New Roman" w:eastAsia="Times New Roman" w:hAnsi="Times New Roman"/>
          <w:sz w:val="20"/>
          <w:szCs w:val="20"/>
          <w:u w:val="single" w:color="auto"/>
          <w:color w:val="auto"/>
        </w:rPr>
        <w:t>Section 9.3</w:t>
      </w:r>
      <w:r>
        <w:rPr>
          <w:rFonts w:ascii="Times New Roman" w:cs="Times New Roman" w:eastAsia="Times New Roman" w:hAnsi="Times New Roman"/>
          <w:sz w:val="20"/>
          <w:szCs w:val="20"/>
          <w:color w:val="auto"/>
        </w:rPr>
        <w:t xml:space="preserve"> (but excluding Investments in cash or Cash Equivalents and Investments in Centuri or any Subsidiary) (other than any amounts that were committed during a prior Fiscal Year to the extent such amounts reduced Excess Cash Flow in such prior Fiscal Year per clause (b)(ii) below), except to the extent any such Capital Expenditure, Permitted Acquisition or other Investment is made with the proceeds of long-term Indebtedness (other than Revolving Credit Loans), any Equity Issuance, casualty proceeds, condemnation proceeds or other proceeds that would not be included in Consolidated EBITDA;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amount of Capital Expenditures deducted under this clause (b)(i) that are financed with long-term Indebtedness, any Equity Issuance, casualty proceeds, condemnation proceeds or other proceeds that would not be included in Consolidated EBITDA in a future period, shall be added to the calculation of Excess Cash Flow in the applicable future period; </w:t>
      </w:r>
      <w:r>
        <w:rPr>
          <w:rFonts w:ascii="Times New Roman" w:cs="Times New Roman" w:eastAsia="Times New Roman" w:hAnsi="Times New Roman"/>
          <w:sz w:val="20"/>
          <w:szCs w:val="20"/>
          <w:u w:val="single" w:color="auto"/>
          <w:color w:val="auto"/>
        </w:rPr>
        <w:t>plus</w:t>
      </w:r>
    </w:p>
    <w:p>
      <w:pPr>
        <w:spacing w:after="0" w:line="258" w:lineRule="exact"/>
        <w:rPr>
          <w:rFonts w:ascii="Times New Roman" w:cs="Times New Roman" w:eastAsia="Times New Roman" w:hAnsi="Times New Roman"/>
          <w:sz w:val="20"/>
          <w:szCs w:val="20"/>
          <w:color w:val="auto"/>
        </w:rPr>
      </w:pPr>
    </w:p>
    <w:p>
      <w:pPr>
        <w:ind w:left="1958" w:hanging="626"/>
        <w:spacing w:after="0"/>
        <w:tabs>
          <w:tab w:leader="none" w:pos="1958" w:val="left"/>
        </w:tabs>
        <w:numPr>
          <w:ilvl w:val="1"/>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duplication of amounts deducted from Excess Cash Flow in other periods,</w:t>
      </w:r>
    </w:p>
    <w:p>
      <w:pPr>
        <w:jc w:val="both"/>
        <w:ind w:left="678" w:firstLine="5"/>
        <w:spacing w:after="0" w:line="204" w:lineRule="auto"/>
        <w:tabs>
          <w:tab w:leader="none" w:pos="105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aggregate consideration required to be paid in cash by Centuri and its Subsidiaries pursuant to binding contracts, commitments, letters of intent or purchase orders (such amount, the “</w:t>
      </w:r>
      <w:r>
        <w:rPr>
          <w:rFonts w:ascii="Times New Roman" w:cs="Times New Roman" w:eastAsia="Times New Roman" w:hAnsi="Times New Roman"/>
          <w:sz w:val="20"/>
          <w:szCs w:val="20"/>
          <w:u w:val="single" w:color="auto"/>
          <w:color w:val="auto"/>
        </w:rPr>
        <w:t>Contract Consideration</w:t>
      </w:r>
      <w:r>
        <w:rPr>
          <w:rFonts w:ascii="Times New Roman" w:cs="Times New Roman" w:eastAsia="Times New Roman" w:hAnsi="Times New Roman"/>
          <w:sz w:val="20"/>
          <w:szCs w:val="20"/>
          <w:color w:val="auto"/>
        </w:rPr>
        <w:t>”) entered into prior to or during such Fiscal Year and (B) any planned cash expenditures by Centuri and its Subsidiaries (such amount, the “</w:t>
      </w:r>
      <w:r>
        <w:rPr>
          <w:rFonts w:ascii="Times New Roman" w:cs="Times New Roman" w:eastAsia="Times New Roman" w:hAnsi="Times New Roman"/>
          <w:sz w:val="20"/>
          <w:szCs w:val="20"/>
          <w:u w:val="single" w:color="auto"/>
          <w:color w:val="auto"/>
        </w:rPr>
        <w:t>Planned Expenditures</w:t>
      </w:r>
      <w:r>
        <w:rPr>
          <w:rFonts w:ascii="Times New Roman" w:cs="Times New Roman" w:eastAsia="Times New Roman" w:hAnsi="Times New Roman"/>
          <w:sz w:val="20"/>
          <w:szCs w:val="20"/>
          <w:color w:val="auto"/>
        </w:rPr>
        <w:t xml:space="preserve">”), in the case of each of clauses (A) and (B), relating to Permitted Acquisitions, Capital Expenditures and other Investments pursuant to </w:t>
      </w:r>
      <w:r>
        <w:rPr>
          <w:rFonts w:ascii="Times New Roman" w:cs="Times New Roman" w:eastAsia="Times New Roman" w:hAnsi="Times New Roman"/>
          <w:sz w:val="20"/>
          <w:szCs w:val="20"/>
          <w:u w:val="single" w:color="auto"/>
          <w:color w:val="auto"/>
        </w:rPr>
        <w:t>Section 9.3</w:t>
      </w:r>
      <w:r>
        <w:rPr>
          <w:rFonts w:ascii="Times New Roman" w:cs="Times New Roman" w:eastAsia="Times New Roman" w:hAnsi="Times New Roman"/>
          <w:sz w:val="20"/>
          <w:szCs w:val="20"/>
          <w:color w:val="auto"/>
        </w:rPr>
        <w:t xml:space="preserve"> (but excluding Investments in cash or Cash Equivalents and Investments in Centuri or any Subsidiary) to be consummated or made during the period of four</w:t>
      </w:r>
    </w:p>
    <w:p>
      <w:pPr>
        <w:spacing w:after="0" w:line="1" w:lineRule="exact"/>
        <w:rPr>
          <w:rFonts w:ascii="Times New Roman" w:cs="Times New Roman" w:eastAsia="Times New Roman" w:hAnsi="Times New Roman"/>
          <w:sz w:val="20"/>
          <w:szCs w:val="20"/>
          <w:color w:val="auto"/>
        </w:rPr>
      </w:pPr>
    </w:p>
    <w:p>
      <w:pPr>
        <w:jc w:val="both"/>
        <w:ind w:left="678"/>
        <w:spacing w:after="0" w:line="22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(4) consecutive fiscal quarters of Centuri following the end of such Fiscal Year and identified in writing to the Administrative Agent with reasonable supporting calculations, except to the extent any such Capital Expenditure, Permitted Acquisition or other Investment is made with the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338"/>
        <w:spacing w:after="0"/>
        <w:rPr>
          <w:sz w:val="20"/>
          <w:szCs w:val="20"/>
          <w:color w:val="auto"/>
        </w:rPr>
      </w:pPr>
      <w:r>
        <w:rPr>
          <w:rFonts w:ascii="Times New Roman" w:cs="Times New Roman" w:eastAsia="Times New Roman" w:hAnsi="Times New Roman"/>
          <w:sz w:val="14"/>
          <w:szCs w:val="14"/>
          <w:color w:val="FF0000"/>
          <w:strike w:val="1"/>
        </w:rPr>
        <w:t>146960219_6</w:t>
      </w:r>
    </w:p>
    <w:p>
      <w:pPr>
        <w:spacing w:after="0" w:line="4" w:lineRule="exact"/>
        <w:rPr>
          <w:sz w:val="20"/>
          <w:szCs w:val="20"/>
          <w:color w:val="auto"/>
        </w:rPr>
      </w:pPr>
    </w:p>
    <w:p>
      <w:pPr>
        <w:ind w:left="338" w:hanging="338"/>
        <w:spacing w:after="0"/>
        <w:tabs>
          <w:tab w:leader="none" w:pos="338"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078"/>
          </w:cols>
          <w:pgMar w:left="382" w:top="1440" w:right="439" w:bottom="1440" w:gutter="0" w:footer="0" w:header="0"/>
        </w:sectPr>
      </w:pPr>
    </w:p>
    <w:bookmarkStart w:id="109" w:name="page110"/>
    <w:bookmarkEnd w:id="109"/>
    <w:p>
      <w:pPr>
        <w:spacing w:after="0" w:line="203" w:lineRule="exact"/>
        <w:rPr>
          <w:sz w:val="20"/>
          <w:szCs w:val="20"/>
          <w:color w:val="auto"/>
        </w:rPr>
      </w:pPr>
    </w:p>
    <w:p>
      <w:pPr>
        <w:ind w:left="678"/>
        <w:spacing w:after="0"/>
        <w:rPr>
          <w:sz w:val="20"/>
          <w:szCs w:val="20"/>
          <w:color w:val="auto"/>
        </w:rPr>
      </w:pPr>
      <w:r>
        <w:rPr>
          <w:rFonts w:ascii="Times New Roman" w:cs="Times New Roman" w:eastAsia="Times New Roman" w:hAnsi="Times New Roman"/>
          <w:sz w:val="19"/>
          <w:szCs w:val="19"/>
          <w:color w:val="auto"/>
        </w:rPr>
        <w:t>of long-term Indebtedness (other than Revolving Credit Loans), any Equity Issuance, casualty proceeds, condemnation proceeds or</w:t>
      </w:r>
    </w:p>
    <w:p>
      <w:pPr>
        <w:spacing w:after="0" w:line="6" w:lineRule="exact"/>
        <w:rPr>
          <w:sz w:val="20"/>
          <w:szCs w:val="20"/>
          <w:color w:val="auto"/>
        </w:rPr>
      </w:pPr>
    </w:p>
    <w:p>
      <w:pPr>
        <w:ind w:left="678"/>
        <w:spacing w:after="0" w:line="215" w:lineRule="auto"/>
        <w:rPr>
          <w:sz w:val="20"/>
          <w:szCs w:val="20"/>
          <w:color w:val="auto"/>
        </w:rPr>
      </w:pPr>
      <w:r>
        <w:rPr>
          <w:rFonts w:ascii="Times New Roman" w:cs="Times New Roman" w:eastAsia="Times New Roman" w:hAnsi="Times New Roman"/>
          <w:sz w:val="19"/>
          <w:szCs w:val="19"/>
          <w:color w:val="auto"/>
        </w:rPr>
        <w:t xml:space="preserve">other proceeds that would not be included in Consolidated EBITDA;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to the extent that the aggregate amount of cash actually utilized to finance such Permitted Acquisitions, Capital Expenditures or other Investments during such following period of</w:t>
      </w:r>
    </w:p>
    <w:p>
      <w:pPr>
        <w:ind w:left="678"/>
        <w:spacing w:after="0" w:line="211" w:lineRule="auto"/>
        <w:rPr>
          <w:sz w:val="20"/>
          <w:szCs w:val="20"/>
          <w:color w:val="auto"/>
        </w:rPr>
      </w:pPr>
      <w:r>
        <w:rPr>
          <w:rFonts w:ascii="Times New Roman" w:cs="Times New Roman" w:eastAsia="Times New Roman" w:hAnsi="Times New Roman"/>
          <w:sz w:val="20"/>
          <w:szCs w:val="20"/>
          <w:color w:val="auto"/>
        </w:rPr>
        <w:t>four consecutive fiscal quarters is less than such Contract Consideration and Planned Expenditures, the amount of such shortfall</w:t>
      </w:r>
    </w:p>
    <w:p>
      <w:pPr>
        <w:ind w:left="678"/>
        <w:spacing w:after="0" w:line="204" w:lineRule="auto"/>
        <w:rPr>
          <w:sz w:val="20"/>
          <w:szCs w:val="20"/>
          <w:color w:val="auto"/>
        </w:rPr>
      </w:pPr>
      <w:r>
        <w:rPr>
          <w:rFonts w:ascii="Times New Roman" w:cs="Times New Roman" w:eastAsia="Times New Roman" w:hAnsi="Times New Roman"/>
          <w:sz w:val="20"/>
          <w:szCs w:val="20"/>
          <w:color w:val="auto"/>
        </w:rPr>
        <w:t xml:space="preserve">shall be added to the calculation of Excess Cash Flow, at the end of such period of four consecutive fiscal quarters;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any amount of Contract Consideration and/or Planned Expenditures relating to Capital Expenditures deducted under</w:t>
      </w:r>
    </w:p>
    <w:p>
      <w:pPr>
        <w:ind w:left="678"/>
        <w:spacing w:after="0" w:line="211" w:lineRule="auto"/>
        <w:rPr>
          <w:sz w:val="20"/>
          <w:szCs w:val="20"/>
          <w:color w:val="auto"/>
        </w:rPr>
      </w:pPr>
      <w:r>
        <w:rPr>
          <w:rFonts w:ascii="Times New Roman" w:cs="Times New Roman" w:eastAsia="Times New Roman" w:hAnsi="Times New Roman"/>
          <w:sz w:val="20"/>
          <w:szCs w:val="20"/>
          <w:color w:val="auto"/>
        </w:rPr>
        <w:t>this clause (b)(ii) that are financed with long-term Indebtedness, any Equity Issuance, casualty proceeds, condemnation proceeds</w:t>
      </w:r>
    </w:p>
    <w:p>
      <w:pPr>
        <w:spacing w:after="0" w:line="1" w:lineRule="exact"/>
        <w:rPr>
          <w:sz w:val="20"/>
          <w:szCs w:val="20"/>
          <w:color w:val="auto"/>
        </w:rPr>
      </w:pPr>
    </w:p>
    <w:p>
      <w:pPr>
        <w:ind w:left="678"/>
        <w:spacing w:after="0" w:line="221" w:lineRule="auto"/>
        <w:rPr>
          <w:sz w:val="20"/>
          <w:szCs w:val="20"/>
          <w:color w:val="auto"/>
        </w:rPr>
      </w:pPr>
      <w:r>
        <w:rPr>
          <w:rFonts w:ascii="Times New Roman" w:cs="Times New Roman" w:eastAsia="Times New Roman" w:hAnsi="Times New Roman"/>
          <w:sz w:val="20"/>
          <w:szCs w:val="20"/>
          <w:color w:val="auto"/>
        </w:rPr>
        <w:t>or other proceeds that would not be included in Consolidated EBITDA in a future period, shall be added to the calculation of Excess Cash Flow in the applicable future period;</w:t>
      </w:r>
    </w:p>
    <w:p>
      <w:pPr>
        <w:spacing w:after="0" w:line="202" w:lineRule="exact"/>
        <w:rPr>
          <w:sz w:val="20"/>
          <w:szCs w:val="20"/>
          <w:color w:val="auto"/>
        </w:rPr>
      </w:pPr>
    </w:p>
    <w:p>
      <w:pPr>
        <w:jc w:val="both"/>
        <w:ind w:left="678" w:firstLine="654"/>
        <w:spacing w:after="0" w:line="216" w:lineRule="auto"/>
        <w:tabs>
          <w:tab w:leader="none" w:pos="1883"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aggregate amount of all scheduled principal payments or repayments of Indebtedness (other than mandatory prepayments of Loans) made by Centuri and its Subsidiaries during such Fiscal Year, but only to the extent that such payments or repayments by their terms cannot be reborrowed or redrawn and do not occur in connection with a refinancing of all or any portion of such Indebtedness, except to the extent such principal payments are financed with the proceeds of long-term Indebtedness, any Equity Issuance, casualty proceeds, condemnation proceeds or other proceeds that would not be included in Consolidated EBITDA; </w:t>
      </w:r>
      <w:r>
        <w:rPr>
          <w:rFonts w:ascii="Times New Roman" w:cs="Times New Roman" w:eastAsia="Times New Roman" w:hAnsi="Times New Roman"/>
          <w:sz w:val="20"/>
          <w:szCs w:val="20"/>
          <w:u w:val="single" w:color="auto"/>
          <w:color w:val="auto"/>
        </w:rPr>
        <w:t>plus</w:t>
      </w:r>
    </w:p>
    <w:p>
      <w:pPr>
        <w:spacing w:after="0" w:line="256" w:lineRule="exact"/>
        <w:rPr>
          <w:rFonts w:ascii="Times New Roman" w:cs="Times New Roman" w:eastAsia="Times New Roman" w:hAnsi="Times New Roman"/>
          <w:sz w:val="20"/>
          <w:szCs w:val="20"/>
          <w:color w:val="auto"/>
        </w:rPr>
      </w:pPr>
    </w:p>
    <w:p>
      <w:pPr>
        <w:jc w:val="both"/>
        <w:ind w:left="678" w:firstLine="654"/>
        <w:spacing w:after="0" w:line="222" w:lineRule="auto"/>
        <w:tabs>
          <w:tab w:leader="none" w:pos="1884"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amount of Restricted Payments made by Centuri and its Subsidiaries in cash during such Excess Cash Flow Period pursuant to </w:t>
      </w:r>
      <w:r>
        <w:rPr>
          <w:rFonts w:ascii="Times New Roman" w:cs="Times New Roman" w:eastAsia="Times New Roman" w:hAnsi="Times New Roman"/>
          <w:sz w:val="20"/>
          <w:szCs w:val="20"/>
          <w:u w:val="single" w:color="auto"/>
          <w:color w:val="auto"/>
        </w:rPr>
        <w:t>Section 9.6(e)</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(f)</w:t>
      </w:r>
      <w:r>
        <w:rPr>
          <w:rFonts w:ascii="Times New Roman" w:cs="Times New Roman" w:eastAsia="Times New Roman" w:hAnsi="Times New Roman"/>
          <w:sz w:val="20"/>
          <w:szCs w:val="20"/>
          <w:color w:val="auto"/>
        </w:rPr>
        <w:t xml:space="preserve">, in each case to the extent that such Restricted Payments are not financed with the proceeds of long-term Indebtedness, any Equity Issuance, casualty proceeds, condemnation proceeds or other proceeds that would not be included in Consolidated EBITDA; </w:t>
      </w:r>
      <w:r>
        <w:rPr>
          <w:rFonts w:ascii="Times New Roman" w:cs="Times New Roman" w:eastAsia="Times New Roman" w:hAnsi="Times New Roman"/>
          <w:sz w:val="20"/>
          <w:szCs w:val="20"/>
          <w:u w:val="single" w:color="auto"/>
          <w:color w:val="auto"/>
        </w:rPr>
        <w:t>plus</w:t>
      </w:r>
    </w:p>
    <w:p>
      <w:pPr>
        <w:spacing w:after="0" w:line="242" w:lineRule="exact"/>
        <w:rPr>
          <w:rFonts w:ascii="Times New Roman" w:cs="Times New Roman" w:eastAsia="Times New Roman" w:hAnsi="Times New Roman"/>
          <w:sz w:val="20"/>
          <w:szCs w:val="20"/>
          <w:color w:val="auto"/>
        </w:rPr>
      </w:pPr>
    </w:p>
    <w:p>
      <w:pPr>
        <w:ind w:left="678" w:right="540" w:firstLine="654"/>
        <w:spacing w:after="0"/>
        <w:tabs>
          <w:tab w:leader="none" w:pos="1885"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 amount equal to the amount of all non-cash credits to the extent included in determining Consolidated Net Income for such Fiscal Year; </w:t>
      </w:r>
      <w:r>
        <w:rPr>
          <w:rFonts w:ascii="Times New Roman" w:cs="Times New Roman" w:eastAsia="Times New Roman" w:hAnsi="Times New Roman"/>
          <w:sz w:val="20"/>
          <w:szCs w:val="20"/>
          <w:u w:val="single" w:color="auto"/>
          <w:color w:val="auto"/>
        </w:rPr>
        <w:t>plus</w:t>
      </w:r>
    </w:p>
    <w:p>
      <w:pPr>
        <w:spacing w:after="0" w:line="255" w:lineRule="exact"/>
        <w:rPr>
          <w:rFonts w:ascii="Times New Roman" w:cs="Times New Roman" w:eastAsia="Times New Roman" w:hAnsi="Times New Roman"/>
          <w:sz w:val="20"/>
          <w:szCs w:val="20"/>
          <w:color w:val="auto"/>
        </w:rPr>
      </w:pPr>
    </w:p>
    <w:p>
      <w:pPr>
        <w:ind w:left="1978" w:hanging="646"/>
        <w:spacing w:after="0"/>
        <w:tabs>
          <w:tab w:leader="none" w:pos="1978"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increases to Working Capital for such Fiscal Year.</w:t>
      </w:r>
    </w:p>
    <w:p>
      <w:pPr>
        <w:spacing w:after="0" w:line="216" w:lineRule="exact"/>
        <w:rPr>
          <w:sz w:val="20"/>
          <w:szCs w:val="20"/>
          <w:color w:val="auto"/>
        </w:rPr>
      </w:pPr>
    </w:p>
    <w:p>
      <w:pPr>
        <w:ind w:left="67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Exchange Act</w:t>
      </w:r>
      <w:r>
        <w:rPr>
          <w:rFonts w:ascii="Times New Roman" w:cs="Times New Roman" w:eastAsia="Times New Roman" w:hAnsi="Times New Roman"/>
          <w:sz w:val="20"/>
          <w:szCs w:val="20"/>
          <w:color w:val="auto"/>
        </w:rPr>
        <w:t>” means the Securities Exchange Act of 1934 (15 U.S.C. 78a et seq.).</w:t>
      </w:r>
    </w:p>
    <w:p>
      <w:pPr>
        <w:spacing w:after="0" w:line="278" w:lineRule="exact"/>
        <w:rPr>
          <w:sz w:val="20"/>
          <w:szCs w:val="20"/>
          <w:color w:val="auto"/>
        </w:rPr>
      </w:pPr>
    </w:p>
    <w:p>
      <w:pPr>
        <w:ind w:left="67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Subsidiary</w:t>
      </w:r>
      <w:r>
        <w:rPr>
          <w:rFonts w:ascii="Times New Roman" w:cs="Times New Roman" w:eastAsia="Times New Roman" w:hAnsi="Times New Roman"/>
          <w:sz w:val="20"/>
          <w:szCs w:val="20"/>
          <w:color w:val="auto"/>
        </w:rPr>
        <w:t>” means (a) each CFC, (b) each Subsidiary that is a direct or indirect Subsidiary of a CFC, (c) each CFC</w:t>
      </w:r>
    </w:p>
    <w:p>
      <w:pPr>
        <w:ind w:left="38"/>
        <w:spacing w:after="0" w:line="215" w:lineRule="auto"/>
        <w:rPr>
          <w:sz w:val="20"/>
          <w:szCs w:val="20"/>
          <w:color w:val="auto"/>
        </w:rPr>
      </w:pPr>
      <w:r>
        <w:rPr>
          <w:rFonts w:ascii="Times New Roman" w:cs="Times New Roman" w:eastAsia="Times New Roman" w:hAnsi="Times New Roman"/>
          <w:sz w:val="19"/>
          <w:szCs w:val="19"/>
          <w:color w:val="auto"/>
        </w:rPr>
        <w:t>Holdco, (d) any Receivables Subsidiary, (e) any Subsidiary that is not a Wholly Owned Subsidiary if the organizational documents of such Subsidiary prohibit a guaranty by such Subsidiary of the Obligations or the pledge of the Equity Interests of such Subsidiary, and (f) any</w:t>
      </w:r>
    </w:p>
    <w:p>
      <w:pPr>
        <w:ind w:left="38" w:right="20"/>
        <w:spacing w:after="0" w:line="228" w:lineRule="auto"/>
        <w:rPr>
          <w:sz w:val="20"/>
          <w:szCs w:val="20"/>
          <w:color w:val="auto"/>
        </w:rPr>
      </w:pPr>
      <w:r>
        <w:rPr>
          <w:rFonts w:ascii="Times New Roman" w:cs="Times New Roman" w:eastAsia="Times New Roman" w:hAnsi="Times New Roman"/>
          <w:sz w:val="20"/>
          <w:szCs w:val="20"/>
          <w:color w:val="auto"/>
        </w:rPr>
        <w:t>other Subsidiary with respect to which the Administrative Agent and the Borrower mutually agree that the cost of providing a Guarantee would be excessive in relation to the benefit to be afforded thereby.</w:t>
      </w:r>
    </w:p>
    <w:p>
      <w:pPr>
        <w:spacing w:after="0" w:line="184" w:lineRule="exact"/>
        <w:rPr>
          <w:sz w:val="20"/>
          <w:szCs w:val="20"/>
          <w:color w:val="auto"/>
        </w:rPr>
      </w:pPr>
    </w:p>
    <w:p>
      <w:pPr>
        <w:ind w:left="67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Swap Obligation</w:t>
      </w:r>
      <w:r>
        <w:rPr>
          <w:rFonts w:ascii="Times New Roman" w:cs="Times New Roman" w:eastAsia="Times New Roman" w:hAnsi="Times New Roman"/>
          <w:sz w:val="20"/>
          <w:szCs w:val="20"/>
          <w:color w:val="auto"/>
        </w:rPr>
        <w:t>” means, with respect to any Credit Party, any Swap Obligation if, and to the extent that, all or a</w:t>
      </w:r>
    </w:p>
    <w:p>
      <w:pPr>
        <w:ind w:left="38"/>
        <w:spacing w:after="0" w:line="215" w:lineRule="auto"/>
        <w:rPr>
          <w:sz w:val="20"/>
          <w:szCs w:val="20"/>
          <w:color w:val="auto"/>
        </w:rPr>
      </w:pPr>
      <w:r>
        <w:rPr>
          <w:rFonts w:ascii="Times New Roman" w:cs="Times New Roman" w:eastAsia="Times New Roman" w:hAnsi="Times New Roman"/>
          <w:sz w:val="19"/>
          <w:szCs w:val="19"/>
          <w:color w:val="auto"/>
        </w:rPr>
        <w:t>portion of the liability of such Credit Party for or the guarantee of such Credit Party of, or the grant by such Credit Party of a security interest to secure, such Swap Obligation (or any liability or guarantee thereof) is or becomes illegal under the Commodity Exchange Act or</w:t>
      </w:r>
    </w:p>
    <w:p>
      <w:pPr>
        <w:ind w:left="38"/>
        <w:spacing w:after="0" w:line="215" w:lineRule="auto"/>
        <w:rPr>
          <w:sz w:val="20"/>
          <w:szCs w:val="20"/>
          <w:color w:val="auto"/>
        </w:rPr>
      </w:pPr>
      <w:r>
        <w:rPr>
          <w:rFonts w:ascii="Times New Roman" w:cs="Times New Roman" w:eastAsia="Times New Roman" w:hAnsi="Times New Roman"/>
          <w:sz w:val="19"/>
          <w:szCs w:val="19"/>
          <w:color w:val="auto"/>
        </w:rPr>
        <w:t>any rule, regulation or order of the Commodity Futures Trading Commission (or the application or official interpretation of any thereof) by virtue of such Credit Party’s failure for any reason to constitute an “eligible contract participant” as defined in the Commodity Exchange</w:t>
      </w:r>
    </w:p>
    <w:p>
      <w:pPr>
        <w:ind w:left="38"/>
        <w:spacing w:after="0" w:line="228" w:lineRule="auto"/>
        <w:rPr>
          <w:sz w:val="20"/>
          <w:szCs w:val="20"/>
          <w:color w:val="auto"/>
        </w:rPr>
      </w:pPr>
      <w:r>
        <w:rPr>
          <w:rFonts w:ascii="Times New Roman" w:cs="Times New Roman" w:eastAsia="Times New Roman" w:hAnsi="Times New Roman"/>
          <w:sz w:val="20"/>
          <w:szCs w:val="20"/>
          <w:color w:val="auto"/>
        </w:rPr>
        <w:t>Act and the regulations thereunder at the time the liability for or the guarantee of such Credit Party or the grant of such security interest becomes effective with respect to such Swap Obligation (such determination being made after giving effect to any applicable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38"/>
        <w:spacing w:after="0"/>
        <w:rPr>
          <w:sz w:val="20"/>
          <w:szCs w:val="20"/>
          <w:color w:val="auto"/>
        </w:rPr>
      </w:pPr>
      <w:r>
        <w:rPr>
          <w:rFonts w:ascii="Times New Roman" w:cs="Times New Roman" w:eastAsia="Times New Roman" w:hAnsi="Times New Roman"/>
          <w:sz w:val="14"/>
          <w:szCs w:val="14"/>
          <w:color w:val="FF0000"/>
          <w:strike w:val="1"/>
        </w:rPr>
        <w:t>146960219_6</w:t>
      </w:r>
    </w:p>
    <w:p>
      <w:pPr>
        <w:spacing w:after="0" w:line="4" w:lineRule="exact"/>
        <w:rPr>
          <w:sz w:val="20"/>
          <w:szCs w:val="20"/>
          <w:color w:val="auto"/>
        </w:rPr>
      </w:pPr>
    </w:p>
    <w:p>
      <w:pPr>
        <w:ind w:left="338" w:hanging="338"/>
        <w:spacing w:after="0"/>
        <w:tabs>
          <w:tab w:leader="none" w:pos="338"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078"/>
          </w:cols>
          <w:pgMar w:left="382" w:top="1440" w:right="439" w:bottom="1440" w:gutter="0" w:footer="0" w:header="0"/>
        </w:sectPr>
      </w:pPr>
    </w:p>
    <w:bookmarkStart w:id="110" w:name="page111"/>
    <w:bookmarkEnd w:id="110"/>
    <w:p>
      <w:pPr>
        <w:ind w:left="58"/>
        <w:spacing w:after="0"/>
        <w:rPr>
          <w:sz w:val="20"/>
          <w:szCs w:val="20"/>
          <w:color w:val="auto"/>
        </w:rPr>
      </w:pPr>
      <w:r>
        <w:rPr>
          <w:rFonts w:ascii="Times New Roman" w:cs="Times New Roman" w:eastAsia="Times New Roman" w:hAnsi="Times New Roman"/>
          <w:sz w:val="20"/>
          <w:szCs w:val="20"/>
          <w:color w:val="auto"/>
        </w:rPr>
        <w:t>keepwell, support or other agreement for the benefit of the applicable Credit Party, including the keepwell provisions in each applicable</w:t>
      </w:r>
    </w:p>
    <w:p>
      <w:pPr>
        <w:ind w:left="58" w:right="20"/>
        <w:spacing w:after="0" w:line="215" w:lineRule="auto"/>
        <w:rPr>
          <w:sz w:val="20"/>
          <w:szCs w:val="20"/>
          <w:color w:val="auto"/>
        </w:rPr>
      </w:pPr>
      <w:r>
        <w:rPr>
          <w:rFonts w:ascii="Times New Roman" w:cs="Times New Roman" w:eastAsia="Times New Roman" w:hAnsi="Times New Roman"/>
          <w:sz w:val="19"/>
          <w:szCs w:val="19"/>
          <w:color w:val="auto"/>
        </w:rPr>
        <w:t>Guaranty Agreement). If a Swap Obligation arises under a master agreement governing more than one swap, such exclusion shall apply only to the portion of such Swap Obligation that is attributable to swaps for which such guarantee or security interest is or becomes illegal</w:t>
      </w:r>
    </w:p>
    <w:p>
      <w:pPr>
        <w:ind w:left="58"/>
        <w:spacing w:after="0"/>
        <w:rPr>
          <w:sz w:val="20"/>
          <w:szCs w:val="20"/>
          <w:color w:val="auto"/>
        </w:rPr>
      </w:pPr>
      <w:r>
        <w:rPr>
          <w:rFonts w:ascii="Times New Roman" w:cs="Times New Roman" w:eastAsia="Times New Roman" w:hAnsi="Times New Roman"/>
          <w:sz w:val="20"/>
          <w:szCs w:val="20"/>
          <w:color w:val="auto"/>
        </w:rPr>
        <w:t>for the reasons identified in the immediately preceding sentence of this definition.</w:t>
      </w:r>
    </w:p>
    <w:p>
      <w:pPr>
        <w:spacing w:after="0" w:line="188" w:lineRule="exact"/>
        <w:rPr>
          <w:sz w:val="20"/>
          <w:szCs w:val="20"/>
          <w:color w:val="auto"/>
        </w:rPr>
      </w:pPr>
    </w:p>
    <w:p>
      <w:pPr>
        <w:ind w:left="69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Taxes</w:t>
      </w:r>
      <w:r>
        <w:rPr>
          <w:rFonts w:ascii="Times New Roman" w:cs="Times New Roman" w:eastAsia="Times New Roman" w:hAnsi="Times New Roman"/>
          <w:sz w:val="20"/>
          <w:szCs w:val="20"/>
          <w:color w:val="auto"/>
        </w:rPr>
        <w:t>” means any of the following Taxes imposed on or with respect to a Recipient or required to be withheld or</w:t>
      </w:r>
    </w:p>
    <w:p>
      <w:pPr>
        <w:ind w:left="58"/>
        <w:spacing w:after="0" w:line="204" w:lineRule="auto"/>
        <w:rPr>
          <w:sz w:val="20"/>
          <w:szCs w:val="20"/>
          <w:color w:val="auto"/>
        </w:rPr>
      </w:pPr>
      <w:r>
        <w:rPr>
          <w:rFonts w:ascii="Times New Roman" w:cs="Times New Roman" w:eastAsia="Times New Roman" w:hAnsi="Times New Roman"/>
          <w:sz w:val="20"/>
          <w:szCs w:val="20"/>
          <w:color w:val="auto"/>
        </w:rPr>
        <w:t>deducted from a payment to a Recipient, (a) Taxes imposed on or measured by net income (however denominated), franchise Taxes, and branch profits Taxes, in each case, (i) imposed as a result of such Recipient being organized under the laws of, or having its principal</w:t>
      </w:r>
    </w:p>
    <w:p>
      <w:pPr>
        <w:ind w:left="58"/>
        <w:spacing w:after="0" w:line="211" w:lineRule="auto"/>
        <w:rPr>
          <w:sz w:val="20"/>
          <w:szCs w:val="20"/>
          <w:color w:val="auto"/>
        </w:rPr>
      </w:pPr>
      <w:r>
        <w:rPr>
          <w:rFonts w:ascii="Times New Roman" w:cs="Times New Roman" w:eastAsia="Times New Roman" w:hAnsi="Times New Roman"/>
          <w:sz w:val="20"/>
          <w:szCs w:val="20"/>
          <w:color w:val="auto"/>
        </w:rPr>
        <w:t>office or, in the case of any Lender, its applicable Lending Office located in, the jurisdiction imposing such Tax (or any political</w:t>
      </w:r>
    </w:p>
    <w:p>
      <w:pPr>
        <w:spacing w:after="0" w:line="1" w:lineRule="exact"/>
        <w:rPr>
          <w:sz w:val="20"/>
          <w:szCs w:val="20"/>
          <w:color w:val="auto"/>
        </w:rPr>
      </w:pPr>
    </w:p>
    <w:p>
      <w:pPr>
        <w:ind w:left="58"/>
        <w:spacing w:after="0" w:line="215" w:lineRule="auto"/>
        <w:rPr>
          <w:sz w:val="20"/>
          <w:szCs w:val="20"/>
          <w:color w:val="auto"/>
        </w:rPr>
      </w:pPr>
      <w:r>
        <w:rPr>
          <w:rFonts w:ascii="Times New Roman" w:cs="Times New Roman" w:eastAsia="Times New Roman" w:hAnsi="Times New Roman"/>
          <w:sz w:val="19"/>
          <w:szCs w:val="19"/>
          <w:color w:val="auto"/>
        </w:rPr>
        <w:t>subdivision thereof) or (ii) that are Other Connection Taxes, (b) in the case of a Lender, United States federal withholding Taxes imposed on amounts payable to or for the account of such Lender with respect to an applicable interest in a Loan or Commitment pursuant to a law</w:t>
      </w:r>
    </w:p>
    <w:p>
      <w:pPr>
        <w:ind w:left="58"/>
        <w:spacing w:after="0" w:line="211" w:lineRule="auto"/>
        <w:rPr>
          <w:sz w:val="20"/>
          <w:szCs w:val="20"/>
          <w:color w:val="auto"/>
        </w:rPr>
      </w:pPr>
      <w:r>
        <w:rPr>
          <w:rFonts w:ascii="Times New Roman" w:cs="Times New Roman" w:eastAsia="Times New Roman" w:hAnsi="Times New Roman"/>
          <w:sz w:val="20"/>
          <w:szCs w:val="20"/>
          <w:color w:val="auto"/>
        </w:rPr>
        <w:t>in effect on the date on which (i) such Lender acquires such interest in the Loan or Commitment (other than pursuant to an assignment</w:t>
      </w:r>
    </w:p>
    <w:p>
      <w:pPr>
        <w:ind w:left="58"/>
        <w:spacing w:after="0" w:line="215" w:lineRule="auto"/>
        <w:rPr>
          <w:sz w:val="20"/>
          <w:szCs w:val="20"/>
          <w:color w:val="auto"/>
        </w:rPr>
      </w:pPr>
      <w:r>
        <w:rPr>
          <w:rFonts w:ascii="Times New Roman" w:cs="Times New Roman" w:eastAsia="Times New Roman" w:hAnsi="Times New Roman"/>
          <w:sz w:val="19"/>
          <w:szCs w:val="19"/>
          <w:color w:val="auto"/>
        </w:rPr>
        <w:t xml:space="preserve">request by Centuri under </w:t>
      </w:r>
      <w:r>
        <w:rPr>
          <w:rFonts w:ascii="Times New Roman" w:cs="Times New Roman" w:eastAsia="Times New Roman" w:hAnsi="Times New Roman"/>
          <w:sz w:val="19"/>
          <w:szCs w:val="19"/>
          <w:u w:val="single" w:color="auto"/>
          <w:color w:val="auto"/>
        </w:rPr>
        <w:t>Section 5.12(b)</w:t>
      </w:r>
      <w:r>
        <w:rPr>
          <w:rFonts w:ascii="Times New Roman" w:cs="Times New Roman" w:eastAsia="Times New Roman" w:hAnsi="Times New Roman"/>
          <w:sz w:val="19"/>
          <w:szCs w:val="19"/>
          <w:color w:val="auto"/>
        </w:rPr>
        <w:t xml:space="preserve">) or (ii) such Lender changes its Lending Office, except in each case to the extent that, pursuant to </w:t>
      </w:r>
      <w:r>
        <w:rPr>
          <w:rFonts w:ascii="Times New Roman" w:cs="Times New Roman" w:eastAsia="Times New Roman" w:hAnsi="Times New Roman"/>
          <w:sz w:val="19"/>
          <w:szCs w:val="19"/>
          <w:u w:val="single" w:color="auto"/>
          <w:color w:val="auto"/>
        </w:rPr>
        <w:t>Section 5.11</w:t>
      </w:r>
      <w:r>
        <w:rPr>
          <w:rFonts w:ascii="Times New Roman" w:cs="Times New Roman" w:eastAsia="Times New Roman" w:hAnsi="Times New Roman"/>
          <w:sz w:val="19"/>
          <w:szCs w:val="19"/>
          <w:color w:val="auto"/>
        </w:rPr>
        <w:t>, amounts with respect to such Taxes were payable either to such Lender’s assignor immediately before such Lender became a</w:t>
      </w:r>
    </w:p>
    <w:p>
      <w:pPr>
        <w:ind w:left="58"/>
        <w:spacing w:after="0" w:line="211" w:lineRule="auto"/>
        <w:rPr>
          <w:sz w:val="20"/>
          <w:szCs w:val="20"/>
          <w:color w:val="auto"/>
        </w:rPr>
      </w:pPr>
      <w:r>
        <w:rPr>
          <w:rFonts w:ascii="Times New Roman" w:cs="Times New Roman" w:eastAsia="Times New Roman" w:hAnsi="Times New Roman"/>
          <w:sz w:val="20"/>
          <w:szCs w:val="20"/>
          <w:color w:val="auto"/>
        </w:rPr>
        <w:t>party hereto or to such Lender immediately before it changed its Lending Office, (c) Taxes attributable to such Recipient’s failure to</w:t>
      </w:r>
    </w:p>
    <w:p>
      <w:pPr>
        <w:ind w:left="58"/>
        <w:spacing w:after="0" w:line="204" w:lineRule="auto"/>
        <w:rPr>
          <w:sz w:val="20"/>
          <w:szCs w:val="20"/>
          <w:color w:val="auto"/>
        </w:rPr>
      </w:pPr>
      <w:r>
        <w:rPr>
          <w:rFonts w:ascii="Times New Roman" w:cs="Times New Roman" w:eastAsia="Times New Roman" w:hAnsi="Times New Roman"/>
          <w:sz w:val="20"/>
          <w:szCs w:val="20"/>
          <w:color w:val="auto"/>
        </w:rPr>
        <w:t xml:space="preserve">comply with </w:t>
      </w:r>
      <w:r>
        <w:rPr>
          <w:rFonts w:ascii="Times New Roman" w:cs="Times New Roman" w:eastAsia="Times New Roman" w:hAnsi="Times New Roman"/>
          <w:sz w:val="20"/>
          <w:szCs w:val="20"/>
          <w:u w:val="single" w:color="auto"/>
          <w:color w:val="auto"/>
        </w:rPr>
        <w:t>Section 5.11(g)</w:t>
      </w:r>
      <w:r>
        <w:rPr>
          <w:rFonts w:ascii="Times New Roman" w:cs="Times New Roman" w:eastAsia="Times New Roman" w:hAnsi="Times New Roman"/>
          <w:sz w:val="20"/>
          <w:szCs w:val="20"/>
          <w:color w:val="auto"/>
        </w:rPr>
        <w:t>, (d) any United States federal withholding Taxes imposed under FATCA, and (e) any Canadian withholding Taxes imposed on a Lender by reason of such Lender (i) being a “specified shareholder” (as defined in subsection 18(5) of the ITA) of a</w:t>
      </w:r>
    </w:p>
    <w:p>
      <w:pPr>
        <w:ind w:left="58"/>
        <w:spacing w:after="0" w:line="211" w:lineRule="auto"/>
        <w:rPr>
          <w:sz w:val="20"/>
          <w:szCs w:val="20"/>
          <w:color w:val="auto"/>
        </w:rPr>
      </w:pPr>
      <w:r>
        <w:rPr>
          <w:rFonts w:ascii="Times New Roman" w:cs="Times New Roman" w:eastAsia="Times New Roman" w:hAnsi="Times New Roman"/>
          <w:sz w:val="20"/>
          <w:szCs w:val="20"/>
          <w:color w:val="auto"/>
        </w:rPr>
        <w:t>Credit Party or (ii) not dealing at arm’s length (for purposes of the ITA) with a “specified shareholder” (as defined in subsection 18(5) of</w:t>
      </w:r>
    </w:p>
    <w:p>
      <w:pPr>
        <w:spacing w:after="0" w:line="1" w:lineRule="exact"/>
        <w:rPr>
          <w:sz w:val="20"/>
          <w:szCs w:val="20"/>
          <w:color w:val="auto"/>
        </w:rPr>
      </w:pPr>
    </w:p>
    <w:p>
      <w:pPr>
        <w:ind w:left="58"/>
        <w:spacing w:after="0" w:line="204" w:lineRule="auto"/>
        <w:rPr>
          <w:sz w:val="20"/>
          <w:szCs w:val="20"/>
          <w:color w:val="auto"/>
        </w:rPr>
      </w:pPr>
      <w:r>
        <w:rPr>
          <w:rFonts w:ascii="Times New Roman" w:cs="Times New Roman" w:eastAsia="Times New Roman" w:hAnsi="Times New Roman"/>
          <w:sz w:val="20"/>
          <w:szCs w:val="20"/>
          <w:color w:val="auto"/>
        </w:rPr>
        <w:t>the ITA) of the Credit Party. (except, in the case of (e)(i) or (ii), where any such non-arm’s length or specified shareholder relationship arises solely in connection with or as a result of, any Lender or other Recipient hereunder having become a party to, received or perfected</w:t>
      </w:r>
    </w:p>
    <w:p>
      <w:pPr>
        <w:spacing w:after="0" w:line="1" w:lineRule="exact"/>
        <w:rPr>
          <w:sz w:val="20"/>
          <w:szCs w:val="20"/>
          <w:color w:val="auto"/>
        </w:rPr>
      </w:pPr>
    </w:p>
    <w:p>
      <w:pPr>
        <w:ind w:left="58"/>
        <w:spacing w:after="0"/>
        <w:rPr>
          <w:sz w:val="20"/>
          <w:szCs w:val="20"/>
          <w:color w:val="auto"/>
        </w:rPr>
      </w:pPr>
      <w:r>
        <w:rPr>
          <w:rFonts w:ascii="Times New Roman" w:cs="Times New Roman" w:eastAsia="Times New Roman" w:hAnsi="Times New Roman"/>
          <w:sz w:val="20"/>
          <w:szCs w:val="20"/>
          <w:color w:val="auto"/>
        </w:rPr>
        <w:t>a security interest under, or received, exercised or enforced any rights hereunder or under any other Loan Document).</w:t>
      </w:r>
    </w:p>
    <w:p>
      <w:pPr>
        <w:spacing w:after="0" w:line="194" w:lineRule="exact"/>
        <w:rPr>
          <w:sz w:val="20"/>
          <w:szCs w:val="20"/>
          <w:color w:val="auto"/>
        </w:rPr>
      </w:pPr>
    </w:p>
    <w:p>
      <w:pPr>
        <w:ind w:left="69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Existing Credit Agreement</w:t>
      </w:r>
      <w:r>
        <w:rPr>
          <w:rFonts w:ascii="Times New Roman" w:cs="Times New Roman" w:eastAsia="Times New Roman" w:hAnsi="Times New Roman"/>
          <w:sz w:val="20"/>
          <w:szCs w:val="20"/>
          <w:color w:val="auto"/>
        </w:rPr>
        <w:t>” has the meaning assigned thereto in the Statement of Purpose hereto.</w:t>
      </w:r>
    </w:p>
    <w:p>
      <w:pPr>
        <w:spacing w:after="0" w:line="270" w:lineRule="exact"/>
        <w:rPr>
          <w:sz w:val="20"/>
          <w:szCs w:val="20"/>
          <w:color w:val="auto"/>
        </w:rPr>
      </w:pPr>
    </w:p>
    <w:p>
      <w:pPr>
        <w:ind w:left="69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Existing Lenders</w:t>
      </w:r>
      <w:r>
        <w:rPr>
          <w:rFonts w:ascii="Times New Roman" w:cs="Times New Roman" w:eastAsia="Times New Roman" w:hAnsi="Times New Roman"/>
          <w:sz w:val="20"/>
          <w:szCs w:val="20"/>
          <w:color w:val="auto"/>
        </w:rPr>
        <w:t>” has the meaning assigned thereto in the Statement of Purpose hereto.</w:t>
      </w:r>
    </w:p>
    <w:p>
      <w:pPr>
        <w:spacing w:after="0" w:line="297" w:lineRule="exact"/>
        <w:rPr>
          <w:sz w:val="20"/>
          <w:szCs w:val="20"/>
          <w:color w:val="auto"/>
        </w:rPr>
      </w:pPr>
    </w:p>
    <w:p>
      <w:pPr>
        <w:ind w:left="69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Existing Letters of Credit</w:t>
      </w:r>
      <w:r>
        <w:rPr>
          <w:rFonts w:ascii="Times New Roman" w:cs="Times New Roman" w:eastAsia="Times New Roman" w:hAnsi="Times New Roman"/>
          <w:sz w:val="20"/>
          <w:szCs w:val="20"/>
          <w:color w:val="auto"/>
        </w:rPr>
        <w:t xml:space="preserve">” means those letters of credit existing on the Closing Date and identified on </w:t>
      </w:r>
      <w:r>
        <w:rPr>
          <w:rFonts w:ascii="Times New Roman" w:cs="Times New Roman" w:eastAsia="Times New Roman" w:hAnsi="Times New Roman"/>
          <w:sz w:val="20"/>
          <w:szCs w:val="20"/>
          <w:u w:val="single" w:color="auto"/>
          <w:color w:val="auto"/>
        </w:rPr>
        <w:t>Schedule 1.1(b)</w:t>
      </w:r>
      <w:r>
        <w:rPr>
          <w:rFonts w:ascii="Times New Roman" w:cs="Times New Roman" w:eastAsia="Times New Roman" w:hAnsi="Times New Roman"/>
          <w:sz w:val="20"/>
          <w:szCs w:val="20"/>
          <w:color w:val="auto"/>
        </w:rPr>
        <w:t>.</w:t>
      </w:r>
    </w:p>
    <w:p>
      <w:pPr>
        <w:spacing w:after="0" w:line="324" w:lineRule="exact"/>
        <w:rPr>
          <w:sz w:val="20"/>
          <w:szCs w:val="20"/>
          <w:color w:val="auto"/>
        </w:rPr>
      </w:pPr>
    </w:p>
    <w:p>
      <w:pPr>
        <w:ind w:left="58" w:right="16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Extended Revolving Credit Commitment</w:t>
      </w:r>
      <w:r>
        <w:rPr>
          <w:rFonts w:ascii="Times New Roman" w:cs="Times New Roman" w:eastAsia="Times New Roman" w:hAnsi="Times New Roman"/>
          <w:sz w:val="20"/>
          <w:szCs w:val="20"/>
          <w:color w:val="auto"/>
        </w:rPr>
        <w:t xml:space="preserve">” means any Class of Revolving Credit Commitments the maturity of which shall have been extended pursuant to </w:t>
      </w:r>
      <w:r>
        <w:rPr>
          <w:rFonts w:ascii="Times New Roman" w:cs="Times New Roman" w:eastAsia="Times New Roman" w:hAnsi="Times New Roman"/>
          <w:sz w:val="20"/>
          <w:szCs w:val="20"/>
          <w:u w:val="single" w:color="auto"/>
          <w:color w:val="auto"/>
        </w:rPr>
        <w:t>Section 5.19</w:t>
      </w:r>
      <w:r>
        <w:rPr>
          <w:rFonts w:ascii="Times New Roman" w:cs="Times New Roman" w:eastAsia="Times New Roman" w:hAnsi="Times New Roman"/>
          <w:sz w:val="20"/>
          <w:szCs w:val="20"/>
          <w:color w:val="auto"/>
        </w:rPr>
        <w:t>.</w:t>
      </w:r>
    </w:p>
    <w:p>
      <w:pPr>
        <w:spacing w:after="0" w:line="254" w:lineRule="exact"/>
        <w:rPr>
          <w:sz w:val="20"/>
          <w:szCs w:val="20"/>
          <w:color w:val="auto"/>
        </w:rPr>
      </w:pPr>
    </w:p>
    <w:p>
      <w:pPr>
        <w:ind w:left="58" w:right="740" w:firstLine="648"/>
        <w:spacing w:after="0" w:line="23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Extended Revolving Credit Loans</w:t>
      </w:r>
      <w:r>
        <w:rPr>
          <w:rFonts w:ascii="Times New Roman" w:cs="Times New Roman" w:eastAsia="Times New Roman" w:hAnsi="Times New Roman"/>
          <w:sz w:val="20"/>
          <w:szCs w:val="20"/>
          <w:color w:val="auto"/>
        </w:rPr>
        <w:t>” means any Revolving Credit Loans made pursuant to the Extended Revolving Credit Commitments.</w:t>
      </w:r>
    </w:p>
    <w:p>
      <w:pPr>
        <w:spacing w:after="0" w:line="188" w:lineRule="exact"/>
        <w:rPr>
          <w:sz w:val="20"/>
          <w:szCs w:val="20"/>
          <w:color w:val="auto"/>
        </w:rPr>
      </w:pPr>
    </w:p>
    <w:p>
      <w:pPr>
        <w:ind w:left="698"/>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Extended Term Loans</w:t>
      </w:r>
      <w:r>
        <w:rPr>
          <w:rFonts w:ascii="Times New Roman" w:cs="Times New Roman" w:eastAsia="Times New Roman" w:hAnsi="Times New Roman"/>
          <w:sz w:val="19"/>
          <w:szCs w:val="19"/>
          <w:color w:val="auto"/>
        </w:rPr>
        <w:t xml:space="preserve">” means any Class of Term Loans the maturity of which shall have been extended pursuant to </w:t>
      </w:r>
      <w:r>
        <w:rPr>
          <w:rFonts w:ascii="Times New Roman" w:cs="Times New Roman" w:eastAsia="Times New Roman" w:hAnsi="Times New Roman"/>
          <w:sz w:val="19"/>
          <w:szCs w:val="19"/>
          <w:u w:val="single" w:color="auto"/>
          <w:color w:val="auto"/>
        </w:rPr>
        <w:t>Section 5.19</w:t>
      </w:r>
      <w:r>
        <w:rPr>
          <w:rFonts w:ascii="Times New Roman" w:cs="Times New Roman" w:eastAsia="Times New Roman" w:hAnsi="Times New Roman"/>
          <w:sz w:val="19"/>
          <w:szCs w:val="19"/>
          <w:color w:val="auto"/>
        </w:rPr>
        <w:t>.</w:t>
      </w:r>
    </w:p>
    <w:p>
      <w:pPr>
        <w:spacing w:after="0" w:line="295" w:lineRule="exact"/>
        <w:rPr>
          <w:sz w:val="20"/>
          <w:szCs w:val="20"/>
          <w:color w:val="auto"/>
        </w:rPr>
      </w:pPr>
    </w:p>
    <w:p>
      <w:pPr>
        <w:ind w:left="69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Extension</w:t>
      </w:r>
      <w:r>
        <w:rPr>
          <w:rFonts w:ascii="Times New Roman" w:cs="Times New Roman" w:eastAsia="Times New Roman" w:hAnsi="Times New Roman"/>
          <w:sz w:val="20"/>
          <w:szCs w:val="20"/>
          <w:color w:val="auto"/>
        </w:rPr>
        <w:t xml:space="preserve">” has the meaning assigned thereto in </w:t>
      </w:r>
      <w:r>
        <w:rPr>
          <w:rFonts w:ascii="Times New Roman" w:cs="Times New Roman" w:eastAsia="Times New Roman" w:hAnsi="Times New Roman"/>
          <w:sz w:val="20"/>
          <w:szCs w:val="20"/>
          <w:u w:val="single" w:color="auto"/>
          <w:color w:val="auto"/>
        </w:rPr>
        <w:t>Section 5.19(a)</w:t>
      </w:r>
      <w:r>
        <w:rPr>
          <w:rFonts w:ascii="Times New Roman" w:cs="Times New Roman" w:eastAsia="Times New Roman" w:hAnsi="Times New Roman"/>
          <w:sz w:val="20"/>
          <w:szCs w:val="20"/>
          <w:color w:val="auto"/>
        </w:rPr>
        <w:t>.</w:t>
      </w:r>
    </w:p>
    <w:p>
      <w:pPr>
        <w:spacing w:after="0" w:line="278" w:lineRule="exact"/>
        <w:rPr>
          <w:sz w:val="20"/>
          <w:szCs w:val="20"/>
          <w:color w:val="auto"/>
        </w:rPr>
      </w:pPr>
    </w:p>
    <w:p>
      <w:pPr>
        <w:ind w:left="69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Extension Amendment</w:t>
      </w:r>
      <w:r>
        <w:rPr>
          <w:rFonts w:ascii="Times New Roman" w:cs="Times New Roman" w:eastAsia="Times New Roman" w:hAnsi="Times New Roman"/>
          <w:sz w:val="20"/>
          <w:szCs w:val="20"/>
          <w:color w:val="auto"/>
        </w:rPr>
        <w:t>” means an amendment to this Agreement (which may, at the option of the Administrative Agent and the</w:t>
      </w:r>
    </w:p>
    <w:p>
      <w:pPr>
        <w:ind w:left="58"/>
        <w:spacing w:after="0" w:line="204" w:lineRule="auto"/>
        <w:rPr>
          <w:sz w:val="20"/>
          <w:szCs w:val="20"/>
          <w:color w:val="auto"/>
        </w:rPr>
      </w:pPr>
      <w:r>
        <w:rPr>
          <w:rFonts w:ascii="Times New Roman" w:cs="Times New Roman" w:eastAsia="Times New Roman" w:hAnsi="Times New Roman"/>
          <w:sz w:val="20"/>
          <w:szCs w:val="20"/>
          <w:color w:val="auto"/>
        </w:rPr>
        <w:t xml:space="preserve">Borrowers, be in the form of an amendment and restatement of this Agreement) among the Credit Parties, the applicable extending Lenders, the Administrative Agent and, to the extent required by </w:t>
      </w:r>
      <w:r>
        <w:rPr>
          <w:rFonts w:ascii="Times New Roman" w:cs="Times New Roman" w:eastAsia="Times New Roman" w:hAnsi="Times New Roman"/>
          <w:sz w:val="20"/>
          <w:szCs w:val="20"/>
          <w:u w:val="single" w:color="auto"/>
          <w:color w:val="auto"/>
        </w:rPr>
        <w:t>Section 5.19</w:t>
      </w:r>
      <w:r>
        <w:rPr>
          <w:rFonts w:ascii="Times New Roman" w:cs="Times New Roman" w:eastAsia="Times New Roman" w:hAnsi="Times New Roman"/>
          <w:sz w:val="20"/>
          <w:szCs w:val="20"/>
          <w:color w:val="auto"/>
        </w:rPr>
        <w:t>, the Issuing Lenders and/or the Swingline Lender</w:t>
      </w:r>
    </w:p>
    <w:p>
      <w:pPr>
        <w:spacing w:after="0" w:line="1" w:lineRule="exact"/>
        <w:rPr>
          <w:sz w:val="20"/>
          <w:szCs w:val="20"/>
          <w:color w:val="auto"/>
        </w:rPr>
      </w:pPr>
    </w:p>
    <w:p>
      <w:pPr>
        <w:ind w:left="58"/>
        <w:spacing w:after="0"/>
        <w:rPr>
          <w:sz w:val="20"/>
          <w:szCs w:val="20"/>
          <w:color w:val="auto"/>
        </w:rPr>
      </w:pPr>
      <w:r>
        <w:rPr>
          <w:rFonts w:ascii="Times New Roman" w:cs="Times New Roman" w:eastAsia="Times New Roman" w:hAnsi="Times New Roman"/>
          <w:sz w:val="20"/>
          <w:szCs w:val="20"/>
          <w:color w:val="auto"/>
        </w:rPr>
        <w:t xml:space="preserve">implementing an Extension in accordance with </w:t>
      </w:r>
      <w:r>
        <w:rPr>
          <w:rFonts w:ascii="Times New Roman" w:cs="Times New Roman" w:eastAsia="Times New Roman" w:hAnsi="Times New Roman"/>
          <w:sz w:val="20"/>
          <w:szCs w:val="20"/>
          <w:u w:val="single" w:color="auto"/>
          <w:color w:val="auto"/>
        </w:rPr>
        <w:t>Section 5.19</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38"/>
        <w:spacing w:after="0"/>
        <w:rPr>
          <w:sz w:val="20"/>
          <w:szCs w:val="20"/>
          <w:color w:val="auto"/>
        </w:rPr>
      </w:pPr>
      <w:r>
        <w:rPr>
          <w:rFonts w:ascii="Times New Roman" w:cs="Times New Roman" w:eastAsia="Times New Roman" w:hAnsi="Times New Roman"/>
          <w:sz w:val="14"/>
          <w:szCs w:val="14"/>
          <w:color w:val="FF0000"/>
          <w:strike w:val="1"/>
        </w:rPr>
        <w:t>146960219_6</w:t>
      </w:r>
    </w:p>
    <w:p>
      <w:pPr>
        <w:spacing w:after="0" w:line="4" w:lineRule="exact"/>
        <w:rPr>
          <w:sz w:val="20"/>
          <w:szCs w:val="20"/>
          <w:color w:val="auto"/>
        </w:rPr>
      </w:pPr>
    </w:p>
    <w:p>
      <w:pPr>
        <w:ind w:left="338" w:hanging="338"/>
        <w:spacing w:after="0"/>
        <w:tabs>
          <w:tab w:leader="none" w:pos="338"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078"/>
          </w:cols>
          <w:pgMar w:left="382" w:top="1070" w:right="439" w:bottom="1440" w:gutter="0" w:footer="0" w:header="0"/>
        </w:sectPr>
      </w:pPr>
    </w:p>
    <w:bookmarkStart w:id="111" w:name="page112"/>
    <w:bookmarkEnd w:id="111"/>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Extension Offer</w:t>
      </w:r>
      <w:r>
        <w:rPr>
          <w:rFonts w:ascii="Times New Roman" w:cs="Times New Roman" w:eastAsia="Times New Roman" w:hAnsi="Times New Roman"/>
          <w:sz w:val="20"/>
          <w:szCs w:val="20"/>
          <w:color w:val="auto"/>
        </w:rPr>
        <w:t xml:space="preserve">” has the meaning assigned thereto in </w:t>
      </w:r>
      <w:r>
        <w:rPr>
          <w:rFonts w:ascii="Times New Roman" w:cs="Times New Roman" w:eastAsia="Times New Roman" w:hAnsi="Times New Roman"/>
          <w:sz w:val="20"/>
          <w:szCs w:val="20"/>
          <w:u w:val="single" w:color="auto"/>
          <w:color w:val="auto"/>
        </w:rPr>
        <w:t>Section 5.19(a)</w:t>
      </w:r>
      <w:r>
        <w:rPr>
          <w:rFonts w:ascii="Times New Roman" w:cs="Times New Roman" w:eastAsia="Times New Roman" w:hAnsi="Times New Roman"/>
          <w:sz w:val="20"/>
          <w:szCs w:val="20"/>
          <w:color w:val="auto"/>
        </w:rPr>
        <w:t>.</w:t>
      </w:r>
    </w:p>
    <w:p>
      <w:pPr>
        <w:spacing w:after="0" w:line="2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Extensions of Credit</w:t>
      </w:r>
      <w:r>
        <w:rPr>
          <w:rFonts w:ascii="Times New Roman" w:cs="Times New Roman" w:eastAsia="Times New Roman" w:hAnsi="Times New Roman"/>
          <w:sz w:val="20"/>
          <w:szCs w:val="20"/>
          <w:color w:val="auto"/>
        </w:rPr>
        <w:t>” means, as to any Lender at any time, (a) an amount equal to the sum of (i) the aggregate principal amount</w:t>
      </w:r>
    </w:p>
    <w:p>
      <w:pPr>
        <w:ind w:left="120" w:right="60"/>
        <w:spacing w:after="0" w:line="215" w:lineRule="auto"/>
        <w:rPr>
          <w:sz w:val="20"/>
          <w:szCs w:val="20"/>
          <w:color w:val="auto"/>
        </w:rPr>
      </w:pPr>
      <w:r>
        <w:rPr>
          <w:rFonts w:ascii="Times New Roman" w:cs="Times New Roman" w:eastAsia="Times New Roman" w:hAnsi="Times New Roman"/>
          <w:sz w:val="19"/>
          <w:szCs w:val="19"/>
          <w:color w:val="auto"/>
        </w:rPr>
        <w:t>of all Revolving Credit Loans made by such Lender then outstanding, (ii) such Lender’s Revolving Credit Commitment Percentage of the L/C Obligations then outstanding, (iii) such Lender’s Revolving Credit Commitment Percentage of the Swingline Loans then outstanding</w:t>
      </w:r>
    </w:p>
    <w:p>
      <w:pPr>
        <w:ind w:left="120" w:right="60"/>
        <w:spacing w:after="0" w:line="221" w:lineRule="auto"/>
        <w:rPr>
          <w:sz w:val="20"/>
          <w:szCs w:val="20"/>
          <w:color w:val="auto"/>
        </w:rPr>
      </w:pPr>
      <w:r>
        <w:rPr>
          <w:rFonts w:ascii="Times New Roman" w:cs="Times New Roman" w:eastAsia="Times New Roman" w:hAnsi="Times New Roman"/>
          <w:sz w:val="20"/>
          <w:szCs w:val="20"/>
          <w:color w:val="auto"/>
        </w:rPr>
        <w:t>and (iv) the aggregate principal amount of the Term Loans made by such Lender then outstanding, or (b) the making of any Loan or participation in any Letter of Credit by such Lender, as the context requires.</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FASB ASC</w:t>
      </w:r>
      <w:r>
        <w:rPr>
          <w:rFonts w:ascii="Times New Roman" w:cs="Times New Roman" w:eastAsia="Times New Roman" w:hAnsi="Times New Roman"/>
          <w:sz w:val="20"/>
          <w:szCs w:val="20"/>
          <w:color w:val="auto"/>
        </w:rPr>
        <w:t>” means the Accounting Standards Codification of the Financial Accounting Standards Board.</w:t>
      </w:r>
    </w:p>
    <w:p>
      <w:pPr>
        <w:spacing w:after="0" w:line="200" w:lineRule="exact"/>
        <w:rPr>
          <w:sz w:val="20"/>
          <w:szCs w:val="20"/>
          <w:color w:val="auto"/>
        </w:rPr>
      </w:pPr>
    </w:p>
    <w:p>
      <w:pPr>
        <w:spacing w:after="0" w:line="286"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FATCA</w:t>
      </w:r>
      <w:r>
        <w:rPr>
          <w:rFonts w:ascii="Times New Roman" w:cs="Times New Roman" w:eastAsia="Times New Roman" w:hAnsi="Times New Roman"/>
          <w:sz w:val="20"/>
          <w:szCs w:val="20"/>
          <w:color w:val="auto"/>
        </w:rPr>
        <w:t>” means Sections 1471 through 1474 of the Code, asagreements entered into pursuant to Section 1471(b)(1) of the Code, of the date of this Agreement (or any amended or successor versionand any intergovernmental agreements and related legislation or that is substantively comparable and not materially more onerous toofficial administrative rules or regulations with respect thereto. comply with), any current or future regulations or official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interpretations thereof, any</w:t>
      </w:r>
    </w:p>
    <w:p>
      <w:pPr>
        <w:spacing w:after="0" w:line="19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FCA</w:t>
      </w:r>
      <w:r>
        <w:rPr>
          <w:rFonts w:ascii="Times New Roman" w:cs="Times New Roman" w:eastAsia="Times New Roman" w:hAnsi="Times New Roman"/>
          <w:sz w:val="20"/>
          <w:szCs w:val="20"/>
          <w:color w:val="auto"/>
        </w:rPr>
        <w:t xml:space="preserve">” has the meaning assigned thereto in </w:t>
      </w:r>
      <w:r>
        <w:rPr>
          <w:rFonts w:ascii="Times New Roman" w:cs="Times New Roman" w:eastAsia="Times New Roman" w:hAnsi="Times New Roman"/>
          <w:sz w:val="20"/>
          <w:szCs w:val="20"/>
          <w:u w:val="single" w:color="auto"/>
          <w:color w:val="auto"/>
        </w:rPr>
        <w:t>Section 1.11</w:t>
      </w:r>
      <w:r>
        <w:rPr>
          <w:rFonts w:ascii="Times New Roman" w:cs="Times New Roman" w:eastAsia="Times New Roman" w:hAnsi="Times New Roman"/>
          <w:sz w:val="20"/>
          <w:szCs w:val="20"/>
          <w:color w:val="auto"/>
        </w:rPr>
        <w:t>.</w:t>
      </w:r>
    </w:p>
    <w:p>
      <w:pPr>
        <w:spacing w:after="0" w:line="2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FDIC</w:t>
      </w:r>
      <w:r>
        <w:rPr>
          <w:rFonts w:ascii="Times New Roman" w:cs="Times New Roman" w:eastAsia="Times New Roman" w:hAnsi="Times New Roman"/>
          <w:sz w:val="20"/>
          <w:szCs w:val="20"/>
          <w:color w:val="auto"/>
        </w:rPr>
        <w:t>” means the Federal Deposit Insurance Corporation.</w:t>
      </w:r>
    </w:p>
    <w:p>
      <w:pPr>
        <w:spacing w:after="0" w:line="283" w:lineRule="exact"/>
        <w:rPr>
          <w:sz w:val="20"/>
          <w:szCs w:val="20"/>
          <w:color w:val="auto"/>
        </w:rPr>
      </w:pPr>
    </w:p>
    <w:p>
      <w:pPr>
        <w:ind w:left="120" w:right="60" w:firstLine="648"/>
        <w:spacing w:after="0" w:line="21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Federal Funds Rate</w:t>
      </w:r>
      <w:r>
        <w:rPr>
          <w:rFonts w:ascii="Times New Roman" w:cs="Times New Roman" w:eastAsia="Times New Roman" w:hAnsi="Times New Roman"/>
          <w:sz w:val="20"/>
          <w:szCs w:val="20"/>
          <w:color w:val="auto"/>
        </w:rPr>
        <w:t>” means, for any day, the rate per annum equal to the weighted average of the rates on overnight federal funds transactions with members of the Federal Reserve System on such day (or, if such day is not a Business Day, for the immediately</w:t>
      </w:r>
    </w:p>
    <w:p>
      <w:pPr>
        <w:ind w:left="120"/>
        <w:spacing w:after="0" w:line="224" w:lineRule="auto"/>
        <w:rPr>
          <w:sz w:val="20"/>
          <w:szCs w:val="20"/>
          <w:color w:val="auto"/>
        </w:rPr>
      </w:pPr>
      <w:r>
        <w:rPr>
          <w:rFonts w:ascii="Times New Roman" w:cs="Times New Roman" w:eastAsia="Times New Roman" w:hAnsi="Times New Roman"/>
          <w:sz w:val="19"/>
          <w:szCs w:val="19"/>
          <w:color w:val="auto"/>
        </w:rPr>
        <w:t xml:space="preserve">preceding Business Day), as published by the Federal Reserve Bank of New York on the Business Day next succeeding such day, </w:t>
      </w:r>
      <w:r>
        <w:rPr>
          <w:rFonts w:ascii="Times New Roman" w:cs="Times New Roman" w:eastAsia="Times New Roman" w:hAnsi="Times New Roman"/>
          <w:sz w:val="19"/>
          <w:szCs w:val="19"/>
          <w:u w:val="single" w:color="auto"/>
          <w:color w:val="auto"/>
        </w:rPr>
        <w:t>provided</w:t>
      </w:r>
    </w:p>
    <w:p>
      <w:pPr>
        <w:ind w:left="120" w:right="60"/>
        <w:spacing w:after="0" w:line="215" w:lineRule="auto"/>
        <w:rPr>
          <w:sz w:val="20"/>
          <w:szCs w:val="20"/>
          <w:color w:val="auto"/>
        </w:rPr>
      </w:pPr>
      <w:r>
        <w:rPr>
          <w:rFonts w:ascii="Times New Roman" w:cs="Times New Roman" w:eastAsia="Times New Roman" w:hAnsi="Times New Roman"/>
          <w:sz w:val="19"/>
          <w:szCs w:val="19"/>
          <w:color w:val="auto"/>
        </w:rPr>
        <w:t>that if such rate is not so published for any day which is a Business Day, the Federal Funds Rate for such day shall be the average of the quotation for such day on such transactions received by the Administrative Agent from three federal funds brokers of recognized standing</w:t>
      </w:r>
    </w:p>
    <w:p>
      <w:pPr>
        <w:ind w:left="120"/>
        <w:spacing w:after="0"/>
        <w:rPr>
          <w:sz w:val="20"/>
          <w:szCs w:val="20"/>
          <w:color w:val="auto"/>
        </w:rPr>
      </w:pPr>
      <w:r>
        <w:rPr>
          <w:rFonts w:ascii="Times New Roman" w:cs="Times New Roman" w:eastAsia="Times New Roman" w:hAnsi="Times New Roman"/>
          <w:sz w:val="20"/>
          <w:szCs w:val="20"/>
          <w:color w:val="auto"/>
        </w:rPr>
        <w:t>selected by the Administrative Agent.</w:t>
      </w:r>
    </w:p>
    <w:p>
      <w:pPr>
        <w:spacing w:after="0" w:line="207" w:lineRule="exact"/>
        <w:rPr>
          <w:sz w:val="20"/>
          <w:szCs w:val="20"/>
          <w:color w:val="auto"/>
        </w:rPr>
      </w:pPr>
    </w:p>
    <w:p>
      <w:pPr>
        <w:ind w:left="120" w:right="60" w:firstLine="648"/>
        <w:spacing w:after="0" w:line="269" w:lineRule="auto"/>
        <w:rPr>
          <w:sz w:val="20"/>
          <w:szCs w:val="20"/>
          <w:color w:val="auto"/>
        </w:rPr>
      </w:pPr>
      <w:r>
        <w:rPr>
          <w:rFonts w:ascii="Times New Roman" w:cs="Times New Roman" w:eastAsia="Times New Roman" w:hAnsi="Times New Roman"/>
          <w:sz w:val="20"/>
          <w:szCs w:val="20"/>
          <w:color w:val="auto"/>
        </w:rPr>
        <w:t>Notwithstanding the foregoing, if the Federal Funds Rate shall be less than zero, such rate shall be deemed to be zero for the purposes of this Agreement.</w:t>
      </w:r>
    </w:p>
    <w:p>
      <w:pPr>
        <w:spacing w:after="0" w:line="186" w:lineRule="exact"/>
        <w:rPr>
          <w:sz w:val="20"/>
          <w:szCs w:val="20"/>
          <w:color w:val="auto"/>
        </w:rPr>
      </w:pPr>
    </w:p>
    <w:p>
      <w:pPr>
        <w:ind w:left="120" w:right="60" w:firstLine="648"/>
        <w:spacing w:after="0" w:line="22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Fee Letters</w:t>
      </w:r>
      <w:r>
        <w:rPr>
          <w:rFonts w:ascii="Times New Roman" w:cs="Times New Roman" w:eastAsia="Times New Roman" w:hAnsi="Times New Roman"/>
          <w:sz w:val="19"/>
          <w:szCs w:val="19"/>
          <w:color w:val="auto"/>
        </w:rPr>
        <w:t>” means (a) that certain Wells Fargo Fee Letter dated as of July 13, 2021, amongst Centuri, Wells Fargo Securities, LLC and Wells Fargo, (b) that certain Joint Fee Letter dated as of July 13, 2021 amongst the Borrowers, the Arrangers, Wells Fargo, Bank</w:t>
      </w:r>
    </w:p>
    <w:p>
      <w:pPr>
        <w:ind w:left="120"/>
        <w:spacing w:after="0" w:line="211" w:lineRule="auto"/>
        <w:rPr>
          <w:sz w:val="20"/>
          <w:szCs w:val="20"/>
          <w:color w:val="auto"/>
        </w:rPr>
      </w:pPr>
      <w:r>
        <w:rPr>
          <w:rFonts w:ascii="Times New Roman" w:cs="Times New Roman" w:eastAsia="Times New Roman" w:hAnsi="Times New Roman"/>
          <w:sz w:val="20"/>
          <w:szCs w:val="20"/>
          <w:color w:val="auto"/>
        </w:rPr>
        <w:t>of America, N.A., Canadian Imperial Bank of Commerce, PNC Bank, National Association, Truist Bank, U.S. Bank National Association</w:t>
      </w:r>
    </w:p>
    <w:p>
      <w:pPr>
        <w:spacing w:after="0" w:line="1" w:lineRule="exact"/>
        <w:rPr>
          <w:sz w:val="20"/>
          <w:szCs w:val="20"/>
          <w:color w:val="auto"/>
        </w:rPr>
      </w:pPr>
    </w:p>
    <w:p>
      <w:pPr>
        <w:ind w:left="120" w:right="80"/>
        <w:spacing w:after="0" w:line="215" w:lineRule="auto"/>
        <w:rPr>
          <w:sz w:val="20"/>
          <w:szCs w:val="20"/>
          <w:color w:val="auto"/>
        </w:rPr>
      </w:pPr>
      <w:r>
        <w:rPr>
          <w:rFonts w:ascii="Times New Roman" w:cs="Times New Roman" w:eastAsia="Times New Roman" w:hAnsi="Times New Roman"/>
          <w:sz w:val="19"/>
          <w:szCs w:val="19"/>
          <w:color w:val="auto"/>
        </w:rPr>
        <w:t>and Bank of Montreal (c) any letter between one or more of the Borrowers and any Issuing Lender (other than Wells Fargo) relating to certain fees payable to such Issuing Lender in its capacity as such, in each case, as amended, restated, supplemented or otherwise modified</w:t>
      </w:r>
    </w:p>
    <w:p>
      <w:pPr>
        <w:ind w:left="120"/>
        <w:spacing w:after="0"/>
        <w:rPr>
          <w:sz w:val="20"/>
          <w:szCs w:val="20"/>
          <w:color w:val="auto"/>
        </w:rPr>
      </w:pPr>
      <w:r>
        <w:rPr>
          <w:rFonts w:ascii="Times New Roman" w:cs="Times New Roman" w:eastAsia="Times New Roman" w:hAnsi="Times New Roman"/>
          <w:sz w:val="20"/>
          <w:szCs w:val="20"/>
          <w:color w:val="auto"/>
        </w:rPr>
        <w:t>from time to time.</w:t>
      </w:r>
    </w:p>
    <w:p>
      <w:pPr>
        <w:spacing w:after="0" w:line="19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u w:val="single" w:color="auto"/>
          <w:color w:val="0000FF"/>
        </w:rPr>
        <w:t>“First Amendment Effective Date” means November 4, 2022.</w:t>
      </w:r>
    </w:p>
    <w:p>
      <w:pPr>
        <w:spacing w:after="0" w:line="29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First Tier Foreign Subsidiary</w:t>
      </w:r>
      <w:r>
        <w:rPr>
          <w:rFonts w:ascii="Times New Roman" w:cs="Times New Roman" w:eastAsia="Times New Roman" w:hAnsi="Times New Roman"/>
          <w:sz w:val="19"/>
          <w:szCs w:val="19"/>
          <w:color w:val="auto"/>
        </w:rPr>
        <w:t>” means any CFC or CFC Holdco the Equity Interests of which are owned directly by any US Credit</w:t>
      </w:r>
    </w:p>
    <w:p>
      <w:pPr>
        <w:spacing w:after="0" w:line="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Party.</w:t>
      </w:r>
    </w:p>
    <w:p>
      <w:pPr>
        <w:spacing w:after="0" w:line="20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Fiscal Year</w:t>
      </w:r>
      <w:r>
        <w:rPr>
          <w:rFonts w:ascii="Times New Roman" w:cs="Times New Roman" w:eastAsia="Times New Roman" w:hAnsi="Times New Roman"/>
          <w:sz w:val="20"/>
          <w:szCs w:val="20"/>
          <w:color w:val="auto"/>
        </w:rPr>
        <w:t>” means the fiscal year of the Consolidated Companies ending on December 31.</w:t>
      </w:r>
    </w:p>
    <w:p>
      <w:pPr>
        <w:spacing w:after="0" w:line="283" w:lineRule="exact"/>
        <w:rPr>
          <w:sz w:val="20"/>
          <w:szCs w:val="20"/>
          <w:color w:val="auto"/>
        </w:rPr>
      </w:pPr>
    </w:p>
    <w:p>
      <w:pPr>
        <w:ind w:left="120" w:right="940"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Floor</w:t>
      </w:r>
      <w:r>
        <w:rPr>
          <w:rFonts w:ascii="Times New Roman" w:cs="Times New Roman" w:eastAsia="Times New Roman" w:hAnsi="Times New Roman"/>
          <w:sz w:val="20"/>
          <w:szCs w:val="20"/>
          <w:color w:val="auto"/>
        </w:rPr>
        <w:t>” means, (i) with respect to the Initial Term Loan Facility, 0.50%, (ii) with respect to any Incremental Term Loan, Refinancing Term Loan or Extended Term Loan, the applicable floor determined</w:t>
      </w:r>
    </w:p>
    <w:p>
      <w:pPr>
        <w:spacing w:after="0" w:line="200" w:lineRule="exact"/>
        <w:rPr>
          <w:sz w:val="20"/>
          <w:szCs w:val="20"/>
          <w:color w:val="auto"/>
        </w:rPr>
      </w:pPr>
    </w:p>
    <w:p>
      <w:pPr>
        <w:spacing w:after="0" w:line="29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FF0000"/>
          <w:strike w:val="1"/>
        </w:rPr>
        <w:t>146960219_6</w:t>
      </w:r>
    </w:p>
    <w:p>
      <w:pPr>
        <w:ind w:left="400" w:hanging="338"/>
        <w:spacing w:after="0" w:line="229" w:lineRule="auto"/>
        <w:tabs>
          <w:tab w:leader="none" w:pos="40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200"/>
          </w:cols>
          <w:pgMar w:left="320" w:top="1318" w:right="379" w:bottom="1440" w:gutter="0" w:footer="0" w:header="0"/>
        </w:sectPr>
      </w:pPr>
    </w:p>
    <w:bookmarkStart w:id="112" w:name="page113"/>
    <w:bookmarkEnd w:id="112"/>
    <w:p>
      <w:pPr>
        <w:ind w:left="56"/>
        <w:spacing w:after="0"/>
        <w:rPr>
          <w:sz w:val="20"/>
          <w:szCs w:val="20"/>
          <w:color w:val="auto"/>
        </w:rPr>
      </w:pPr>
      <w:r>
        <w:rPr>
          <w:rFonts w:ascii="Times New Roman" w:cs="Times New Roman" w:eastAsia="Times New Roman" w:hAnsi="Times New Roman"/>
          <w:sz w:val="20"/>
          <w:szCs w:val="20"/>
          <w:color w:val="auto"/>
        </w:rPr>
        <w:t xml:space="preserve">pursuant to </w:t>
      </w:r>
      <w:r>
        <w:rPr>
          <w:rFonts w:ascii="Times New Roman" w:cs="Times New Roman" w:eastAsia="Times New Roman" w:hAnsi="Times New Roman"/>
          <w:sz w:val="20"/>
          <w:szCs w:val="20"/>
          <w:u w:val="single" w:color="auto"/>
          <w:color w:val="auto"/>
        </w:rPr>
        <w:t>Section 5.13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5.18</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5.19</w:t>
      </w:r>
      <w:r>
        <w:rPr>
          <w:rFonts w:ascii="Times New Roman" w:cs="Times New Roman" w:eastAsia="Times New Roman" w:hAnsi="Times New Roman"/>
          <w:sz w:val="20"/>
          <w:szCs w:val="20"/>
          <w:color w:val="auto"/>
        </w:rPr>
        <w:t>, as applicable, and (iii) for any purpose other than as specified in clause (i), 0%.</w:t>
      </w:r>
    </w:p>
    <w:p>
      <w:pPr>
        <w:spacing w:after="0" w:line="229" w:lineRule="exact"/>
        <w:rPr>
          <w:sz w:val="20"/>
          <w:szCs w:val="20"/>
          <w:color w:val="auto"/>
        </w:rPr>
      </w:pPr>
    </w:p>
    <w:p>
      <w:pPr>
        <w:jc w:val="both"/>
        <w:ind w:left="56" w:right="20"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Lender</w:t>
      </w:r>
      <w:r>
        <w:rPr>
          <w:rFonts w:ascii="Times New Roman" w:cs="Times New Roman" w:eastAsia="Times New Roman" w:hAnsi="Times New Roman"/>
          <w:sz w:val="20"/>
          <w:szCs w:val="20"/>
          <w:color w:val="auto"/>
        </w:rPr>
        <w:t>” means (a) with respect to the US Borrowers, a Lender that is not a U.S. Person, and (b) with respect to the Canadian Borrowers, a Lender that is resident or organized under the laws of a jurisdiction other than that in which the Canadian Borrowers are resident for tax purposes.</w:t>
      </w:r>
    </w:p>
    <w:p>
      <w:pPr>
        <w:spacing w:after="0" w:line="201" w:lineRule="exact"/>
        <w:rPr>
          <w:sz w:val="20"/>
          <w:szCs w:val="20"/>
          <w:color w:val="auto"/>
        </w:rPr>
      </w:pPr>
    </w:p>
    <w:p>
      <w:pPr>
        <w:ind w:left="696"/>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Subsidiary</w:t>
      </w:r>
      <w:r>
        <w:rPr>
          <w:rFonts w:ascii="Times New Roman" w:cs="Times New Roman" w:eastAsia="Times New Roman" w:hAnsi="Times New Roman"/>
          <w:sz w:val="20"/>
          <w:szCs w:val="20"/>
          <w:color w:val="auto"/>
        </w:rPr>
        <w:t>” means any Subsidiary that is not a US Subsidiary.</w:t>
      </w:r>
    </w:p>
    <w:p>
      <w:pPr>
        <w:spacing w:after="0" w:line="283" w:lineRule="exact"/>
        <w:rPr>
          <w:sz w:val="20"/>
          <w:szCs w:val="20"/>
          <w:color w:val="auto"/>
        </w:rPr>
      </w:pPr>
    </w:p>
    <w:p>
      <w:pPr>
        <w:ind w:left="696"/>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FRB</w:t>
      </w:r>
      <w:r>
        <w:rPr>
          <w:rFonts w:ascii="Times New Roman" w:cs="Times New Roman" w:eastAsia="Times New Roman" w:hAnsi="Times New Roman"/>
          <w:sz w:val="20"/>
          <w:szCs w:val="20"/>
          <w:color w:val="auto"/>
        </w:rPr>
        <w:t>” means the Board of Governors of the Federal Reserve System of the United States.</w:t>
      </w:r>
    </w:p>
    <w:p>
      <w:pPr>
        <w:spacing w:after="0" w:line="270" w:lineRule="exact"/>
        <w:rPr>
          <w:sz w:val="20"/>
          <w:szCs w:val="20"/>
          <w:color w:val="auto"/>
        </w:rPr>
      </w:pPr>
    </w:p>
    <w:p>
      <w:pPr>
        <w:jc w:val="both"/>
        <w:ind w:left="56" w:firstLine="648"/>
        <w:spacing w:after="0" w:line="22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Fronting Exposure</w:t>
      </w:r>
      <w:r>
        <w:rPr>
          <w:rFonts w:ascii="Times New Roman" w:cs="Times New Roman" w:eastAsia="Times New Roman" w:hAnsi="Times New Roman"/>
          <w:sz w:val="20"/>
          <w:szCs w:val="20"/>
          <w:color w:val="auto"/>
        </w:rPr>
        <w:t>” means, at any time there is a Defaulting Lender, (a) with respect to any Issuing Lender, such Defaulting Lender’s Revolving Credit Commitment Percentage of the outstanding L/C Obligations with respect to Letters of Credit issued by such</w:t>
      </w:r>
    </w:p>
    <w:p>
      <w:pPr>
        <w:spacing w:after="0" w:line="2" w:lineRule="exact"/>
        <w:rPr>
          <w:sz w:val="20"/>
          <w:szCs w:val="20"/>
          <w:color w:val="auto"/>
        </w:rPr>
      </w:pPr>
    </w:p>
    <w:p>
      <w:pPr>
        <w:jc w:val="both"/>
        <w:ind w:left="56"/>
        <w:spacing w:after="0" w:line="204" w:lineRule="auto"/>
        <w:rPr>
          <w:sz w:val="20"/>
          <w:szCs w:val="20"/>
          <w:color w:val="auto"/>
        </w:rPr>
      </w:pPr>
      <w:r>
        <w:rPr>
          <w:rFonts w:ascii="Times New Roman" w:cs="Times New Roman" w:eastAsia="Times New Roman" w:hAnsi="Times New Roman"/>
          <w:sz w:val="20"/>
          <w:szCs w:val="20"/>
          <w:color w:val="auto"/>
        </w:rPr>
        <w:t>Issuing Lender, other than such L/C Obligations as to which such Defaulting Lender’s participation obligation has been reallocated to other Lenders or Cash Collateralized in accordance with the terms hereof and (b) with respect to any Swingline Lender, such Defaulting</w:t>
      </w:r>
    </w:p>
    <w:p>
      <w:pPr>
        <w:ind w:left="56"/>
        <w:spacing w:after="0" w:line="211" w:lineRule="auto"/>
        <w:rPr>
          <w:sz w:val="20"/>
          <w:szCs w:val="20"/>
          <w:color w:val="auto"/>
        </w:rPr>
      </w:pPr>
      <w:r>
        <w:rPr>
          <w:rFonts w:ascii="Times New Roman" w:cs="Times New Roman" w:eastAsia="Times New Roman" w:hAnsi="Times New Roman"/>
          <w:sz w:val="20"/>
          <w:szCs w:val="20"/>
          <w:color w:val="auto"/>
        </w:rPr>
        <w:t>Lender’s Revolving Credit Commitment Percentage of outstanding Swingline Loans other than Swingline Loans as to which such</w:t>
      </w:r>
    </w:p>
    <w:p>
      <w:pPr>
        <w:spacing w:after="0" w:line="1" w:lineRule="exact"/>
        <w:rPr>
          <w:sz w:val="20"/>
          <w:szCs w:val="20"/>
          <w:color w:val="auto"/>
        </w:rPr>
      </w:pPr>
    </w:p>
    <w:p>
      <w:pPr>
        <w:jc w:val="both"/>
        <w:ind w:left="56" w:right="20"/>
        <w:spacing w:after="0" w:line="221" w:lineRule="auto"/>
        <w:rPr>
          <w:sz w:val="20"/>
          <w:szCs w:val="20"/>
          <w:color w:val="auto"/>
        </w:rPr>
      </w:pPr>
      <w:r>
        <w:rPr>
          <w:rFonts w:ascii="Times New Roman" w:cs="Times New Roman" w:eastAsia="Times New Roman" w:hAnsi="Times New Roman"/>
          <w:sz w:val="20"/>
          <w:szCs w:val="20"/>
          <w:color w:val="auto"/>
        </w:rPr>
        <w:t>Defaulting Lender’s participation obligation has been reallocated to other Lenders or Cash Collateralized in accordance with the terms hereof.</w:t>
      </w:r>
    </w:p>
    <w:p>
      <w:pPr>
        <w:spacing w:after="0" w:line="202" w:lineRule="exact"/>
        <w:rPr>
          <w:sz w:val="20"/>
          <w:szCs w:val="20"/>
          <w:color w:val="auto"/>
        </w:rPr>
      </w:pPr>
    </w:p>
    <w:p>
      <w:pPr>
        <w:jc w:val="both"/>
        <w:ind w:left="56" w:firstLine="648"/>
        <w:spacing w:after="0" w:line="23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Fund</w:t>
      </w:r>
      <w:r>
        <w:rPr>
          <w:rFonts w:ascii="Times New Roman" w:cs="Times New Roman" w:eastAsia="Times New Roman" w:hAnsi="Times New Roman"/>
          <w:sz w:val="20"/>
          <w:szCs w:val="20"/>
          <w:color w:val="auto"/>
        </w:rPr>
        <w:t>” means any Person (other than a natural Person) that is (or will be) engaged in making, purchasing, holding or otherwise investing in commercial loans, bonds and similar extensions of credit in the ordinary course of its activities.</w:t>
      </w:r>
    </w:p>
    <w:p>
      <w:pPr>
        <w:spacing w:after="0" w:line="188" w:lineRule="exact"/>
        <w:rPr>
          <w:sz w:val="20"/>
          <w:szCs w:val="20"/>
          <w:color w:val="auto"/>
        </w:rPr>
      </w:pPr>
    </w:p>
    <w:p>
      <w:pPr>
        <w:ind w:left="656" w:firstLine="154"/>
        <w:spacing w:after="0" w:line="23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GAAP</w:t>
      </w:r>
      <w:r>
        <w:rPr>
          <w:rFonts w:ascii="Times New Roman" w:cs="Times New Roman" w:eastAsia="Times New Roman" w:hAnsi="Times New Roman"/>
          <w:sz w:val="19"/>
          <w:szCs w:val="19"/>
          <w:color w:val="auto"/>
        </w:rPr>
        <w:t>” means generally accepted accounting principles in the United States set forth in the opinions and pronouncements of the Accounting Principles Board and the American Institute of Certified Public Accountants and statements and pronouncements of the</w:t>
      </w:r>
    </w:p>
    <w:p>
      <w:pPr>
        <w:spacing w:after="0" w:line="1" w:lineRule="exact"/>
        <w:rPr>
          <w:sz w:val="20"/>
          <w:szCs w:val="20"/>
          <w:color w:val="auto"/>
        </w:rPr>
      </w:pPr>
    </w:p>
    <w:p>
      <w:pPr>
        <w:jc w:val="right"/>
        <w:ind w:left="216"/>
        <w:spacing w:after="0" w:line="221" w:lineRule="auto"/>
        <w:rPr>
          <w:sz w:val="20"/>
          <w:szCs w:val="20"/>
          <w:color w:val="auto"/>
        </w:rPr>
      </w:pPr>
      <w:r>
        <w:rPr>
          <w:rFonts w:ascii="Times New Roman" w:cs="Times New Roman" w:eastAsia="Times New Roman" w:hAnsi="Times New Roman"/>
          <w:sz w:val="20"/>
          <w:szCs w:val="20"/>
          <w:color w:val="auto"/>
        </w:rPr>
        <w:t>Financial Accounting Standards Board or such other principles as may be approved by a significant segment of the accounting profession in the United States, that are applicable to the circumstances as of the date of determination, consistently applied.</w:t>
      </w:r>
    </w:p>
    <w:p>
      <w:pPr>
        <w:spacing w:after="0" w:line="202" w:lineRule="exact"/>
        <w:rPr>
          <w:sz w:val="20"/>
          <w:szCs w:val="20"/>
          <w:color w:val="auto"/>
        </w:rPr>
      </w:pPr>
    </w:p>
    <w:p>
      <w:pPr>
        <w:ind w:left="56"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Governmental Approvals</w:t>
      </w:r>
      <w:r>
        <w:rPr>
          <w:rFonts w:ascii="Times New Roman" w:cs="Times New Roman" w:eastAsia="Times New Roman" w:hAnsi="Times New Roman"/>
          <w:sz w:val="20"/>
          <w:szCs w:val="20"/>
          <w:color w:val="auto"/>
        </w:rPr>
        <w:t>” means all authorizations, consents, approvals, permits, licenses and exemptions of, and all registrations and filings with or issued by, any Governmental Authorities.</w:t>
      </w:r>
    </w:p>
    <w:p>
      <w:pPr>
        <w:spacing w:after="0" w:line="154" w:lineRule="exact"/>
        <w:rPr>
          <w:sz w:val="20"/>
          <w:szCs w:val="20"/>
          <w:color w:val="auto"/>
        </w:rPr>
      </w:pPr>
    </w:p>
    <w:p>
      <w:pPr>
        <w:ind w:left="696"/>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Governmental Authority</w:t>
      </w:r>
      <w:r>
        <w:rPr>
          <w:rFonts w:ascii="Times New Roman" w:cs="Times New Roman" w:eastAsia="Times New Roman" w:hAnsi="Times New Roman"/>
          <w:sz w:val="20"/>
          <w:szCs w:val="20"/>
          <w:color w:val="auto"/>
        </w:rPr>
        <w:t>” means the government of the United States or Canada or any other nation, or of any political</w:t>
      </w:r>
    </w:p>
    <w:p>
      <w:pPr>
        <w:ind w:left="56"/>
        <w:spacing w:after="0" w:line="204" w:lineRule="auto"/>
        <w:rPr>
          <w:sz w:val="20"/>
          <w:szCs w:val="20"/>
          <w:color w:val="auto"/>
        </w:rPr>
      </w:pPr>
      <w:r>
        <w:rPr>
          <w:rFonts w:ascii="Times New Roman" w:cs="Times New Roman" w:eastAsia="Times New Roman" w:hAnsi="Times New Roman"/>
          <w:sz w:val="20"/>
          <w:szCs w:val="20"/>
          <w:color w:val="auto"/>
        </w:rPr>
        <w:t>subdivision thereof, whether state, provincial or local, and any agency, authority, instrumentality, regulatory body, court, central bank or other entity exercising executive, legislative, judicial, taxing, regulatory or administrative powers or functions of or pertaining to</w:t>
      </w:r>
    </w:p>
    <w:p>
      <w:pPr>
        <w:spacing w:after="0" w:line="1" w:lineRule="exact"/>
        <w:rPr>
          <w:sz w:val="20"/>
          <w:szCs w:val="20"/>
          <w:color w:val="auto"/>
        </w:rPr>
      </w:pPr>
    </w:p>
    <w:p>
      <w:pPr>
        <w:ind w:left="56"/>
        <w:spacing w:after="0"/>
        <w:rPr>
          <w:sz w:val="20"/>
          <w:szCs w:val="20"/>
          <w:color w:val="auto"/>
        </w:rPr>
      </w:pPr>
      <w:r>
        <w:rPr>
          <w:rFonts w:ascii="Times New Roman" w:cs="Times New Roman" w:eastAsia="Times New Roman" w:hAnsi="Times New Roman"/>
          <w:sz w:val="20"/>
          <w:szCs w:val="20"/>
          <w:color w:val="auto"/>
        </w:rPr>
        <w:t>government (including any supra-national bodies such as the European Union or the European Central Bank).</w:t>
      </w:r>
    </w:p>
    <w:p>
      <w:pPr>
        <w:spacing w:after="0" w:line="194" w:lineRule="exact"/>
        <w:rPr>
          <w:sz w:val="20"/>
          <w:szCs w:val="20"/>
          <w:color w:val="auto"/>
        </w:rPr>
      </w:pPr>
    </w:p>
    <w:p>
      <w:pPr>
        <w:ind w:left="696"/>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Guarantee</w:t>
      </w:r>
      <w:r>
        <w:rPr>
          <w:rFonts w:ascii="Times New Roman" w:cs="Times New Roman" w:eastAsia="Times New Roman" w:hAnsi="Times New Roman"/>
          <w:sz w:val="19"/>
          <w:szCs w:val="19"/>
          <w:color w:val="auto"/>
        </w:rPr>
        <w:t>” of or by any Person (the “</w:t>
      </w:r>
      <w:r>
        <w:rPr>
          <w:rFonts w:ascii="Times New Roman" w:cs="Times New Roman" w:eastAsia="Times New Roman" w:hAnsi="Times New Roman"/>
          <w:sz w:val="19"/>
          <w:szCs w:val="19"/>
          <w:u w:val="single" w:color="auto"/>
          <w:color w:val="auto"/>
        </w:rPr>
        <w:t>guarantor</w:t>
      </w:r>
      <w:r>
        <w:rPr>
          <w:rFonts w:ascii="Times New Roman" w:cs="Times New Roman" w:eastAsia="Times New Roman" w:hAnsi="Times New Roman"/>
          <w:sz w:val="19"/>
          <w:szCs w:val="19"/>
          <w:color w:val="auto"/>
        </w:rPr>
        <w:t>”) means any obligation, contingent or otherwise, of the guarantor guaranteeing or</w:t>
      </w:r>
    </w:p>
    <w:p>
      <w:pPr>
        <w:spacing w:after="0" w:line="6" w:lineRule="exact"/>
        <w:rPr>
          <w:sz w:val="20"/>
          <w:szCs w:val="20"/>
          <w:color w:val="auto"/>
        </w:rPr>
      </w:pPr>
    </w:p>
    <w:p>
      <w:pPr>
        <w:ind w:left="56"/>
        <w:spacing w:after="0" w:line="204" w:lineRule="auto"/>
        <w:rPr>
          <w:sz w:val="20"/>
          <w:szCs w:val="20"/>
          <w:color w:val="auto"/>
        </w:rPr>
      </w:pPr>
      <w:r>
        <w:rPr>
          <w:rFonts w:ascii="Times New Roman" w:cs="Times New Roman" w:eastAsia="Times New Roman" w:hAnsi="Times New Roman"/>
          <w:sz w:val="20"/>
          <w:szCs w:val="20"/>
          <w:color w:val="auto"/>
        </w:rPr>
        <w:t>having the economic effect of guaranteeing any Indebtedness or other obligation of any other Person (the “</w:t>
      </w:r>
      <w:r>
        <w:rPr>
          <w:rFonts w:ascii="Times New Roman" w:cs="Times New Roman" w:eastAsia="Times New Roman" w:hAnsi="Times New Roman"/>
          <w:sz w:val="20"/>
          <w:szCs w:val="20"/>
          <w:u w:val="single" w:color="auto"/>
          <w:color w:val="auto"/>
        </w:rPr>
        <w:t>primary obligor</w:t>
      </w:r>
      <w:r>
        <w:rPr>
          <w:rFonts w:ascii="Times New Roman" w:cs="Times New Roman" w:eastAsia="Times New Roman" w:hAnsi="Times New Roman"/>
          <w:sz w:val="20"/>
          <w:szCs w:val="20"/>
          <w:color w:val="auto"/>
        </w:rPr>
        <w:t>”) in any manner, whether directly or indirectly, and including any obligation of the guarantor, direct or indirect, (a) to purchase or pay (or advance</w:t>
      </w:r>
    </w:p>
    <w:p>
      <w:pPr>
        <w:ind w:left="56"/>
        <w:spacing w:after="0" w:line="223" w:lineRule="auto"/>
        <w:rPr>
          <w:sz w:val="20"/>
          <w:szCs w:val="20"/>
          <w:color w:val="auto"/>
        </w:rPr>
      </w:pPr>
      <w:r>
        <w:rPr>
          <w:rFonts w:ascii="Times New Roman" w:cs="Times New Roman" w:eastAsia="Times New Roman" w:hAnsi="Times New Roman"/>
          <w:sz w:val="19"/>
          <w:szCs w:val="19"/>
          <w:color w:val="auto"/>
        </w:rPr>
        <w:t>or supply funds for the purchase or payment of) such Indebtedness or other obligation or to purchase (or to advance or supply funds for the</w:t>
      </w:r>
    </w:p>
    <w:p>
      <w:pPr>
        <w:ind w:left="56"/>
        <w:spacing w:after="0" w:line="215" w:lineRule="auto"/>
        <w:rPr>
          <w:sz w:val="20"/>
          <w:szCs w:val="20"/>
          <w:color w:val="auto"/>
        </w:rPr>
      </w:pPr>
      <w:r>
        <w:rPr>
          <w:rFonts w:ascii="Times New Roman" w:cs="Times New Roman" w:eastAsia="Times New Roman" w:hAnsi="Times New Roman"/>
          <w:sz w:val="19"/>
          <w:szCs w:val="19"/>
          <w:color w:val="auto"/>
        </w:rPr>
        <w:t>purchase of) any security for the payment thereof, (b) to purchase or lease property, securities or services for the purpose of assuring the owner of such Indebtedness or other obligation of the payment thereof, (c) to maintain working capital, equity capital or any other financial</w:t>
      </w:r>
    </w:p>
    <w:p>
      <w:pPr>
        <w:ind w:left="56"/>
        <w:spacing w:after="0" w:line="215" w:lineRule="auto"/>
        <w:rPr>
          <w:sz w:val="20"/>
          <w:szCs w:val="20"/>
          <w:color w:val="auto"/>
        </w:rPr>
      </w:pPr>
      <w:r>
        <w:rPr>
          <w:rFonts w:ascii="Times New Roman" w:cs="Times New Roman" w:eastAsia="Times New Roman" w:hAnsi="Times New Roman"/>
          <w:sz w:val="19"/>
          <w:szCs w:val="19"/>
          <w:color w:val="auto"/>
        </w:rPr>
        <w:t>statement condition or liquidity of the primary obligor so as to enable the primary obligor to pay such Indebtedness or other obligation, (d) as an account party in respect of any letter of credit or letter of guaranty issued to support such Indebtedness or obligation or (e) for the</w:t>
      </w:r>
    </w:p>
    <w:p>
      <w:pPr>
        <w:ind w:left="56"/>
        <w:spacing w:after="0"/>
        <w:rPr>
          <w:sz w:val="20"/>
          <w:szCs w:val="20"/>
          <w:color w:val="auto"/>
        </w:rPr>
      </w:pPr>
      <w:r>
        <w:rPr>
          <w:rFonts w:ascii="Times New Roman" w:cs="Times New Roman" w:eastAsia="Times New Roman" w:hAnsi="Times New Roman"/>
          <w:sz w:val="20"/>
          <w:szCs w:val="20"/>
          <w:color w:val="auto"/>
        </w:rPr>
        <w:t>purpose of assuming in any other manner the obligee in respect</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16"/>
        <w:spacing w:after="0"/>
        <w:rPr>
          <w:sz w:val="20"/>
          <w:szCs w:val="20"/>
          <w:color w:val="auto"/>
        </w:rPr>
      </w:pPr>
      <w:r>
        <w:rPr>
          <w:rFonts w:ascii="Times New Roman" w:cs="Times New Roman" w:eastAsia="Times New Roman" w:hAnsi="Times New Roman"/>
          <w:sz w:val="14"/>
          <w:szCs w:val="14"/>
          <w:color w:val="FF0000"/>
          <w:strike w:val="1"/>
        </w:rPr>
        <w:t>146960219_6</w:t>
      </w:r>
    </w:p>
    <w:p>
      <w:pPr>
        <w:ind w:left="316" w:hanging="316"/>
        <w:spacing w:after="0" w:line="229" w:lineRule="auto"/>
        <w:tabs>
          <w:tab w:leader="none" w:pos="316"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096"/>
          </w:cols>
          <w:pgMar w:left="364" w:top="1399" w:right="439" w:bottom="1440" w:gutter="0" w:footer="0" w:header="0"/>
        </w:sectPr>
      </w:pPr>
    </w:p>
    <w:bookmarkStart w:id="113" w:name="page114"/>
    <w:bookmarkEnd w:id="113"/>
    <w:p>
      <w:pPr>
        <w:ind w:left="38" w:right="300"/>
        <w:spacing w:after="0"/>
        <w:rPr>
          <w:sz w:val="20"/>
          <w:szCs w:val="20"/>
          <w:color w:val="auto"/>
        </w:rPr>
      </w:pPr>
      <w:r>
        <w:rPr>
          <w:rFonts w:ascii="Times New Roman" w:cs="Times New Roman" w:eastAsia="Times New Roman" w:hAnsi="Times New Roman"/>
          <w:sz w:val="20"/>
          <w:szCs w:val="20"/>
          <w:color w:val="auto"/>
        </w:rPr>
        <w:t>of such Indebtedness or other obligation of the payment or performance thereof or to protect such obligee against loss in respect thereof (whether in whole or in part).</w:t>
      </w:r>
    </w:p>
    <w:p>
      <w:pPr>
        <w:spacing w:after="0" w:line="188" w:lineRule="exact"/>
        <w:rPr>
          <w:sz w:val="20"/>
          <w:szCs w:val="20"/>
          <w:color w:val="auto"/>
        </w:rPr>
      </w:pPr>
    </w:p>
    <w:p>
      <w:pPr>
        <w:ind w:left="38" w:firstLine="647"/>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Guaranty Agreements</w:t>
      </w:r>
      <w:r>
        <w:rPr>
          <w:rFonts w:ascii="Times New Roman" w:cs="Times New Roman" w:eastAsia="Times New Roman" w:hAnsi="Times New Roman"/>
          <w:sz w:val="20"/>
          <w:szCs w:val="20"/>
          <w:color w:val="auto"/>
        </w:rPr>
        <w:t>” means, collectively, the US Credit Party Guaranty Agreement and the Canadian Credit Party Guarantee Agreement.</w:t>
      </w:r>
    </w:p>
    <w:p>
      <w:pPr>
        <w:spacing w:after="0" w:line="188" w:lineRule="exact"/>
        <w:rPr>
          <w:sz w:val="20"/>
          <w:szCs w:val="20"/>
          <w:color w:val="auto"/>
        </w:rPr>
      </w:pPr>
    </w:p>
    <w:p>
      <w:pPr>
        <w:ind w:left="378" w:firstLine="950"/>
        <w:spacing w:after="0" w:line="22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Hazardous Materials</w:t>
      </w:r>
      <w:r>
        <w:rPr>
          <w:rFonts w:ascii="Times New Roman" w:cs="Times New Roman" w:eastAsia="Times New Roman" w:hAnsi="Times New Roman"/>
          <w:sz w:val="19"/>
          <w:szCs w:val="19"/>
          <w:color w:val="auto"/>
        </w:rPr>
        <w:t>” means any substances or materials (a) which are or become defined as hazardous wastes, hazardous substances, pollutants, contaminants, chemical substances or mixtures or toxic substances under any Environmental Law, (b) which are</w:t>
      </w:r>
    </w:p>
    <w:p>
      <w:pPr>
        <w:ind w:left="618"/>
        <w:spacing w:after="0" w:line="222" w:lineRule="auto"/>
        <w:rPr>
          <w:sz w:val="20"/>
          <w:szCs w:val="20"/>
          <w:color w:val="auto"/>
        </w:rPr>
      </w:pPr>
      <w:r>
        <w:rPr>
          <w:rFonts w:ascii="Times New Roman" w:cs="Times New Roman" w:eastAsia="Times New Roman" w:hAnsi="Times New Roman"/>
          <w:sz w:val="19"/>
          <w:szCs w:val="19"/>
          <w:color w:val="auto"/>
        </w:rPr>
        <w:t>toxic, explosive, corrosive, flammable, infectious, radioactive, carcinogenic, mutagenic or otherwise harmful to human health or the</w:t>
      </w:r>
    </w:p>
    <w:p>
      <w:pPr>
        <w:spacing w:after="0" w:line="1" w:lineRule="exact"/>
        <w:rPr>
          <w:sz w:val="20"/>
          <w:szCs w:val="20"/>
          <w:color w:val="auto"/>
        </w:rPr>
      </w:pPr>
    </w:p>
    <w:p>
      <w:pPr>
        <w:jc w:val="right"/>
        <w:ind w:left="218"/>
        <w:spacing w:after="0" w:line="215" w:lineRule="auto"/>
        <w:rPr>
          <w:sz w:val="20"/>
          <w:szCs w:val="20"/>
          <w:color w:val="auto"/>
        </w:rPr>
      </w:pPr>
      <w:r>
        <w:rPr>
          <w:rFonts w:ascii="Times New Roman" w:cs="Times New Roman" w:eastAsia="Times New Roman" w:hAnsi="Times New Roman"/>
          <w:sz w:val="19"/>
          <w:szCs w:val="19"/>
          <w:color w:val="auto"/>
        </w:rPr>
        <w:t>environment and are or become regulated by any Governmental Authority, (c) the presence of which require investigation or remediation under any Environmental Law or common law, (d) the discharge or emission or release of which requires a permit or license under any</w:t>
      </w:r>
    </w:p>
    <w:p>
      <w:pPr>
        <w:ind w:left="398"/>
        <w:spacing w:after="0" w:line="222" w:lineRule="auto"/>
        <w:rPr>
          <w:sz w:val="20"/>
          <w:szCs w:val="20"/>
          <w:color w:val="auto"/>
        </w:rPr>
      </w:pPr>
      <w:r>
        <w:rPr>
          <w:rFonts w:ascii="Times New Roman" w:cs="Times New Roman" w:eastAsia="Times New Roman" w:hAnsi="Times New Roman"/>
          <w:sz w:val="19"/>
          <w:szCs w:val="19"/>
          <w:color w:val="auto"/>
        </w:rPr>
        <w:t>Environmental Law or other Governmental Approval, (e) which are deemed by a Governmental Authority to constitute a nuisance or a</w:t>
      </w:r>
    </w:p>
    <w:p>
      <w:pPr>
        <w:jc w:val="right"/>
        <w:ind w:left="598"/>
        <w:spacing w:after="0" w:line="215" w:lineRule="auto"/>
        <w:rPr>
          <w:sz w:val="20"/>
          <w:szCs w:val="20"/>
          <w:color w:val="auto"/>
        </w:rPr>
      </w:pPr>
      <w:r>
        <w:rPr>
          <w:rFonts w:ascii="Times New Roman" w:cs="Times New Roman" w:eastAsia="Times New Roman" w:hAnsi="Times New Roman"/>
          <w:sz w:val="19"/>
          <w:szCs w:val="19"/>
          <w:color w:val="auto"/>
        </w:rPr>
        <w:t>trespass which pose a health or safety hazard to Persons or neighboring properties, (f) which consist of underground or aboveground storage tanks, whether empty, filled or partially filled with any substance or (g) which contain, without limitation, asbestos,</w:t>
      </w:r>
    </w:p>
    <w:p>
      <w:pPr>
        <w:jc w:val="right"/>
        <w:ind w:left="118"/>
        <w:spacing w:after="0" w:line="228" w:lineRule="auto"/>
        <w:rPr>
          <w:sz w:val="20"/>
          <w:szCs w:val="20"/>
          <w:color w:val="auto"/>
        </w:rPr>
      </w:pPr>
      <w:r>
        <w:rPr>
          <w:rFonts w:ascii="Times New Roman" w:cs="Times New Roman" w:eastAsia="Times New Roman" w:hAnsi="Times New Roman"/>
          <w:sz w:val="20"/>
          <w:szCs w:val="20"/>
          <w:color w:val="auto"/>
        </w:rPr>
        <w:t>polychlorinated biphenyls, urea formaldehyde foam insulation, petroleum hydrocarbons, petroleum derived substances or waste, crude oil, nuclear fuel, natural gas or synthetic gas.</w:t>
      </w:r>
    </w:p>
    <w:p>
      <w:pPr>
        <w:spacing w:after="0" w:line="184" w:lineRule="exact"/>
        <w:rPr>
          <w:sz w:val="20"/>
          <w:szCs w:val="20"/>
          <w:color w:val="auto"/>
        </w:rPr>
      </w:pPr>
    </w:p>
    <w:p>
      <w:pPr>
        <w:ind w:left="67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Hedge Agreement</w:t>
      </w:r>
      <w:r>
        <w:rPr>
          <w:rFonts w:ascii="Times New Roman" w:cs="Times New Roman" w:eastAsia="Times New Roman" w:hAnsi="Times New Roman"/>
          <w:sz w:val="20"/>
          <w:szCs w:val="20"/>
          <w:color w:val="auto"/>
        </w:rPr>
        <w:t>” means (a) any and all rate swap transactions, basis swaps, credit derivative transactions, forward rate</w:t>
      </w:r>
    </w:p>
    <w:p>
      <w:pPr>
        <w:jc w:val="both"/>
        <w:ind w:left="38"/>
        <w:spacing w:after="0" w:line="215" w:lineRule="auto"/>
        <w:rPr>
          <w:sz w:val="20"/>
          <w:szCs w:val="20"/>
          <w:color w:val="auto"/>
        </w:rPr>
      </w:pPr>
      <w:r>
        <w:rPr>
          <w:rFonts w:ascii="Times New Roman" w:cs="Times New Roman" w:eastAsia="Times New Roman" w:hAnsi="Times New Roman"/>
          <w:sz w:val="19"/>
          <w:szCs w:val="19"/>
          <w:color w:val="auto"/>
        </w:rPr>
        <w:t>transactions, commodity swaps, commodity options, forward commodity contracts, equity or equity index swaps or options, bond or bond price or bond index swaps or options or forward bond or forward bond price or forward bond index transactions, interest rate options,</w:t>
      </w:r>
    </w:p>
    <w:p>
      <w:pPr>
        <w:ind w:left="38"/>
        <w:spacing w:after="0" w:line="222" w:lineRule="auto"/>
        <w:rPr>
          <w:sz w:val="20"/>
          <w:szCs w:val="20"/>
          <w:color w:val="auto"/>
        </w:rPr>
      </w:pPr>
      <w:r>
        <w:rPr>
          <w:rFonts w:ascii="Times New Roman" w:cs="Times New Roman" w:eastAsia="Times New Roman" w:hAnsi="Times New Roman"/>
          <w:sz w:val="19"/>
          <w:szCs w:val="19"/>
          <w:color w:val="auto"/>
        </w:rPr>
        <w:t>forward foreign exchange transactions, cap transactions, floor transactions, collar transactions, currency swap transactions, cross-currency</w:t>
      </w:r>
    </w:p>
    <w:p>
      <w:pPr>
        <w:ind w:left="38"/>
        <w:spacing w:after="0" w:line="204" w:lineRule="auto"/>
        <w:rPr>
          <w:sz w:val="20"/>
          <w:szCs w:val="20"/>
          <w:color w:val="auto"/>
        </w:rPr>
      </w:pPr>
      <w:r>
        <w:rPr>
          <w:rFonts w:ascii="Times New Roman" w:cs="Times New Roman" w:eastAsia="Times New Roman" w:hAnsi="Times New Roman"/>
          <w:sz w:val="20"/>
          <w:szCs w:val="20"/>
          <w:color w:val="auto"/>
        </w:rPr>
        <w:t>rate swap transactions, currency options, spot contracts, or any other similar transactions or any combination of any of the foregoing (including any options to enter into any of the foregoing), whether or not any such transaction is governed by or subject to any master</w:t>
      </w:r>
    </w:p>
    <w:p>
      <w:pPr>
        <w:ind w:left="38"/>
        <w:spacing w:after="0" w:line="211" w:lineRule="auto"/>
        <w:rPr>
          <w:sz w:val="20"/>
          <w:szCs w:val="20"/>
          <w:color w:val="auto"/>
        </w:rPr>
      </w:pPr>
      <w:r>
        <w:rPr>
          <w:rFonts w:ascii="Times New Roman" w:cs="Times New Roman" w:eastAsia="Times New Roman" w:hAnsi="Times New Roman"/>
          <w:sz w:val="20"/>
          <w:szCs w:val="20"/>
          <w:color w:val="auto"/>
        </w:rPr>
        <w:t>agreement, and (b) any and all transactions of any kind, and the related confirmations, which are subject to the terms and conditions of, or</w:t>
      </w:r>
    </w:p>
    <w:p>
      <w:pPr>
        <w:spacing w:after="0" w:line="1" w:lineRule="exact"/>
        <w:rPr>
          <w:sz w:val="20"/>
          <w:szCs w:val="20"/>
          <w:color w:val="auto"/>
        </w:rPr>
      </w:pPr>
    </w:p>
    <w:p>
      <w:pPr>
        <w:ind w:left="38"/>
        <w:spacing w:after="0" w:line="221" w:lineRule="auto"/>
        <w:rPr>
          <w:sz w:val="20"/>
          <w:szCs w:val="20"/>
          <w:color w:val="auto"/>
        </w:rPr>
      </w:pPr>
      <w:r>
        <w:rPr>
          <w:rFonts w:ascii="Times New Roman" w:cs="Times New Roman" w:eastAsia="Times New Roman" w:hAnsi="Times New Roman"/>
          <w:sz w:val="20"/>
          <w:szCs w:val="20"/>
          <w:color w:val="auto"/>
        </w:rPr>
        <w:t>governed by, any form of master agreement published by the International Swaps and Derivatives Association, Inc., any International Foreign Exchange Master Agreement, or any other master agreement.</w:t>
      </w:r>
    </w:p>
    <w:p>
      <w:pPr>
        <w:spacing w:after="0" w:line="202" w:lineRule="exact"/>
        <w:rPr>
          <w:sz w:val="20"/>
          <w:szCs w:val="20"/>
          <w:color w:val="auto"/>
        </w:rPr>
      </w:pPr>
    </w:p>
    <w:p>
      <w:pPr>
        <w:ind w:left="67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Hedge Bank</w:t>
      </w:r>
      <w:r>
        <w:rPr>
          <w:rFonts w:ascii="Times New Roman" w:cs="Times New Roman" w:eastAsia="Times New Roman" w:hAnsi="Times New Roman"/>
          <w:sz w:val="20"/>
          <w:szCs w:val="20"/>
          <w:color w:val="auto"/>
        </w:rPr>
        <w:t>” means any US Hedge Bank or Canadian Hedge Bank.</w:t>
      </w:r>
    </w:p>
    <w:p>
      <w:pPr>
        <w:spacing w:after="0" w:line="270" w:lineRule="exact"/>
        <w:rPr>
          <w:sz w:val="20"/>
          <w:szCs w:val="20"/>
          <w:color w:val="auto"/>
        </w:rPr>
      </w:pPr>
    </w:p>
    <w:p>
      <w:pPr>
        <w:ind w:left="38" w:right="20" w:firstLine="648"/>
        <w:spacing w:after="0" w:line="22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Hedge Termination Value</w:t>
      </w:r>
      <w:r>
        <w:rPr>
          <w:rFonts w:ascii="Times New Roman" w:cs="Times New Roman" w:eastAsia="Times New Roman" w:hAnsi="Times New Roman"/>
          <w:sz w:val="20"/>
          <w:szCs w:val="20"/>
          <w:color w:val="auto"/>
        </w:rPr>
        <w:t>” means, in respect of any one or more Hedge Agreements, after taking into account the effect of any legally enforceable netting agreement relating to such Hedge Agreements, (a) for any date on or after the date such Hedge Agreements</w:t>
      </w:r>
    </w:p>
    <w:p>
      <w:pPr>
        <w:spacing w:after="0" w:line="2" w:lineRule="exact"/>
        <w:rPr>
          <w:sz w:val="20"/>
          <w:szCs w:val="20"/>
          <w:color w:val="auto"/>
        </w:rPr>
      </w:pPr>
    </w:p>
    <w:p>
      <w:pPr>
        <w:ind w:left="38"/>
        <w:spacing w:after="0" w:line="204" w:lineRule="auto"/>
        <w:rPr>
          <w:sz w:val="20"/>
          <w:szCs w:val="20"/>
          <w:color w:val="auto"/>
        </w:rPr>
      </w:pPr>
      <w:r>
        <w:rPr>
          <w:rFonts w:ascii="Times New Roman" w:cs="Times New Roman" w:eastAsia="Times New Roman" w:hAnsi="Times New Roman"/>
          <w:sz w:val="20"/>
          <w:szCs w:val="20"/>
          <w:color w:val="auto"/>
        </w:rPr>
        <w:t>have been closed out and termination value(s) determined in accordance therewith, such termination value(s), and (b) for any date prior to the date referenced in clause (a), the amount(s) determined as the mark-to-market value(s) for such Hedge Agreements, as determined</w:t>
      </w:r>
    </w:p>
    <w:p>
      <w:pPr>
        <w:spacing w:after="0" w:line="1" w:lineRule="exact"/>
        <w:rPr>
          <w:sz w:val="20"/>
          <w:szCs w:val="20"/>
          <w:color w:val="auto"/>
        </w:rPr>
      </w:pPr>
    </w:p>
    <w:p>
      <w:pPr>
        <w:ind w:left="38"/>
        <w:spacing w:after="0" w:line="228" w:lineRule="auto"/>
        <w:rPr>
          <w:sz w:val="20"/>
          <w:szCs w:val="20"/>
          <w:color w:val="auto"/>
        </w:rPr>
      </w:pPr>
      <w:r>
        <w:rPr>
          <w:rFonts w:ascii="Times New Roman" w:cs="Times New Roman" w:eastAsia="Times New Roman" w:hAnsi="Times New Roman"/>
          <w:sz w:val="20"/>
          <w:szCs w:val="20"/>
          <w:color w:val="auto"/>
        </w:rPr>
        <w:t>based upon one or more mid-market or other readily available quotations provided by any recognized dealer in such Hedge Agreements (which may include a Lender or any Affiliate of a Lender).</w:t>
      </w:r>
    </w:p>
    <w:p>
      <w:pPr>
        <w:spacing w:after="0" w:line="189" w:lineRule="exact"/>
        <w:rPr>
          <w:sz w:val="20"/>
          <w:szCs w:val="20"/>
          <w:color w:val="auto"/>
        </w:rPr>
      </w:pPr>
    </w:p>
    <w:p>
      <w:pPr>
        <w:ind w:left="67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IBA</w:t>
      </w:r>
      <w:r>
        <w:rPr>
          <w:rFonts w:ascii="Times New Roman" w:cs="Times New Roman" w:eastAsia="Times New Roman" w:hAnsi="Times New Roman"/>
          <w:sz w:val="20"/>
          <w:szCs w:val="20"/>
          <w:color w:val="auto"/>
        </w:rPr>
        <w:t xml:space="preserve">” has the meaning assigned thereto in </w:t>
      </w:r>
      <w:r>
        <w:rPr>
          <w:rFonts w:ascii="Times New Roman" w:cs="Times New Roman" w:eastAsia="Times New Roman" w:hAnsi="Times New Roman"/>
          <w:sz w:val="20"/>
          <w:szCs w:val="20"/>
          <w:u w:val="single" w:color="auto"/>
          <w:color w:val="auto"/>
        </w:rPr>
        <w:t>Section 1.11</w:t>
      </w:r>
      <w:r>
        <w:rPr>
          <w:rFonts w:ascii="Times New Roman" w:cs="Times New Roman" w:eastAsia="Times New Roman" w:hAnsi="Times New Roman"/>
          <w:sz w:val="20"/>
          <w:szCs w:val="20"/>
          <w:color w:val="auto"/>
        </w:rPr>
        <w:t>.</w:t>
      </w:r>
    </w:p>
    <w:p>
      <w:pPr>
        <w:spacing w:after="0" w:line="283" w:lineRule="exact"/>
        <w:rPr>
          <w:sz w:val="20"/>
          <w:szCs w:val="20"/>
          <w:color w:val="auto"/>
        </w:rPr>
      </w:pPr>
    </w:p>
    <w:p>
      <w:pPr>
        <w:jc w:val="both"/>
        <w:ind w:left="38" w:firstLine="648"/>
        <w:spacing w:after="0" w:line="21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Immaterial Subsidiary</w:t>
      </w:r>
      <w:r>
        <w:rPr>
          <w:rFonts w:ascii="Times New Roman" w:cs="Times New Roman" w:eastAsia="Times New Roman" w:hAnsi="Times New Roman"/>
          <w:sz w:val="20"/>
          <w:szCs w:val="20"/>
          <w:color w:val="auto"/>
        </w:rPr>
        <w:t>” means any Subsidiary designated in writing by Centuri to the Administrative Agent as an Immaterial Subsidiary that is not already a Credit Party and that does not, as of the last day of the most recently completed period of four (4)</w:t>
      </w:r>
    </w:p>
    <w:p>
      <w:pPr>
        <w:spacing w:after="0" w:line="1" w:lineRule="exact"/>
        <w:rPr>
          <w:sz w:val="20"/>
          <w:szCs w:val="20"/>
          <w:color w:val="auto"/>
        </w:rPr>
      </w:pPr>
    </w:p>
    <w:p>
      <w:pPr>
        <w:ind w:left="38"/>
        <w:spacing w:after="0" w:line="228" w:lineRule="auto"/>
        <w:rPr>
          <w:sz w:val="20"/>
          <w:szCs w:val="20"/>
          <w:color w:val="auto"/>
        </w:rPr>
      </w:pPr>
      <w:r>
        <w:rPr>
          <w:rFonts w:ascii="Times New Roman" w:cs="Times New Roman" w:eastAsia="Times New Roman" w:hAnsi="Times New Roman"/>
          <w:sz w:val="20"/>
          <w:szCs w:val="20"/>
          <w:color w:val="auto"/>
        </w:rPr>
        <w:t xml:space="preserve">consecutive fiscal quarters for which Centuri has delivered financial statements pursuant to </w:t>
      </w:r>
      <w:r>
        <w:rPr>
          <w:rFonts w:ascii="Times New Roman" w:cs="Times New Roman" w:eastAsia="Times New Roman" w:hAnsi="Times New Roman"/>
          <w:sz w:val="20"/>
          <w:szCs w:val="20"/>
          <w:u w:val="single" w:color="auto"/>
          <w:color w:val="auto"/>
        </w:rPr>
        <w:t>Section 6.1(e)(i)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8.1(a)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8.1(b)</w:t>
      </w:r>
      <w:r>
        <w:rPr>
          <w:rFonts w:ascii="Times New Roman" w:cs="Times New Roman" w:eastAsia="Times New Roman" w:hAnsi="Times New Roman"/>
          <w:sz w:val="20"/>
          <w:szCs w:val="20"/>
          <w:color w:val="auto"/>
        </w:rPr>
        <w:t>, as applicable, have assets with a value in excess of 2.0% of the Consolidated Total Assets of the Consolidated Companies and did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38"/>
        <w:spacing w:after="0"/>
        <w:rPr>
          <w:sz w:val="20"/>
          <w:szCs w:val="20"/>
          <w:color w:val="auto"/>
        </w:rPr>
      </w:pPr>
      <w:r>
        <w:rPr>
          <w:rFonts w:ascii="Times New Roman" w:cs="Times New Roman" w:eastAsia="Times New Roman" w:hAnsi="Times New Roman"/>
          <w:sz w:val="14"/>
          <w:szCs w:val="14"/>
          <w:color w:val="FF0000"/>
          <w:strike w:val="1"/>
        </w:rPr>
        <w:t>146960219_6</w:t>
      </w:r>
    </w:p>
    <w:p>
      <w:pPr>
        <w:spacing w:after="0" w:line="4" w:lineRule="exact"/>
        <w:rPr>
          <w:sz w:val="20"/>
          <w:szCs w:val="20"/>
          <w:color w:val="auto"/>
        </w:rPr>
      </w:pPr>
    </w:p>
    <w:p>
      <w:pPr>
        <w:ind w:left="338" w:hanging="338"/>
        <w:spacing w:after="0"/>
        <w:tabs>
          <w:tab w:leader="none" w:pos="338"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078"/>
          </w:cols>
          <w:pgMar w:left="382" w:top="1399" w:right="439" w:bottom="1440" w:gutter="0" w:footer="0" w:header="0"/>
        </w:sectPr>
      </w:pPr>
    </w:p>
    <w:bookmarkStart w:id="114" w:name="page115"/>
    <w:bookmarkEnd w:id="114"/>
    <w:p>
      <w:pPr>
        <w:ind w:left="58"/>
        <w:spacing w:after="0"/>
        <w:rPr>
          <w:sz w:val="20"/>
          <w:szCs w:val="20"/>
          <w:color w:val="auto"/>
        </w:rPr>
      </w:pPr>
      <w:r>
        <w:rPr>
          <w:rFonts w:ascii="Times New Roman" w:cs="Times New Roman" w:eastAsia="Times New Roman" w:hAnsi="Times New Roman"/>
          <w:sz w:val="20"/>
          <w:szCs w:val="20"/>
          <w:color w:val="auto"/>
        </w:rPr>
        <w:t xml:space="preserve">not, as of such period, have revenues exceeding 2.0% of the Consolidated revenues of the Consolidated Companies;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w:t>
      </w:r>
    </w:p>
    <w:p>
      <w:pPr>
        <w:ind w:left="58"/>
        <w:spacing w:after="0" w:line="204" w:lineRule="auto"/>
        <w:rPr>
          <w:sz w:val="20"/>
          <w:szCs w:val="20"/>
          <w:color w:val="auto"/>
        </w:rPr>
      </w:pPr>
      <w:r>
        <w:rPr>
          <w:rFonts w:ascii="Times New Roman" w:cs="Times New Roman" w:eastAsia="Times New Roman" w:hAnsi="Times New Roman"/>
          <w:sz w:val="20"/>
          <w:szCs w:val="20"/>
          <w:color w:val="auto"/>
        </w:rPr>
        <w:t>such Subsidiary shall have been designated in writing by Centuri to the Administrative Agent as an Immaterial Subsidiary, and (b) if (i) the aggregate total assets then owned by all Subsidiaries of Centuri that would otherwise constitute Immaterial Subsidiaries shall have an</w:t>
      </w:r>
    </w:p>
    <w:p>
      <w:pPr>
        <w:ind w:left="58"/>
        <w:spacing w:after="0" w:line="223" w:lineRule="auto"/>
        <w:rPr>
          <w:sz w:val="20"/>
          <w:szCs w:val="20"/>
          <w:color w:val="auto"/>
        </w:rPr>
      </w:pPr>
      <w:r>
        <w:rPr>
          <w:rFonts w:ascii="Times New Roman" w:cs="Times New Roman" w:eastAsia="Times New Roman" w:hAnsi="Times New Roman"/>
          <w:sz w:val="19"/>
          <w:szCs w:val="19"/>
          <w:color w:val="auto"/>
        </w:rPr>
        <w:t>aggregate value in excess of 5.0% of the Consolidated Total Assets of the Consolidated Companies as of the last day of such fiscal quarter</w:t>
      </w:r>
    </w:p>
    <w:p>
      <w:pPr>
        <w:ind w:left="58"/>
        <w:spacing w:after="0" w:line="204" w:lineRule="auto"/>
        <w:rPr>
          <w:sz w:val="20"/>
          <w:szCs w:val="20"/>
          <w:color w:val="auto"/>
        </w:rPr>
      </w:pPr>
      <w:r>
        <w:rPr>
          <w:rFonts w:ascii="Times New Roman" w:cs="Times New Roman" w:eastAsia="Times New Roman" w:hAnsi="Times New Roman"/>
          <w:sz w:val="20"/>
          <w:szCs w:val="20"/>
          <w:color w:val="auto"/>
        </w:rPr>
        <w:t>or (ii) the combined revenues of all Subsidiaries of Centuri that would otherwise constitute Immaterial Subsidiaries shall exceed 5.0% of the Consolidated revenues of the Consolidated Companies for such four-quarter period, Centuri shall re-designate one or more of such</w:t>
      </w:r>
    </w:p>
    <w:p>
      <w:pPr>
        <w:ind w:left="58"/>
        <w:spacing w:after="0" w:line="211" w:lineRule="auto"/>
        <w:rPr>
          <w:sz w:val="20"/>
          <w:szCs w:val="20"/>
          <w:color w:val="auto"/>
        </w:rPr>
      </w:pPr>
      <w:r>
        <w:rPr>
          <w:rFonts w:ascii="Times New Roman" w:cs="Times New Roman" w:eastAsia="Times New Roman" w:hAnsi="Times New Roman"/>
          <w:sz w:val="20"/>
          <w:szCs w:val="20"/>
          <w:color w:val="auto"/>
        </w:rPr>
        <w:t>Subsidiaries to not be Immaterial Subsidiaries within ten (10) Business Days after delivery of the Officer’s Compliance Certificate for</w:t>
      </w:r>
    </w:p>
    <w:p>
      <w:pPr>
        <w:spacing w:after="0" w:line="1" w:lineRule="exact"/>
        <w:rPr>
          <w:sz w:val="20"/>
          <w:szCs w:val="20"/>
          <w:color w:val="auto"/>
        </w:rPr>
      </w:pPr>
    </w:p>
    <w:p>
      <w:pPr>
        <w:ind w:left="58"/>
        <w:spacing w:after="0" w:line="204" w:lineRule="auto"/>
        <w:rPr>
          <w:sz w:val="20"/>
          <w:szCs w:val="20"/>
          <w:color w:val="auto"/>
        </w:rPr>
      </w:pPr>
      <w:r>
        <w:rPr>
          <w:rFonts w:ascii="Times New Roman" w:cs="Times New Roman" w:eastAsia="Times New Roman" w:hAnsi="Times New Roman"/>
          <w:sz w:val="20"/>
          <w:szCs w:val="20"/>
          <w:color w:val="auto"/>
        </w:rPr>
        <w:t>such fiscal quarter such that only those such Subsidiaries as shall then have aggregate assets of less than 5.0% of the Consolidated Total Assets of the Consolidated Companies and combined revenues of less than 5.0% of the Consolidated revenues of the Consolidated</w:t>
      </w:r>
    </w:p>
    <w:p>
      <w:pPr>
        <w:ind w:left="58"/>
        <w:spacing w:after="0" w:line="211" w:lineRule="auto"/>
        <w:rPr>
          <w:sz w:val="20"/>
          <w:szCs w:val="20"/>
          <w:color w:val="auto"/>
        </w:rPr>
      </w:pPr>
      <w:r>
        <w:rPr>
          <w:rFonts w:ascii="Times New Roman" w:cs="Times New Roman" w:eastAsia="Times New Roman" w:hAnsi="Times New Roman"/>
          <w:sz w:val="20"/>
          <w:szCs w:val="20"/>
          <w:color w:val="auto"/>
        </w:rPr>
        <w:t>Companies shall constitute Immaterial Subsidiaries. Notwithstanding the foregoing, in no event shall (A) any Subsidiary that owns a</w:t>
      </w:r>
    </w:p>
    <w:p>
      <w:pPr>
        <w:spacing w:after="0" w:line="1" w:lineRule="exact"/>
        <w:rPr>
          <w:sz w:val="20"/>
          <w:szCs w:val="20"/>
          <w:color w:val="auto"/>
        </w:rPr>
      </w:pPr>
    </w:p>
    <w:p>
      <w:pPr>
        <w:ind w:left="58"/>
        <w:spacing w:after="0" w:line="215" w:lineRule="auto"/>
        <w:rPr>
          <w:sz w:val="20"/>
          <w:szCs w:val="20"/>
          <w:color w:val="auto"/>
        </w:rPr>
      </w:pPr>
      <w:r>
        <w:rPr>
          <w:rFonts w:ascii="Times New Roman" w:cs="Times New Roman" w:eastAsia="Times New Roman" w:hAnsi="Times New Roman"/>
          <w:sz w:val="19"/>
          <w:szCs w:val="19"/>
          <w:color w:val="auto"/>
        </w:rPr>
        <w:t>majority of the Equity Interests of a Material Subsidiary, (B) any Wholly-Owned US Subsidiary that owns, or otherwise licenses or has the right to use, trademarks and other intellectual property material to the operation of the Consolidated Companies or (C) any Subsidiary that</w:t>
      </w:r>
    </w:p>
    <w:p>
      <w:pPr>
        <w:ind w:left="58"/>
        <w:spacing w:after="0" w:line="211" w:lineRule="auto"/>
        <w:rPr>
          <w:sz w:val="20"/>
          <w:szCs w:val="20"/>
          <w:color w:val="auto"/>
        </w:rPr>
      </w:pPr>
      <w:r>
        <w:rPr>
          <w:rFonts w:ascii="Times New Roman" w:cs="Times New Roman" w:eastAsia="Times New Roman" w:hAnsi="Times New Roman"/>
          <w:sz w:val="20"/>
          <w:szCs w:val="20"/>
          <w:color w:val="auto"/>
        </w:rPr>
        <w:t>is an obligor or guarantor of any Indebtedness of any Credit Party or any Subsidiary thereof in excess of the Threshold Amount, in any</w:t>
      </w:r>
    </w:p>
    <w:p>
      <w:pPr>
        <w:ind w:left="58"/>
        <w:spacing w:after="0" w:line="204" w:lineRule="auto"/>
        <w:rPr>
          <w:sz w:val="20"/>
          <w:szCs w:val="20"/>
          <w:color w:val="auto"/>
        </w:rPr>
      </w:pPr>
      <w:r>
        <w:rPr>
          <w:rFonts w:ascii="Times New Roman" w:cs="Times New Roman" w:eastAsia="Times New Roman" w:hAnsi="Times New Roman"/>
          <w:sz w:val="20"/>
          <w:szCs w:val="20"/>
          <w:color w:val="auto"/>
        </w:rPr>
        <w:t>such case be designated as an Immaterial Subsidiary. Notwithstanding the foregoing, in no event shall any Subsidiary that is an obligor or guarantor of any Refinancing Debt, Junior Indebtedness or Incremental Equivalent Indebtedness be permitted to be designated as an</w:t>
      </w:r>
    </w:p>
    <w:p>
      <w:pPr>
        <w:spacing w:after="0" w:line="1" w:lineRule="exact"/>
        <w:rPr>
          <w:sz w:val="20"/>
          <w:szCs w:val="20"/>
          <w:color w:val="auto"/>
        </w:rPr>
      </w:pPr>
    </w:p>
    <w:p>
      <w:pPr>
        <w:ind w:left="58"/>
        <w:spacing w:after="0"/>
        <w:rPr>
          <w:sz w:val="20"/>
          <w:szCs w:val="20"/>
          <w:color w:val="auto"/>
        </w:rPr>
      </w:pPr>
      <w:r>
        <w:rPr>
          <w:rFonts w:ascii="Times New Roman" w:cs="Times New Roman" w:eastAsia="Times New Roman" w:hAnsi="Times New Roman"/>
          <w:sz w:val="20"/>
          <w:szCs w:val="20"/>
          <w:color w:val="auto"/>
        </w:rPr>
        <w:t>“Immaterial Subsidiary” hereunder.</w:t>
      </w:r>
    </w:p>
    <w:p>
      <w:pPr>
        <w:spacing w:after="0" w:line="194" w:lineRule="exact"/>
        <w:rPr>
          <w:sz w:val="20"/>
          <w:szCs w:val="20"/>
          <w:color w:val="auto"/>
        </w:rPr>
      </w:pPr>
    </w:p>
    <w:p>
      <w:pPr>
        <w:ind w:left="69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Increase Effective Date</w:t>
      </w:r>
      <w:r>
        <w:rPr>
          <w:rFonts w:ascii="Times New Roman" w:cs="Times New Roman" w:eastAsia="Times New Roman" w:hAnsi="Times New Roman"/>
          <w:sz w:val="20"/>
          <w:szCs w:val="20"/>
          <w:color w:val="auto"/>
        </w:rPr>
        <w:t xml:space="preserve">” has the meaning assigned thereto in </w:t>
      </w:r>
      <w:r>
        <w:rPr>
          <w:rFonts w:ascii="Times New Roman" w:cs="Times New Roman" w:eastAsia="Times New Roman" w:hAnsi="Times New Roman"/>
          <w:sz w:val="20"/>
          <w:szCs w:val="20"/>
          <w:u w:val="single" w:color="auto"/>
          <w:color w:val="auto"/>
        </w:rPr>
        <w:t>Section 5.13(c)</w:t>
      </w:r>
      <w:r>
        <w:rPr>
          <w:rFonts w:ascii="Times New Roman" w:cs="Times New Roman" w:eastAsia="Times New Roman" w:hAnsi="Times New Roman"/>
          <w:sz w:val="20"/>
          <w:szCs w:val="20"/>
          <w:color w:val="auto"/>
        </w:rPr>
        <w:t>.</w:t>
      </w:r>
    </w:p>
    <w:p>
      <w:pPr>
        <w:spacing w:after="0" w:line="283" w:lineRule="exact"/>
        <w:rPr>
          <w:sz w:val="20"/>
          <w:szCs w:val="20"/>
          <w:color w:val="auto"/>
        </w:rPr>
      </w:pPr>
    </w:p>
    <w:p>
      <w:pPr>
        <w:ind w:left="69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Equivalent Indebtedness</w:t>
      </w:r>
      <w:r>
        <w:rPr>
          <w:rFonts w:ascii="Times New Roman" w:cs="Times New Roman" w:eastAsia="Times New Roman" w:hAnsi="Times New Roman"/>
          <w:sz w:val="20"/>
          <w:szCs w:val="20"/>
          <w:color w:val="auto"/>
        </w:rPr>
        <w:t xml:space="preserve">” has the meaning assigned thereto in </w:t>
      </w:r>
      <w:r>
        <w:rPr>
          <w:rFonts w:ascii="Times New Roman" w:cs="Times New Roman" w:eastAsia="Times New Roman" w:hAnsi="Times New Roman"/>
          <w:sz w:val="20"/>
          <w:szCs w:val="20"/>
          <w:u w:val="single" w:color="auto"/>
          <w:color w:val="auto"/>
        </w:rPr>
        <w:t>Section 9.1(m)</w:t>
      </w:r>
      <w:r>
        <w:rPr>
          <w:rFonts w:ascii="Times New Roman" w:cs="Times New Roman" w:eastAsia="Times New Roman" w:hAnsi="Times New Roman"/>
          <w:sz w:val="20"/>
          <w:szCs w:val="20"/>
          <w:color w:val="auto"/>
        </w:rPr>
        <w:t>.</w:t>
      </w:r>
    </w:p>
    <w:p>
      <w:pPr>
        <w:spacing w:after="0" w:line="283" w:lineRule="exact"/>
        <w:rPr>
          <w:sz w:val="20"/>
          <w:szCs w:val="20"/>
          <w:color w:val="auto"/>
        </w:rPr>
      </w:pPr>
    </w:p>
    <w:p>
      <w:pPr>
        <w:ind w:left="69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Amendment</w:t>
      </w:r>
      <w:r>
        <w:rPr>
          <w:rFonts w:ascii="Times New Roman" w:cs="Times New Roman" w:eastAsia="Times New Roman" w:hAnsi="Times New Roman"/>
          <w:sz w:val="20"/>
          <w:szCs w:val="20"/>
          <w:color w:val="auto"/>
        </w:rPr>
        <w:t xml:space="preserve">” has the meaning assigned thereto in </w:t>
      </w:r>
      <w:r>
        <w:rPr>
          <w:rFonts w:ascii="Times New Roman" w:cs="Times New Roman" w:eastAsia="Times New Roman" w:hAnsi="Times New Roman"/>
          <w:sz w:val="20"/>
          <w:szCs w:val="20"/>
          <w:u w:val="single" w:color="auto"/>
          <w:color w:val="auto"/>
        </w:rPr>
        <w:t>Section 5.13(d)</w:t>
      </w:r>
      <w:r>
        <w:rPr>
          <w:rFonts w:ascii="Times New Roman" w:cs="Times New Roman" w:eastAsia="Times New Roman" w:hAnsi="Times New Roman"/>
          <w:sz w:val="20"/>
          <w:szCs w:val="20"/>
          <w:color w:val="auto"/>
        </w:rPr>
        <w:t>.</w:t>
      </w:r>
    </w:p>
    <w:p>
      <w:pPr>
        <w:spacing w:after="0" w:line="283" w:lineRule="exact"/>
        <w:rPr>
          <w:sz w:val="20"/>
          <w:szCs w:val="20"/>
          <w:color w:val="auto"/>
        </w:rPr>
      </w:pPr>
    </w:p>
    <w:p>
      <w:pPr>
        <w:ind w:left="69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Increases</w:t>
      </w:r>
      <w:r>
        <w:rPr>
          <w:rFonts w:ascii="Times New Roman" w:cs="Times New Roman" w:eastAsia="Times New Roman" w:hAnsi="Times New Roman"/>
          <w:sz w:val="20"/>
          <w:szCs w:val="20"/>
          <w:color w:val="auto"/>
        </w:rPr>
        <w:t xml:space="preserve">” has the meaning assigned thereto in </w:t>
      </w:r>
      <w:r>
        <w:rPr>
          <w:rFonts w:ascii="Times New Roman" w:cs="Times New Roman" w:eastAsia="Times New Roman" w:hAnsi="Times New Roman"/>
          <w:sz w:val="20"/>
          <w:szCs w:val="20"/>
          <w:u w:val="single" w:color="auto"/>
          <w:color w:val="auto"/>
        </w:rPr>
        <w:t>Section 5.13(a)(ii)</w:t>
      </w:r>
      <w:r>
        <w:rPr>
          <w:rFonts w:ascii="Times New Roman" w:cs="Times New Roman" w:eastAsia="Times New Roman" w:hAnsi="Times New Roman"/>
          <w:sz w:val="20"/>
          <w:szCs w:val="20"/>
          <w:color w:val="auto"/>
        </w:rPr>
        <w:t>.</w:t>
      </w:r>
    </w:p>
    <w:p>
      <w:pPr>
        <w:spacing w:after="0" w:line="283" w:lineRule="exact"/>
        <w:rPr>
          <w:sz w:val="20"/>
          <w:szCs w:val="20"/>
          <w:color w:val="auto"/>
        </w:rPr>
      </w:pPr>
    </w:p>
    <w:p>
      <w:pPr>
        <w:ind w:left="69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Lender</w:t>
      </w:r>
      <w:r>
        <w:rPr>
          <w:rFonts w:ascii="Times New Roman" w:cs="Times New Roman" w:eastAsia="Times New Roman" w:hAnsi="Times New Roman"/>
          <w:sz w:val="20"/>
          <w:szCs w:val="20"/>
          <w:color w:val="auto"/>
        </w:rPr>
        <w:t xml:space="preserve">” has the meaning assigned thereto in </w:t>
      </w:r>
      <w:r>
        <w:rPr>
          <w:rFonts w:ascii="Times New Roman" w:cs="Times New Roman" w:eastAsia="Times New Roman" w:hAnsi="Times New Roman"/>
          <w:sz w:val="20"/>
          <w:szCs w:val="20"/>
          <w:u w:val="single" w:color="auto"/>
          <w:color w:val="auto"/>
        </w:rPr>
        <w:t>Section 5.13(b)</w:t>
      </w:r>
      <w:r>
        <w:rPr>
          <w:rFonts w:ascii="Times New Roman" w:cs="Times New Roman" w:eastAsia="Times New Roman" w:hAnsi="Times New Roman"/>
          <w:sz w:val="20"/>
          <w:szCs w:val="20"/>
          <w:color w:val="auto"/>
        </w:rPr>
        <w:t>.</w:t>
      </w:r>
    </w:p>
    <w:p>
      <w:pPr>
        <w:spacing w:after="0" w:line="283" w:lineRule="exact"/>
        <w:rPr>
          <w:sz w:val="20"/>
          <w:szCs w:val="20"/>
          <w:color w:val="auto"/>
        </w:rPr>
      </w:pPr>
    </w:p>
    <w:p>
      <w:pPr>
        <w:ind w:left="69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Revolving Credit Facility Increase</w:t>
      </w:r>
      <w:r>
        <w:rPr>
          <w:rFonts w:ascii="Times New Roman" w:cs="Times New Roman" w:eastAsia="Times New Roman" w:hAnsi="Times New Roman"/>
          <w:sz w:val="20"/>
          <w:szCs w:val="20"/>
          <w:color w:val="auto"/>
        </w:rPr>
        <w:t xml:space="preserve">” has the meaning assigned thereto in </w:t>
      </w:r>
      <w:r>
        <w:rPr>
          <w:rFonts w:ascii="Times New Roman" w:cs="Times New Roman" w:eastAsia="Times New Roman" w:hAnsi="Times New Roman"/>
          <w:sz w:val="20"/>
          <w:szCs w:val="20"/>
          <w:u w:val="single" w:color="auto"/>
          <w:color w:val="auto"/>
        </w:rPr>
        <w:t>Section 5.13(a)(ii)</w:t>
      </w:r>
      <w:r>
        <w:rPr>
          <w:rFonts w:ascii="Times New Roman" w:cs="Times New Roman" w:eastAsia="Times New Roman" w:hAnsi="Times New Roman"/>
          <w:sz w:val="20"/>
          <w:szCs w:val="20"/>
          <w:color w:val="auto"/>
        </w:rPr>
        <w:t>.</w:t>
      </w:r>
    </w:p>
    <w:p>
      <w:pPr>
        <w:spacing w:after="0" w:line="310" w:lineRule="exact"/>
        <w:rPr>
          <w:sz w:val="20"/>
          <w:szCs w:val="20"/>
          <w:color w:val="auto"/>
        </w:rPr>
      </w:pPr>
    </w:p>
    <w:p>
      <w:pPr>
        <w:ind w:left="69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Term Loan</w:t>
      </w:r>
      <w:r>
        <w:rPr>
          <w:rFonts w:ascii="Times New Roman" w:cs="Times New Roman" w:eastAsia="Times New Roman" w:hAnsi="Times New Roman"/>
          <w:sz w:val="20"/>
          <w:szCs w:val="20"/>
          <w:color w:val="auto"/>
        </w:rPr>
        <w:t xml:space="preserve">” has the meaning assigned thereto in </w:t>
      </w:r>
      <w:r>
        <w:rPr>
          <w:rFonts w:ascii="Times New Roman" w:cs="Times New Roman" w:eastAsia="Times New Roman" w:hAnsi="Times New Roman"/>
          <w:sz w:val="20"/>
          <w:szCs w:val="20"/>
          <w:u w:val="single" w:color="auto"/>
          <w:color w:val="auto"/>
        </w:rPr>
        <w:t>Section 5.13(a)(i)</w:t>
      </w:r>
      <w:r>
        <w:rPr>
          <w:rFonts w:ascii="Times New Roman" w:cs="Times New Roman" w:eastAsia="Times New Roman" w:hAnsi="Times New Roman"/>
          <w:sz w:val="20"/>
          <w:szCs w:val="20"/>
          <w:color w:val="auto"/>
        </w:rPr>
        <w:t>.</w:t>
      </w:r>
    </w:p>
    <w:p>
      <w:pPr>
        <w:spacing w:after="0" w:line="283" w:lineRule="exact"/>
        <w:rPr>
          <w:sz w:val="20"/>
          <w:szCs w:val="20"/>
          <w:color w:val="auto"/>
        </w:rPr>
      </w:pPr>
    </w:p>
    <w:p>
      <w:pPr>
        <w:ind w:left="58" w:right="20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Term Loan Commitment</w:t>
      </w:r>
      <w:r>
        <w:rPr>
          <w:rFonts w:ascii="Times New Roman" w:cs="Times New Roman" w:eastAsia="Times New Roman" w:hAnsi="Times New Roman"/>
          <w:sz w:val="20"/>
          <w:szCs w:val="20"/>
          <w:color w:val="auto"/>
        </w:rPr>
        <w:t xml:space="preserve">” means the commitment of any Lender to make an Incremental Term Loan to a Borrower in accordance with </w:t>
      </w:r>
      <w:r>
        <w:rPr>
          <w:rFonts w:ascii="Times New Roman" w:cs="Times New Roman" w:eastAsia="Times New Roman" w:hAnsi="Times New Roman"/>
          <w:sz w:val="20"/>
          <w:szCs w:val="20"/>
          <w:u w:val="single" w:color="auto"/>
          <w:color w:val="auto"/>
        </w:rPr>
        <w:t>Section 5.13</w:t>
      </w:r>
      <w:r>
        <w:rPr>
          <w:rFonts w:ascii="Times New Roman" w:cs="Times New Roman" w:eastAsia="Times New Roman" w:hAnsi="Times New Roman"/>
          <w:sz w:val="20"/>
          <w:szCs w:val="20"/>
          <w:color w:val="auto"/>
        </w:rPr>
        <w:t>.</w:t>
      </w:r>
    </w:p>
    <w:p>
      <w:pPr>
        <w:spacing w:after="0" w:line="267" w:lineRule="exact"/>
        <w:rPr>
          <w:sz w:val="20"/>
          <w:szCs w:val="20"/>
          <w:color w:val="auto"/>
        </w:rPr>
      </w:pPr>
    </w:p>
    <w:p>
      <w:pPr>
        <w:ind w:left="69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Indebtedness</w:t>
      </w:r>
      <w:r>
        <w:rPr>
          <w:rFonts w:ascii="Times New Roman" w:cs="Times New Roman" w:eastAsia="Times New Roman" w:hAnsi="Times New Roman"/>
          <w:sz w:val="20"/>
          <w:szCs w:val="20"/>
          <w:color w:val="auto"/>
        </w:rPr>
        <w:t>” means, with respect to any Person at any date and without duplication, the sum of the following:</w:t>
      </w:r>
    </w:p>
    <w:p>
      <w:pPr>
        <w:spacing w:after="0" w:line="243" w:lineRule="exact"/>
        <w:rPr>
          <w:sz w:val="20"/>
          <w:szCs w:val="20"/>
          <w:color w:val="auto"/>
        </w:rPr>
      </w:pPr>
    </w:p>
    <w:p>
      <w:pPr>
        <w:ind w:left="698" w:right="20" w:hanging="158"/>
        <w:spacing w:after="0" w:line="269" w:lineRule="auto"/>
        <w:tabs>
          <w:tab w:leader="none" w:pos="1229"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liabilities, obligations and indebtedness for borrowed money including, but not limited to, obligations evidenced by bonds, debentures, notes or other similar instruments of any such Person;</w:t>
      </w:r>
    </w:p>
    <w:p>
      <w:pPr>
        <w:spacing w:after="0" w:line="186" w:lineRule="exact"/>
        <w:rPr>
          <w:rFonts w:ascii="Times New Roman" w:cs="Times New Roman" w:eastAsia="Times New Roman" w:hAnsi="Times New Roman"/>
          <w:sz w:val="20"/>
          <w:szCs w:val="20"/>
          <w:color w:val="auto"/>
        </w:rPr>
      </w:pPr>
    </w:p>
    <w:p>
      <w:pPr>
        <w:jc w:val="both"/>
        <w:ind w:left="698" w:firstLine="652"/>
        <w:spacing w:after="0" w:line="226" w:lineRule="auto"/>
        <w:tabs>
          <w:tab w:leader="none" w:pos="1875" w:val="left"/>
        </w:tabs>
        <w:numPr>
          <w:ilvl w:val="1"/>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obligations to pay the deferred purchase price of property or services of any such Person (including, without limitation, all obligations under non-competition, earn-out or similar agreements), except trade payables arising in the ordinary course of business not more than ninety (90) days past due, or that are currently being contested in good faith by appropriate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338"/>
        <w:spacing w:after="0"/>
        <w:rPr>
          <w:sz w:val="20"/>
          <w:szCs w:val="20"/>
          <w:color w:val="auto"/>
        </w:rPr>
      </w:pPr>
      <w:r>
        <w:rPr>
          <w:rFonts w:ascii="Times New Roman" w:cs="Times New Roman" w:eastAsia="Times New Roman" w:hAnsi="Times New Roman"/>
          <w:sz w:val="14"/>
          <w:szCs w:val="14"/>
          <w:color w:val="FF0000"/>
          <w:strike w:val="1"/>
        </w:rPr>
        <w:t>146960219_6</w:t>
      </w:r>
    </w:p>
    <w:p>
      <w:pPr>
        <w:spacing w:after="0" w:line="4" w:lineRule="exact"/>
        <w:rPr>
          <w:sz w:val="20"/>
          <w:szCs w:val="20"/>
          <w:color w:val="auto"/>
        </w:rPr>
      </w:pPr>
    </w:p>
    <w:p>
      <w:pPr>
        <w:ind w:left="338" w:hanging="338"/>
        <w:spacing w:after="0"/>
        <w:tabs>
          <w:tab w:leader="none" w:pos="338"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078"/>
          </w:cols>
          <w:pgMar w:left="382" w:top="1394" w:right="439" w:bottom="1440" w:gutter="0" w:footer="0" w:header="0"/>
        </w:sectPr>
      </w:pPr>
    </w:p>
    <w:bookmarkStart w:id="115" w:name="page116"/>
    <w:bookmarkEnd w:id="115"/>
    <w:p>
      <w:pPr>
        <w:spacing w:after="0" w:line="203" w:lineRule="exact"/>
        <w:rPr>
          <w:sz w:val="20"/>
          <w:szCs w:val="20"/>
          <w:color w:val="auto"/>
        </w:rPr>
      </w:pPr>
    </w:p>
    <w:p>
      <w:pPr>
        <w:ind w:left="698"/>
        <w:spacing w:after="0"/>
        <w:rPr>
          <w:sz w:val="20"/>
          <w:szCs w:val="20"/>
          <w:color w:val="auto"/>
        </w:rPr>
      </w:pPr>
      <w:r>
        <w:rPr>
          <w:rFonts w:ascii="Times New Roman" w:cs="Times New Roman" w:eastAsia="Times New Roman" w:hAnsi="Times New Roman"/>
          <w:sz w:val="20"/>
          <w:szCs w:val="20"/>
          <w:color w:val="auto"/>
        </w:rPr>
        <w:t>proceedings and with respect to which reserves in conformity with GAAP have been provided for on the books of such Person;</w:t>
      </w:r>
    </w:p>
    <w:p>
      <w:pPr>
        <w:spacing w:after="0" w:line="229" w:lineRule="exact"/>
        <w:rPr>
          <w:sz w:val="20"/>
          <w:szCs w:val="20"/>
          <w:color w:val="auto"/>
        </w:rPr>
      </w:pPr>
    </w:p>
    <w:p>
      <w:pPr>
        <w:ind w:left="698" w:right="20" w:firstLine="652"/>
        <w:spacing w:after="0" w:line="269" w:lineRule="auto"/>
        <w:tabs>
          <w:tab w:leader="none" w:pos="1876"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Attributable Indebtedness of such Person with respect to such Person’s Capital Lease Obligations and Synthetic Leases (regardless of whether accounted for as indebtedness under GAAP);</w:t>
      </w:r>
    </w:p>
    <w:p>
      <w:pPr>
        <w:spacing w:after="0" w:line="186" w:lineRule="exact"/>
        <w:rPr>
          <w:rFonts w:ascii="Times New Roman" w:cs="Times New Roman" w:eastAsia="Times New Roman" w:hAnsi="Times New Roman"/>
          <w:sz w:val="20"/>
          <w:szCs w:val="20"/>
          <w:color w:val="auto"/>
        </w:rPr>
      </w:pPr>
    </w:p>
    <w:p>
      <w:pPr>
        <w:jc w:val="both"/>
        <w:ind w:left="698" w:firstLine="652"/>
        <w:spacing w:after="0" w:line="226" w:lineRule="auto"/>
        <w:tabs>
          <w:tab w:leader="none" w:pos="1874"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obligations of such Person under conditional sale or other title retention agreements relating to property purchased by such Person to the extent of the value of such property (other than customary reservations or retentions of title under agreements with suppliers entered into in the ordinary course of business);</w:t>
      </w:r>
    </w:p>
    <w:p>
      <w:pPr>
        <w:spacing w:after="0" w:line="187" w:lineRule="exact"/>
        <w:rPr>
          <w:rFonts w:ascii="Times New Roman" w:cs="Times New Roman" w:eastAsia="Times New Roman" w:hAnsi="Times New Roman"/>
          <w:sz w:val="20"/>
          <w:szCs w:val="20"/>
          <w:color w:val="auto"/>
        </w:rPr>
      </w:pPr>
    </w:p>
    <w:p>
      <w:pPr>
        <w:jc w:val="both"/>
        <w:ind w:left="698" w:firstLine="652"/>
        <w:spacing w:after="0" w:line="226" w:lineRule="auto"/>
        <w:tabs>
          <w:tab w:leader="none" w:pos="1876"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Indebtedness of any other Person secured by a Lien on any asset owned or being purchased by such Person (including indebtedness arising under conditional sales or other title retention agreements except trade payables arising in the ordinary course of business), whether or not such indebtedness shall have been assumed by such Person or is limited in recourse;</w:t>
      </w:r>
    </w:p>
    <w:p>
      <w:pPr>
        <w:spacing w:after="0" w:line="200" w:lineRule="exact"/>
        <w:rPr>
          <w:rFonts w:ascii="Times New Roman" w:cs="Times New Roman" w:eastAsia="Times New Roman" w:hAnsi="Times New Roman"/>
          <w:sz w:val="20"/>
          <w:szCs w:val="20"/>
          <w:color w:val="auto"/>
        </w:rPr>
      </w:pPr>
    </w:p>
    <w:p>
      <w:pPr>
        <w:jc w:val="both"/>
        <w:ind w:left="698" w:firstLine="652"/>
        <w:spacing w:after="0" w:line="226" w:lineRule="auto"/>
        <w:tabs>
          <w:tab w:leader="none" w:pos="1881"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obligations, contingent or otherwise, of any such Person relative to the face amount of letters of credit, whether or not drawn, including, without limitation, any Reimbursement Obligation, and banker’s acceptances issued for the account of any such Person;</w:t>
      </w:r>
    </w:p>
    <w:p>
      <w:pPr>
        <w:spacing w:after="0" w:line="187" w:lineRule="exact"/>
        <w:rPr>
          <w:rFonts w:ascii="Times New Roman" w:cs="Times New Roman" w:eastAsia="Times New Roman" w:hAnsi="Times New Roman"/>
          <w:sz w:val="20"/>
          <w:szCs w:val="20"/>
          <w:color w:val="auto"/>
        </w:rPr>
      </w:pPr>
    </w:p>
    <w:p>
      <w:pPr>
        <w:ind w:left="1978" w:hanging="628"/>
        <w:spacing w:after="0"/>
        <w:tabs>
          <w:tab w:leader="none" w:pos="1978"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obligations of any such Person in respect of Disqualified Equity Interests;</w:t>
      </w:r>
    </w:p>
    <w:p>
      <w:pPr>
        <w:spacing w:after="0" w:line="215" w:lineRule="exact"/>
        <w:rPr>
          <w:rFonts w:ascii="Times New Roman" w:cs="Times New Roman" w:eastAsia="Times New Roman" w:hAnsi="Times New Roman"/>
          <w:sz w:val="20"/>
          <w:szCs w:val="20"/>
          <w:color w:val="auto"/>
        </w:rPr>
      </w:pPr>
    </w:p>
    <w:p>
      <w:pPr>
        <w:ind w:left="1978" w:hanging="628"/>
        <w:spacing w:after="0"/>
        <w:tabs>
          <w:tab w:leader="none" w:pos="1978"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net obligations of such Person under any Hedge Agreements; and</w:t>
      </w:r>
    </w:p>
    <w:p>
      <w:pPr>
        <w:spacing w:after="0" w:line="229" w:lineRule="exact"/>
        <w:rPr>
          <w:rFonts w:ascii="Times New Roman" w:cs="Times New Roman" w:eastAsia="Times New Roman" w:hAnsi="Times New Roman"/>
          <w:sz w:val="20"/>
          <w:szCs w:val="20"/>
          <w:color w:val="auto"/>
        </w:rPr>
      </w:pPr>
    </w:p>
    <w:p>
      <w:pPr>
        <w:ind w:left="1998" w:hanging="648"/>
        <w:spacing w:after="0"/>
        <w:tabs>
          <w:tab w:leader="none" w:pos="1998"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Guarantees of any such Person with respect to any of the foregoing.</w:t>
      </w:r>
    </w:p>
    <w:p>
      <w:pPr>
        <w:spacing w:after="0" w:line="210" w:lineRule="exact"/>
        <w:rPr>
          <w:sz w:val="20"/>
          <w:szCs w:val="20"/>
          <w:color w:val="auto"/>
        </w:rPr>
      </w:pPr>
    </w:p>
    <w:p>
      <w:pPr>
        <w:ind w:left="698"/>
        <w:spacing w:after="0"/>
        <w:rPr>
          <w:sz w:val="20"/>
          <w:szCs w:val="20"/>
          <w:color w:val="auto"/>
        </w:rPr>
      </w:pPr>
      <w:r>
        <w:rPr>
          <w:rFonts w:ascii="Times New Roman" w:cs="Times New Roman" w:eastAsia="Times New Roman" w:hAnsi="Times New Roman"/>
          <w:sz w:val="20"/>
          <w:szCs w:val="20"/>
          <w:color w:val="auto"/>
        </w:rPr>
        <w:t>For all purposes hereof, the Indebtedness of any Person shall include the Indebtedness of any partnership or joint venture (other</w:t>
      </w:r>
    </w:p>
    <w:p>
      <w:pPr>
        <w:ind w:left="58"/>
        <w:spacing w:after="0" w:line="204" w:lineRule="auto"/>
        <w:rPr>
          <w:sz w:val="20"/>
          <w:szCs w:val="20"/>
          <w:color w:val="auto"/>
        </w:rPr>
      </w:pPr>
      <w:r>
        <w:rPr>
          <w:rFonts w:ascii="Times New Roman" w:cs="Times New Roman" w:eastAsia="Times New Roman" w:hAnsi="Times New Roman"/>
          <w:sz w:val="20"/>
          <w:szCs w:val="20"/>
          <w:color w:val="auto"/>
        </w:rPr>
        <w:t>than a joint venture that is itself a corporation or limited liability company) in which such Person is a general partner or a joint venturer, unless such Indebtedness is expressly made non-recourse to such Person. The amount of any net obligation under any Hedge Agreement</w:t>
      </w:r>
    </w:p>
    <w:p>
      <w:pPr>
        <w:ind w:left="58"/>
        <w:spacing w:after="0" w:line="211" w:lineRule="auto"/>
        <w:rPr>
          <w:sz w:val="20"/>
          <w:szCs w:val="20"/>
          <w:color w:val="auto"/>
        </w:rPr>
      </w:pPr>
      <w:r>
        <w:rPr>
          <w:rFonts w:ascii="Times New Roman" w:cs="Times New Roman" w:eastAsia="Times New Roman" w:hAnsi="Times New Roman"/>
          <w:sz w:val="20"/>
          <w:szCs w:val="20"/>
          <w:color w:val="auto"/>
        </w:rPr>
        <w:t>on any date shall be deemed to be the Hedge Termination Value thereof as of such date. In respect of Indebtedness of another Person</w:t>
      </w:r>
    </w:p>
    <w:p>
      <w:pPr>
        <w:spacing w:after="0" w:line="1" w:lineRule="exact"/>
        <w:rPr>
          <w:sz w:val="20"/>
          <w:szCs w:val="20"/>
          <w:color w:val="auto"/>
        </w:rPr>
      </w:pPr>
    </w:p>
    <w:p>
      <w:pPr>
        <w:ind w:left="58" w:right="20"/>
        <w:spacing w:after="0" w:line="221" w:lineRule="auto"/>
        <w:rPr>
          <w:sz w:val="20"/>
          <w:szCs w:val="20"/>
          <w:color w:val="auto"/>
        </w:rPr>
      </w:pPr>
      <w:r>
        <w:rPr>
          <w:rFonts w:ascii="Times New Roman" w:cs="Times New Roman" w:eastAsia="Times New Roman" w:hAnsi="Times New Roman"/>
          <w:sz w:val="20"/>
          <w:szCs w:val="20"/>
          <w:color w:val="auto"/>
        </w:rPr>
        <w:t>secured by a Lien on the assets of the specified Person, the amount of such Indebtedness as of any date of determination will be the lesser of (x) the fair market value of such assets as of such date and (y) the amount of such Indebtedness as of such date.</w:t>
      </w:r>
    </w:p>
    <w:p>
      <w:pPr>
        <w:spacing w:after="0" w:line="189" w:lineRule="exact"/>
        <w:rPr>
          <w:sz w:val="20"/>
          <w:szCs w:val="20"/>
          <w:color w:val="auto"/>
        </w:rPr>
      </w:pPr>
    </w:p>
    <w:p>
      <w:pPr>
        <w:ind w:left="58"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Indemnified Taxes</w:t>
      </w:r>
      <w:r>
        <w:rPr>
          <w:rFonts w:ascii="Times New Roman" w:cs="Times New Roman" w:eastAsia="Times New Roman" w:hAnsi="Times New Roman"/>
          <w:sz w:val="20"/>
          <w:szCs w:val="20"/>
          <w:color w:val="auto"/>
        </w:rPr>
        <w:t>” means (a) Taxes, other than Excluded Taxes, imposed on or with respect to any payment made by or on account of any obligation of any Credit Party under any Loan Document and</w:t>
      </w:r>
    </w:p>
    <w:p>
      <w:pPr>
        <w:spacing w:after="0" w:line="67" w:lineRule="exact"/>
        <w:rPr>
          <w:sz w:val="20"/>
          <w:szCs w:val="20"/>
          <w:color w:val="auto"/>
        </w:rPr>
      </w:pPr>
    </w:p>
    <w:p>
      <w:pPr>
        <w:ind w:left="698" w:hanging="644"/>
        <w:spacing w:after="0"/>
        <w:tabs>
          <w:tab w:leader="none" w:pos="698"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not otherwise described in clause (a), Other Taxes. “</w:t>
      </w:r>
      <w:r>
        <w:rPr>
          <w:rFonts w:ascii="Times New Roman" w:cs="Times New Roman" w:eastAsia="Times New Roman" w:hAnsi="Times New Roman"/>
          <w:sz w:val="20"/>
          <w:szCs w:val="20"/>
          <w:u w:val="single" w:color="auto"/>
          <w:color w:val="auto"/>
        </w:rPr>
        <w:t>Indemnitee</w:t>
      </w:r>
      <w:r>
        <w:rPr>
          <w:rFonts w:ascii="Times New Roman" w:cs="Times New Roman" w:eastAsia="Times New Roman" w:hAnsi="Times New Roman"/>
          <w:sz w:val="20"/>
          <w:szCs w:val="20"/>
          <w:color w:val="auto"/>
        </w:rPr>
        <w:t>” has the meaning</w:t>
      </w:r>
    </w:p>
    <w:p>
      <w:pPr>
        <w:spacing w:after="0" w:line="215" w:lineRule="exact"/>
        <w:rPr>
          <w:rFonts w:ascii="Times New Roman" w:cs="Times New Roman" w:eastAsia="Times New Roman" w:hAnsi="Times New Roman"/>
          <w:sz w:val="20"/>
          <w:szCs w:val="20"/>
          <w:color w:val="auto"/>
        </w:rPr>
      </w:pPr>
    </w:p>
    <w:p>
      <w:pPr>
        <w:ind w:left="698"/>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assigned thereto in </w:t>
      </w:r>
      <w:r>
        <w:rPr>
          <w:rFonts w:ascii="Times New Roman" w:cs="Times New Roman" w:eastAsia="Times New Roman" w:hAnsi="Times New Roman"/>
          <w:sz w:val="20"/>
          <w:szCs w:val="20"/>
          <w:u w:val="single" w:color="auto"/>
          <w:color w:val="auto"/>
        </w:rPr>
        <w:t>Section 12.3(b)</w:t>
      </w:r>
      <w:r>
        <w:rPr>
          <w:rFonts w:ascii="Times New Roman" w:cs="Times New Roman" w:eastAsia="Times New Roman" w:hAnsi="Times New Roman"/>
          <w:sz w:val="20"/>
          <w:szCs w:val="20"/>
          <w:color w:val="auto"/>
        </w:rPr>
        <w:t>.</w:t>
      </w:r>
    </w:p>
    <w:p>
      <w:pPr>
        <w:spacing w:after="0" w:line="107" w:lineRule="exact"/>
        <w:rPr>
          <w:rFonts w:ascii="Times New Roman" w:cs="Times New Roman" w:eastAsia="Times New Roman" w:hAnsi="Times New Roman"/>
          <w:sz w:val="20"/>
          <w:szCs w:val="20"/>
          <w:color w:val="auto"/>
        </w:rPr>
      </w:pPr>
    </w:p>
    <w:p>
      <w:pPr>
        <w:ind w:left="698"/>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Information</w:t>
      </w:r>
      <w:r>
        <w:rPr>
          <w:rFonts w:ascii="Times New Roman" w:cs="Times New Roman" w:eastAsia="Times New Roman" w:hAnsi="Times New Roman"/>
          <w:sz w:val="20"/>
          <w:szCs w:val="20"/>
          <w:color w:val="auto"/>
        </w:rPr>
        <w:t xml:space="preserve">” has the meaning assigned thereto in </w:t>
      </w:r>
      <w:r>
        <w:rPr>
          <w:rFonts w:ascii="Times New Roman" w:cs="Times New Roman" w:eastAsia="Times New Roman" w:hAnsi="Times New Roman"/>
          <w:sz w:val="20"/>
          <w:szCs w:val="20"/>
          <w:u w:val="single" w:color="auto"/>
          <w:color w:val="auto"/>
        </w:rPr>
        <w:t>Section 12.10</w:t>
      </w:r>
      <w:r>
        <w:rPr>
          <w:rFonts w:ascii="Times New Roman" w:cs="Times New Roman" w:eastAsia="Times New Roman" w:hAnsi="Times New Roman"/>
          <w:sz w:val="20"/>
          <w:szCs w:val="20"/>
          <w:color w:val="auto"/>
        </w:rPr>
        <w:t>.</w:t>
      </w:r>
    </w:p>
    <w:p>
      <w:pPr>
        <w:spacing w:after="0" w:line="264" w:lineRule="exact"/>
        <w:rPr>
          <w:sz w:val="20"/>
          <w:szCs w:val="20"/>
          <w:color w:val="auto"/>
        </w:rPr>
      </w:pPr>
    </w:p>
    <w:p>
      <w:pPr>
        <w:ind w:left="69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Initial Term Loan</w:t>
      </w:r>
      <w:r>
        <w:rPr>
          <w:rFonts w:ascii="Times New Roman" w:cs="Times New Roman" w:eastAsia="Times New Roman" w:hAnsi="Times New Roman"/>
          <w:sz w:val="20"/>
          <w:szCs w:val="20"/>
          <w:color w:val="auto"/>
        </w:rPr>
        <w:t xml:space="preserve">” means the term loan denominated in Dollars made to Centuri, by the Term Loan Lenders pursuant to </w:t>
      </w:r>
      <w:r>
        <w:rPr>
          <w:rFonts w:ascii="Times New Roman" w:cs="Times New Roman" w:eastAsia="Times New Roman" w:hAnsi="Times New Roman"/>
          <w:sz w:val="20"/>
          <w:szCs w:val="20"/>
          <w:u w:val="single" w:color="auto"/>
          <w:color w:val="auto"/>
        </w:rPr>
        <w:t>Section</w:t>
      </w:r>
    </w:p>
    <w:p>
      <w:pPr>
        <w:ind w:left="58"/>
        <w:spacing w:after="0"/>
        <w:rPr>
          <w:sz w:val="20"/>
          <w:szCs w:val="20"/>
          <w:color w:val="auto"/>
        </w:rPr>
      </w:pPr>
      <w:r>
        <w:rPr>
          <w:rFonts w:ascii="Times New Roman" w:cs="Times New Roman" w:eastAsia="Times New Roman" w:hAnsi="Times New Roman"/>
          <w:sz w:val="20"/>
          <w:szCs w:val="20"/>
          <w:u w:val="single" w:color="auto"/>
          <w:color w:val="auto"/>
        </w:rPr>
        <w:t>4.1</w:t>
      </w:r>
      <w:r>
        <w:rPr>
          <w:rFonts w:ascii="Times New Roman" w:cs="Times New Roman" w:eastAsia="Times New Roman" w:hAnsi="Times New Roman"/>
          <w:sz w:val="20"/>
          <w:szCs w:val="20"/>
          <w:color w:val="auto"/>
        </w:rPr>
        <w:t>.</w:t>
      </w:r>
    </w:p>
    <w:p>
      <w:pPr>
        <w:spacing w:after="0" w:line="275" w:lineRule="exact"/>
        <w:rPr>
          <w:sz w:val="20"/>
          <w:szCs w:val="20"/>
          <w:color w:val="auto"/>
        </w:rPr>
      </w:pPr>
    </w:p>
    <w:p>
      <w:pPr>
        <w:jc w:val="both"/>
        <w:ind w:left="58" w:right="20"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Insurance and Condemnation Event</w:t>
      </w:r>
      <w:r>
        <w:rPr>
          <w:rFonts w:ascii="Times New Roman" w:cs="Times New Roman" w:eastAsia="Times New Roman" w:hAnsi="Times New Roman"/>
          <w:sz w:val="20"/>
          <w:szCs w:val="20"/>
          <w:color w:val="auto"/>
        </w:rPr>
        <w:t>” means the receipt by any Credit Party or any of its Subsidiaries of any cash insurance proceeds or condemnation award payable by reason of theft, loss, physical destruction or damage, taking or similar event with respect to any of their respective Property.</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38"/>
        <w:spacing w:after="0"/>
        <w:rPr>
          <w:sz w:val="20"/>
          <w:szCs w:val="20"/>
          <w:color w:val="auto"/>
        </w:rPr>
      </w:pPr>
      <w:r>
        <w:rPr>
          <w:rFonts w:ascii="Times New Roman" w:cs="Times New Roman" w:eastAsia="Times New Roman" w:hAnsi="Times New Roman"/>
          <w:sz w:val="14"/>
          <w:szCs w:val="14"/>
          <w:color w:val="FF0000"/>
          <w:strike w:val="1"/>
        </w:rPr>
        <w:t>146960219_6</w:t>
      </w:r>
    </w:p>
    <w:p>
      <w:pPr>
        <w:ind w:left="338" w:hanging="338"/>
        <w:spacing w:after="0" w:line="229" w:lineRule="auto"/>
        <w:tabs>
          <w:tab w:leader="none" w:pos="338"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078"/>
          </w:cols>
          <w:pgMar w:left="382" w:top="1440" w:right="439" w:bottom="1440" w:gutter="0" w:footer="0" w:header="0"/>
        </w:sectPr>
      </w:pPr>
    </w:p>
    <w:bookmarkStart w:id="116" w:name="page117"/>
    <w:bookmarkEnd w:id="116"/>
    <w:p>
      <w:pPr>
        <w:ind w:left="678"/>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Interest Period</w:t>
      </w:r>
      <w:r>
        <w:rPr>
          <w:rFonts w:ascii="Times New Roman" w:cs="Times New Roman" w:eastAsia="Times New Roman" w:hAnsi="Times New Roman"/>
          <w:sz w:val="19"/>
          <w:szCs w:val="19"/>
          <w:color w:val="auto"/>
        </w:rPr>
        <w:t xml:space="preserve">” means, as to each LIBOR Rate </w:t>
      </w:r>
      <w:r>
        <w:rPr>
          <w:rFonts w:ascii="Times New Roman" w:cs="Times New Roman" w:eastAsia="Times New Roman" w:hAnsi="Times New Roman"/>
          <w:sz w:val="19"/>
          <w:szCs w:val="19"/>
          <w:u w:val="single" w:color="auto"/>
          <w:color w:val="0000FF"/>
        </w:rPr>
        <w:t>Loan, SOFR</w:t>
      </w:r>
      <w:r>
        <w:rPr>
          <w:rFonts w:ascii="Times New Roman" w:cs="Times New Roman" w:eastAsia="Times New Roman" w:hAnsi="Times New Roman"/>
          <w:sz w:val="19"/>
          <w:szCs w:val="19"/>
          <w:color w:val="auto"/>
        </w:rPr>
        <w:t xml:space="preserve"> Loan or CDOR Rate Loan, the period commencing on the date such</w:t>
      </w:r>
    </w:p>
    <w:p>
      <w:pPr>
        <w:spacing w:after="0" w:line="6" w:lineRule="exact"/>
        <w:rPr>
          <w:sz w:val="20"/>
          <w:szCs w:val="20"/>
          <w:color w:val="auto"/>
        </w:rPr>
      </w:pPr>
    </w:p>
    <w:p>
      <w:pPr>
        <w:jc w:val="both"/>
        <w:ind w:left="38"/>
        <w:spacing w:after="0" w:line="204" w:lineRule="auto"/>
        <w:rPr>
          <w:sz w:val="20"/>
          <w:szCs w:val="20"/>
          <w:color w:val="auto"/>
        </w:rPr>
      </w:pPr>
      <w:r>
        <w:rPr>
          <w:rFonts w:ascii="Times New Roman" w:cs="Times New Roman" w:eastAsia="Times New Roman" w:hAnsi="Times New Roman"/>
          <w:sz w:val="20"/>
          <w:szCs w:val="20"/>
          <w:color w:val="auto"/>
        </w:rPr>
        <w:t>LIBOR Rate Loan</w:t>
      </w:r>
      <w:r>
        <w:rPr>
          <w:rFonts w:ascii="Times New Roman" w:cs="Times New Roman" w:eastAsia="Times New Roman" w:hAnsi="Times New Roman"/>
          <w:sz w:val="20"/>
          <w:szCs w:val="20"/>
          <w:u w:val="single" w:color="auto"/>
          <w:color w:val="0000FF"/>
        </w:rPr>
        <w:t>, SOFR Loan</w:t>
      </w:r>
      <w:r>
        <w:rPr>
          <w:rFonts w:ascii="Times New Roman" w:cs="Times New Roman" w:eastAsia="Times New Roman" w:hAnsi="Times New Roman"/>
          <w:sz w:val="20"/>
          <w:szCs w:val="20"/>
          <w:color w:val="auto"/>
        </w:rPr>
        <w:t xml:space="preserve"> and CDOR Rate Loan is disbursed or converted to or continued as a LIBOR Rate Loan</w:t>
      </w:r>
      <w:r>
        <w:rPr>
          <w:rFonts w:ascii="Times New Roman" w:cs="Times New Roman" w:eastAsia="Times New Roman" w:hAnsi="Times New Roman"/>
          <w:sz w:val="20"/>
          <w:szCs w:val="20"/>
          <w:u w:val="single" w:color="auto"/>
          <w:color w:val="0000FF"/>
        </w:rPr>
        <w:t>, SOFR Loan</w:t>
      </w:r>
      <w:r>
        <w:rPr>
          <w:rFonts w:ascii="Times New Roman" w:cs="Times New Roman" w:eastAsia="Times New Roman" w:hAnsi="Times New Roman"/>
          <w:sz w:val="20"/>
          <w:szCs w:val="20"/>
          <w:color w:val="auto"/>
        </w:rPr>
        <w:t xml:space="preserve"> or CDOR Rate Loan and ending on the date that is (x) with respect to LIBOR Rate Loans </w:t>
      </w:r>
      <w:r>
        <w:rPr>
          <w:rFonts w:ascii="Times New Roman" w:cs="Times New Roman" w:eastAsia="Times New Roman" w:hAnsi="Times New Roman"/>
          <w:sz w:val="20"/>
          <w:szCs w:val="20"/>
          <w:u w:val="single" w:color="auto"/>
          <w:color w:val="0000FF"/>
        </w:rPr>
        <w:t>and SOFR Loans</w:t>
      </w:r>
      <w:r>
        <w:rPr>
          <w:rFonts w:ascii="Times New Roman" w:cs="Times New Roman" w:eastAsia="Times New Roman" w:hAnsi="Times New Roman"/>
          <w:sz w:val="20"/>
          <w:szCs w:val="20"/>
          <w:color w:val="auto"/>
        </w:rPr>
        <w:t>, one (1), three (3) or six (6)</w:t>
      </w:r>
    </w:p>
    <w:p>
      <w:pPr>
        <w:spacing w:after="0" w:line="1" w:lineRule="exact"/>
        <w:rPr>
          <w:sz w:val="20"/>
          <w:szCs w:val="20"/>
          <w:color w:val="auto"/>
        </w:rPr>
      </w:pPr>
    </w:p>
    <w:p>
      <w:pPr>
        <w:ind w:left="38"/>
        <w:spacing w:after="0" w:line="228" w:lineRule="auto"/>
        <w:rPr>
          <w:sz w:val="20"/>
          <w:szCs w:val="20"/>
          <w:color w:val="auto"/>
        </w:rPr>
      </w:pPr>
      <w:r>
        <w:rPr>
          <w:rFonts w:ascii="Times New Roman" w:cs="Times New Roman" w:eastAsia="Times New Roman" w:hAnsi="Times New Roman"/>
          <w:sz w:val="20"/>
          <w:szCs w:val="20"/>
          <w:color w:val="auto"/>
        </w:rPr>
        <w:t xml:space="preserve">months thereafter and (y) with respect to CDOR Rate Loans, one (1), two (2) or three (3) months thereafter, in each case as selected by the applicable Borrower in its Notice of Borrowing or Notice of Conversion/Continuation and subject to availability;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w:t>
      </w:r>
    </w:p>
    <w:p>
      <w:pPr>
        <w:spacing w:after="0" w:line="243" w:lineRule="exact"/>
        <w:rPr>
          <w:sz w:val="20"/>
          <w:szCs w:val="20"/>
          <w:color w:val="auto"/>
        </w:rPr>
      </w:pPr>
    </w:p>
    <w:p>
      <w:pPr>
        <w:jc w:val="both"/>
        <w:ind w:left="678" w:right="20" w:firstLine="654"/>
        <w:spacing w:after="0" w:line="230" w:lineRule="auto"/>
        <w:tabs>
          <w:tab w:leader="none" w:pos="1884"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Interest Period shall commence on the date of advance of or conversion to any LIBOR Rate </w:t>
      </w:r>
      <w:r>
        <w:rPr>
          <w:rFonts w:ascii="Times New Roman" w:cs="Times New Roman" w:eastAsia="Times New Roman" w:hAnsi="Times New Roman"/>
          <w:sz w:val="20"/>
          <w:szCs w:val="20"/>
          <w:u w:val="single" w:color="auto"/>
          <w:color w:val="0000FF"/>
        </w:rPr>
        <w:t>Loan, SOFR</w:t>
      </w:r>
      <w:r>
        <w:rPr>
          <w:rFonts w:ascii="Times New Roman" w:cs="Times New Roman" w:eastAsia="Times New Roman" w:hAnsi="Times New Roman"/>
          <w:sz w:val="20"/>
          <w:szCs w:val="20"/>
          <w:color w:val="auto"/>
        </w:rPr>
        <w:t xml:space="preserve"> Loan or CDOR Rate Loan and, in the case of immediately successive Interest Periods, each successive Interest Period shall commence on the date on which the immediately preceding Interest Period expires;</w:t>
      </w:r>
    </w:p>
    <w:p>
      <w:pPr>
        <w:spacing w:after="0" w:line="189" w:lineRule="exact"/>
        <w:rPr>
          <w:rFonts w:ascii="Times New Roman" w:cs="Times New Roman" w:eastAsia="Times New Roman" w:hAnsi="Times New Roman"/>
          <w:sz w:val="20"/>
          <w:szCs w:val="20"/>
          <w:color w:val="auto"/>
        </w:rPr>
      </w:pPr>
    </w:p>
    <w:p>
      <w:pPr>
        <w:jc w:val="both"/>
        <w:ind w:left="678" w:firstLine="654"/>
        <w:spacing w:after="0" w:line="222" w:lineRule="auto"/>
        <w:tabs>
          <w:tab w:leader="none" w:pos="1876"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Interest Period would otherwise expire on a day that is not a Business Day, such Interest Period shall expire on the next succeeding Business Day;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any Interest Period </w:t>
      </w:r>
      <w:r>
        <w:rPr>
          <w:rFonts w:ascii="Times New Roman" w:cs="Times New Roman" w:eastAsia="Times New Roman" w:hAnsi="Times New Roman"/>
          <w:sz w:val="20"/>
          <w:szCs w:val="20"/>
          <w:color w:val="FF0000"/>
          <w:strike w:val="1"/>
        </w:rPr>
        <w:t>with respect to a LIBOR Rate Loan or CDOR Rate Loan</w:t>
      </w:r>
      <w:r>
        <w:rPr>
          <w:rFonts w:ascii="Times New Roman" w:cs="Times New Roman" w:eastAsia="Times New Roman" w:hAnsi="Times New Roman"/>
          <w:sz w:val="20"/>
          <w:szCs w:val="20"/>
          <w:color w:val="auto"/>
        </w:rPr>
        <w:t xml:space="preserve"> would otherwise expire on a day that is not a Business Day but is a day of the month after which no further Business Day occurs in such month, such Interest Period shall expire on the immediately preceding Business Day;</w:t>
      </w:r>
    </w:p>
    <w:p>
      <w:pPr>
        <w:spacing w:after="0" w:line="188" w:lineRule="exact"/>
        <w:rPr>
          <w:rFonts w:ascii="Times New Roman" w:cs="Times New Roman" w:eastAsia="Times New Roman" w:hAnsi="Times New Roman"/>
          <w:sz w:val="20"/>
          <w:szCs w:val="20"/>
          <w:color w:val="auto"/>
        </w:rPr>
      </w:pPr>
    </w:p>
    <w:p>
      <w:pPr>
        <w:jc w:val="both"/>
        <w:ind w:left="678" w:firstLine="654"/>
        <w:spacing w:after="0" w:line="226" w:lineRule="auto"/>
        <w:tabs>
          <w:tab w:leader="none" w:pos="1882"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Interest Period </w:t>
      </w:r>
      <w:r>
        <w:rPr>
          <w:rFonts w:ascii="Times New Roman" w:cs="Times New Roman" w:eastAsia="Times New Roman" w:hAnsi="Times New Roman"/>
          <w:sz w:val="20"/>
          <w:szCs w:val="20"/>
          <w:color w:val="FF0000"/>
          <w:strike w:val="1"/>
        </w:rPr>
        <w:t>with respect to a LIBOR Rate Loan or CDOR Rate Loan</w:t>
      </w:r>
      <w:r>
        <w:rPr>
          <w:rFonts w:ascii="Times New Roman" w:cs="Times New Roman" w:eastAsia="Times New Roman" w:hAnsi="Times New Roman"/>
          <w:sz w:val="20"/>
          <w:szCs w:val="20"/>
          <w:color w:val="auto"/>
        </w:rPr>
        <w:t xml:space="preserve"> that begins on the last Business Day of a calendar month (or on a day for which there is no numerically corresponding day in the calendar month at the end of such Interest Period) shall end on the last Business Day of the relevant calendar month at the end of such Interest Period;</w:t>
      </w:r>
    </w:p>
    <w:p>
      <w:pPr>
        <w:spacing w:after="0" w:line="187" w:lineRule="exact"/>
        <w:rPr>
          <w:rFonts w:ascii="Times New Roman" w:cs="Times New Roman" w:eastAsia="Times New Roman" w:hAnsi="Times New Roman"/>
          <w:sz w:val="20"/>
          <w:szCs w:val="20"/>
          <w:color w:val="auto"/>
        </w:rPr>
      </w:pPr>
    </w:p>
    <w:p>
      <w:pPr>
        <w:jc w:val="both"/>
        <w:ind w:left="678" w:firstLine="654"/>
        <w:spacing w:after="0" w:line="230" w:lineRule="auto"/>
        <w:tabs>
          <w:tab w:leader="none" w:pos="1882"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Interest Period shall extend beyond the Revolving Credit Maturity Date or the Term Loan Maturity Date, as applicable, and Interest Periods shall be selected by the applicable Borrower so as to permit such Borrower to make the quarterly principal installment payments pursuant to </w:t>
      </w:r>
      <w:r>
        <w:rPr>
          <w:rFonts w:ascii="Times New Roman" w:cs="Times New Roman" w:eastAsia="Times New Roman" w:hAnsi="Times New Roman"/>
          <w:sz w:val="20"/>
          <w:szCs w:val="20"/>
          <w:u w:val="single" w:color="auto"/>
          <w:color w:val="auto"/>
        </w:rPr>
        <w:t>Section 4.3</w:t>
      </w:r>
      <w:r>
        <w:rPr>
          <w:rFonts w:ascii="Times New Roman" w:cs="Times New Roman" w:eastAsia="Times New Roman" w:hAnsi="Times New Roman"/>
          <w:sz w:val="20"/>
          <w:szCs w:val="20"/>
          <w:color w:val="auto"/>
        </w:rPr>
        <w:t xml:space="preserve"> without payment of any amounts pursuant to </w:t>
      </w:r>
      <w:r>
        <w:rPr>
          <w:rFonts w:ascii="Times New Roman" w:cs="Times New Roman" w:eastAsia="Times New Roman" w:hAnsi="Times New Roman"/>
          <w:sz w:val="20"/>
          <w:szCs w:val="20"/>
          <w:u w:val="single" w:color="auto"/>
          <w:color w:val="auto"/>
        </w:rPr>
        <w:t>Section 5.9</w:t>
      </w:r>
      <w:r>
        <w:rPr>
          <w:rFonts w:ascii="Times New Roman" w:cs="Times New Roman" w:eastAsia="Times New Roman" w:hAnsi="Times New Roman"/>
          <w:sz w:val="20"/>
          <w:szCs w:val="20"/>
          <w:color w:val="auto"/>
        </w:rPr>
        <w:t>; and</w:t>
      </w:r>
    </w:p>
    <w:p>
      <w:pPr>
        <w:spacing w:after="0" w:line="256" w:lineRule="exact"/>
        <w:rPr>
          <w:rFonts w:ascii="Times New Roman" w:cs="Times New Roman" w:eastAsia="Times New Roman" w:hAnsi="Times New Roman"/>
          <w:sz w:val="20"/>
          <w:szCs w:val="20"/>
          <w:color w:val="auto"/>
        </w:rPr>
      </w:pPr>
    </w:p>
    <w:p>
      <w:pPr>
        <w:ind w:left="1978" w:hanging="646"/>
        <w:spacing w:after="0"/>
        <w:tabs>
          <w:tab w:leader="none" w:pos="1978"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shall be no more than sixteen (16) Interest Periods in effect at any time.</w:t>
      </w:r>
    </w:p>
    <w:p>
      <w:pPr>
        <w:spacing w:after="0" w:line="229" w:lineRule="exact"/>
        <w:rPr>
          <w:sz w:val="20"/>
          <w:szCs w:val="20"/>
          <w:color w:val="auto"/>
        </w:rPr>
      </w:pPr>
    </w:p>
    <w:p>
      <w:pPr>
        <w:ind w:left="67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Interstate Commerce Act</w:t>
      </w:r>
      <w:r>
        <w:rPr>
          <w:rFonts w:ascii="Times New Roman" w:cs="Times New Roman" w:eastAsia="Times New Roman" w:hAnsi="Times New Roman"/>
          <w:sz w:val="20"/>
          <w:szCs w:val="20"/>
          <w:color w:val="auto"/>
        </w:rPr>
        <w:t>” means the body of law commonly known as the Interstate Commerce Act (49 U.S.C §§ 1 et seq.).</w:t>
      </w:r>
    </w:p>
    <w:p>
      <w:pPr>
        <w:spacing w:after="0" w:line="243" w:lineRule="exact"/>
        <w:rPr>
          <w:sz w:val="20"/>
          <w:szCs w:val="20"/>
          <w:color w:val="auto"/>
        </w:rPr>
      </w:pPr>
    </w:p>
    <w:p>
      <w:pPr>
        <w:ind w:left="59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Investment Company Act</w:t>
      </w:r>
      <w:r>
        <w:rPr>
          <w:rFonts w:ascii="Times New Roman" w:cs="Times New Roman" w:eastAsia="Times New Roman" w:hAnsi="Times New Roman"/>
          <w:sz w:val="20"/>
          <w:szCs w:val="20"/>
          <w:color w:val="auto"/>
        </w:rPr>
        <w:t>” means the Investment Company Act of 1940 (15 U.S.C. § 80(a)(1), et seq.).</w:t>
      </w:r>
    </w:p>
    <w:p>
      <w:pPr>
        <w:spacing w:after="0" w:line="200" w:lineRule="exact"/>
        <w:rPr>
          <w:sz w:val="20"/>
          <w:szCs w:val="20"/>
          <w:color w:val="auto"/>
        </w:rPr>
      </w:pPr>
    </w:p>
    <w:p>
      <w:pPr>
        <w:spacing w:after="0" w:line="340" w:lineRule="exact"/>
        <w:rPr>
          <w:sz w:val="20"/>
          <w:szCs w:val="20"/>
          <w:color w:val="auto"/>
        </w:rPr>
      </w:pPr>
    </w:p>
    <w:p>
      <w:pPr>
        <w:ind w:left="59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IRS</w:t>
      </w:r>
      <w:r>
        <w:rPr>
          <w:rFonts w:ascii="Times New Roman" w:cs="Times New Roman" w:eastAsia="Times New Roman" w:hAnsi="Times New Roman"/>
          <w:sz w:val="20"/>
          <w:szCs w:val="20"/>
          <w:color w:val="auto"/>
        </w:rPr>
        <w:t>” means the United States Internal Revenue Service.</w:t>
      </w:r>
    </w:p>
    <w:p>
      <w:pPr>
        <w:spacing w:after="0" w:line="297" w:lineRule="exact"/>
        <w:rPr>
          <w:sz w:val="20"/>
          <w:szCs w:val="20"/>
          <w:color w:val="auto"/>
        </w:rPr>
      </w:pPr>
    </w:p>
    <w:p>
      <w:pPr>
        <w:ind w:left="38" w:right="84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ISP98</w:t>
      </w:r>
      <w:r>
        <w:rPr>
          <w:rFonts w:ascii="Times New Roman" w:cs="Times New Roman" w:eastAsia="Times New Roman" w:hAnsi="Times New Roman"/>
          <w:sz w:val="20"/>
          <w:szCs w:val="20"/>
          <w:color w:val="auto"/>
        </w:rPr>
        <w:t>” means the International Standby Practices (1998 Revision, effective January 1, 1999), International Chamber of Commerce Publication No. 590.</w:t>
      </w:r>
    </w:p>
    <w:p>
      <w:pPr>
        <w:spacing w:after="0" w:line="186" w:lineRule="exact"/>
        <w:rPr>
          <w:sz w:val="20"/>
          <w:szCs w:val="20"/>
          <w:color w:val="auto"/>
        </w:rPr>
      </w:pPr>
    </w:p>
    <w:p>
      <w:pPr>
        <w:ind w:left="67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Issuing Lenders</w:t>
      </w:r>
      <w:r>
        <w:rPr>
          <w:rFonts w:ascii="Times New Roman" w:cs="Times New Roman" w:eastAsia="Times New Roman" w:hAnsi="Times New Roman"/>
          <w:sz w:val="20"/>
          <w:szCs w:val="20"/>
          <w:color w:val="auto"/>
        </w:rPr>
        <w:t>” means (a) Wells Fargo, solely in its capacity as issuer of US Letters of Credit,</w:t>
      </w:r>
    </w:p>
    <w:p>
      <w:pPr>
        <w:spacing w:after="0" w:line="8" w:lineRule="exact"/>
        <w:rPr>
          <w:sz w:val="20"/>
          <w:szCs w:val="20"/>
          <w:color w:val="auto"/>
        </w:rPr>
      </w:pPr>
    </w:p>
    <w:p>
      <w:pPr>
        <w:jc w:val="both"/>
        <w:ind w:left="38" w:hanging="2"/>
        <w:spacing w:after="0" w:line="215" w:lineRule="auto"/>
        <w:tabs>
          <w:tab w:leader="none" w:pos="593"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CIBC, solely in its capacity as issuer of Canadian Letters of Credit, (c) solely with respect to Existing Letters of Credit, the applicable issuer thereof listed on </w:t>
      </w:r>
      <w:r>
        <w:rPr>
          <w:rFonts w:ascii="Times New Roman" w:cs="Times New Roman" w:eastAsia="Times New Roman" w:hAnsi="Times New Roman"/>
          <w:sz w:val="20"/>
          <w:szCs w:val="20"/>
          <w:u w:val="single" w:color="auto"/>
          <w:color w:val="auto"/>
        </w:rPr>
        <w:t>Schedule 1.1(b)</w:t>
      </w:r>
      <w:r>
        <w:rPr>
          <w:rFonts w:ascii="Times New Roman" w:cs="Times New Roman" w:eastAsia="Times New Roman" w:hAnsi="Times New Roman"/>
          <w:sz w:val="20"/>
          <w:szCs w:val="20"/>
          <w:color w:val="auto"/>
        </w:rPr>
        <w:t xml:space="preserve"> and (d) any other Revolving Credit Lender to the extent it has agreed, in its sole discretion, to act as an “Issuing Lender” hereunder and that has been approved in writing by Centuri and the Administrative Agent (such approval by the Administrative Agent not to be unreasonably delayed or withheld), in each case in its capacity as issuer of any Letter of Credit (including each Existing Letter of Credit) hereunder or any successor thereto.</w:t>
      </w:r>
    </w:p>
    <w:p>
      <w:pPr>
        <w:spacing w:after="0" w:line="176" w:lineRule="exact"/>
        <w:rPr>
          <w:sz w:val="20"/>
          <w:szCs w:val="20"/>
          <w:color w:val="auto"/>
        </w:rPr>
      </w:pPr>
    </w:p>
    <w:p>
      <w:pPr>
        <w:ind w:left="67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ITA</w:t>
      </w:r>
      <w:r>
        <w:rPr>
          <w:rFonts w:ascii="Times New Roman" w:cs="Times New Roman" w:eastAsia="Times New Roman" w:hAnsi="Times New Roman"/>
          <w:sz w:val="20"/>
          <w:szCs w:val="20"/>
          <w:color w:val="auto"/>
        </w:rPr>
        <w:t>” means the Income Tax Act (Canada), as amended from time to time.</w:t>
      </w:r>
    </w:p>
    <w:p>
      <w:pPr>
        <w:spacing w:after="0" w:line="200" w:lineRule="exact"/>
        <w:rPr>
          <w:sz w:val="20"/>
          <w:szCs w:val="20"/>
          <w:color w:val="auto"/>
        </w:rPr>
      </w:pPr>
    </w:p>
    <w:p>
      <w:pPr>
        <w:spacing w:after="0" w:line="322" w:lineRule="exact"/>
        <w:rPr>
          <w:sz w:val="20"/>
          <w:szCs w:val="20"/>
          <w:color w:val="auto"/>
        </w:rPr>
      </w:pPr>
    </w:p>
    <w:p>
      <w:pPr>
        <w:ind w:left="338"/>
        <w:spacing w:after="0"/>
        <w:rPr>
          <w:sz w:val="20"/>
          <w:szCs w:val="20"/>
          <w:color w:val="auto"/>
        </w:rPr>
      </w:pPr>
      <w:r>
        <w:rPr>
          <w:rFonts w:ascii="Times New Roman" w:cs="Times New Roman" w:eastAsia="Times New Roman" w:hAnsi="Times New Roman"/>
          <w:sz w:val="14"/>
          <w:szCs w:val="14"/>
          <w:color w:val="FF0000"/>
          <w:strike w:val="1"/>
        </w:rPr>
        <w:t>146960219_6</w:t>
      </w:r>
    </w:p>
    <w:p>
      <w:pPr>
        <w:spacing w:after="0" w:line="4" w:lineRule="exact"/>
        <w:rPr>
          <w:sz w:val="20"/>
          <w:szCs w:val="20"/>
          <w:color w:val="auto"/>
        </w:rPr>
      </w:pPr>
    </w:p>
    <w:p>
      <w:pPr>
        <w:ind w:left="338" w:hanging="338"/>
        <w:spacing w:after="0"/>
        <w:tabs>
          <w:tab w:leader="none" w:pos="338"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078"/>
          </w:cols>
          <w:pgMar w:left="382" w:top="1075" w:right="439" w:bottom="1440" w:gutter="0" w:footer="0" w:header="0"/>
        </w:sectPr>
      </w:pPr>
    </w:p>
    <w:bookmarkStart w:id="117" w:name="page118"/>
    <w:bookmarkEnd w:id="117"/>
    <w:p>
      <w:pPr>
        <w:ind w:left="69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Junior Indebtedness</w:t>
      </w:r>
      <w:r>
        <w:rPr>
          <w:rFonts w:ascii="Times New Roman" w:cs="Times New Roman" w:eastAsia="Times New Roman" w:hAnsi="Times New Roman"/>
          <w:sz w:val="20"/>
          <w:szCs w:val="20"/>
          <w:color w:val="auto"/>
        </w:rPr>
        <w:t>” means, with respect to Centuri and its Subsidiaries, any (a) Subordinated Indebtedness, (b) Indebtedness</w:t>
      </w:r>
    </w:p>
    <w:p>
      <w:pPr>
        <w:ind w:left="58"/>
        <w:spacing w:after="0" w:line="221" w:lineRule="auto"/>
        <w:rPr>
          <w:sz w:val="20"/>
          <w:szCs w:val="20"/>
          <w:color w:val="auto"/>
        </w:rPr>
      </w:pPr>
      <w:r>
        <w:rPr>
          <w:rFonts w:ascii="Times New Roman" w:cs="Times New Roman" w:eastAsia="Times New Roman" w:hAnsi="Times New Roman"/>
          <w:sz w:val="20"/>
          <w:szCs w:val="20"/>
          <w:color w:val="auto"/>
        </w:rPr>
        <w:t>secured by Liens that are junior to the Liens securing the Secured Obligations and (c) unsecured Indebtedness (excluding intercompany Indebtedness) with an aggregate outstanding principal amount in excess of the Threshold Amount.</w:t>
      </w:r>
    </w:p>
    <w:p>
      <w:pPr>
        <w:spacing w:after="0" w:line="202" w:lineRule="exact"/>
        <w:rPr>
          <w:sz w:val="20"/>
          <w:szCs w:val="20"/>
          <w:color w:val="auto"/>
        </w:rPr>
      </w:pPr>
    </w:p>
    <w:p>
      <w:pPr>
        <w:ind w:left="58" w:right="20" w:firstLine="648"/>
        <w:spacing w:after="0" w:line="22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L/C Commitment</w:t>
      </w:r>
      <w:r>
        <w:rPr>
          <w:rFonts w:ascii="Times New Roman" w:cs="Times New Roman" w:eastAsia="Times New Roman" w:hAnsi="Times New Roman"/>
          <w:sz w:val="19"/>
          <w:szCs w:val="19"/>
          <w:color w:val="auto"/>
        </w:rPr>
        <w:t>” means, as to any Issuing Lender, the obligation of such Issuing Lender to issue Letters of Credit for the account of the Borrowers or one or more of their respective Subsidiaries from time to time in an aggregate amount equal to such amount as</w:t>
      </w:r>
    </w:p>
    <w:p>
      <w:pPr>
        <w:ind w:left="58"/>
        <w:spacing w:after="0" w:line="211" w:lineRule="auto"/>
        <w:rPr>
          <w:sz w:val="20"/>
          <w:szCs w:val="20"/>
          <w:color w:val="auto"/>
        </w:rPr>
      </w:pPr>
      <w:r>
        <w:rPr>
          <w:rFonts w:ascii="Times New Roman" w:cs="Times New Roman" w:eastAsia="Times New Roman" w:hAnsi="Times New Roman"/>
          <w:sz w:val="20"/>
          <w:szCs w:val="20"/>
          <w:color w:val="auto"/>
        </w:rPr>
        <w:t xml:space="preserve">set forth on </w:t>
      </w:r>
      <w:r>
        <w:rPr>
          <w:rFonts w:ascii="Times New Roman" w:cs="Times New Roman" w:eastAsia="Times New Roman" w:hAnsi="Times New Roman"/>
          <w:sz w:val="20"/>
          <w:szCs w:val="20"/>
          <w:u w:val="single" w:color="auto"/>
          <w:color w:val="auto"/>
        </w:rPr>
        <w:t>Schedule 1.1(d)</w:t>
      </w:r>
      <w:r>
        <w:rPr>
          <w:rFonts w:ascii="Times New Roman" w:cs="Times New Roman" w:eastAsia="Times New Roman" w:hAnsi="Times New Roman"/>
          <w:sz w:val="20"/>
          <w:szCs w:val="20"/>
          <w:color w:val="auto"/>
        </w:rPr>
        <w:t xml:space="preserve"> or as separately agreed to in a written agreement between Centuri and such Issuing Lender (which such</w:t>
      </w:r>
    </w:p>
    <w:p>
      <w:pPr>
        <w:spacing w:after="0" w:line="1" w:lineRule="exact"/>
        <w:rPr>
          <w:sz w:val="20"/>
          <w:szCs w:val="20"/>
          <w:color w:val="auto"/>
        </w:rPr>
      </w:pPr>
    </w:p>
    <w:p>
      <w:pPr>
        <w:ind w:left="58"/>
        <w:spacing w:after="0" w:line="204" w:lineRule="auto"/>
        <w:rPr>
          <w:sz w:val="20"/>
          <w:szCs w:val="20"/>
          <w:color w:val="auto"/>
        </w:rPr>
      </w:pPr>
      <w:r>
        <w:rPr>
          <w:rFonts w:ascii="Times New Roman" w:cs="Times New Roman" w:eastAsia="Times New Roman" w:hAnsi="Times New Roman"/>
          <w:sz w:val="20"/>
          <w:szCs w:val="20"/>
          <w:color w:val="auto"/>
        </w:rPr>
        <w:t>agreement shall be promptly delivered to the Administrative Agent upon execution), in each case any such amount may be changed after the Closing Date in a written agreement between Centuri and such Issuing Lender (which such agreement shall be promptly delivered to</w:t>
      </w:r>
    </w:p>
    <w:p>
      <w:pPr>
        <w:ind w:left="58"/>
        <w:spacing w:after="0" w:line="211" w:lineRule="auto"/>
        <w:rPr>
          <w:sz w:val="20"/>
          <w:szCs w:val="20"/>
          <w:color w:val="auto"/>
        </w:rPr>
      </w:pPr>
      <w:r>
        <w:rPr>
          <w:rFonts w:ascii="Times New Roman" w:cs="Times New Roman" w:eastAsia="Times New Roman" w:hAnsi="Times New Roman"/>
          <w:sz w:val="20"/>
          <w:szCs w:val="20"/>
          <w:color w:val="auto"/>
        </w:rPr>
        <w:t xml:space="preserve">the Administrative Agent upon execution);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L/C Commitment with respect to any Person that ceases to be an Issuing</w:t>
      </w:r>
    </w:p>
    <w:p>
      <w:pPr>
        <w:spacing w:after="0" w:line="1" w:lineRule="exact"/>
        <w:rPr>
          <w:sz w:val="20"/>
          <w:szCs w:val="20"/>
          <w:color w:val="auto"/>
        </w:rPr>
      </w:pPr>
    </w:p>
    <w:p>
      <w:pPr>
        <w:ind w:left="58" w:right="20"/>
        <w:spacing w:after="0" w:line="221" w:lineRule="auto"/>
        <w:rPr>
          <w:sz w:val="20"/>
          <w:szCs w:val="20"/>
          <w:color w:val="auto"/>
        </w:rPr>
      </w:pPr>
      <w:r>
        <w:rPr>
          <w:rFonts w:ascii="Times New Roman" w:cs="Times New Roman" w:eastAsia="Times New Roman" w:hAnsi="Times New Roman"/>
          <w:sz w:val="20"/>
          <w:szCs w:val="20"/>
          <w:color w:val="auto"/>
        </w:rPr>
        <w:t>Lender for any reason pursuant to the terms hereof shall be $0 (subject to the Letters of Credit of such Person remaining outstanding in accordance with the provisions hereof).</w:t>
      </w:r>
    </w:p>
    <w:p>
      <w:pPr>
        <w:spacing w:after="0" w:line="189" w:lineRule="exact"/>
        <w:rPr>
          <w:sz w:val="20"/>
          <w:szCs w:val="20"/>
          <w:color w:val="auto"/>
        </w:rPr>
      </w:pPr>
    </w:p>
    <w:p>
      <w:pPr>
        <w:ind w:left="69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Facility</w:t>
      </w:r>
      <w:r>
        <w:rPr>
          <w:rFonts w:ascii="Times New Roman" w:cs="Times New Roman" w:eastAsia="Times New Roman" w:hAnsi="Times New Roman"/>
          <w:sz w:val="20"/>
          <w:szCs w:val="20"/>
          <w:color w:val="auto"/>
        </w:rPr>
        <w:t xml:space="preserve">” means the letter of credit facility established pursuant to </w:t>
      </w:r>
      <w:r>
        <w:rPr>
          <w:rFonts w:ascii="Times New Roman" w:cs="Times New Roman" w:eastAsia="Times New Roman" w:hAnsi="Times New Roman"/>
          <w:sz w:val="20"/>
          <w:szCs w:val="20"/>
          <w:u w:val="single" w:color="auto"/>
          <w:color w:val="auto"/>
        </w:rPr>
        <w:t>Article III</w:t>
      </w:r>
      <w:r>
        <w:rPr>
          <w:rFonts w:ascii="Times New Roman" w:cs="Times New Roman" w:eastAsia="Times New Roman" w:hAnsi="Times New Roman"/>
          <w:sz w:val="20"/>
          <w:szCs w:val="20"/>
          <w:color w:val="auto"/>
        </w:rPr>
        <w:t>.</w:t>
      </w:r>
    </w:p>
    <w:p>
      <w:pPr>
        <w:spacing w:after="0" w:line="283" w:lineRule="exact"/>
        <w:rPr>
          <w:sz w:val="20"/>
          <w:szCs w:val="20"/>
          <w:color w:val="auto"/>
        </w:rPr>
      </w:pPr>
    </w:p>
    <w:p>
      <w:pPr>
        <w:ind w:left="69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Obligations</w:t>
      </w:r>
      <w:r>
        <w:rPr>
          <w:rFonts w:ascii="Times New Roman" w:cs="Times New Roman" w:eastAsia="Times New Roman" w:hAnsi="Times New Roman"/>
          <w:sz w:val="20"/>
          <w:szCs w:val="20"/>
          <w:color w:val="auto"/>
        </w:rPr>
        <w:t>” means, collectively, the Canadian L/C Obligations and the US L/C Obligations.</w:t>
      </w:r>
    </w:p>
    <w:p>
      <w:pPr>
        <w:spacing w:after="0" w:line="283" w:lineRule="exact"/>
        <w:rPr>
          <w:sz w:val="20"/>
          <w:szCs w:val="20"/>
          <w:color w:val="auto"/>
        </w:rPr>
      </w:pPr>
    </w:p>
    <w:p>
      <w:pPr>
        <w:ind w:left="58" w:right="220" w:firstLine="648"/>
        <w:spacing w:after="0" w:line="23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Participants</w:t>
      </w:r>
      <w:r>
        <w:rPr>
          <w:rFonts w:ascii="Times New Roman" w:cs="Times New Roman" w:eastAsia="Times New Roman" w:hAnsi="Times New Roman"/>
          <w:sz w:val="20"/>
          <w:szCs w:val="20"/>
          <w:color w:val="auto"/>
        </w:rPr>
        <w:t>” means, with respect to any Letter of Credit, the collective reference to all the Revolving Credit Lenders other than the applicable Issuing Lender.</w:t>
      </w:r>
    </w:p>
    <w:p>
      <w:pPr>
        <w:spacing w:after="0" w:line="201" w:lineRule="exact"/>
        <w:rPr>
          <w:sz w:val="20"/>
          <w:szCs w:val="20"/>
          <w:color w:val="auto"/>
        </w:rPr>
      </w:pPr>
    </w:p>
    <w:p>
      <w:pPr>
        <w:ind w:left="69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Sublimit</w:t>
      </w:r>
      <w:r>
        <w:rPr>
          <w:rFonts w:ascii="Times New Roman" w:cs="Times New Roman" w:eastAsia="Times New Roman" w:hAnsi="Times New Roman"/>
          <w:sz w:val="20"/>
          <w:szCs w:val="20"/>
          <w:color w:val="auto"/>
        </w:rPr>
        <w:t>” means the lesser of (a) $</w:t>
      </w:r>
      <w:r>
        <w:rPr>
          <w:rFonts w:ascii="Times New Roman" w:cs="Times New Roman" w:eastAsia="Times New Roman" w:hAnsi="Times New Roman"/>
          <w:sz w:val="20"/>
          <w:szCs w:val="20"/>
          <w:color w:val="FF0000"/>
          <w:strike w:val="1"/>
        </w:rPr>
        <w:t>100,000,000</w:t>
      </w:r>
      <w:r>
        <w:rPr>
          <w:rFonts w:ascii="Times New Roman" w:cs="Times New Roman" w:eastAsia="Times New Roman" w:hAnsi="Times New Roman"/>
          <w:sz w:val="20"/>
          <w:szCs w:val="20"/>
          <w:u w:val="single" w:color="auto"/>
          <w:color w:val="0000FF"/>
        </w:rPr>
        <w:t>125,000,000</w:t>
      </w:r>
      <w:r>
        <w:rPr>
          <w:rFonts w:ascii="Times New Roman" w:cs="Times New Roman" w:eastAsia="Times New Roman" w:hAnsi="Times New Roman"/>
          <w:sz w:val="20"/>
          <w:szCs w:val="20"/>
          <w:color w:val="auto"/>
        </w:rPr>
        <w:t xml:space="preserve"> and (b) the Revolving Credit Commitment.</w:t>
      </w:r>
    </w:p>
    <w:p>
      <w:pPr>
        <w:spacing w:after="0" w:line="243" w:lineRule="exact"/>
        <w:rPr>
          <w:sz w:val="20"/>
          <w:szCs w:val="20"/>
          <w:color w:val="auto"/>
        </w:rPr>
      </w:pPr>
    </w:p>
    <w:p>
      <w:pPr>
        <w:ind w:left="69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LCA Test Date</w:t>
      </w:r>
      <w:r>
        <w:rPr>
          <w:rFonts w:ascii="Times New Roman" w:cs="Times New Roman" w:eastAsia="Times New Roman" w:hAnsi="Times New Roman"/>
          <w:sz w:val="20"/>
          <w:szCs w:val="20"/>
          <w:color w:val="auto"/>
        </w:rPr>
        <w:t xml:space="preserve">” has the meaning assigned thereto in </w:t>
      </w:r>
      <w:r>
        <w:rPr>
          <w:rFonts w:ascii="Times New Roman" w:cs="Times New Roman" w:eastAsia="Times New Roman" w:hAnsi="Times New Roman"/>
          <w:sz w:val="20"/>
          <w:szCs w:val="20"/>
          <w:u w:val="single" w:color="auto"/>
          <w:color w:val="auto"/>
        </w:rPr>
        <w:t>Section 1.12(a)</w:t>
      </w:r>
      <w:r>
        <w:rPr>
          <w:rFonts w:ascii="Times New Roman" w:cs="Times New Roman" w:eastAsia="Times New Roman" w:hAnsi="Times New Roman"/>
          <w:sz w:val="20"/>
          <w:szCs w:val="20"/>
          <w:color w:val="auto"/>
        </w:rPr>
        <w:t>.</w:t>
      </w:r>
    </w:p>
    <w:p>
      <w:pPr>
        <w:spacing w:after="0" w:line="283" w:lineRule="exact"/>
        <w:rPr>
          <w:sz w:val="20"/>
          <w:szCs w:val="20"/>
          <w:color w:val="auto"/>
        </w:rPr>
      </w:pPr>
    </w:p>
    <w:p>
      <w:pPr>
        <w:ind w:left="58" w:firstLine="648"/>
        <w:spacing w:after="0" w:line="21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Lender</w:t>
      </w:r>
      <w:r>
        <w:rPr>
          <w:rFonts w:ascii="Times New Roman" w:cs="Times New Roman" w:eastAsia="Times New Roman" w:hAnsi="Times New Roman"/>
          <w:sz w:val="20"/>
          <w:szCs w:val="20"/>
          <w:color w:val="auto"/>
        </w:rPr>
        <w:t xml:space="preserve">” means each Person executing this Agreement as a Lender on the Closing Date and any other Person that shall have become a party to this Agreement as a Lender pursuant to an Assignment and Assumption or pursuant to </w:t>
      </w:r>
      <w:r>
        <w:rPr>
          <w:rFonts w:ascii="Times New Roman" w:cs="Times New Roman" w:eastAsia="Times New Roman" w:hAnsi="Times New Roman"/>
          <w:sz w:val="20"/>
          <w:szCs w:val="20"/>
          <w:u w:val="single" w:color="auto"/>
          <w:color w:val="auto"/>
        </w:rPr>
        <w:t>Section 5.13</w:t>
      </w:r>
      <w:r>
        <w:rPr>
          <w:rFonts w:ascii="Times New Roman" w:cs="Times New Roman" w:eastAsia="Times New Roman" w:hAnsi="Times New Roman"/>
          <w:sz w:val="20"/>
          <w:szCs w:val="20"/>
          <w:color w:val="auto"/>
        </w:rPr>
        <w:t>, other than any</w:t>
      </w:r>
    </w:p>
    <w:p>
      <w:pPr>
        <w:spacing w:after="0" w:line="1" w:lineRule="exact"/>
        <w:rPr>
          <w:sz w:val="20"/>
          <w:szCs w:val="20"/>
          <w:color w:val="auto"/>
        </w:rPr>
      </w:pPr>
    </w:p>
    <w:p>
      <w:pPr>
        <w:ind w:left="58" w:right="20"/>
        <w:spacing w:after="0" w:line="228" w:lineRule="auto"/>
        <w:rPr>
          <w:sz w:val="20"/>
          <w:szCs w:val="20"/>
          <w:color w:val="auto"/>
        </w:rPr>
      </w:pPr>
      <w:r>
        <w:rPr>
          <w:rFonts w:ascii="Times New Roman" w:cs="Times New Roman" w:eastAsia="Times New Roman" w:hAnsi="Times New Roman"/>
          <w:sz w:val="20"/>
          <w:szCs w:val="20"/>
          <w:color w:val="auto"/>
        </w:rPr>
        <w:t>Person that ceases to be a party hereto as a Lender pursuant to an Assignment and Assumption. Unless the context otherwise requires, the term “Lenders” includes the Swingline Lenders.</w:t>
      </w:r>
    </w:p>
    <w:p>
      <w:pPr>
        <w:spacing w:after="0" w:line="189" w:lineRule="exact"/>
        <w:rPr>
          <w:sz w:val="20"/>
          <w:szCs w:val="20"/>
          <w:color w:val="auto"/>
        </w:rPr>
      </w:pPr>
    </w:p>
    <w:p>
      <w:pPr>
        <w:ind w:left="69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Lending Office</w:t>
      </w:r>
      <w:r>
        <w:rPr>
          <w:rFonts w:ascii="Times New Roman" w:cs="Times New Roman" w:eastAsia="Times New Roman" w:hAnsi="Times New Roman"/>
          <w:sz w:val="20"/>
          <w:szCs w:val="20"/>
          <w:color w:val="auto"/>
        </w:rPr>
        <w:t>” means, with respect to any Lender, the office of such Lender maintaining such Lender’s Extensions of Credit.</w:t>
      </w:r>
    </w:p>
    <w:p>
      <w:pPr>
        <w:spacing w:after="0" w:line="216" w:lineRule="exact"/>
        <w:rPr>
          <w:sz w:val="20"/>
          <w:szCs w:val="20"/>
          <w:color w:val="auto"/>
        </w:rPr>
      </w:pPr>
    </w:p>
    <w:p>
      <w:pPr>
        <w:ind w:left="58" w:right="20"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Letter of Credit Application</w:t>
      </w:r>
      <w:r>
        <w:rPr>
          <w:rFonts w:ascii="Times New Roman" w:cs="Times New Roman" w:eastAsia="Times New Roman" w:hAnsi="Times New Roman"/>
          <w:sz w:val="20"/>
          <w:szCs w:val="20"/>
          <w:color w:val="auto"/>
        </w:rPr>
        <w:t>” means an application and a reimbursement agreement, in the form specified by the applicable Issuing Lender from time to time, requesting such Issuing Lender to issue a Letter of Credit.</w:t>
      </w:r>
    </w:p>
    <w:p>
      <w:pPr>
        <w:spacing w:after="0" w:line="202" w:lineRule="exact"/>
        <w:rPr>
          <w:sz w:val="20"/>
          <w:szCs w:val="20"/>
          <w:color w:val="auto"/>
        </w:rPr>
      </w:pPr>
    </w:p>
    <w:p>
      <w:pPr>
        <w:ind w:left="59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Letters of Credit</w:t>
      </w:r>
      <w:r>
        <w:rPr>
          <w:rFonts w:ascii="Times New Roman" w:cs="Times New Roman" w:eastAsia="Times New Roman" w:hAnsi="Times New Roman"/>
          <w:sz w:val="20"/>
          <w:szCs w:val="20"/>
          <w:color w:val="auto"/>
        </w:rPr>
        <w:t>” means the collective reference to Canadian Letters of Credit and US Letters of Credit.</w:t>
      </w:r>
    </w:p>
    <w:p>
      <w:pPr>
        <w:spacing w:after="0" w:line="283" w:lineRule="exact"/>
        <w:rPr>
          <w:sz w:val="20"/>
          <w:szCs w:val="20"/>
          <w:color w:val="auto"/>
        </w:rPr>
      </w:pPr>
    </w:p>
    <w:p>
      <w:pPr>
        <w:ind w:left="69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Leverage Ratio Increase</w:t>
      </w:r>
      <w:r>
        <w:rPr>
          <w:rFonts w:ascii="Times New Roman" w:cs="Times New Roman" w:eastAsia="Times New Roman" w:hAnsi="Times New Roman"/>
          <w:sz w:val="20"/>
          <w:szCs w:val="20"/>
          <w:color w:val="auto"/>
        </w:rPr>
        <w:t xml:space="preserve">” has the meaning assigned thereto in </w:t>
      </w:r>
      <w:r>
        <w:rPr>
          <w:rFonts w:ascii="Times New Roman" w:cs="Times New Roman" w:eastAsia="Times New Roman" w:hAnsi="Times New Roman"/>
          <w:sz w:val="20"/>
          <w:szCs w:val="20"/>
          <w:u w:val="single" w:color="auto"/>
          <w:color w:val="auto"/>
        </w:rPr>
        <w:t>Section 9.13(b)</w:t>
      </w:r>
      <w:r>
        <w:rPr>
          <w:rFonts w:ascii="Times New Roman" w:cs="Times New Roman" w:eastAsia="Times New Roman" w:hAnsi="Times New Roman"/>
          <w:sz w:val="20"/>
          <w:szCs w:val="20"/>
          <w:color w:val="auto"/>
        </w:rPr>
        <w:t>.</w:t>
      </w:r>
    </w:p>
    <w:p>
      <w:pPr>
        <w:spacing w:after="0" w:line="283" w:lineRule="exact"/>
        <w:rPr>
          <w:sz w:val="20"/>
          <w:szCs w:val="20"/>
          <w:color w:val="auto"/>
        </w:rPr>
      </w:pPr>
    </w:p>
    <w:p>
      <w:pPr>
        <w:ind w:left="69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LIBOR</w:t>
      </w:r>
      <w:r>
        <w:rPr>
          <w:rFonts w:ascii="Times New Roman" w:cs="Times New Roman" w:eastAsia="Times New Roman" w:hAnsi="Times New Roman"/>
          <w:sz w:val="20"/>
          <w:szCs w:val="20"/>
          <w:color w:val="auto"/>
        </w:rPr>
        <w:t xml:space="preserve">” means, subject to the implementation of a Benchmark Replacement in accordance with </w:t>
      </w:r>
      <w:r>
        <w:rPr>
          <w:rFonts w:ascii="Times New Roman" w:cs="Times New Roman" w:eastAsia="Times New Roman" w:hAnsi="Times New Roman"/>
          <w:sz w:val="20"/>
          <w:szCs w:val="20"/>
          <w:u w:val="single" w:color="auto"/>
          <w:color w:val="auto"/>
        </w:rPr>
        <w:t>Section 5.8(c)</w:t>
      </w:r>
      <w:r>
        <w:rPr>
          <w:rFonts w:ascii="Times New Roman" w:cs="Times New Roman" w:eastAsia="Times New Roman" w:hAnsi="Times New Roman"/>
          <w:sz w:val="20"/>
          <w:szCs w:val="20"/>
          <w:color w:val="auto"/>
        </w:rPr>
        <w:t>,</w:t>
      </w:r>
    </w:p>
    <w:p>
      <w:pPr>
        <w:spacing w:after="0" w:line="283" w:lineRule="exact"/>
        <w:rPr>
          <w:sz w:val="20"/>
          <w:szCs w:val="20"/>
          <w:color w:val="auto"/>
        </w:rPr>
      </w:pPr>
    </w:p>
    <w:p>
      <w:pPr>
        <w:ind w:left="58" w:right="160" w:firstLine="644"/>
        <w:spacing w:after="0"/>
        <w:tabs>
          <w:tab w:leader="none" w:pos="1245"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any interest rate calculation with respect to a LIBOR Rate Loan, the rate of interest per annum determined on the basis of the rate for deposits in Dollars for a period equal to the applicable Interest</w:t>
      </w:r>
    </w:p>
    <w:p>
      <w:pPr>
        <w:spacing w:after="0" w:line="200" w:lineRule="exact"/>
        <w:rPr>
          <w:sz w:val="20"/>
          <w:szCs w:val="20"/>
          <w:color w:val="auto"/>
        </w:rPr>
      </w:pPr>
    </w:p>
    <w:p>
      <w:pPr>
        <w:spacing w:after="0" w:line="281" w:lineRule="exact"/>
        <w:rPr>
          <w:sz w:val="20"/>
          <w:szCs w:val="20"/>
          <w:color w:val="auto"/>
        </w:rPr>
      </w:pPr>
    </w:p>
    <w:p>
      <w:pPr>
        <w:ind w:left="338"/>
        <w:spacing w:after="0"/>
        <w:rPr>
          <w:sz w:val="20"/>
          <w:szCs w:val="20"/>
          <w:color w:val="auto"/>
        </w:rPr>
      </w:pPr>
      <w:r>
        <w:rPr>
          <w:rFonts w:ascii="Times New Roman" w:cs="Times New Roman" w:eastAsia="Times New Roman" w:hAnsi="Times New Roman"/>
          <w:sz w:val="14"/>
          <w:szCs w:val="14"/>
          <w:color w:val="FF0000"/>
          <w:strike w:val="1"/>
        </w:rPr>
        <w:t>146960219_6</w:t>
      </w:r>
    </w:p>
    <w:p>
      <w:pPr>
        <w:spacing w:after="0" w:line="4" w:lineRule="exact"/>
        <w:rPr>
          <w:sz w:val="20"/>
          <w:szCs w:val="20"/>
          <w:color w:val="auto"/>
        </w:rPr>
      </w:pPr>
    </w:p>
    <w:p>
      <w:pPr>
        <w:ind w:left="338" w:hanging="338"/>
        <w:spacing w:after="0"/>
        <w:tabs>
          <w:tab w:leader="none" w:pos="338"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078"/>
          </w:cols>
          <w:pgMar w:left="382" w:top="1070" w:right="439" w:bottom="1440" w:gutter="0" w:footer="0" w:header="0"/>
        </w:sectPr>
      </w:pPr>
    </w:p>
    <w:bookmarkStart w:id="118" w:name="page119"/>
    <w:bookmarkEnd w:id="118"/>
    <w:p>
      <w:pPr>
        <w:ind w:left="60"/>
        <w:spacing w:after="0" w:line="215" w:lineRule="auto"/>
        <w:rPr>
          <w:sz w:val="20"/>
          <w:szCs w:val="20"/>
          <w:color w:val="auto"/>
        </w:rPr>
      </w:pPr>
      <w:r>
        <w:rPr>
          <w:rFonts w:ascii="Times New Roman" w:cs="Times New Roman" w:eastAsia="Times New Roman" w:hAnsi="Times New Roman"/>
          <w:sz w:val="20"/>
          <w:szCs w:val="20"/>
          <w:color w:val="auto"/>
        </w:rPr>
        <w:t>Period as published by the ICE Benchmark Administration Limited, a United Kingdom company, or a comparable or successor quoting service approved by the Administrative Agent, at approximately 11:00</w:t>
      </w:r>
    </w:p>
    <w:p>
      <w:pPr>
        <w:spacing w:after="0" w:line="1" w:lineRule="exact"/>
        <w:rPr>
          <w:sz w:val="20"/>
          <w:szCs w:val="20"/>
          <w:color w:val="auto"/>
        </w:rPr>
      </w:pPr>
    </w:p>
    <w:p>
      <w:pPr>
        <w:ind w:left="60"/>
        <w:spacing w:after="0" w:line="222" w:lineRule="auto"/>
        <w:rPr>
          <w:sz w:val="20"/>
          <w:szCs w:val="20"/>
          <w:color w:val="auto"/>
        </w:rPr>
      </w:pPr>
      <w:r>
        <w:rPr>
          <w:rFonts w:ascii="Times New Roman" w:cs="Times New Roman" w:eastAsia="Times New Roman" w:hAnsi="Times New Roman"/>
          <w:sz w:val="19"/>
          <w:szCs w:val="19"/>
          <w:color w:val="auto"/>
        </w:rPr>
        <w:t>a.m. (London time) two (2) London Banking Days prior to the first day of the applicable Interest Period. If, for any reason, such rate is not so published then “LIBOR” shall be determined by the Administrative Agent to be the arithmetic average of the rate per annum at which</w:t>
      </w:r>
    </w:p>
    <w:p>
      <w:pPr>
        <w:spacing w:after="0" w:line="1" w:lineRule="exact"/>
        <w:rPr>
          <w:sz w:val="20"/>
          <w:szCs w:val="20"/>
          <w:color w:val="auto"/>
        </w:rPr>
      </w:pPr>
    </w:p>
    <w:p>
      <w:pPr>
        <w:ind w:left="60"/>
        <w:spacing w:after="0" w:line="204" w:lineRule="auto"/>
        <w:rPr>
          <w:sz w:val="20"/>
          <w:szCs w:val="20"/>
          <w:color w:val="auto"/>
        </w:rPr>
      </w:pPr>
      <w:r>
        <w:rPr>
          <w:rFonts w:ascii="Times New Roman" w:cs="Times New Roman" w:eastAsia="Times New Roman" w:hAnsi="Times New Roman"/>
          <w:sz w:val="20"/>
          <w:szCs w:val="20"/>
          <w:color w:val="auto"/>
        </w:rPr>
        <w:t>deposits in Dollars would be offered by first class banks in the London interbank market to the Administrative Agent at approximately 11:00 a.m. (London time) two (2) London Banking Days prior to the first day of the applicable Interest Period for a period equal to such</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Interest Period, and</w:t>
      </w:r>
    </w:p>
    <w:p>
      <w:pPr>
        <w:spacing w:after="0" w:line="194" w:lineRule="exact"/>
        <w:rPr>
          <w:sz w:val="20"/>
          <w:szCs w:val="20"/>
          <w:color w:val="auto"/>
        </w:rPr>
      </w:pPr>
    </w:p>
    <w:p>
      <w:pPr>
        <w:jc w:val="both"/>
        <w:ind w:left="60" w:right="20" w:firstLine="643"/>
        <w:spacing w:after="0" w:line="215" w:lineRule="auto"/>
        <w:tabs>
          <w:tab w:leader="none" w:pos="1235"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any interest rate calculation with respect to a Base Rate Loan, the rate of interest per annum determined on the basis of the rate for deposits in Dollars for an Interest Period equal to one month (commencing on the date of determination of such interest rate) as published by the ICE Benchmark Administration Limited, a United Kingdom company, or a comparable or successor quoting service approved by the Administrative Agent, at approximately 11:00 a.m. (London time) on such date of determination, or, if such date is not a Business Day, then the immediately preceding Business Day. If, for any reason, such rate is not so published then “LIBOR” for such Base Rate Loan shall be determined by the Administrative Agent to be the arithmetic average of the rate per annum at which deposits in Dollars would be offered by first class banks in the London interbank market to the Administrative Agent at approximately 11:00 a.m. (London time) on such date of determination for a period equal to one month commencing on such date of determination.</w:t>
      </w:r>
    </w:p>
    <w:p>
      <w:pPr>
        <w:spacing w:after="0" w:line="18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color w:val="auto"/>
        </w:rPr>
        <w:t>Each calculation by the Administrative Agent of LIBOR shall be conclusive and binding for all purposes, absent manifest error.</w:t>
      </w:r>
    </w:p>
    <w:p>
      <w:pPr>
        <w:spacing w:after="0" w:line="21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color w:val="auto"/>
        </w:rPr>
        <w:t>Notwithstanding the foregoing, (x) in no event shall LIBOR (including, without limitation, any Benchmark Replacement with</w:t>
      </w:r>
    </w:p>
    <w:p>
      <w:pPr>
        <w:ind w:left="60"/>
        <w:spacing w:after="0" w:line="204" w:lineRule="auto"/>
        <w:rPr>
          <w:sz w:val="20"/>
          <w:szCs w:val="20"/>
          <w:color w:val="auto"/>
        </w:rPr>
      </w:pPr>
      <w:r>
        <w:rPr>
          <w:rFonts w:ascii="Times New Roman" w:cs="Times New Roman" w:eastAsia="Times New Roman" w:hAnsi="Times New Roman"/>
          <w:sz w:val="20"/>
          <w:szCs w:val="20"/>
          <w:color w:val="auto"/>
        </w:rPr>
        <w:t xml:space="preserve">respect thereto) be less than the Floor and (y) unless otherwise specified in any amendment to this Agreement entered into in accordance with </w:t>
      </w:r>
      <w:r>
        <w:rPr>
          <w:rFonts w:ascii="Times New Roman" w:cs="Times New Roman" w:eastAsia="Times New Roman" w:hAnsi="Times New Roman"/>
          <w:sz w:val="20"/>
          <w:szCs w:val="20"/>
          <w:u w:val="single" w:color="auto"/>
          <w:color w:val="auto"/>
        </w:rPr>
        <w:t>Section 5.8(c)</w:t>
      </w:r>
      <w:r>
        <w:rPr>
          <w:rFonts w:ascii="Times New Roman" w:cs="Times New Roman" w:eastAsia="Times New Roman" w:hAnsi="Times New Roman"/>
          <w:sz w:val="20"/>
          <w:szCs w:val="20"/>
          <w:color w:val="auto"/>
        </w:rPr>
        <w:t>, in the event that a Benchmark Replacement with respect to LIBOR is implemented then all references herein to</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LIBOR shall be deemed references to such Benchmark Replacement.</w:t>
      </w:r>
    </w:p>
    <w:p>
      <w:pPr>
        <w:spacing w:after="0" w:line="19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LIBOR Rate</w:t>
      </w:r>
      <w:r>
        <w:rPr>
          <w:rFonts w:ascii="Times New Roman" w:cs="Times New Roman" w:eastAsia="Times New Roman" w:hAnsi="Times New Roman"/>
          <w:sz w:val="20"/>
          <w:szCs w:val="20"/>
          <w:color w:val="auto"/>
        </w:rPr>
        <w:t>” means a rate per annum determined by the Administrative Agent pursuant to the following formula:</w:t>
      </w:r>
    </w:p>
    <w:p>
      <w:pPr>
        <w:spacing w:after="0" w:line="229" w:lineRule="exact"/>
        <w:rPr>
          <w:sz w:val="20"/>
          <w:szCs w:val="20"/>
          <w:color w:val="auto"/>
        </w:rPr>
      </w:pPr>
    </w:p>
    <w:p>
      <w:pPr>
        <w:ind w:left="1800"/>
        <w:spacing w:after="0"/>
        <w:tabs>
          <w:tab w:leader="none" w:pos="3140" w:val="left"/>
        </w:tabs>
        <w:rPr>
          <w:sz w:val="20"/>
          <w:szCs w:val="20"/>
          <w:color w:val="auto"/>
        </w:rPr>
      </w:pPr>
      <w:r>
        <w:rPr>
          <w:rFonts w:ascii="Times New Roman" w:cs="Times New Roman" w:eastAsia="Times New Roman" w:hAnsi="Times New Roman"/>
          <w:sz w:val="20"/>
          <w:szCs w:val="20"/>
          <w:color w:val="auto"/>
        </w:rPr>
        <w:t>LIBOR Rate =</w:t>
        <w:tab/>
        <w:t>LIBOR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2066925</wp:posOffset>
            </wp:positionH>
            <wp:positionV relativeFrom="paragraph">
              <wp:posOffset>160020</wp:posOffset>
            </wp:positionV>
            <wp:extent cx="26746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30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0"/>
          <w:szCs w:val="20"/>
          <w:color w:val="auto"/>
        </w:rPr>
        <w:t>1.00-Eurodollar Reserve Percentage</w:t>
      </w:r>
    </w:p>
    <w:p>
      <w:pPr>
        <w:spacing w:after="0" w:line="28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LIBOR Rate Loan</w:t>
      </w:r>
      <w:r>
        <w:rPr>
          <w:rFonts w:ascii="Times New Roman" w:cs="Times New Roman" w:eastAsia="Times New Roman" w:hAnsi="Times New Roman"/>
          <w:sz w:val="20"/>
          <w:szCs w:val="20"/>
          <w:color w:val="auto"/>
        </w:rPr>
        <w:t xml:space="preserve">” means any Loan bearing interest at a rate based upon the LIBOR Rate as provided in </w:t>
      </w:r>
      <w:r>
        <w:rPr>
          <w:rFonts w:ascii="Times New Roman" w:cs="Times New Roman" w:eastAsia="Times New Roman" w:hAnsi="Times New Roman"/>
          <w:sz w:val="20"/>
          <w:szCs w:val="20"/>
          <w:u w:val="single" w:color="auto"/>
          <w:color w:val="auto"/>
        </w:rPr>
        <w:t>Section 5.1(a)</w:t>
      </w:r>
      <w:r>
        <w:rPr>
          <w:rFonts w:ascii="Times New Roman" w:cs="Times New Roman" w:eastAsia="Times New Roman" w:hAnsi="Times New Roman"/>
          <w:sz w:val="20"/>
          <w:szCs w:val="20"/>
          <w:color w:val="auto"/>
        </w:rPr>
        <w:t>.</w:t>
      </w:r>
    </w:p>
    <w:p>
      <w:pPr>
        <w:spacing w:after="0" w:line="30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Lien</w:t>
      </w:r>
      <w:r>
        <w:rPr>
          <w:rFonts w:ascii="Times New Roman" w:cs="Times New Roman" w:eastAsia="Times New Roman" w:hAnsi="Times New Roman"/>
          <w:sz w:val="20"/>
          <w:szCs w:val="20"/>
          <w:color w:val="auto"/>
        </w:rPr>
        <w:t>” means, with respect to any asset, any mortgage, leasehold mortgage, lien, pledge, charge, security interest, hypothecation</w:t>
      </w:r>
    </w:p>
    <w:p>
      <w:pPr>
        <w:ind w:left="60"/>
        <w:spacing w:after="0" w:line="204" w:lineRule="auto"/>
        <w:rPr>
          <w:sz w:val="20"/>
          <w:szCs w:val="20"/>
          <w:color w:val="auto"/>
        </w:rPr>
      </w:pPr>
      <w:r>
        <w:rPr>
          <w:rFonts w:ascii="Times New Roman" w:cs="Times New Roman" w:eastAsia="Times New Roman" w:hAnsi="Times New Roman"/>
          <w:sz w:val="20"/>
          <w:szCs w:val="20"/>
          <w:color w:val="auto"/>
        </w:rPr>
        <w:t>or encumbrance of any kind in respect of such asset whether statutory, based on common law, contract, or otherwise. For the purposes of this Agreement, a Person shall be deemed to own subject to a Lien any asset which it has acquired or holds subject to the interest of a</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vendor or lessor under any conditional sale agreement, Capital Lease Obligation or other title retention agreement relating to such asset.</w:t>
      </w:r>
    </w:p>
    <w:p>
      <w:pPr>
        <w:spacing w:after="0" w:line="19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Limited Condition Acquisition</w:t>
      </w:r>
      <w:r>
        <w:rPr>
          <w:rFonts w:ascii="Times New Roman" w:cs="Times New Roman" w:eastAsia="Times New Roman" w:hAnsi="Times New Roman"/>
          <w:sz w:val="20"/>
          <w:szCs w:val="20"/>
          <w:color w:val="auto"/>
        </w:rPr>
        <w:t>” means any Acquisition that (a) is not prohibited hereunder and</w:t>
      </w:r>
    </w:p>
    <w:p>
      <w:pPr>
        <w:spacing w:after="0" w:line="94" w:lineRule="exact"/>
        <w:rPr>
          <w:sz w:val="20"/>
          <w:szCs w:val="20"/>
          <w:color w:val="auto"/>
        </w:rPr>
      </w:pPr>
    </w:p>
    <w:p>
      <w:pPr>
        <w:ind w:left="700" w:right="1400" w:hanging="644"/>
        <w:spacing w:after="0" w:line="494" w:lineRule="auto"/>
        <w:tabs>
          <w:tab w:leader="none" w:pos="688"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not conditioned on the availability of, or on obtaining, third-party financing. “</w:t>
      </w:r>
      <w:r>
        <w:rPr>
          <w:rFonts w:ascii="Times New Roman" w:cs="Times New Roman" w:eastAsia="Times New Roman" w:hAnsi="Times New Roman"/>
          <w:sz w:val="20"/>
          <w:szCs w:val="20"/>
          <w:u w:val="single" w:color="auto"/>
          <w:color w:val="auto"/>
        </w:rPr>
        <w:t>Linetec</w:t>
      </w:r>
      <w:r>
        <w:rPr>
          <w:rFonts w:ascii="Times New Roman" w:cs="Times New Roman" w:eastAsia="Times New Roman" w:hAnsi="Times New Roman"/>
          <w:sz w:val="20"/>
          <w:szCs w:val="20"/>
          <w:color w:val="auto"/>
        </w:rPr>
        <w:t>” means Linetec Services, LLC, a Delaware limited liability company.</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FF0000"/>
          <w:strike w:val="1"/>
        </w:rPr>
        <w:t>146960219_6</w:t>
      </w:r>
    </w:p>
    <w:p>
      <w:pPr>
        <w:ind w:left="340" w:hanging="338"/>
        <w:spacing w:after="0" w:line="229" w:lineRule="auto"/>
        <w:tabs>
          <w:tab w:leader="none" w:pos="340"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080"/>
          </w:cols>
          <w:pgMar w:left="380" w:top="1399" w:right="439" w:bottom="1440" w:gutter="0" w:footer="0" w:header="0"/>
        </w:sectPr>
      </w:pPr>
    </w:p>
    <w:bookmarkStart w:id="119" w:name="page120"/>
    <w:bookmarkEnd w:id="119"/>
    <w:p>
      <w:pPr>
        <w:spacing w:after="0" w:line="216" w:lineRule="exact"/>
        <w:rPr>
          <w:sz w:val="20"/>
          <w:szCs w:val="20"/>
          <w:color w:val="auto"/>
        </w:rPr>
      </w:pPr>
    </w:p>
    <w:p>
      <w:pPr>
        <w:jc w:val="both"/>
        <w:ind w:left="58"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Linetec Purchase Agreement</w:t>
      </w:r>
      <w:r>
        <w:rPr>
          <w:rFonts w:ascii="Times New Roman" w:cs="Times New Roman" w:eastAsia="Times New Roman" w:hAnsi="Times New Roman"/>
          <w:sz w:val="20"/>
          <w:szCs w:val="20"/>
          <w:color w:val="auto"/>
        </w:rPr>
        <w:t>” means that certain Membership Interest Purchase Agreement dated November 26, 2018 by and among, inter alia, Centuri U.S. Division, Linetec and the existing sole equity holders of Linetec, including all exhibits, schedules and annexes thereto.</w:t>
      </w:r>
    </w:p>
    <w:p>
      <w:pPr>
        <w:spacing w:after="0" w:line="188" w:lineRule="exact"/>
        <w:rPr>
          <w:sz w:val="20"/>
          <w:szCs w:val="20"/>
          <w:color w:val="auto"/>
        </w:rPr>
      </w:pPr>
    </w:p>
    <w:p>
      <w:pPr>
        <w:jc w:val="both"/>
        <w:ind w:left="58" w:firstLine="648"/>
        <w:spacing w:after="0" w:line="22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 Documents</w:t>
      </w:r>
      <w:r>
        <w:rPr>
          <w:rFonts w:ascii="Times New Roman" w:cs="Times New Roman" w:eastAsia="Times New Roman" w:hAnsi="Times New Roman"/>
          <w:sz w:val="20"/>
          <w:szCs w:val="20"/>
          <w:color w:val="auto"/>
        </w:rPr>
        <w:t>” means, collectively, this Agreement, each Note, the Letter of Credit Applications, the Security Documents, the Guaranty Agreements, the Fee Letters, each Acceptable Intercreditor Agreement, each Refinancing Amendment, each Incremental</w:t>
      </w:r>
    </w:p>
    <w:p>
      <w:pPr>
        <w:spacing w:after="0" w:line="2" w:lineRule="exact"/>
        <w:rPr>
          <w:sz w:val="20"/>
          <w:szCs w:val="20"/>
          <w:color w:val="auto"/>
        </w:rPr>
      </w:pPr>
    </w:p>
    <w:p>
      <w:pPr>
        <w:jc w:val="both"/>
        <w:ind w:left="58" w:right="20"/>
        <w:spacing w:after="0" w:line="204" w:lineRule="auto"/>
        <w:rPr>
          <w:sz w:val="20"/>
          <w:szCs w:val="20"/>
          <w:color w:val="auto"/>
        </w:rPr>
      </w:pPr>
      <w:r>
        <w:rPr>
          <w:rFonts w:ascii="Times New Roman" w:cs="Times New Roman" w:eastAsia="Times New Roman" w:hAnsi="Times New Roman"/>
          <w:sz w:val="20"/>
          <w:szCs w:val="20"/>
          <w:color w:val="auto"/>
        </w:rPr>
        <w:t>Amendment, each Extension Amendment and each other document, instrument, certificate and agreement executed and delivered by the Credit Parties or any of their respective Subsidiaries in favor of or provided to the Administrative Agent or any Secured Party in</w:t>
      </w:r>
    </w:p>
    <w:p>
      <w:pPr>
        <w:spacing w:after="0" w:line="1" w:lineRule="exact"/>
        <w:rPr>
          <w:sz w:val="20"/>
          <w:szCs w:val="20"/>
          <w:color w:val="auto"/>
        </w:rPr>
      </w:pPr>
    </w:p>
    <w:p>
      <w:pPr>
        <w:jc w:val="both"/>
        <w:ind w:left="58"/>
        <w:spacing w:after="0" w:line="228" w:lineRule="auto"/>
        <w:rPr>
          <w:sz w:val="20"/>
          <w:szCs w:val="20"/>
          <w:color w:val="auto"/>
        </w:rPr>
      </w:pPr>
      <w:r>
        <w:rPr>
          <w:rFonts w:ascii="Times New Roman" w:cs="Times New Roman" w:eastAsia="Times New Roman" w:hAnsi="Times New Roman"/>
          <w:sz w:val="20"/>
          <w:szCs w:val="20"/>
          <w:color w:val="auto"/>
        </w:rPr>
        <w:t>connection with this Agreement or otherwise referred to herein or contemplated hereby (excluding any Secured Hedge Agreement and any Secured Cash Management Agreement).</w:t>
      </w:r>
    </w:p>
    <w:p>
      <w:pPr>
        <w:spacing w:after="0" w:line="189" w:lineRule="exact"/>
        <w:rPr>
          <w:sz w:val="20"/>
          <w:szCs w:val="20"/>
          <w:color w:val="auto"/>
        </w:rPr>
      </w:pPr>
    </w:p>
    <w:p>
      <w:pPr>
        <w:jc w:val="both"/>
        <w:ind w:left="58" w:right="20" w:firstLine="648"/>
        <w:spacing w:after="0" w:line="23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Loans</w:t>
      </w:r>
      <w:r>
        <w:rPr>
          <w:rFonts w:ascii="Times New Roman" w:cs="Times New Roman" w:eastAsia="Times New Roman" w:hAnsi="Times New Roman"/>
          <w:sz w:val="20"/>
          <w:szCs w:val="20"/>
          <w:color w:val="auto"/>
        </w:rPr>
        <w:t>” means the collective reference to the Revolving Credit Loans, the Term Loans and the Swingline Loans, and “Loan” means any of such Loans.</w:t>
      </w:r>
    </w:p>
    <w:p>
      <w:pPr>
        <w:spacing w:after="0" w:line="201" w:lineRule="exact"/>
        <w:rPr>
          <w:sz w:val="20"/>
          <w:szCs w:val="20"/>
          <w:color w:val="auto"/>
        </w:rPr>
      </w:pPr>
    </w:p>
    <w:p>
      <w:pPr>
        <w:jc w:val="both"/>
        <w:ind w:left="58" w:right="20" w:firstLine="648"/>
        <w:spacing w:after="0" w:line="23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London Banking Day</w:t>
      </w:r>
      <w:r>
        <w:rPr>
          <w:rFonts w:ascii="Times New Roman" w:cs="Times New Roman" w:eastAsia="Times New Roman" w:hAnsi="Times New Roman"/>
          <w:sz w:val="20"/>
          <w:szCs w:val="20"/>
          <w:color w:val="auto"/>
        </w:rPr>
        <w:t>” means any day on which dealings in Dollar deposits are conducted by and between banks in the London interbank Eurodollar market.</w:t>
      </w:r>
    </w:p>
    <w:p>
      <w:pPr>
        <w:spacing w:after="0" w:line="188" w:lineRule="exact"/>
        <w:rPr>
          <w:sz w:val="20"/>
          <w:szCs w:val="20"/>
          <w:color w:val="auto"/>
        </w:rPr>
      </w:pPr>
    </w:p>
    <w:p>
      <w:pPr>
        <w:jc w:val="both"/>
        <w:ind w:left="58" w:firstLine="648"/>
        <w:spacing w:after="0" w:line="23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Material Adverse Effect</w:t>
      </w:r>
      <w:r>
        <w:rPr>
          <w:rFonts w:ascii="Times New Roman" w:cs="Times New Roman" w:eastAsia="Times New Roman" w:hAnsi="Times New Roman"/>
          <w:sz w:val="19"/>
          <w:szCs w:val="19"/>
          <w:color w:val="auto"/>
        </w:rPr>
        <w:t>” means, with respect to the Consolidated Companies, (a) a material adverse effect on the properties, business, operations or financial condition of such Persons, taken as a whole, (b) a material impairment of the ability of any such Person to</w:t>
      </w:r>
    </w:p>
    <w:p>
      <w:pPr>
        <w:spacing w:after="0" w:line="1" w:lineRule="exact"/>
        <w:rPr>
          <w:sz w:val="20"/>
          <w:szCs w:val="20"/>
          <w:color w:val="auto"/>
        </w:rPr>
      </w:pPr>
    </w:p>
    <w:p>
      <w:pPr>
        <w:jc w:val="both"/>
        <w:ind w:left="58"/>
        <w:spacing w:after="0" w:line="204" w:lineRule="auto"/>
        <w:rPr>
          <w:sz w:val="20"/>
          <w:szCs w:val="20"/>
          <w:color w:val="auto"/>
        </w:rPr>
      </w:pPr>
      <w:r>
        <w:rPr>
          <w:rFonts w:ascii="Times New Roman" w:cs="Times New Roman" w:eastAsia="Times New Roman" w:hAnsi="Times New Roman"/>
          <w:sz w:val="20"/>
          <w:szCs w:val="20"/>
          <w:color w:val="auto"/>
        </w:rPr>
        <w:t>perform its obligations under the Loan Documents to which it is a party, (c) a material impairment of the rights and remedies of the Administrative Agent or any Lender under any Loan Document or (d) an impairment of the legality, validity, binding effect or</w:t>
      </w:r>
    </w:p>
    <w:p>
      <w:pPr>
        <w:spacing w:after="0" w:line="1" w:lineRule="exact"/>
        <w:rPr>
          <w:sz w:val="20"/>
          <w:szCs w:val="20"/>
          <w:color w:val="auto"/>
        </w:rPr>
      </w:pPr>
    </w:p>
    <w:p>
      <w:pPr>
        <w:ind w:left="58"/>
        <w:spacing w:after="0"/>
        <w:rPr>
          <w:sz w:val="20"/>
          <w:szCs w:val="20"/>
          <w:color w:val="auto"/>
        </w:rPr>
      </w:pPr>
      <w:r>
        <w:rPr>
          <w:rFonts w:ascii="Times New Roman" w:cs="Times New Roman" w:eastAsia="Times New Roman" w:hAnsi="Times New Roman"/>
          <w:sz w:val="20"/>
          <w:szCs w:val="20"/>
          <w:color w:val="auto"/>
        </w:rPr>
        <w:t>enforceability against any Credit Party of any Loan Document to which it is a party.</w:t>
      </w:r>
    </w:p>
    <w:p>
      <w:pPr>
        <w:spacing w:after="0" w:line="194" w:lineRule="exact"/>
        <w:rPr>
          <w:sz w:val="20"/>
          <w:szCs w:val="20"/>
          <w:color w:val="auto"/>
        </w:rPr>
      </w:pPr>
    </w:p>
    <w:p>
      <w:pPr>
        <w:ind w:left="69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Subsidiary</w:t>
      </w:r>
      <w:r>
        <w:rPr>
          <w:rFonts w:ascii="Times New Roman" w:cs="Times New Roman" w:eastAsia="Times New Roman" w:hAnsi="Times New Roman"/>
          <w:sz w:val="20"/>
          <w:szCs w:val="20"/>
          <w:color w:val="auto"/>
        </w:rPr>
        <w:t>” means, as of any date, any Subsidiary that is not an Immaterial Subsidiary.</w:t>
      </w:r>
    </w:p>
    <w:p>
      <w:pPr>
        <w:spacing w:after="0" w:line="283" w:lineRule="exact"/>
        <w:rPr>
          <w:sz w:val="20"/>
          <w:szCs w:val="20"/>
          <w:color w:val="auto"/>
        </w:rPr>
      </w:pPr>
    </w:p>
    <w:p>
      <w:pPr>
        <w:jc w:val="both"/>
        <w:ind w:left="58" w:firstLine="648"/>
        <w:spacing w:after="0" w:line="22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Minimum Collateral Amount</w:t>
      </w:r>
      <w:r>
        <w:rPr>
          <w:rFonts w:ascii="Times New Roman" w:cs="Times New Roman" w:eastAsia="Times New Roman" w:hAnsi="Times New Roman"/>
          <w:sz w:val="20"/>
          <w:szCs w:val="20"/>
          <w:color w:val="auto"/>
        </w:rPr>
        <w:t>” means, at any time, (a) with respect to Cash Collateral consisting of cash or deposit account balances, an amount equal to 100% of the sum of (i) the Fronting Exposure of the Issuing Lenders with respect to Letters of Credit issued</w:t>
      </w:r>
    </w:p>
    <w:p>
      <w:pPr>
        <w:spacing w:after="0" w:line="2" w:lineRule="exact"/>
        <w:rPr>
          <w:sz w:val="20"/>
          <w:szCs w:val="20"/>
          <w:color w:val="auto"/>
        </w:rPr>
      </w:pPr>
    </w:p>
    <w:p>
      <w:pPr>
        <w:jc w:val="both"/>
        <w:ind w:left="58"/>
        <w:spacing w:after="0" w:line="215" w:lineRule="auto"/>
        <w:rPr>
          <w:sz w:val="20"/>
          <w:szCs w:val="20"/>
          <w:color w:val="auto"/>
        </w:rPr>
      </w:pPr>
      <w:r>
        <w:rPr>
          <w:rFonts w:ascii="Times New Roman" w:cs="Times New Roman" w:eastAsia="Times New Roman" w:hAnsi="Times New Roman"/>
          <w:sz w:val="19"/>
          <w:szCs w:val="19"/>
          <w:color w:val="auto"/>
        </w:rPr>
        <w:t>and outstanding at such time and (ii) the Fronting Exposure of the Swingline Lenders with respect to all Swingline Loans outstanding at such time and (b) otherwise, an amount determined by the Administrative Agent and each of the applicable Issuing Lenders that is entitled</w:t>
      </w:r>
    </w:p>
    <w:p>
      <w:pPr>
        <w:ind w:left="58"/>
        <w:spacing w:after="0"/>
        <w:rPr>
          <w:sz w:val="20"/>
          <w:szCs w:val="20"/>
          <w:color w:val="auto"/>
        </w:rPr>
      </w:pPr>
      <w:r>
        <w:rPr>
          <w:rFonts w:ascii="Times New Roman" w:cs="Times New Roman" w:eastAsia="Times New Roman" w:hAnsi="Times New Roman"/>
          <w:sz w:val="20"/>
          <w:szCs w:val="20"/>
          <w:color w:val="auto"/>
        </w:rPr>
        <w:t>to Cash Collateral hereunder at such time in their sole discretion.</w:t>
      </w:r>
    </w:p>
    <w:p>
      <w:pPr>
        <w:spacing w:after="0" w:line="194" w:lineRule="exact"/>
        <w:rPr>
          <w:sz w:val="20"/>
          <w:szCs w:val="20"/>
          <w:color w:val="auto"/>
        </w:rPr>
      </w:pPr>
    </w:p>
    <w:p>
      <w:pPr>
        <w:ind w:left="69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Moody’s</w:t>
      </w:r>
      <w:r>
        <w:rPr>
          <w:rFonts w:ascii="Times New Roman" w:cs="Times New Roman" w:eastAsia="Times New Roman" w:hAnsi="Times New Roman"/>
          <w:sz w:val="20"/>
          <w:szCs w:val="20"/>
          <w:color w:val="auto"/>
        </w:rPr>
        <w:t>” means Moody’s Investors Service, Inc.</w:t>
      </w:r>
    </w:p>
    <w:p>
      <w:pPr>
        <w:spacing w:after="0" w:line="283" w:lineRule="exact"/>
        <w:rPr>
          <w:sz w:val="20"/>
          <w:szCs w:val="20"/>
          <w:color w:val="auto"/>
        </w:rPr>
      </w:pPr>
    </w:p>
    <w:p>
      <w:pPr>
        <w:jc w:val="both"/>
        <w:ind w:left="58" w:firstLine="648"/>
        <w:spacing w:after="0" w:line="22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Multiemployer Plan</w:t>
      </w:r>
      <w:r>
        <w:rPr>
          <w:rFonts w:ascii="Times New Roman" w:cs="Times New Roman" w:eastAsia="Times New Roman" w:hAnsi="Times New Roman"/>
          <w:sz w:val="19"/>
          <w:szCs w:val="19"/>
          <w:color w:val="auto"/>
        </w:rPr>
        <w:t>” means a “multiemployer plan” as defined in Section 4001(a)(3) of ERISA to which any Credit Party or any ERISA Affiliate is making, or is accruing an obligation to make, or has accrued an obligation to make contributions within the preceding</w:t>
      </w:r>
    </w:p>
    <w:p>
      <w:pPr>
        <w:ind w:left="58"/>
        <w:spacing w:after="0"/>
        <w:rPr>
          <w:sz w:val="20"/>
          <w:szCs w:val="20"/>
          <w:color w:val="auto"/>
        </w:rPr>
      </w:pPr>
      <w:r>
        <w:rPr>
          <w:rFonts w:ascii="Times New Roman" w:cs="Times New Roman" w:eastAsia="Times New Roman" w:hAnsi="Times New Roman"/>
          <w:sz w:val="20"/>
          <w:szCs w:val="20"/>
          <w:color w:val="auto"/>
        </w:rPr>
        <w:t>seven (7) years.</w:t>
      </w:r>
    </w:p>
    <w:p>
      <w:pPr>
        <w:spacing w:after="0" w:line="194" w:lineRule="exact"/>
        <w:rPr>
          <w:sz w:val="20"/>
          <w:szCs w:val="20"/>
          <w:color w:val="auto"/>
        </w:rPr>
      </w:pPr>
    </w:p>
    <w:p>
      <w:pPr>
        <w:jc w:val="both"/>
        <w:ind w:left="58" w:firstLine="648"/>
        <w:spacing w:after="0" w:line="22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Net Cash Proceeds</w:t>
      </w:r>
      <w:r>
        <w:rPr>
          <w:rFonts w:ascii="Times New Roman" w:cs="Times New Roman" w:eastAsia="Times New Roman" w:hAnsi="Times New Roman"/>
          <w:sz w:val="20"/>
          <w:szCs w:val="20"/>
          <w:color w:val="auto"/>
        </w:rPr>
        <w:t>” means, as applicable, (a) with respect to any Asset Disposition or Insurance and Condemnation Event, the gross proceeds received by any Credit Party or any of its Subsidiaries therefrom (including any cash, Cash Equivalents, deferred payment</w:t>
      </w:r>
    </w:p>
    <w:p>
      <w:pPr>
        <w:spacing w:after="0" w:line="2" w:lineRule="exact"/>
        <w:rPr>
          <w:sz w:val="20"/>
          <w:szCs w:val="20"/>
          <w:color w:val="auto"/>
        </w:rPr>
      </w:pPr>
    </w:p>
    <w:p>
      <w:pPr>
        <w:jc w:val="both"/>
        <w:ind w:left="58"/>
        <w:spacing w:after="0" w:line="204" w:lineRule="auto"/>
        <w:rPr>
          <w:sz w:val="20"/>
          <w:szCs w:val="20"/>
          <w:color w:val="auto"/>
        </w:rPr>
      </w:pPr>
      <w:r>
        <w:rPr>
          <w:rFonts w:ascii="Times New Roman" w:cs="Times New Roman" w:eastAsia="Times New Roman" w:hAnsi="Times New Roman"/>
          <w:sz w:val="20"/>
          <w:szCs w:val="20"/>
          <w:color w:val="auto"/>
        </w:rPr>
        <w:t xml:space="preserve">pursuant to, or by monetization of, a note receivable or otherwise, as and when received) </w:t>
      </w:r>
      <w:r>
        <w:rPr>
          <w:rFonts w:ascii="Times New Roman" w:cs="Times New Roman" w:eastAsia="Times New Roman" w:hAnsi="Times New Roman"/>
          <w:sz w:val="20"/>
          <w:szCs w:val="20"/>
          <w:u w:val="single" w:color="auto"/>
          <w:color w:val="auto"/>
        </w:rPr>
        <w:t>less</w:t>
      </w:r>
      <w:r>
        <w:rPr>
          <w:rFonts w:ascii="Times New Roman" w:cs="Times New Roman" w:eastAsia="Times New Roman" w:hAnsi="Times New Roman"/>
          <w:sz w:val="20"/>
          <w:szCs w:val="20"/>
          <w:color w:val="auto"/>
        </w:rPr>
        <w:t xml:space="preserve"> the sum of (i) in the case of an Asset Disposition, all income taxes and other taxes assessed by, or reasonably estimated to be payable to, a Governmental Authority as a result</w:t>
      </w:r>
    </w:p>
    <w:p>
      <w:pPr>
        <w:ind w:left="58"/>
        <w:spacing w:after="0" w:line="211" w:lineRule="auto"/>
        <w:rPr>
          <w:sz w:val="20"/>
          <w:szCs w:val="20"/>
          <w:color w:val="auto"/>
        </w:rPr>
      </w:pPr>
      <w:r>
        <w:rPr>
          <w:rFonts w:ascii="Times New Roman" w:cs="Times New Roman" w:eastAsia="Times New Roman" w:hAnsi="Times New Roman"/>
          <w:sz w:val="20"/>
          <w:szCs w:val="20"/>
          <w:color w:val="auto"/>
        </w:rPr>
        <w:t>of such transaction (provided that if such estimated taxes exceed the amount of actual taxes required to be paid in cash in respect of such</w:t>
      </w:r>
    </w:p>
    <w:p>
      <w:pPr>
        <w:spacing w:after="0" w:line="1" w:lineRule="exact"/>
        <w:rPr>
          <w:sz w:val="20"/>
          <w:szCs w:val="20"/>
          <w:color w:val="auto"/>
        </w:rPr>
      </w:pPr>
    </w:p>
    <w:p>
      <w:pPr>
        <w:jc w:val="both"/>
        <w:ind w:left="58" w:right="20"/>
        <w:spacing w:after="0" w:line="204" w:lineRule="auto"/>
        <w:rPr>
          <w:sz w:val="20"/>
          <w:szCs w:val="20"/>
          <w:color w:val="auto"/>
        </w:rPr>
      </w:pPr>
      <w:r>
        <w:rPr>
          <w:rFonts w:ascii="Times New Roman" w:cs="Times New Roman" w:eastAsia="Times New Roman" w:hAnsi="Times New Roman"/>
          <w:sz w:val="20"/>
          <w:szCs w:val="20"/>
          <w:color w:val="auto"/>
        </w:rPr>
        <w:t>Asset Disposition, the amount of such excess shall constitute Net Cash Proceeds), (ii) all customary out-of-pocket fees and expenses incurred in connection with such transaction or event and (iii) the principal amount of, premium, if any, and interest on any Indebtedness</w:t>
      </w:r>
    </w:p>
    <w:p>
      <w:pPr>
        <w:spacing w:after="0" w:line="1" w:lineRule="exact"/>
        <w:rPr>
          <w:sz w:val="20"/>
          <w:szCs w:val="20"/>
          <w:color w:val="auto"/>
        </w:rPr>
      </w:pPr>
    </w:p>
    <w:p>
      <w:pPr>
        <w:jc w:val="both"/>
        <w:ind w:left="58" w:right="20"/>
        <w:spacing w:after="0" w:line="228" w:lineRule="auto"/>
        <w:rPr>
          <w:sz w:val="20"/>
          <w:szCs w:val="20"/>
          <w:color w:val="auto"/>
        </w:rPr>
      </w:pPr>
      <w:r>
        <w:rPr>
          <w:rFonts w:ascii="Times New Roman" w:cs="Times New Roman" w:eastAsia="Times New Roman" w:hAnsi="Times New Roman"/>
          <w:sz w:val="20"/>
          <w:szCs w:val="20"/>
          <w:color w:val="auto"/>
        </w:rPr>
        <w:t xml:space="preserve">secured on a </w:t>
      </w:r>
      <w:r>
        <w:rPr>
          <w:rFonts w:ascii="Times New Roman" w:cs="Times New Roman" w:eastAsia="Times New Roman" w:hAnsi="Times New Roman"/>
          <w:sz w:val="20"/>
          <w:szCs w:val="20"/>
          <w:u w:val="single" w:color="auto"/>
          <w:color w:val="auto"/>
        </w:rPr>
        <w:t>pari passu</w:t>
      </w:r>
      <w:r>
        <w:rPr>
          <w:rFonts w:ascii="Times New Roman" w:cs="Times New Roman" w:eastAsia="Times New Roman" w:hAnsi="Times New Roman"/>
          <w:sz w:val="20"/>
          <w:szCs w:val="20"/>
          <w:color w:val="auto"/>
        </w:rPr>
        <w:t xml:space="preserve"> on senior ranking to the Liens created under the Loan Documents by a Lien on the asset (or a portion thereof) disposed of, which Indebtedness is required to be repaid in</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38"/>
        <w:spacing w:after="0"/>
        <w:rPr>
          <w:sz w:val="20"/>
          <w:szCs w:val="20"/>
          <w:color w:val="auto"/>
        </w:rPr>
      </w:pPr>
      <w:r>
        <w:rPr>
          <w:rFonts w:ascii="Times New Roman" w:cs="Times New Roman" w:eastAsia="Times New Roman" w:hAnsi="Times New Roman"/>
          <w:sz w:val="14"/>
          <w:szCs w:val="14"/>
          <w:color w:val="FF0000"/>
          <w:strike w:val="1"/>
        </w:rPr>
        <w:t>146960219_6</w:t>
      </w:r>
    </w:p>
    <w:p>
      <w:pPr>
        <w:spacing w:after="0" w:line="4" w:lineRule="exact"/>
        <w:rPr>
          <w:sz w:val="20"/>
          <w:szCs w:val="20"/>
          <w:color w:val="auto"/>
        </w:rPr>
      </w:pPr>
    </w:p>
    <w:p>
      <w:pPr>
        <w:ind w:left="338" w:hanging="338"/>
        <w:spacing w:after="0"/>
        <w:tabs>
          <w:tab w:leader="none" w:pos="338"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078"/>
          </w:cols>
          <w:pgMar w:left="382" w:top="1440" w:right="439" w:bottom="1440" w:gutter="0" w:footer="0" w:header="0"/>
        </w:sectPr>
      </w:pPr>
    </w:p>
    <w:bookmarkStart w:id="120" w:name="page121"/>
    <w:bookmarkEnd w:id="120"/>
    <w:p>
      <w:pPr>
        <w:ind w:left="38"/>
        <w:spacing w:after="0"/>
        <w:rPr>
          <w:sz w:val="20"/>
          <w:szCs w:val="20"/>
          <w:color w:val="auto"/>
        </w:rPr>
      </w:pPr>
      <w:r>
        <w:rPr>
          <w:rFonts w:ascii="Times New Roman" w:cs="Times New Roman" w:eastAsia="Times New Roman" w:hAnsi="Times New Roman"/>
          <w:sz w:val="19"/>
          <w:szCs w:val="19"/>
          <w:color w:val="auto"/>
        </w:rPr>
        <w:t>connection with such transaction or event, and (b) with respect to any Debt Issuance, the gross cash proceeds received by any Credit Party</w:t>
      </w:r>
    </w:p>
    <w:p>
      <w:pPr>
        <w:spacing w:after="0" w:line="6" w:lineRule="exact"/>
        <w:rPr>
          <w:sz w:val="20"/>
          <w:szCs w:val="20"/>
          <w:color w:val="auto"/>
        </w:rPr>
      </w:pPr>
    </w:p>
    <w:p>
      <w:pPr>
        <w:ind w:left="38"/>
        <w:spacing w:after="0" w:line="221" w:lineRule="auto"/>
        <w:rPr>
          <w:sz w:val="20"/>
          <w:szCs w:val="20"/>
          <w:color w:val="auto"/>
        </w:rPr>
      </w:pPr>
      <w:r>
        <w:rPr>
          <w:rFonts w:ascii="Times New Roman" w:cs="Times New Roman" w:eastAsia="Times New Roman" w:hAnsi="Times New Roman"/>
          <w:sz w:val="20"/>
          <w:szCs w:val="20"/>
          <w:color w:val="auto"/>
        </w:rPr>
        <w:t xml:space="preserve">or any of its Subsidiaries therefrom </w:t>
      </w:r>
      <w:r>
        <w:rPr>
          <w:rFonts w:ascii="Times New Roman" w:cs="Times New Roman" w:eastAsia="Times New Roman" w:hAnsi="Times New Roman"/>
          <w:sz w:val="20"/>
          <w:szCs w:val="20"/>
          <w:u w:val="single" w:color="auto"/>
          <w:color w:val="auto"/>
        </w:rPr>
        <w:t>less</w:t>
      </w:r>
      <w:r>
        <w:rPr>
          <w:rFonts w:ascii="Times New Roman" w:cs="Times New Roman" w:eastAsia="Times New Roman" w:hAnsi="Times New Roman"/>
          <w:sz w:val="20"/>
          <w:szCs w:val="20"/>
          <w:color w:val="auto"/>
        </w:rPr>
        <w:t xml:space="preserve"> all customary out-of-pocket legal, underwriting and other fees and expenses (whether similar or dissimilar to the foregoing) incurred in connection therewith.</w:t>
      </w:r>
    </w:p>
    <w:p>
      <w:pPr>
        <w:spacing w:after="0" w:line="202" w:lineRule="exact"/>
        <w:rPr>
          <w:sz w:val="20"/>
          <w:szCs w:val="20"/>
          <w:color w:val="auto"/>
        </w:rPr>
      </w:pPr>
    </w:p>
    <w:p>
      <w:pPr>
        <w:ind w:left="38" w:firstLine="648"/>
        <w:spacing w:after="0" w:line="21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Non-Consenting Lender</w:t>
      </w:r>
      <w:r>
        <w:rPr>
          <w:rFonts w:ascii="Times New Roman" w:cs="Times New Roman" w:eastAsia="Times New Roman" w:hAnsi="Times New Roman"/>
          <w:sz w:val="20"/>
          <w:szCs w:val="20"/>
          <w:color w:val="auto"/>
        </w:rPr>
        <w:t xml:space="preserve">” means any Lender that does not approve any consent, waiver, amendment, modification or termination of any Loan Document that (a) requires the approval of all Lenders or all affected Lenders in accordance with the terms of </w:t>
      </w:r>
      <w:r>
        <w:rPr>
          <w:rFonts w:ascii="Times New Roman" w:cs="Times New Roman" w:eastAsia="Times New Roman" w:hAnsi="Times New Roman"/>
          <w:sz w:val="20"/>
          <w:szCs w:val="20"/>
          <w:u w:val="single" w:color="auto"/>
          <w:color w:val="auto"/>
        </w:rPr>
        <w:t>Section 12.2</w:t>
      </w:r>
    </w:p>
    <w:p>
      <w:pPr>
        <w:spacing w:after="0" w:line="1" w:lineRule="exact"/>
        <w:rPr>
          <w:sz w:val="20"/>
          <w:szCs w:val="20"/>
          <w:color w:val="auto"/>
        </w:rPr>
      </w:pPr>
    </w:p>
    <w:p>
      <w:pPr>
        <w:ind w:left="38"/>
        <w:spacing w:after="0"/>
        <w:rPr>
          <w:sz w:val="20"/>
          <w:szCs w:val="20"/>
          <w:color w:val="auto"/>
        </w:rPr>
      </w:pPr>
      <w:r>
        <w:rPr>
          <w:rFonts w:ascii="Times New Roman" w:cs="Times New Roman" w:eastAsia="Times New Roman" w:hAnsi="Times New Roman"/>
          <w:sz w:val="20"/>
          <w:szCs w:val="20"/>
          <w:color w:val="auto"/>
        </w:rPr>
        <w:t>and (b) has been approved by the Required Lenders or the Required Facility Lenders, as applicable.</w:t>
      </w:r>
    </w:p>
    <w:p>
      <w:pPr>
        <w:spacing w:after="0" w:line="207" w:lineRule="exact"/>
        <w:rPr>
          <w:sz w:val="20"/>
          <w:szCs w:val="20"/>
          <w:color w:val="auto"/>
        </w:rPr>
      </w:pPr>
    </w:p>
    <w:p>
      <w:pPr>
        <w:ind w:left="67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Non-Credit Party Subsidiary</w:t>
      </w:r>
      <w:r>
        <w:rPr>
          <w:rFonts w:ascii="Times New Roman" w:cs="Times New Roman" w:eastAsia="Times New Roman" w:hAnsi="Times New Roman"/>
          <w:sz w:val="20"/>
          <w:szCs w:val="20"/>
          <w:color w:val="auto"/>
        </w:rPr>
        <w:t>” means any Subsidiary of a Consolidated Company that is not a Credit Party.</w:t>
      </w:r>
    </w:p>
    <w:p>
      <w:pPr>
        <w:spacing w:after="0" w:line="243" w:lineRule="exact"/>
        <w:rPr>
          <w:sz w:val="20"/>
          <w:szCs w:val="20"/>
          <w:color w:val="auto"/>
        </w:rPr>
      </w:pPr>
    </w:p>
    <w:p>
      <w:pPr>
        <w:ind w:left="67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Non-Defaulting Lender</w:t>
      </w:r>
      <w:r>
        <w:rPr>
          <w:rFonts w:ascii="Times New Roman" w:cs="Times New Roman" w:eastAsia="Times New Roman" w:hAnsi="Times New Roman"/>
          <w:sz w:val="20"/>
          <w:szCs w:val="20"/>
          <w:color w:val="auto"/>
        </w:rPr>
        <w:t>” means, at any time, each Lender that is not a Defaulting Lender at such time.</w:t>
      </w:r>
    </w:p>
    <w:p>
      <w:pPr>
        <w:spacing w:after="0" w:line="297" w:lineRule="exact"/>
        <w:rPr>
          <w:sz w:val="20"/>
          <w:szCs w:val="20"/>
          <w:color w:val="auto"/>
        </w:rPr>
      </w:pPr>
    </w:p>
    <w:p>
      <w:pPr>
        <w:ind w:left="38"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Notes</w:t>
      </w:r>
      <w:r>
        <w:rPr>
          <w:rFonts w:ascii="Times New Roman" w:cs="Times New Roman" w:eastAsia="Times New Roman" w:hAnsi="Times New Roman"/>
          <w:sz w:val="20"/>
          <w:szCs w:val="20"/>
          <w:color w:val="auto"/>
        </w:rPr>
        <w:t>” means the collective reference to the US Revolving Credit Notes, the US Swingline Note, the US Term Loan Notes, the Canadian Revolving Credit Notes, the Canadian Swingline Note and the Canadian Term Loan Notes.</w:t>
      </w:r>
    </w:p>
    <w:p>
      <w:pPr>
        <w:spacing w:after="0" w:line="173" w:lineRule="exact"/>
        <w:rPr>
          <w:sz w:val="20"/>
          <w:szCs w:val="20"/>
          <w:color w:val="auto"/>
        </w:rPr>
      </w:pPr>
    </w:p>
    <w:p>
      <w:pPr>
        <w:ind w:left="67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Notice of Account Designation</w:t>
      </w:r>
      <w:r>
        <w:rPr>
          <w:rFonts w:ascii="Times New Roman" w:cs="Times New Roman" w:eastAsia="Times New Roman" w:hAnsi="Times New Roman"/>
          <w:sz w:val="20"/>
          <w:szCs w:val="20"/>
          <w:color w:val="auto"/>
        </w:rPr>
        <w:t xml:space="preserve">” has the meaning assigned thereto in </w:t>
      </w:r>
      <w:r>
        <w:rPr>
          <w:rFonts w:ascii="Times New Roman" w:cs="Times New Roman" w:eastAsia="Times New Roman" w:hAnsi="Times New Roman"/>
          <w:sz w:val="20"/>
          <w:szCs w:val="20"/>
          <w:u w:val="single" w:color="auto"/>
          <w:color w:val="auto"/>
        </w:rPr>
        <w:t>Section 2.3(b)</w:t>
      </w:r>
      <w:r>
        <w:rPr>
          <w:rFonts w:ascii="Times New Roman" w:cs="Times New Roman" w:eastAsia="Times New Roman" w:hAnsi="Times New Roman"/>
          <w:sz w:val="20"/>
          <w:szCs w:val="20"/>
          <w:color w:val="auto"/>
        </w:rPr>
        <w:t>.</w:t>
      </w:r>
    </w:p>
    <w:p>
      <w:pPr>
        <w:spacing w:after="0" w:line="283" w:lineRule="exact"/>
        <w:rPr>
          <w:sz w:val="20"/>
          <w:szCs w:val="20"/>
          <w:color w:val="auto"/>
        </w:rPr>
      </w:pPr>
    </w:p>
    <w:p>
      <w:pPr>
        <w:ind w:left="67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Notice of Borrowing</w:t>
      </w:r>
      <w:r>
        <w:rPr>
          <w:rFonts w:ascii="Times New Roman" w:cs="Times New Roman" w:eastAsia="Times New Roman" w:hAnsi="Times New Roman"/>
          <w:sz w:val="20"/>
          <w:szCs w:val="20"/>
          <w:color w:val="auto"/>
        </w:rPr>
        <w:t xml:space="preserve">” has the meaning assigned thereto in </w:t>
      </w:r>
      <w:r>
        <w:rPr>
          <w:rFonts w:ascii="Times New Roman" w:cs="Times New Roman" w:eastAsia="Times New Roman" w:hAnsi="Times New Roman"/>
          <w:sz w:val="20"/>
          <w:szCs w:val="20"/>
          <w:u w:val="single" w:color="auto"/>
          <w:color w:val="auto"/>
        </w:rPr>
        <w:t>Section 2.3(a)</w:t>
      </w:r>
      <w:r>
        <w:rPr>
          <w:rFonts w:ascii="Times New Roman" w:cs="Times New Roman" w:eastAsia="Times New Roman" w:hAnsi="Times New Roman"/>
          <w:sz w:val="20"/>
          <w:szCs w:val="20"/>
          <w:color w:val="auto"/>
        </w:rPr>
        <w:t>.</w:t>
      </w:r>
    </w:p>
    <w:p>
      <w:pPr>
        <w:spacing w:after="0" w:line="283" w:lineRule="exact"/>
        <w:rPr>
          <w:sz w:val="20"/>
          <w:szCs w:val="20"/>
          <w:color w:val="auto"/>
        </w:rPr>
      </w:pPr>
    </w:p>
    <w:p>
      <w:pPr>
        <w:ind w:left="67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Notice of Conversion/Continuation</w:t>
      </w:r>
      <w:r>
        <w:rPr>
          <w:rFonts w:ascii="Times New Roman" w:cs="Times New Roman" w:eastAsia="Times New Roman" w:hAnsi="Times New Roman"/>
          <w:sz w:val="20"/>
          <w:szCs w:val="20"/>
          <w:color w:val="auto"/>
        </w:rPr>
        <w:t xml:space="preserve">” has the meaning assigned thereto in </w:t>
      </w:r>
      <w:r>
        <w:rPr>
          <w:rFonts w:ascii="Times New Roman" w:cs="Times New Roman" w:eastAsia="Times New Roman" w:hAnsi="Times New Roman"/>
          <w:sz w:val="20"/>
          <w:szCs w:val="20"/>
          <w:u w:val="single" w:color="auto"/>
          <w:color w:val="auto"/>
        </w:rPr>
        <w:t>Section 5.2</w:t>
      </w:r>
      <w:r>
        <w:rPr>
          <w:rFonts w:ascii="Times New Roman" w:cs="Times New Roman" w:eastAsia="Times New Roman" w:hAnsi="Times New Roman"/>
          <w:sz w:val="20"/>
          <w:szCs w:val="20"/>
          <w:color w:val="auto"/>
        </w:rPr>
        <w:t>.</w:t>
      </w:r>
    </w:p>
    <w:p>
      <w:pPr>
        <w:spacing w:after="0" w:line="283" w:lineRule="exact"/>
        <w:rPr>
          <w:sz w:val="20"/>
          <w:szCs w:val="20"/>
          <w:color w:val="auto"/>
        </w:rPr>
      </w:pPr>
    </w:p>
    <w:p>
      <w:pPr>
        <w:ind w:left="67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Notice of Prepayment</w:t>
      </w:r>
      <w:r>
        <w:rPr>
          <w:rFonts w:ascii="Times New Roman" w:cs="Times New Roman" w:eastAsia="Times New Roman" w:hAnsi="Times New Roman"/>
          <w:sz w:val="20"/>
          <w:szCs w:val="20"/>
          <w:color w:val="auto"/>
        </w:rPr>
        <w:t xml:space="preserve">” has the meaning assigned thereto in </w:t>
      </w:r>
      <w:r>
        <w:rPr>
          <w:rFonts w:ascii="Times New Roman" w:cs="Times New Roman" w:eastAsia="Times New Roman" w:hAnsi="Times New Roman"/>
          <w:sz w:val="20"/>
          <w:szCs w:val="20"/>
          <w:u w:val="single" w:color="auto"/>
          <w:color w:val="auto"/>
        </w:rPr>
        <w:t>Section 2.4(c)</w:t>
      </w:r>
      <w:r>
        <w:rPr>
          <w:rFonts w:ascii="Times New Roman" w:cs="Times New Roman" w:eastAsia="Times New Roman" w:hAnsi="Times New Roman"/>
          <w:sz w:val="20"/>
          <w:szCs w:val="20"/>
          <w:color w:val="auto"/>
        </w:rPr>
        <w:t>.</w:t>
      </w:r>
    </w:p>
    <w:p>
      <w:pPr>
        <w:spacing w:after="0" w:line="283" w:lineRule="exact"/>
        <w:rPr>
          <w:sz w:val="20"/>
          <w:szCs w:val="20"/>
          <w:color w:val="auto"/>
        </w:rPr>
      </w:pPr>
    </w:p>
    <w:p>
      <w:pPr>
        <w:ind w:left="67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Obligations</w:t>
      </w:r>
      <w:r>
        <w:rPr>
          <w:rFonts w:ascii="Times New Roman" w:cs="Times New Roman" w:eastAsia="Times New Roman" w:hAnsi="Times New Roman"/>
          <w:sz w:val="20"/>
          <w:szCs w:val="20"/>
          <w:color w:val="auto"/>
        </w:rPr>
        <w:t>” means, collectively, the Canadian Obligations and the US Obligations.</w:t>
      </w:r>
    </w:p>
    <w:p>
      <w:pPr>
        <w:spacing w:after="0" w:line="283" w:lineRule="exact"/>
        <w:rPr>
          <w:sz w:val="20"/>
          <w:szCs w:val="20"/>
          <w:color w:val="auto"/>
        </w:rPr>
      </w:pPr>
    </w:p>
    <w:p>
      <w:pPr>
        <w:ind w:left="67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OFAC</w:t>
      </w:r>
      <w:r>
        <w:rPr>
          <w:rFonts w:ascii="Times New Roman" w:cs="Times New Roman" w:eastAsia="Times New Roman" w:hAnsi="Times New Roman"/>
          <w:sz w:val="20"/>
          <w:szCs w:val="20"/>
          <w:color w:val="auto"/>
        </w:rPr>
        <w:t>” means the U.S. Department of the Treasury’s Office of Foreign Assets Control.</w:t>
      </w:r>
    </w:p>
    <w:p>
      <w:pPr>
        <w:spacing w:after="0" w:line="283" w:lineRule="exact"/>
        <w:rPr>
          <w:sz w:val="20"/>
          <w:szCs w:val="20"/>
          <w:color w:val="auto"/>
        </w:rPr>
      </w:pPr>
    </w:p>
    <w:p>
      <w:pPr>
        <w:ind w:left="38" w:right="20" w:firstLine="648"/>
        <w:spacing w:after="0" w:line="23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Officer’s Compliance Certificate</w:t>
      </w:r>
      <w:r>
        <w:rPr>
          <w:rFonts w:ascii="Times New Roman" w:cs="Times New Roman" w:eastAsia="Times New Roman" w:hAnsi="Times New Roman"/>
          <w:sz w:val="20"/>
          <w:szCs w:val="20"/>
          <w:color w:val="auto"/>
        </w:rPr>
        <w:t xml:space="preserve">” means a certificate of the chief financial officer or the treasurer of Centuri substantially in the form attached as </w:t>
      </w:r>
      <w:r>
        <w:rPr>
          <w:rFonts w:ascii="Times New Roman" w:cs="Times New Roman" w:eastAsia="Times New Roman" w:hAnsi="Times New Roman"/>
          <w:sz w:val="20"/>
          <w:szCs w:val="20"/>
          <w:b w:val="1"/>
          <w:bCs w:val="1"/>
          <w:i w:val="1"/>
          <w:iCs w:val="1"/>
          <w:color w:val="auto"/>
        </w:rPr>
        <w:t>Exhibit F</w:t>
      </w:r>
      <w:r>
        <w:rPr>
          <w:rFonts w:ascii="Times New Roman" w:cs="Times New Roman" w:eastAsia="Times New Roman" w:hAnsi="Times New Roman"/>
          <w:sz w:val="20"/>
          <w:szCs w:val="20"/>
          <w:color w:val="auto"/>
        </w:rPr>
        <w:t>.</w:t>
      </w:r>
    </w:p>
    <w:p>
      <w:pPr>
        <w:spacing w:after="0" w:line="201" w:lineRule="exact"/>
        <w:rPr>
          <w:sz w:val="20"/>
          <w:szCs w:val="20"/>
          <w:color w:val="auto"/>
        </w:rPr>
      </w:pPr>
    </w:p>
    <w:p>
      <w:pPr>
        <w:jc w:val="right"/>
        <w:ind w:left="73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Operating Lease</w:t>
      </w:r>
      <w:r>
        <w:rPr>
          <w:rFonts w:ascii="Times New Roman" w:cs="Times New Roman" w:eastAsia="Times New Roman" w:hAnsi="Times New Roman"/>
          <w:sz w:val="20"/>
          <w:szCs w:val="20"/>
          <w:color w:val="auto"/>
        </w:rPr>
        <w:t>” means, as to any Person as determined in accordance with GAAP, any lease of Property (whether real, personal or mixed) by such Person as lessee which is not a Capital Lease Obligation.</w:t>
      </w:r>
    </w:p>
    <w:p>
      <w:pPr>
        <w:spacing w:after="0" w:line="186" w:lineRule="exact"/>
        <w:rPr>
          <w:sz w:val="20"/>
          <w:szCs w:val="20"/>
          <w:color w:val="auto"/>
        </w:rPr>
      </w:pPr>
    </w:p>
    <w:p>
      <w:pPr>
        <w:jc w:val="both"/>
        <w:ind w:left="38" w:firstLine="648"/>
        <w:spacing w:after="0" w:line="21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Other Connection Taxes</w:t>
      </w:r>
      <w:r>
        <w:rPr>
          <w:rFonts w:ascii="Times New Roman" w:cs="Times New Roman" w:eastAsia="Times New Roman" w:hAnsi="Times New Roman"/>
          <w:sz w:val="20"/>
          <w:szCs w:val="20"/>
          <w:color w:val="auto"/>
        </w:rPr>
        <w:t>” means, with respect to any Recipient, Taxes imposed as a result of a present or former connection between such Recipient and the jurisdiction imposing such Tax (other than connections arising from such Recipient having executed,</w:t>
      </w:r>
    </w:p>
    <w:p>
      <w:pPr>
        <w:ind w:left="38"/>
        <w:spacing w:after="0" w:line="212" w:lineRule="auto"/>
        <w:rPr>
          <w:sz w:val="20"/>
          <w:szCs w:val="20"/>
          <w:color w:val="auto"/>
        </w:rPr>
      </w:pPr>
      <w:r>
        <w:rPr>
          <w:rFonts w:ascii="Times New Roman" w:cs="Times New Roman" w:eastAsia="Times New Roman" w:hAnsi="Times New Roman"/>
          <w:sz w:val="20"/>
          <w:szCs w:val="20"/>
          <w:color w:val="auto"/>
        </w:rPr>
        <w:t>delivered, become a party to, performed its obligations under, received payments under, received or perfected a security interest under,</w:t>
      </w:r>
    </w:p>
    <w:p>
      <w:pPr>
        <w:spacing w:after="0" w:line="1" w:lineRule="exact"/>
        <w:rPr>
          <w:sz w:val="20"/>
          <w:szCs w:val="20"/>
          <w:color w:val="auto"/>
        </w:rPr>
      </w:pPr>
    </w:p>
    <w:p>
      <w:pPr>
        <w:ind w:left="38" w:right="20"/>
        <w:spacing w:after="0" w:line="221" w:lineRule="auto"/>
        <w:rPr>
          <w:sz w:val="20"/>
          <w:szCs w:val="20"/>
          <w:color w:val="auto"/>
        </w:rPr>
      </w:pPr>
      <w:r>
        <w:rPr>
          <w:rFonts w:ascii="Times New Roman" w:cs="Times New Roman" w:eastAsia="Times New Roman" w:hAnsi="Times New Roman"/>
          <w:sz w:val="20"/>
          <w:szCs w:val="20"/>
          <w:color w:val="auto"/>
        </w:rPr>
        <w:t>engaged in any other transaction pursuant to or enforced any Loan Document, or sold or assigned an interest in any Loan or Loan Document).</w:t>
      </w:r>
    </w:p>
    <w:p>
      <w:pPr>
        <w:spacing w:after="0" w:line="202" w:lineRule="exact"/>
        <w:rPr>
          <w:sz w:val="20"/>
          <w:szCs w:val="20"/>
          <w:color w:val="auto"/>
        </w:rPr>
      </w:pPr>
    </w:p>
    <w:p>
      <w:pPr>
        <w:ind w:left="38" w:firstLine="648"/>
        <w:spacing w:after="0" w:line="22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Other Taxes</w:t>
      </w:r>
      <w:r>
        <w:rPr>
          <w:rFonts w:ascii="Times New Roman" w:cs="Times New Roman" w:eastAsia="Times New Roman" w:hAnsi="Times New Roman"/>
          <w:sz w:val="19"/>
          <w:szCs w:val="19"/>
          <w:color w:val="auto"/>
        </w:rPr>
        <w:t>” means all present or future stamp, court, documentary, intangible, recording, filing or similar Taxes that arise from any payment made under, from the execution, delivery, performance, enforcement or registration of, from the receipt or perfection of a</w:t>
      </w:r>
    </w:p>
    <w:p>
      <w:pPr>
        <w:ind w:left="38"/>
        <w:spacing w:after="0" w:line="228" w:lineRule="auto"/>
        <w:rPr>
          <w:sz w:val="20"/>
          <w:szCs w:val="20"/>
          <w:color w:val="auto"/>
        </w:rPr>
      </w:pPr>
      <w:r>
        <w:rPr>
          <w:rFonts w:ascii="Times New Roman" w:cs="Times New Roman" w:eastAsia="Times New Roman" w:hAnsi="Times New Roman"/>
          <w:sz w:val="20"/>
          <w:szCs w:val="20"/>
          <w:color w:val="auto"/>
        </w:rPr>
        <w:t xml:space="preserve">security interest under, or otherwise with respect to, any Loan Document, except any such Taxes that are Other Connection Taxes imposed with respect to an assignment (other than an assignment made pursuant to </w:t>
      </w:r>
      <w:r>
        <w:rPr>
          <w:rFonts w:ascii="Times New Roman" w:cs="Times New Roman" w:eastAsia="Times New Roman" w:hAnsi="Times New Roman"/>
          <w:sz w:val="20"/>
          <w:szCs w:val="20"/>
          <w:u w:val="single" w:color="auto"/>
          <w:color w:val="auto"/>
        </w:rPr>
        <w:t>Section 5.12</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96" w:lineRule="exact"/>
        <w:rPr>
          <w:sz w:val="20"/>
          <w:szCs w:val="20"/>
          <w:color w:val="auto"/>
        </w:rPr>
      </w:pPr>
    </w:p>
    <w:p>
      <w:pPr>
        <w:ind w:left="338"/>
        <w:spacing w:after="0"/>
        <w:rPr>
          <w:sz w:val="20"/>
          <w:szCs w:val="20"/>
          <w:color w:val="auto"/>
        </w:rPr>
      </w:pPr>
      <w:r>
        <w:rPr>
          <w:rFonts w:ascii="Times New Roman" w:cs="Times New Roman" w:eastAsia="Times New Roman" w:hAnsi="Times New Roman"/>
          <w:sz w:val="14"/>
          <w:szCs w:val="14"/>
          <w:color w:val="FF0000"/>
          <w:strike w:val="1"/>
        </w:rPr>
        <w:t>146960219_6</w:t>
      </w:r>
    </w:p>
    <w:p>
      <w:pPr>
        <w:ind w:left="338" w:hanging="338"/>
        <w:spacing w:after="0" w:line="229" w:lineRule="auto"/>
        <w:tabs>
          <w:tab w:leader="none" w:pos="338"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078"/>
          </w:cols>
          <w:pgMar w:left="382" w:top="1075" w:right="439" w:bottom="1440" w:gutter="0" w:footer="0" w:header="0"/>
        </w:sectPr>
      </w:pPr>
    </w:p>
    <w:bookmarkStart w:id="121" w:name="page122"/>
    <w:bookmarkEnd w:id="121"/>
    <w:p>
      <w:pPr>
        <w:ind w:left="69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 xml:space="preserve">” has the meaning assigned thereto in </w:t>
      </w:r>
      <w:r>
        <w:rPr>
          <w:rFonts w:ascii="Times New Roman" w:cs="Times New Roman" w:eastAsia="Times New Roman" w:hAnsi="Times New Roman"/>
          <w:sz w:val="20"/>
          <w:szCs w:val="20"/>
          <w:u w:val="single" w:color="auto"/>
          <w:color w:val="auto"/>
        </w:rPr>
        <w:t>Section 12.9(d)</w:t>
      </w:r>
      <w:r>
        <w:rPr>
          <w:rFonts w:ascii="Times New Roman" w:cs="Times New Roman" w:eastAsia="Times New Roman" w:hAnsi="Times New Roman"/>
          <w:sz w:val="20"/>
          <w:szCs w:val="20"/>
          <w:color w:val="auto"/>
        </w:rPr>
        <w:t>.</w:t>
      </w:r>
    </w:p>
    <w:p>
      <w:pPr>
        <w:spacing w:after="0" w:line="283" w:lineRule="exact"/>
        <w:rPr>
          <w:sz w:val="20"/>
          <w:szCs w:val="20"/>
          <w:color w:val="auto"/>
        </w:rPr>
      </w:pPr>
    </w:p>
    <w:p>
      <w:pPr>
        <w:ind w:left="69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Participant Register</w:t>
      </w:r>
      <w:r>
        <w:rPr>
          <w:rFonts w:ascii="Times New Roman" w:cs="Times New Roman" w:eastAsia="Times New Roman" w:hAnsi="Times New Roman"/>
          <w:sz w:val="20"/>
          <w:szCs w:val="20"/>
          <w:color w:val="auto"/>
        </w:rPr>
        <w:t xml:space="preserve">” has the meaning assigned thereto in </w:t>
      </w:r>
      <w:r>
        <w:rPr>
          <w:rFonts w:ascii="Times New Roman" w:cs="Times New Roman" w:eastAsia="Times New Roman" w:hAnsi="Times New Roman"/>
          <w:sz w:val="20"/>
          <w:szCs w:val="20"/>
          <w:u w:val="single" w:color="auto"/>
          <w:color w:val="auto"/>
        </w:rPr>
        <w:t>Section 12.9(d)</w:t>
      </w:r>
      <w:r>
        <w:rPr>
          <w:rFonts w:ascii="Times New Roman" w:cs="Times New Roman" w:eastAsia="Times New Roman" w:hAnsi="Times New Roman"/>
          <w:sz w:val="20"/>
          <w:szCs w:val="20"/>
          <w:color w:val="auto"/>
        </w:rPr>
        <w:t>.</w:t>
      </w:r>
    </w:p>
    <w:p>
      <w:pPr>
        <w:spacing w:after="0" w:line="283" w:lineRule="exact"/>
        <w:rPr>
          <w:sz w:val="20"/>
          <w:szCs w:val="20"/>
          <w:color w:val="auto"/>
        </w:rPr>
      </w:pPr>
    </w:p>
    <w:p>
      <w:pPr>
        <w:ind w:left="69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PATRIOT Act</w:t>
      </w:r>
      <w:r>
        <w:rPr>
          <w:rFonts w:ascii="Times New Roman" w:cs="Times New Roman" w:eastAsia="Times New Roman" w:hAnsi="Times New Roman"/>
          <w:sz w:val="20"/>
          <w:szCs w:val="20"/>
          <w:color w:val="auto"/>
        </w:rPr>
        <w:t>” means the USA PATRIOT Act (Title III of Pub. L. 107-56 (signed into law October 26, 2001)).</w:t>
      </w:r>
    </w:p>
    <w:p>
      <w:pPr>
        <w:spacing w:after="0" w:line="216" w:lineRule="exact"/>
        <w:rPr>
          <w:sz w:val="20"/>
          <w:szCs w:val="20"/>
          <w:color w:val="auto"/>
        </w:rPr>
      </w:pPr>
    </w:p>
    <w:p>
      <w:pPr>
        <w:ind w:left="69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Payment Recipient</w:t>
      </w:r>
      <w:r>
        <w:rPr>
          <w:rFonts w:ascii="Times New Roman" w:cs="Times New Roman" w:eastAsia="Times New Roman" w:hAnsi="Times New Roman"/>
          <w:sz w:val="20"/>
          <w:szCs w:val="20"/>
          <w:color w:val="auto"/>
        </w:rPr>
        <w:t xml:space="preserve">” has the meaning assigned thereto in </w:t>
      </w:r>
      <w:r>
        <w:rPr>
          <w:rFonts w:ascii="Times New Roman" w:cs="Times New Roman" w:eastAsia="Times New Roman" w:hAnsi="Times New Roman"/>
          <w:sz w:val="20"/>
          <w:szCs w:val="20"/>
          <w:u w:val="single" w:color="auto"/>
          <w:color w:val="auto"/>
        </w:rPr>
        <w:t>Section 11.11(a)</w:t>
      </w:r>
      <w:r>
        <w:rPr>
          <w:rFonts w:ascii="Times New Roman" w:cs="Times New Roman" w:eastAsia="Times New Roman" w:hAnsi="Times New Roman"/>
          <w:sz w:val="20"/>
          <w:szCs w:val="20"/>
          <w:color w:val="auto"/>
        </w:rPr>
        <w:t>.</w:t>
      </w:r>
    </w:p>
    <w:p>
      <w:pPr>
        <w:spacing w:after="0" w:line="283" w:lineRule="exact"/>
        <w:rPr>
          <w:sz w:val="20"/>
          <w:szCs w:val="20"/>
          <w:color w:val="auto"/>
        </w:rPr>
      </w:pPr>
    </w:p>
    <w:p>
      <w:pPr>
        <w:ind w:left="69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PBGC</w:t>
      </w:r>
      <w:r>
        <w:rPr>
          <w:rFonts w:ascii="Times New Roman" w:cs="Times New Roman" w:eastAsia="Times New Roman" w:hAnsi="Times New Roman"/>
          <w:sz w:val="20"/>
          <w:szCs w:val="20"/>
          <w:color w:val="auto"/>
        </w:rPr>
        <w:t>” means the Pension Benefit Guaranty Corporation or any successor agency.</w:t>
      </w:r>
    </w:p>
    <w:p>
      <w:pPr>
        <w:spacing w:after="0" w:line="283" w:lineRule="exact"/>
        <w:rPr>
          <w:sz w:val="20"/>
          <w:szCs w:val="20"/>
          <w:color w:val="auto"/>
        </w:rPr>
      </w:pPr>
    </w:p>
    <w:p>
      <w:pPr>
        <w:ind w:left="58" w:firstLine="648"/>
        <w:spacing w:after="0" w:line="22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Pension Plan</w:t>
      </w:r>
      <w:r>
        <w:rPr>
          <w:rFonts w:ascii="Times New Roman" w:cs="Times New Roman" w:eastAsia="Times New Roman" w:hAnsi="Times New Roman"/>
          <w:sz w:val="19"/>
          <w:szCs w:val="19"/>
          <w:color w:val="auto"/>
        </w:rPr>
        <w:t>” means any Employee Benefit Plan, other than a Multiemployer Plan, which is subject to the provisions of Title IV of ERISA or Section 412 of the Code and which (a) is maintained, funded or administered for the employees of any Credit Party or any</w:t>
      </w:r>
    </w:p>
    <w:p>
      <w:pPr>
        <w:ind w:left="58"/>
        <w:spacing w:after="0" w:line="228" w:lineRule="auto"/>
        <w:rPr>
          <w:sz w:val="20"/>
          <w:szCs w:val="20"/>
          <w:color w:val="auto"/>
        </w:rPr>
      </w:pPr>
      <w:r>
        <w:rPr>
          <w:rFonts w:ascii="Times New Roman" w:cs="Times New Roman" w:eastAsia="Times New Roman" w:hAnsi="Times New Roman"/>
          <w:sz w:val="20"/>
          <w:szCs w:val="20"/>
          <w:color w:val="auto"/>
        </w:rPr>
        <w:t>ERISA Affiliate or (b) has at any time within the preceding seven (7) years been maintained, funded or administered for the employees of any Credit Party or any current or former ERISA Affiliates and shall not include any Canadian Pension Plan.</w:t>
      </w:r>
    </w:p>
    <w:p>
      <w:pPr>
        <w:spacing w:after="0" w:line="189" w:lineRule="exact"/>
        <w:rPr>
          <w:sz w:val="20"/>
          <w:szCs w:val="20"/>
          <w:color w:val="auto"/>
        </w:rPr>
      </w:pPr>
    </w:p>
    <w:p>
      <w:pPr>
        <w:ind w:left="58"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Acquisition</w:t>
      </w:r>
      <w:r>
        <w:rPr>
          <w:rFonts w:ascii="Times New Roman" w:cs="Times New Roman" w:eastAsia="Times New Roman" w:hAnsi="Times New Roman"/>
          <w:sz w:val="20"/>
          <w:szCs w:val="20"/>
          <w:color w:val="auto"/>
        </w:rPr>
        <w:t xml:space="preserve">” means any Acquisition by any Credit Party if each such Acquisition meets all of the following requirements (subject, in the case of a Permitted Acquisition that is a Limited Condition Acquisition, to </w:t>
      </w:r>
      <w:r>
        <w:rPr>
          <w:rFonts w:ascii="Times New Roman" w:cs="Times New Roman" w:eastAsia="Times New Roman" w:hAnsi="Times New Roman"/>
          <w:sz w:val="20"/>
          <w:szCs w:val="20"/>
          <w:u w:val="single" w:color="auto"/>
          <w:color w:val="auto"/>
        </w:rPr>
        <w:t>Section 1.12</w:t>
      </w:r>
      <w:r>
        <w:rPr>
          <w:rFonts w:ascii="Times New Roman" w:cs="Times New Roman" w:eastAsia="Times New Roman" w:hAnsi="Times New Roman"/>
          <w:sz w:val="20"/>
          <w:szCs w:val="20"/>
          <w:color w:val="auto"/>
        </w:rPr>
        <w:t>):</w:t>
      </w:r>
    </w:p>
    <w:p>
      <w:pPr>
        <w:spacing w:after="0" w:line="242" w:lineRule="exact"/>
        <w:rPr>
          <w:sz w:val="20"/>
          <w:szCs w:val="20"/>
          <w:color w:val="auto"/>
        </w:rPr>
      </w:pPr>
    </w:p>
    <w:p>
      <w:pPr>
        <w:jc w:val="both"/>
        <w:ind w:left="58" w:firstLine="644"/>
        <w:spacing w:after="0" w:line="230" w:lineRule="auto"/>
        <w:tabs>
          <w:tab w:leader="none" w:pos="1245"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less than fifteen (15) Business Days prior to the proposed closing date of such Acquisition (or such shorter period as agreed to by the Administrative Agent in its sole discretion), Centuri shall have delivered written notice of such Acquisition to the Administrative Agent and the Lenders, which notice shall include the proposed closing date of such Acquisition;</w:t>
      </w:r>
    </w:p>
    <w:p>
      <w:pPr>
        <w:spacing w:after="0" w:line="189" w:lineRule="exact"/>
        <w:rPr>
          <w:rFonts w:ascii="Times New Roman" w:cs="Times New Roman" w:eastAsia="Times New Roman" w:hAnsi="Times New Roman"/>
          <w:sz w:val="20"/>
          <w:szCs w:val="20"/>
          <w:color w:val="auto"/>
        </w:rPr>
      </w:pPr>
    </w:p>
    <w:p>
      <w:pPr>
        <w:jc w:val="both"/>
        <w:ind w:left="58" w:firstLine="644"/>
        <w:spacing w:after="0" w:line="226" w:lineRule="auto"/>
        <w:tabs>
          <w:tab w:leader="none" w:pos="1236"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Centuri shall have certified on or before the closing date of such Acquisition, in writing and in a form reasonably acceptable to the Administrative Agent, that such Acquisition has been approved by the board of directors (or equivalent governing body) of the Person to be acquired;</w:t>
      </w:r>
    </w:p>
    <w:p>
      <w:pPr>
        <w:spacing w:after="0" w:line="187" w:lineRule="exact"/>
        <w:rPr>
          <w:rFonts w:ascii="Times New Roman" w:cs="Times New Roman" w:eastAsia="Times New Roman" w:hAnsi="Times New Roman"/>
          <w:sz w:val="20"/>
          <w:szCs w:val="20"/>
          <w:color w:val="auto"/>
        </w:rPr>
      </w:pPr>
    </w:p>
    <w:p>
      <w:pPr>
        <w:jc w:val="both"/>
        <w:ind w:left="58" w:right="20" w:firstLine="644"/>
        <w:spacing w:after="0" w:line="230" w:lineRule="auto"/>
        <w:tabs>
          <w:tab w:leader="none" w:pos="1235"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Person or business to be acquired shall be in a line of business permitted pursuant to </w:t>
      </w:r>
      <w:r>
        <w:rPr>
          <w:rFonts w:ascii="Times New Roman" w:cs="Times New Roman" w:eastAsia="Times New Roman" w:hAnsi="Times New Roman"/>
          <w:sz w:val="20"/>
          <w:szCs w:val="20"/>
          <w:u w:val="single" w:color="auto"/>
          <w:color w:val="auto"/>
        </w:rPr>
        <w:t>Section 9.11</w:t>
      </w:r>
      <w:r>
        <w:rPr>
          <w:rFonts w:ascii="Times New Roman" w:cs="Times New Roman" w:eastAsia="Times New Roman" w:hAnsi="Times New Roman"/>
          <w:sz w:val="20"/>
          <w:szCs w:val="20"/>
          <w:color w:val="auto"/>
        </w:rPr>
        <w:t xml:space="preserve"> or, in the case of an Acquisition of assets, the assets acquired are useful in the business of the Consolidated Companies as conducted immediately prior to such Acquisition;</w:t>
      </w:r>
    </w:p>
    <w:p>
      <w:pPr>
        <w:spacing w:after="0" w:line="189" w:lineRule="exact"/>
        <w:rPr>
          <w:rFonts w:ascii="Times New Roman" w:cs="Times New Roman" w:eastAsia="Times New Roman" w:hAnsi="Times New Roman"/>
          <w:sz w:val="20"/>
          <w:szCs w:val="20"/>
          <w:color w:val="auto"/>
        </w:rPr>
      </w:pPr>
    </w:p>
    <w:p>
      <w:pPr>
        <w:ind w:left="58" w:right="20" w:firstLine="644"/>
        <w:spacing w:after="0"/>
        <w:tabs>
          <w:tab w:leader="none" w:pos="1235"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such transaction is a merger, amalgamation, or consolidation, a Borrower or a Subsidiary Guarantor shall be the surviving Person and no Change in Control shall have been effected thereby;</w:t>
      </w:r>
    </w:p>
    <w:p>
      <w:pPr>
        <w:spacing w:after="0" w:line="188" w:lineRule="exact"/>
        <w:rPr>
          <w:rFonts w:ascii="Times New Roman" w:cs="Times New Roman" w:eastAsia="Times New Roman" w:hAnsi="Times New Roman"/>
          <w:sz w:val="20"/>
          <w:szCs w:val="20"/>
          <w:color w:val="auto"/>
        </w:rPr>
      </w:pPr>
    </w:p>
    <w:p>
      <w:pPr>
        <w:jc w:val="both"/>
        <w:ind w:left="58" w:firstLine="644"/>
        <w:spacing w:after="0" w:line="226" w:lineRule="auto"/>
        <w:tabs>
          <w:tab w:leader="none" w:pos="1235"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Centuri shall have delivered to the Administrative Agent such documents reasonably requested by the Administrative Agent or the Required Lenders (through the Administrative Agent) pursuant to </w:t>
      </w:r>
      <w:r>
        <w:rPr>
          <w:rFonts w:ascii="Times New Roman" w:cs="Times New Roman" w:eastAsia="Times New Roman" w:hAnsi="Times New Roman"/>
          <w:sz w:val="20"/>
          <w:szCs w:val="20"/>
          <w:u w:val="single" w:color="auto"/>
          <w:color w:val="auto"/>
        </w:rPr>
        <w:t>Section 8.14</w:t>
      </w:r>
      <w:r>
        <w:rPr>
          <w:rFonts w:ascii="Times New Roman" w:cs="Times New Roman" w:eastAsia="Times New Roman" w:hAnsi="Times New Roman"/>
          <w:sz w:val="20"/>
          <w:szCs w:val="20"/>
          <w:color w:val="auto"/>
        </w:rPr>
        <w:t xml:space="preserve"> to be delivered at the time required pursuant to </w:t>
      </w:r>
      <w:r>
        <w:rPr>
          <w:rFonts w:ascii="Times New Roman" w:cs="Times New Roman" w:eastAsia="Times New Roman" w:hAnsi="Times New Roman"/>
          <w:sz w:val="20"/>
          <w:szCs w:val="20"/>
          <w:u w:val="single" w:color="auto"/>
          <w:color w:val="auto"/>
        </w:rPr>
        <w:t>Section 8.14</w:t>
      </w:r>
      <w:r>
        <w:rPr>
          <w:rFonts w:ascii="Times New Roman" w:cs="Times New Roman" w:eastAsia="Times New Roman" w:hAnsi="Times New Roman"/>
          <w:sz w:val="20"/>
          <w:szCs w:val="20"/>
          <w:color w:val="auto"/>
        </w:rPr>
        <w:t>;</w:t>
      </w:r>
    </w:p>
    <w:p>
      <w:pPr>
        <w:spacing w:after="0" w:line="254" w:lineRule="exact"/>
        <w:rPr>
          <w:rFonts w:ascii="Times New Roman" w:cs="Times New Roman" w:eastAsia="Times New Roman" w:hAnsi="Times New Roman"/>
          <w:sz w:val="20"/>
          <w:szCs w:val="20"/>
          <w:color w:val="auto"/>
        </w:rPr>
      </w:pPr>
    </w:p>
    <w:p>
      <w:pPr>
        <w:jc w:val="both"/>
        <w:ind w:left="58" w:firstLine="644"/>
        <w:spacing w:after="0" w:line="215" w:lineRule="auto"/>
        <w:tabs>
          <w:tab w:leader="none" w:pos="1234"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Centuri shall be in compliance with </w:t>
      </w:r>
      <w:r>
        <w:rPr>
          <w:rFonts w:ascii="Times New Roman" w:cs="Times New Roman" w:eastAsia="Times New Roman" w:hAnsi="Times New Roman"/>
          <w:sz w:val="20"/>
          <w:szCs w:val="20"/>
          <w:color w:val="FF0000"/>
          <w:strike w:val="1"/>
        </w:rPr>
        <w:t>the financial covenants set forth in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FF0000"/>
          <w:strike w:val="1"/>
        </w:rPr>
        <w:t>Section 9.13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FF0000"/>
          <w:strike w:val="1"/>
        </w:rPr>
        <w:t>(giving effect to any Leverage Ratio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FF0000"/>
          <w:strike w:val="1"/>
        </w:rPr>
        <w:t xml:space="preserve">Increase that has been elected pursuant to </w:t>
      </w:r>
      <w:r>
        <w:rPr>
          <w:rFonts w:ascii="Times New Roman" w:cs="Times New Roman" w:eastAsia="Times New Roman" w:hAnsi="Times New Roman"/>
          <w:sz w:val="20"/>
          <w:szCs w:val="20"/>
          <w:u w:val="single" w:color="auto"/>
          <w:color w:val="FF0000"/>
          <w:strike w:val="1"/>
        </w:rPr>
        <w:t>Section 9.13(b)</w:t>
      </w:r>
      <w:r>
        <w:rPr>
          <w:rFonts w:ascii="Times New Roman" w:cs="Times New Roman" w:eastAsia="Times New Roman" w:hAnsi="Times New Roman"/>
          <w:sz w:val="20"/>
          <w:szCs w:val="20"/>
          <w:color w:val="FF0000"/>
          <w:strike w:val="1"/>
        </w:rPr>
        <w:t>)</w:t>
      </w:r>
      <w:r>
        <w:rPr>
          <w:rFonts w:ascii="Times New Roman" w:cs="Times New Roman" w:eastAsia="Times New Roman" w:hAnsi="Times New Roman"/>
          <w:sz w:val="20"/>
          <w:szCs w:val="20"/>
          <w:u w:val="single" w:color="auto"/>
          <w:color w:val="0000FF"/>
          <w:strike w:val="1"/>
        </w:rPr>
        <w:t>(i) a Consolidated Interest Coverage Ratio of 2.50 to 1.00 and (ii) a</w:t>
      </w:r>
      <w:r>
        <w:rPr>
          <w:rFonts w:ascii="Times New Roman" w:cs="Times New Roman" w:eastAsia="Times New Roman" w:hAnsi="Times New Roman"/>
          <w:sz w:val="20"/>
          <w:szCs w:val="20"/>
          <w:color w:val="FF0000"/>
          <w:strike w:val="1"/>
        </w:rPr>
        <w:t xml:space="preserve"> </w:t>
      </w:r>
      <w:r>
        <w:rPr>
          <w:rFonts w:ascii="Times New Roman" w:cs="Times New Roman" w:eastAsia="Times New Roman" w:hAnsi="Times New Roman"/>
          <w:sz w:val="20"/>
          <w:szCs w:val="20"/>
          <w:u w:val="single" w:color="auto"/>
          <w:color w:val="0000FF"/>
          <w:strike w:val="1"/>
        </w:rPr>
        <w:t>Consolidated Net Leverage Ratio of (A) 5.50 to 1.00 for the period beginning on September 30, 2022 through and including December 30, 2022, (B) 4.75 to 1.00 for the period beginning on December 31, 2022 through and including December 30, 2023 and (C) 4.00 to 1.00 for the period beginning on December 31, 2023 and thereafter</w:t>
      </w:r>
      <w:r>
        <w:rPr>
          <w:rFonts w:ascii="Times New Roman" w:cs="Times New Roman" w:eastAsia="Times New Roman" w:hAnsi="Times New Roman"/>
          <w:sz w:val="20"/>
          <w:szCs w:val="20"/>
          <w:color w:val="000000"/>
          <w:strike w:val="1"/>
        </w:rPr>
        <w:t>, in each case, calculated on a Pro Forma Basis (as of the most recent Fiscal</w:t>
      </w:r>
      <w:r>
        <w:rPr>
          <w:rFonts w:ascii="Times New Roman" w:cs="Times New Roman" w:eastAsia="Times New Roman" w:hAnsi="Times New Roman"/>
          <w:sz w:val="20"/>
          <w:szCs w:val="20"/>
          <w:color w:val="0000FF"/>
          <w:strike w:val="1"/>
        </w:rPr>
        <w:t xml:space="preserve"> </w:t>
      </w:r>
      <w:r>
        <w:rPr>
          <w:rFonts w:ascii="Times New Roman" w:cs="Times New Roman" w:eastAsia="Times New Roman" w:hAnsi="Times New Roman"/>
          <w:sz w:val="20"/>
          <w:szCs w:val="20"/>
          <w:color w:val="000000"/>
          <w:strike w:val="1"/>
        </w:rPr>
        <w:t>Quarter end preceding the proposed closing date of the acquisition for which financial statements are available and after giving effect thereto and any Indebtedness incurred in connection therewith);</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38"/>
        <w:spacing w:after="0"/>
        <w:rPr>
          <w:sz w:val="20"/>
          <w:szCs w:val="20"/>
          <w:color w:val="auto"/>
        </w:rPr>
      </w:pPr>
      <w:r>
        <w:rPr>
          <w:rFonts w:ascii="Times New Roman" w:cs="Times New Roman" w:eastAsia="Times New Roman" w:hAnsi="Times New Roman"/>
          <w:sz w:val="14"/>
          <w:szCs w:val="14"/>
          <w:color w:val="FF0000"/>
          <w:strike w:val="1"/>
        </w:rPr>
        <w:t>146960219_6</w:t>
      </w:r>
    </w:p>
    <w:p>
      <w:pPr>
        <w:spacing w:after="0" w:line="4" w:lineRule="exact"/>
        <w:rPr>
          <w:sz w:val="20"/>
          <w:szCs w:val="20"/>
          <w:color w:val="auto"/>
        </w:rPr>
      </w:pPr>
    </w:p>
    <w:p>
      <w:pPr>
        <w:ind w:left="338" w:hanging="338"/>
        <w:spacing w:after="0"/>
        <w:tabs>
          <w:tab w:leader="none" w:pos="338"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078"/>
          </w:cols>
          <w:pgMar w:left="382" w:top="1399" w:right="439" w:bottom="1440" w:gutter="0" w:footer="0" w:header="0"/>
        </w:sectPr>
      </w:pPr>
    </w:p>
    <w:bookmarkStart w:id="122" w:name="page123"/>
    <w:bookmarkEnd w:id="122"/>
    <w:p>
      <w:pPr>
        <w:jc w:val="both"/>
        <w:ind w:left="76" w:firstLine="644"/>
        <w:spacing w:after="0" w:line="216" w:lineRule="auto"/>
        <w:tabs>
          <w:tab w:leader="none" w:pos="1255"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Permitted Acquisition Consideration for any such Acquisition (or series of related Acquisitions) exceeds $150,000,000 in the aggregate, no later than five (5) Business Days (or such shorter period as agreed to by the Administrative Agent in its sole discretion) prior to the proposed closing date of such Acquisition, Centuri shall have delivered to the Administrative Agent an Officer’s Compliance Certificate for the most recent fiscal quarter end preceding such Acquisition for which financial statements are available demonstrating, in form and substance reasonably satisfactory to the Administrative Agent, that the condition set forth in paragraph (f) above is satisfied;</w:t>
      </w:r>
    </w:p>
    <w:p>
      <w:pPr>
        <w:spacing w:after="0" w:line="202" w:lineRule="exact"/>
        <w:rPr>
          <w:rFonts w:ascii="Times New Roman" w:cs="Times New Roman" w:eastAsia="Times New Roman" w:hAnsi="Times New Roman"/>
          <w:sz w:val="20"/>
          <w:szCs w:val="20"/>
          <w:color w:val="auto"/>
        </w:rPr>
      </w:pPr>
    </w:p>
    <w:p>
      <w:pPr>
        <w:jc w:val="both"/>
        <w:ind w:left="76" w:firstLine="644"/>
        <w:spacing w:after="0" w:line="216" w:lineRule="auto"/>
        <w:tabs>
          <w:tab w:leader="none" w:pos="1253"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Permitted Acquisition Consideration for any such Acquisition (or series of related Acquisitions) exceeds $150,000,000 in the aggregate, no later than five (5) Business Days (or such shorter period as agreed to by the Administrative Agent in its sole discretion) prior to the proposed closing date of such Acquisition, Centuri, to the extent requested by the Administrative Agent, (i) shall have delivered to the Administrative Agent promptly upon the finalization thereof copies of substantially final Permitted Acquisition Documents, and (ii) shall have delivered to, or made available for inspection by, the Administrative Agent substantially complete Permitted Acquisition Diligence Information;</w:t>
      </w:r>
    </w:p>
    <w:p>
      <w:pPr>
        <w:spacing w:after="0" w:line="189" w:lineRule="exact"/>
        <w:rPr>
          <w:rFonts w:ascii="Times New Roman" w:cs="Times New Roman" w:eastAsia="Times New Roman" w:hAnsi="Times New Roman"/>
          <w:sz w:val="20"/>
          <w:szCs w:val="20"/>
          <w:color w:val="auto"/>
        </w:rPr>
      </w:pPr>
    </w:p>
    <w:p>
      <w:pPr>
        <w:ind w:left="76" w:right="20" w:firstLine="644"/>
        <w:spacing w:after="0"/>
        <w:tabs>
          <w:tab w:leader="none" w:pos="1255"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Default or Event of Default shall have occurred and be continuing both before and after giving effect to such Acquisition and any Indebtedness incurred in connection therewith; and</w:t>
      </w:r>
    </w:p>
    <w:p>
      <w:pPr>
        <w:spacing w:after="0" w:line="188" w:lineRule="exact"/>
        <w:rPr>
          <w:rFonts w:ascii="Times New Roman" w:cs="Times New Roman" w:eastAsia="Times New Roman" w:hAnsi="Times New Roman"/>
          <w:sz w:val="20"/>
          <w:szCs w:val="20"/>
          <w:color w:val="auto"/>
        </w:rPr>
      </w:pPr>
    </w:p>
    <w:p>
      <w:pPr>
        <w:jc w:val="both"/>
        <w:ind w:left="76" w:firstLine="644"/>
        <w:spacing w:after="0" w:line="220" w:lineRule="auto"/>
        <w:tabs>
          <w:tab w:leader="none" w:pos="1253"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Permitted Acquisition Consideration for any such Acquisition (or series of related Acquisitions) exceeds $150,000,000 in the aggregate, Centuri shall have (i) delivered to the Administrative Agent a certificate of a Responsible Officer certifying that all of the requirements set forth above have been satisfied or waived or will be satisfied or waived on or prior to the consummation of such purchase or other Acquisition and (ii) provided such other documents and other information as may be reasonably requested by the Administrative Agent in connection with such purchase or other Acquisition.</w:t>
      </w:r>
    </w:p>
    <w:p>
      <w:pPr>
        <w:spacing w:after="0" w:line="93" w:lineRule="exact"/>
        <w:rPr>
          <w:sz w:val="20"/>
          <w:szCs w:val="20"/>
          <w:color w:val="auto"/>
        </w:rPr>
      </w:pPr>
    </w:p>
    <w:p>
      <w:pPr>
        <w:ind w:left="716"/>
        <w:spacing w:after="0"/>
        <w:rPr>
          <w:sz w:val="20"/>
          <w:szCs w:val="20"/>
          <w:color w:val="auto"/>
        </w:rPr>
      </w:pPr>
      <w:r>
        <w:rPr>
          <w:rFonts w:ascii="Times New Roman" w:cs="Times New Roman" w:eastAsia="Times New Roman" w:hAnsi="Times New Roman"/>
          <w:sz w:val="20"/>
          <w:szCs w:val="20"/>
          <w:color w:val="auto"/>
        </w:rPr>
        <w:t>Notwithstanding the foregoing, the Drum Acquisition shall constitute a Permitted Acquisition. “</w:t>
      </w:r>
      <w:r>
        <w:rPr>
          <w:rFonts w:ascii="Times New Roman" w:cs="Times New Roman" w:eastAsia="Times New Roman" w:hAnsi="Times New Roman"/>
          <w:sz w:val="20"/>
          <w:szCs w:val="20"/>
          <w:u w:val="single" w:color="auto"/>
          <w:color w:val="auto"/>
        </w:rPr>
        <w:t>Permitted Acquisition</w:t>
      </w:r>
    </w:p>
    <w:p>
      <w:pPr>
        <w:spacing w:after="0" w:line="216" w:lineRule="exact"/>
        <w:rPr>
          <w:sz w:val="20"/>
          <w:szCs w:val="20"/>
          <w:color w:val="auto"/>
        </w:rPr>
      </w:pPr>
    </w:p>
    <w:p>
      <w:pPr>
        <w:ind w:left="716"/>
        <w:spacing w:after="0"/>
        <w:rPr>
          <w:sz w:val="20"/>
          <w:szCs w:val="20"/>
          <w:color w:val="auto"/>
        </w:rPr>
      </w:pPr>
      <w:r>
        <w:rPr>
          <w:rFonts w:ascii="Times New Roman" w:cs="Times New Roman" w:eastAsia="Times New Roman" w:hAnsi="Times New Roman"/>
          <w:sz w:val="20"/>
          <w:szCs w:val="20"/>
          <w:u w:val="single" w:color="auto"/>
          <w:color w:val="auto"/>
        </w:rPr>
        <w:t>Consideration</w:t>
      </w:r>
      <w:r>
        <w:rPr>
          <w:rFonts w:ascii="Times New Roman" w:cs="Times New Roman" w:eastAsia="Times New Roman" w:hAnsi="Times New Roman"/>
          <w:sz w:val="20"/>
          <w:szCs w:val="20"/>
          <w:color w:val="auto"/>
        </w:rPr>
        <w:t>” means the aggregate amount of the purchase price,</w:t>
      </w:r>
    </w:p>
    <w:p>
      <w:pPr>
        <w:spacing w:after="0" w:line="89" w:lineRule="exact"/>
        <w:rPr>
          <w:sz w:val="20"/>
          <w:szCs w:val="20"/>
          <w:color w:val="auto"/>
        </w:rPr>
      </w:pPr>
    </w:p>
    <w:p>
      <w:pPr>
        <w:ind w:left="76"/>
        <w:spacing w:after="0"/>
        <w:rPr>
          <w:sz w:val="20"/>
          <w:szCs w:val="20"/>
          <w:color w:val="auto"/>
        </w:rPr>
      </w:pPr>
      <w:r>
        <w:rPr>
          <w:rFonts w:ascii="Times New Roman" w:cs="Times New Roman" w:eastAsia="Times New Roman" w:hAnsi="Times New Roman"/>
          <w:sz w:val="20"/>
          <w:szCs w:val="20"/>
          <w:color w:val="auto"/>
        </w:rPr>
        <w:t>including, but not limited to, any assumed debt, earn-outs (valued at the maximum amount payable</w:t>
      </w:r>
    </w:p>
    <w:p>
      <w:pPr>
        <w:ind w:left="76"/>
        <w:spacing w:after="0" w:line="204" w:lineRule="auto"/>
        <w:rPr>
          <w:sz w:val="20"/>
          <w:szCs w:val="20"/>
          <w:color w:val="auto"/>
        </w:rPr>
      </w:pPr>
      <w:r>
        <w:rPr>
          <w:rFonts w:ascii="Times New Roman" w:cs="Times New Roman" w:eastAsia="Times New Roman" w:hAnsi="Times New Roman"/>
          <w:sz w:val="20"/>
          <w:szCs w:val="20"/>
          <w:color w:val="auto"/>
        </w:rPr>
        <w:t>thereunder), deferred payments, or Equity Interests of any Borrower or any Subsidiary Guarantor, net of the applicable acquired company’s cash and Cash Equivalents balance (as shown on its most recent financial statements delivered in connection with the</w:t>
      </w:r>
    </w:p>
    <w:p>
      <w:pPr>
        <w:ind w:left="76"/>
        <w:spacing w:after="0" w:line="223" w:lineRule="auto"/>
        <w:rPr>
          <w:sz w:val="20"/>
          <w:szCs w:val="20"/>
          <w:color w:val="auto"/>
        </w:rPr>
      </w:pPr>
      <w:r>
        <w:rPr>
          <w:rFonts w:ascii="Times New Roman" w:cs="Times New Roman" w:eastAsia="Times New Roman" w:hAnsi="Times New Roman"/>
          <w:sz w:val="19"/>
          <w:szCs w:val="19"/>
          <w:color w:val="auto"/>
        </w:rPr>
        <w:t>applicable Permitted Acquisition) to be paid on a singular basis in connection with any applicable Permitted Acquisition as set forth in the</w:t>
      </w:r>
    </w:p>
    <w:p>
      <w:pPr>
        <w:ind w:left="76" w:right="20"/>
        <w:spacing w:after="0" w:line="221" w:lineRule="auto"/>
        <w:rPr>
          <w:sz w:val="20"/>
          <w:szCs w:val="20"/>
          <w:color w:val="auto"/>
        </w:rPr>
      </w:pPr>
      <w:r>
        <w:rPr>
          <w:rFonts w:ascii="Times New Roman" w:cs="Times New Roman" w:eastAsia="Times New Roman" w:hAnsi="Times New Roman"/>
          <w:sz w:val="20"/>
          <w:szCs w:val="20"/>
          <w:color w:val="auto"/>
        </w:rPr>
        <w:t>applicable Permitted Acquisition Documents executed by such Borrower or such Subsidiary Guarantor in order to consummate the applicable Permitted Acquisition.</w:t>
      </w:r>
    </w:p>
    <w:p>
      <w:pPr>
        <w:spacing w:after="0" w:line="189" w:lineRule="exact"/>
        <w:rPr>
          <w:sz w:val="20"/>
          <w:szCs w:val="20"/>
          <w:color w:val="auto"/>
        </w:rPr>
      </w:pPr>
    </w:p>
    <w:p>
      <w:pPr>
        <w:ind w:left="76" w:firstLine="648"/>
        <w:spacing w:after="0" w:line="22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Acquisition Diligence Information</w:t>
      </w:r>
      <w:r>
        <w:rPr>
          <w:rFonts w:ascii="Times New Roman" w:cs="Times New Roman" w:eastAsia="Times New Roman" w:hAnsi="Times New Roman"/>
          <w:sz w:val="20"/>
          <w:szCs w:val="20"/>
          <w:color w:val="auto"/>
        </w:rPr>
        <w:t>” means with respect to any Acquisition proposed by any Borrower or any Subsidiary Guarantor, to the extent applicable, all material financial information, all material contracts, all material customer lists, all</w:t>
      </w:r>
    </w:p>
    <w:p>
      <w:pPr>
        <w:spacing w:after="0" w:line="2" w:lineRule="exact"/>
        <w:rPr>
          <w:sz w:val="20"/>
          <w:szCs w:val="20"/>
          <w:color w:val="auto"/>
        </w:rPr>
      </w:pPr>
    </w:p>
    <w:p>
      <w:pPr>
        <w:jc w:val="both"/>
        <w:ind w:left="76"/>
        <w:spacing w:after="0" w:line="204" w:lineRule="auto"/>
        <w:rPr>
          <w:sz w:val="20"/>
          <w:szCs w:val="20"/>
          <w:color w:val="auto"/>
        </w:rPr>
      </w:pPr>
      <w:r>
        <w:rPr>
          <w:rFonts w:ascii="Times New Roman" w:cs="Times New Roman" w:eastAsia="Times New Roman" w:hAnsi="Times New Roman"/>
          <w:sz w:val="20"/>
          <w:szCs w:val="20"/>
          <w:color w:val="auto"/>
        </w:rPr>
        <w:t>material supply agreements, and all other material information, in each case, reasonably requested to be delivered to the Administrative Agent in connection with such Acquisition (except to the extent that any such information is (a) subject to any confidentiality agreement,</w:t>
      </w:r>
    </w:p>
    <w:p>
      <w:pPr>
        <w:spacing w:after="0" w:line="1" w:lineRule="exact"/>
        <w:rPr>
          <w:sz w:val="20"/>
          <w:szCs w:val="20"/>
          <w:color w:val="auto"/>
        </w:rPr>
      </w:pPr>
    </w:p>
    <w:p>
      <w:pPr>
        <w:ind w:left="76"/>
        <w:spacing w:after="0" w:line="228" w:lineRule="auto"/>
        <w:rPr>
          <w:sz w:val="20"/>
          <w:szCs w:val="20"/>
          <w:color w:val="auto"/>
        </w:rPr>
      </w:pPr>
      <w:r>
        <w:rPr>
          <w:rFonts w:ascii="Times New Roman" w:cs="Times New Roman" w:eastAsia="Times New Roman" w:hAnsi="Times New Roman"/>
          <w:sz w:val="20"/>
          <w:szCs w:val="20"/>
          <w:color w:val="auto"/>
        </w:rPr>
        <w:t>unless mutually agreeable arrangements can be made to preserve such information as confidential, (b) classified or (c) subject to any attorney-client privilege).</w:t>
      </w:r>
    </w:p>
    <w:p>
      <w:pPr>
        <w:spacing w:after="0" w:line="189" w:lineRule="exact"/>
        <w:rPr>
          <w:sz w:val="20"/>
          <w:szCs w:val="20"/>
          <w:color w:val="auto"/>
        </w:rPr>
      </w:pPr>
    </w:p>
    <w:p>
      <w:pPr>
        <w:ind w:left="76" w:right="20" w:firstLine="648"/>
        <w:spacing w:after="0" w:line="21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Acquisition Documents</w:t>
      </w:r>
      <w:r>
        <w:rPr>
          <w:rFonts w:ascii="Times New Roman" w:cs="Times New Roman" w:eastAsia="Times New Roman" w:hAnsi="Times New Roman"/>
          <w:sz w:val="20"/>
          <w:szCs w:val="20"/>
          <w:color w:val="auto"/>
        </w:rPr>
        <w:t>” means with respect to any Acquisition proposed by any Borrower or any Subsidiary Guarantor, final copies or substantially final drafts if not executed at the required time of delivery of the purchase agreement, sale</w:t>
      </w:r>
    </w:p>
    <w:p>
      <w:pPr>
        <w:spacing w:after="0" w:line="1" w:lineRule="exact"/>
        <w:rPr>
          <w:sz w:val="20"/>
          <w:szCs w:val="20"/>
          <w:color w:val="auto"/>
        </w:rPr>
      </w:pPr>
    </w:p>
    <w:p>
      <w:pPr>
        <w:ind w:left="76" w:right="20"/>
        <w:spacing w:after="0" w:line="228" w:lineRule="auto"/>
        <w:rPr>
          <w:sz w:val="20"/>
          <w:szCs w:val="20"/>
          <w:color w:val="auto"/>
        </w:rPr>
      </w:pPr>
      <w:r>
        <w:rPr>
          <w:rFonts w:ascii="Times New Roman" w:cs="Times New Roman" w:eastAsia="Times New Roman" w:hAnsi="Times New Roman"/>
          <w:sz w:val="20"/>
          <w:szCs w:val="20"/>
          <w:color w:val="auto"/>
        </w:rPr>
        <w:t>agreement, merger agreement, amalgamation agreement or other agreement evidencing such Acquisition, including, without limitation, all legal opinions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16"/>
        <w:spacing w:after="0"/>
        <w:rPr>
          <w:sz w:val="20"/>
          <w:szCs w:val="20"/>
          <w:color w:val="auto"/>
        </w:rPr>
      </w:pPr>
      <w:r>
        <w:rPr>
          <w:rFonts w:ascii="Times New Roman" w:cs="Times New Roman" w:eastAsia="Times New Roman" w:hAnsi="Times New Roman"/>
          <w:sz w:val="14"/>
          <w:szCs w:val="14"/>
          <w:color w:val="FF0000"/>
          <w:strike w:val="1"/>
        </w:rPr>
        <w:t>146960219_6</w:t>
      </w:r>
    </w:p>
    <w:p>
      <w:pPr>
        <w:spacing w:after="0" w:line="4" w:lineRule="exact"/>
        <w:rPr>
          <w:sz w:val="20"/>
          <w:szCs w:val="20"/>
          <w:color w:val="auto"/>
        </w:rPr>
      </w:pPr>
    </w:p>
    <w:p>
      <w:pPr>
        <w:ind w:left="316" w:hanging="316"/>
        <w:spacing w:after="0"/>
        <w:tabs>
          <w:tab w:leader="none" w:pos="316"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096"/>
          </w:cols>
          <w:pgMar w:left="364" w:top="1399" w:right="439" w:bottom="1440" w:gutter="0" w:footer="0" w:header="0"/>
        </w:sectPr>
      </w:pPr>
    </w:p>
    <w:bookmarkStart w:id="123" w:name="page124"/>
    <w:bookmarkEnd w:id="123"/>
    <w:p>
      <w:pPr>
        <w:ind w:left="76" w:right="200"/>
        <w:spacing w:after="0"/>
        <w:rPr>
          <w:sz w:val="20"/>
          <w:szCs w:val="20"/>
          <w:color w:val="auto"/>
        </w:rPr>
      </w:pPr>
      <w:r>
        <w:rPr>
          <w:rFonts w:ascii="Times New Roman" w:cs="Times New Roman" w:eastAsia="Times New Roman" w:hAnsi="Times New Roman"/>
          <w:sz w:val="20"/>
          <w:szCs w:val="20"/>
          <w:color w:val="auto"/>
        </w:rPr>
        <w:t>and each other document executed, delivered, contemplated by or prepared in connection therewith and any amendment, modification or supplement to any of the foregoing.</w:t>
      </w:r>
    </w:p>
    <w:p>
      <w:pPr>
        <w:spacing w:after="0" w:line="188" w:lineRule="exact"/>
        <w:rPr>
          <w:sz w:val="20"/>
          <w:szCs w:val="20"/>
          <w:color w:val="auto"/>
        </w:rPr>
      </w:pPr>
    </w:p>
    <w:p>
      <w:pPr>
        <w:ind w:left="76" w:right="560" w:firstLine="647"/>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Drum Equity</w:t>
      </w:r>
      <w:r>
        <w:rPr>
          <w:rFonts w:ascii="Times New Roman" w:cs="Times New Roman" w:eastAsia="Times New Roman" w:hAnsi="Times New Roman"/>
          <w:sz w:val="20"/>
          <w:szCs w:val="20"/>
          <w:color w:val="auto"/>
        </w:rPr>
        <w:t>” means the Equity Interests of Drum Parent LLC (formerly Drum Parent, Inc.) in an amount not to exceed 5.0% of the total Equity Interests of Drum Parent LLC.</w:t>
      </w:r>
    </w:p>
    <w:p>
      <w:pPr>
        <w:spacing w:after="0" w:line="188" w:lineRule="exact"/>
        <w:rPr>
          <w:sz w:val="20"/>
          <w:szCs w:val="20"/>
          <w:color w:val="auto"/>
        </w:rPr>
      </w:pPr>
    </w:p>
    <w:p>
      <w:pPr>
        <w:ind w:left="716"/>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Liens</w:t>
      </w:r>
      <w:r>
        <w:rPr>
          <w:rFonts w:ascii="Times New Roman" w:cs="Times New Roman" w:eastAsia="Times New Roman" w:hAnsi="Times New Roman"/>
          <w:sz w:val="20"/>
          <w:szCs w:val="20"/>
          <w:color w:val="auto"/>
        </w:rPr>
        <w:t xml:space="preserve">” means the Liens permitted pursuant to </w:t>
      </w:r>
      <w:r>
        <w:rPr>
          <w:rFonts w:ascii="Times New Roman" w:cs="Times New Roman" w:eastAsia="Times New Roman" w:hAnsi="Times New Roman"/>
          <w:sz w:val="20"/>
          <w:szCs w:val="20"/>
          <w:u w:val="single" w:color="auto"/>
          <w:color w:val="auto"/>
        </w:rPr>
        <w:t>Section 9.2</w:t>
      </w:r>
      <w:r>
        <w:rPr>
          <w:rFonts w:ascii="Times New Roman" w:cs="Times New Roman" w:eastAsia="Times New Roman" w:hAnsi="Times New Roman"/>
          <w:sz w:val="20"/>
          <w:szCs w:val="20"/>
          <w:color w:val="auto"/>
        </w:rPr>
        <w:t>.</w:t>
      </w:r>
    </w:p>
    <w:p>
      <w:pPr>
        <w:spacing w:after="0" w:line="283" w:lineRule="exact"/>
        <w:rPr>
          <w:sz w:val="20"/>
          <w:szCs w:val="20"/>
          <w:color w:val="auto"/>
        </w:rPr>
      </w:pPr>
    </w:p>
    <w:p>
      <w:pPr>
        <w:jc w:val="both"/>
        <w:ind w:left="76" w:firstLine="648"/>
        <w:spacing w:after="0" w:line="22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Permitted Receivables Transaction</w:t>
      </w:r>
      <w:r>
        <w:rPr>
          <w:rFonts w:ascii="Times New Roman" w:cs="Times New Roman" w:eastAsia="Times New Roman" w:hAnsi="Times New Roman"/>
          <w:sz w:val="19"/>
          <w:szCs w:val="19"/>
          <w:color w:val="auto"/>
        </w:rPr>
        <w:t>” means one or more transactions pursuant to which (a) Receivables Assets or interests therein are sold to or financed by one or more Receivables Subsidiaries, and such Receivables Subsidiaries finance their acquisition of such</w:t>
      </w:r>
    </w:p>
    <w:p>
      <w:pPr>
        <w:ind w:left="76"/>
        <w:spacing w:after="0" w:line="222" w:lineRule="auto"/>
        <w:rPr>
          <w:sz w:val="20"/>
          <w:szCs w:val="20"/>
          <w:color w:val="auto"/>
        </w:rPr>
      </w:pPr>
      <w:r>
        <w:rPr>
          <w:rFonts w:ascii="Times New Roman" w:cs="Times New Roman" w:eastAsia="Times New Roman" w:hAnsi="Times New Roman"/>
          <w:sz w:val="19"/>
          <w:szCs w:val="19"/>
          <w:color w:val="auto"/>
        </w:rPr>
        <w:t>Receivables Assets or interests therein, or the financing thereof, by selling or borrowing against such Receivables Assets or (b) Receivable</w:t>
      </w:r>
    </w:p>
    <w:p>
      <w:pPr>
        <w:spacing w:after="0" w:line="1" w:lineRule="exact"/>
        <w:rPr>
          <w:sz w:val="20"/>
          <w:szCs w:val="20"/>
          <w:color w:val="auto"/>
        </w:rPr>
      </w:pPr>
    </w:p>
    <w:p>
      <w:pPr>
        <w:jc w:val="both"/>
        <w:ind w:left="76"/>
        <w:spacing w:after="0" w:line="215" w:lineRule="auto"/>
        <w:rPr>
          <w:sz w:val="20"/>
          <w:szCs w:val="20"/>
          <w:color w:val="auto"/>
        </w:rPr>
      </w:pPr>
      <w:r>
        <w:rPr>
          <w:rFonts w:ascii="Times New Roman" w:cs="Times New Roman" w:eastAsia="Times New Roman" w:hAnsi="Times New Roman"/>
          <w:sz w:val="19"/>
          <w:szCs w:val="19"/>
          <w:color w:val="auto"/>
        </w:rPr>
        <w:t xml:space="preserve">Assets or interests therein are sold or discounted directly to one or more investors or other purchasers (other than Centuri or any Subsidiary), including, without limitation, in connection with a supply chain arrangement or other receivables discount program; </w:t>
      </w:r>
      <w:r>
        <w:rPr>
          <w:rFonts w:ascii="Times New Roman" w:cs="Times New Roman" w:eastAsia="Times New Roman" w:hAnsi="Times New Roman"/>
          <w:sz w:val="19"/>
          <w:szCs w:val="19"/>
          <w:u w:val="single" w:color="auto"/>
          <w:color w:val="auto"/>
        </w:rPr>
        <w:t>provided</w:t>
      </w:r>
    </w:p>
    <w:p>
      <w:pPr>
        <w:ind w:left="76"/>
        <w:spacing w:after="0" w:line="222" w:lineRule="auto"/>
        <w:rPr>
          <w:sz w:val="20"/>
          <w:szCs w:val="20"/>
          <w:color w:val="auto"/>
        </w:rPr>
      </w:pPr>
      <w:r>
        <w:rPr>
          <w:rFonts w:ascii="Times New Roman" w:cs="Times New Roman" w:eastAsia="Times New Roman" w:hAnsi="Times New Roman"/>
          <w:sz w:val="19"/>
          <w:szCs w:val="19"/>
          <w:color w:val="auto"/>
        </w:rPr>
        <w:t>that in each case such transactions shall be non-recourse (except in respect of fees, costs, indemnifications, representations and warranties</w:t>
      </w:r>
    </w:p>
    <w:p>
      <w:pPr>
        <w:jc w:val="both"/>
        <w:ind w:left="76"/>
        <w:spacing w:after="0" w:line="204" w:lineRule="auto"/>
        <w:rPr>
          <w:sz w:val="20"/>
          <w:szCs w:val="20"/>
          <w:color w:val="auto"/>
        </w:rPr>
      </w:pPr>
      <w:r>
        <w:rPr>
          <w:rFonts w:ascii="Times New Roman" w:cs="Times New Roman" w:eastAsia="Times New Roman" w:hAnsi="Times New Roman"/>
          <w:sz w:val="20"/>
          <w:szCs w:val="20"/>
          <w:color w:val="auto"/>
        </w:rPr>
        <w:t>and other obligations in which recourse is available against originators or servicers of Receivables Assets included in special- purpose-vehicle receivables financing arrangements, in each case, other than any of the foregoing which are in effect credit support substitutes) to</w:t>
      </w:r>
    </w:p>
    <w:p>
      <w:pPr>
        <w:spacing w:after="0" w:line="1" w:lineRule="exact"/>
        <w:rPr>
          <w:sz w:val="20"/>
          <w:szCs w:val="20"/>
          <w:color w:val="auto"/>
        </w:rPr>
      </w:pPr>
    </w:p>
    <w:p>
      <w:pPr>
        <w:jc w:val="both"/>
        <w:ind w:left="76" w:right="20"/>
        <w:spacing w:after="0" w:line="228" w:lineRule="auto"/>
        <w:rPr>
          <w:sz w:val="20"/>
          <w:szCs w:val="20"/>
          <w:color w:val="auto"/>
        </w:rPr>
      </w:pPr>
      <w:r>
        <w:rPr>
          <w:rFonts w:ascii="Times New Roman" w:cs="Times New Roman" w:eastAsia="Times New Roman" w:hAnsi="Times New Roman"/>
          <w:sz w:val="20"/>
          <w:szCs w:val="20"/>
          <w:color w:val="auto"/>
        </w:rPr>
        <w:t>Centuri and its Subsidiaries (other than a Receivables Subsidiary) and neither Centuri nor any of its Subsidiaries (other than a Receivables Subsidiary) shall provide credit support of any kind.</w:t>
      </w:r>
    </w:p>
    <w:p>
      <w:pPr>
        <w:spacing w:after="0" w:line="203" w:lineRule="exact"/>
        <w:rPr>
          <w:sz w:val="20"/>
          <w:szCs w:val="20"/>
          <w:color w:val="auto"/>
        </w:rPr>
      </w:pPr>
    </w:p>
    <w:p>
      <w:pPr>
        <w:jc w:val="both"/>
        <w:ind w:left="76"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Receivables Transaction Documents</w:t>
      </w:r>
      <w:r>
        <w:rPr>
          <w:rFonts w:ascii="Times New Roman" w:cs="Times New Roman" w:eastAsia="Times New Roman" w:hAnsi="Times New Roman"/>
          <w:sz w:val="20"/>
          <w:szCs w:val="20"/>
          <w:color w:val="auto"/>
        </w:rPr>
        <w:t>” means all documents and agreements evidencing, relating to or otherwise governing a Permitted Receivables Transaction.</w:t>
      </w:r>
    </w:p>
    <w:p>
      <w:pPr>
        <w:spacing w:after="0" w:line="186" w:lineRule="exact"/>
        <w:rPr>
          <w:sz w:val="20"/>
          <w:szCs w:val="20"/>
          <w:color w:val="auto"/>
        </w:rPr>
      </w:pPr>
    </w:p>
    <w:p>
      <w:pPr>
        <w:jc w:val="both"/>
        <w:ind w:left="76"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Person</w:t>
      </w:r>
      <w:r>
        <w:rPr>
          <w:rFonts w:ascii="Times New Roman" w:cs="Times New Roman" w:eastAsia="Times New Roman" w:hAnsi="Times New Roman"/>
          <w:sz w:val="20"/>
          <w:szCs w:val="20"/>
          <w:color w:val="auto"/>
        </w:rPr>
        <w:t>” means any natural person, corporation, limited liability company, trust, joint venture, association, company, partnership, Governmental Authority or other entity.</w:t>
      </w:r>
    </w:p>
    <w:p>
      <w:pPr>
        <w:spacing w:after="0" w:line="186" w:lineRule="exact"/>
        <w:rPr>
          <w:sz w:val="20"/>
          <w:szCs w:val="20"/>
          <w:color w:val="auto"/>
        </w:rPr>
      </w:pPr>
    </w:p>
    <w:p>
      <w:pPr>
        <w:ind w:left="716"/>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Platform</w:t>
      </w:r>
      <w:r>
        <w:rPr>
          <w:rFonts w:ascii="Times New Roman" w:cs="Times New Roman" w:eastAsia="Times New Roman" w:hAnsi="Times New Roman"/>
          <w:sz w:val="20"/>
          <w:szCs w:val="20"/>
          <w:color w:val="auto"/>
        </w:rPr>
        <w:t xml:space="preserve">” has the meaning assigned thereto in </w:t>
      </w:r>
      <w:r>
        <w:rPr>
          <w:rFonts w:ascii="Times New Roman" w:cs="Times New Roman" w:eastAsia="Times New Roman" w:hAnsi="Times New Roman"/>
          <w:sz w:val="20"/>
          <w:szCs w:val="20"/>
          <w:u w:val="single" w:color="auto"/>
          <w:color w:val="auto"/>
        </w:rPr>
        <w:t>Section 8.2</w:t>
      </w:r>
      <w:r>
        <w:rPr>
          <w:rFonts w:ascii="Times New Roman" w:cs="Times New Roman" w:eastAsia="Times New Roman" w:hAnsi="Times New Roman"/>
          <w:sz w:val="20"/>
          <w:szCs w:val="20"/>
          <w:color w:val="auto"/>
        </w:rPr>
        <w:t>.</w:t>
      </w:r>
    </w:p>
    <w:p>
      <w:pPr>
        <w:spacing w:after="0" w:line="270" w:lineRule="exact"/>
        <w:rPr>
          <w:sz w:val="20"/>
          <w:szCs w:val="20"/>
          <w:color w:val="auto"/>
        </w:rPr>
      </w:pPr>
    </w:p>
    <w:p>
      <w:pPr>
        <w:jc w:val="both"/>
        <w:ind w:left="76" w:right="20" w:firstLine="648"/>
        <w:spacing w:after="0" w:line="23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PPSA</w:t>
      </w:r>
      <w:r>
        <w:rPr>
          <w:rFonts w:ascii="Times New Roman" w:cs="Times New Roman" w:eastAsia="Times New Roman" w:hAnsi="Times New Roman"/>
          <w:sz w:val="20"/>
          <w:szCs w:val="20"/>
          <w:color w:val="auto"/>
        </w:rPr>
        <w:t>” means the Personal Property Security Act of Ontario or any successor statute or similar legislation of any jurisdiction the laws of which are required by such legislation to be applied in connection with the issue, perfection, enforcement, validity or effect of security interests.</w:t>
      </w:r>
    </w:p>
    <w:p>
      <w:pPr>
        <w:spacing w:after="0" w:line="189" w:lineRule="exact"/>
        <w:rPr>
          <w:sz w:val="20"/>
          <w:szCs w:val="20"/>
          <w:color w:val="auto"/>
        </w:rPr>
      </w:pPr>
    </w:p>
    <w:p>
      <w:pPr>
        <w:ind w:left="716"/>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Prime Rate</w:t>
      </w:r>
      <w:r>
        <w:rPr>
          <w:rFonts w:ascii="Times New Roman" w:cs="Times New Roman" w:eastAsia="Times New Roman" w:hAnsi="Times New Roman"/>
          <w:sz w:val="19"/>
          <w:szCs w:val="19"/>
          <w:color w:val="auto"/>
        </w:rPr>
        <w:t>” means, at any time, the rate of interest per annum publicly announced from time to time by the Administrative Agent</w:t>
      </w:r>
    </w:p>
    <w:p>
      <w:pPr>
        <w:spacing w:after="0" w:line="6" w:lineRule="exact"/>
        <w:rPr>
          <w:sz w:val="20"/>
          <w:szCs w:val="20"/>
          <w:color w:val="auto"/>
        </w:rPr>
      </w:pPr>
    </w:p>
    <w:p>
      <w:pPr>
        <w:jc w:val="both"/>
        <w:ind w:left="76"/>
        <w:spacing w:after="0" w:line="215" w:lineRule="auto"/>
        <w:rPr>
          <w:sz w:val="20"/>
          <w:szCs w:val="20"/>
          <w:color w:val="auto"/>
        </w:rPr>
      </w:pPr>
      <w:r>
        <w:rPr>
          <w:rFonts w:ascii="Times New Roman" w:cs="Times New Roman" w:eastAsia="Times New Roman" w:hAnsi="Times New Roman"/>
          <w:sz w:val="19"/>
          <w:szCs w:val="19"/>
          <w:color w:val="auto"/>
        </w:rPr>
        <w:t>as its prime rate. Each change in the Prime Rate shall be effective as of the opening of business on the day such change in such prime rate occurs. The parties hereto acknowledge that the rate announced publicly by the Administrative Agent as its prime rate is an index or base</w:t>
      </w:r>
    </w:p>
    <w:p>
      <w:pPr>
        <w:ind w:left="76"/>
        <w:spacing w:after="0"/>
        <w:rPr>
          <w:sz w:val="20"/>
          <w:szCs w:val="20"/>
          <w:color w:val="auto"/>
        </w:rPr>
      </w:pPr>
      <w:r>
        <w:rPr>
          <w:rFonts w:ascii="Times New Roman" w:cs="Times New Roman" w:eastAsia="Times New Roman" w:hAnsi="Times New Roman"/>
          <w:sz w:val="20"/>
          <w:szCs w:val="20"/>
          <w:color w:val="auto"/>
        </w:rPr>
        <w:t>rate and shall not necessarily be its lowest or best rate charged to its customers or other banks.</w:t>
      </w:r>
    </w:p>
    <w:p>
      <w:pPr>
        <w:spacing w:after="0" w:line="194" w:lineRule="exact"/>
        <w:rPr>
          <w:sz w:val="20"/>
          <w:szCs w:val="20"/>
          <w:color w:val="auto"/>
        </w:rPr>
      </w:pPr>
    </w:p>
    <w:p>
      <w:pPr>
        <w:ind w:left="716"/>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Pro Forma Basis</w:t>
      </w:r>
      <w:r>
        <w:rPr>
          <w:rFonts w:ascii="Times New Roman" w:cs="Times New Roman" w:eastAsia="Times New Roman" w:hAnsi="Times New Roman"/>
          <w:sz w:val="19"/>
          <w:szCs w:val="19"/>
          <w:color w:val="auto"/>
        </w:rPr>
        <w:t>” means, for any period during which one or more Specified Transactions occurs, that such Specified Transaction</w:t>
      </w:r>
    </w:p>
    <w:p>
      <w:pPr>
        <w:spacing w:after="0" w:line="6" w:lineRule="exact"/>
        <w:rPr>
          <w:sz w:val="20"/>
          <w:szCs w:val="20"/>
          <w:color w:val="auto"/>
        </w:rPr>
      </w:pPr>
    </w:p>
    <w:p>
      <w:pPr>
        <w:jc w:val="both"/>
        <w:ind w:left="76"/>
        <w:spacing w:after="0" w:line="215" w:lineRule="auto"/>
        <w:rPr>
          <w:sz w:val="20"/>
          <w:szCs w:val="20"/>
          <w:color w:val="auto"/>
        </w:rPr>
      </w:pPr>
      <w:r>
        <w:rPr>
          <w:rFonts w:ascii="Times New Roman" w:cs="Times New Roman" w:eastAsia="Times New Roman" w:hAnsi="Times New Roman"/>
          <w:sz w:val="19"/>
          <w:szCs w:val="19"/>
          <w:color w:val="auto"/>
        </w:rPr>
        <w:t xml:space="preserve">(and all other Specified Transactions that have been consummated during the applicable period) shall be deemed to have occurred as of the first day of the applicable period of measurement and for purposes of calculations made of the financial covenants in </w:t>
      </w:r>
      <w:r>
        <w:rPr>
          <w:rFonts w:ascii="Times New Roman" w:cs="Times New Roman" w:eastAsia="Times New Roman" w:hAnsi="Times New Roman"/>
          <w:sz w:val="19"/>
          <w:szCs w:val="19"/>
          <w:u w:val="single" w:color="auto"/>
          <w:color w:val="auto"/>
        </w:rPr>
        <w:t>Section 9.13</w:t>
      </w:r>
      <w:r>
        <w:rPr>
          <w:rFonts w:ascii="Times New Roman" w:cs="Times New Roman" w:eastAsia="Times New Roman" w:hAnsi="Times New Roman"/>
          <w:sz w:val="19"/>
          <w:szCs w:val="19"/>
          <w:color w:val="auto"/>
        </w:rPr>
        <w:t>, (a) after</w:t>
      </w:r>
    </w:p>
    <w:p>
      <w:pPr>
        <w:ind w:left="76"/>
        <w:spacing w:after="0" w:line="211" w:lineRule="auto"/>
        <w:rPr>
          <w:sz w:val="20"/>
          <w:szCs w:val="20"/>
          <w:color w:val="auto"/>
        </w:rPr>
      </w:pPr>
      <w:r>
        <w:rPr>
          <w:rFonts w:ascii="Times New Roman" w:cs="Times New Roman" w:eastAsia="Times New Roman" w:hAnsi="Times New Roman"/>
          <w:sz w:val="20"/>
          <w:szCs w:val="20"/>
          <w:color w:val="auto"/>
        </w:rPr>
        <w:t>consummation of any Specified Disposition (i) income statement items (whether positive or negative) and Capital Expenditures</w:t>
      </w:r>
    </w:p>
    <w:p>
      <w:pPr>
        <w:jc w:val="both"/>
        <w:ind w:left="76"/>
        <w:spacing w:after="0" w:line="215" w:lineRule="auto"/>
        <w:rPr>
          <w:sz w:val="20"/>
          <w:szCs w:val="20"/>
          <w:color w:val="auto"/>
        </w:rPr>
      </w:pPr>
      <w:r>
        <w:rPr>
          <w:rFonts w:ascii="Times New Roman" w:cs="Times New Roman" w:eastAsia="Times New Roman" w:hAnsi="Times New Roman"/>
          <w:sz w:val="19"/>
          <w:szCs w:val="19"/>
          <w:color w:val="auto"/>
        </w:rPr>
        <w:t>attributable to the Property or Person disposed of shall be excluded and (ii) Indebtedness which is retired shall be excluded and deemed to have been retired as of the first day of the applicable period and (b) after consummation of any Permitted Acquisition (i) income statement</w:t>
      </w:r>
    </w:p>
    <w:p>
      <w:pPr>
        <w:ind w:left="76"/>
        <w:spacing w:after="0" w:line="211" w:lineRule="auto"/>
        <w:rPr>
          <w:sz w:val="20"/>
          <w:szCs w:val="20"/>
          <w:color w:val="auto"/>
        </w:rPr>
      </w:pPr>
      <w:r>
        <w:rPr>
          <w:rFonts w:ascii="Times New Roman" w:cs="Times New Roman" w:eastAsia="Times New Roman" w:hAnsi="Times New Roman"/>
          <w:sz w:val="20"/>
          <w:szCs w:val="20"/>
          <w:color w:val="auto"/>
        </w:rPr>
        <w:t>items (whether positive or negative) and Capital Expenditures attributable to the Person or Property acquired shall, to the extent not</w:t>
      </w:r>
    </w:p>
    <w:p>
      <w:pPr>
        <w:jc w:val="both"/>
        <w:ind w:left="76"/>
        <w:spacing w:after="0" w:line="221" w:lineRule="auto"/>
        <w:rPr>
          <w:sz w:val="20"/>
          <w:szCs w:val="20"/>
          <w:color w:val="auto"/>
        </w:rPr>
      </w:pPr>
      <w:r>
        <w:rPr>
          <w:rFonts w:ascii="Times New Roman" w:cs="Times New Roman" w:eastAsia="Times New Roman" w:hAnsi="Times New Roman"/>
          <w:sz w:val="20"/>
          <w:szCs w:val="20"/>
          <w:color w:val="auto"/>
        </w:rPr>
        <w:t xml:space="preserve">otherwise included in such income statement items for Consolidated Companies in accordance with GAAP or in accordance with any defined terms set forth in </w:t>
      </w:r>
      <w:r>
        <w:rPr>
          <w:rFonts w:ascii="Times New Roman" w:cs="Times New Roman" w:eastAsia="Times New Roman" w:hAnsi="Times New Roman"/>
          <w:sz w:val="20"/>
          <w:szCs w:val="20"/>
          <w:u w:val="single" w:color="auto"/>
          <w:color w:val="auto"/>
        </w:rPr>
        <w:t>Section 1.1</w:t>
      </w:r>
      <w:r>
        <w:rPr>
          <w:rFonts w:ascii="Times New Roman" w:cs="Times New Roman" w:eastAsia="Times New Roman" w:hAnsi="Times New Roman"/>
          <w:sz w:val="20"/>
          <w:szCs w:val="20"/>
          <w:color w:val="auto"/>
        </w:rPr>
        <w:t>, be included to the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16"/>
        <w:spacing w:after="0"/>
        <w:rPr>
          <w:sz w:val="20"/>
          <w:szCs w:val="20"/>
          <w:color w:val="auto"/>
        </w:rPr>
      </w:pPr>
      <w:r>
        <w:rPr>
          <w:rFonts w:ascii="Times New Roman" w:cs="Times New Roman" w:eastAsia="Times New Roman" w:hAnsi="Times New Roman"/>
          <w:sz w:val="14"/>
          <w:szCs w:val="14"/>
          <w:color w:val="FF0000"/>
          <w:strike w:val="1"/>
        </w:rPr>
        <w:t>146960219_6</w:t>
      </w:r>
    </w:p>
    <w:p>
      <w:pPr>
        <w:spacing w:after="0" w:line="4" w:lineRule="exact"/>
        <w:rPr>
          <w:sz w:val="20"/>
          <w:szCs w:val="20"/>
          <w:color w:val="auto"/>
        </w:rPr>
      </w:pPr>
    </w:p>
    <w:p>
      <w:pPr>
        <w:ind w:left="316" w:hanging="316"/>
        <w:spacing w:after="0"/>
        <w:tabs>
          <w:tab w:leader="none" w:pos="316"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096"/>
          </w:cols>
          <w:pgMar w:left="364" w:top="1399" w:right="439" w:bottom="1440" w:gutter="0" w:footer="0" w:header="0"/>
        </w:sectPr>
      </w:pPr>
    </w:p>
    <w:bookmarkStart w:id="124" w:name="page125"/>
    <w:bookmarkEnd w:id="124"/>
    <w:p>
      <w:pPr>
        <w:jc w:val="both"/>
        <w:ind w:left="100"/>
        <w:spacing w:after="0" w:line="254" w:lineRule="auto"/>
        <w:rPr>
          <w:sz w:val="20"/>
          <w:szCs w:val="20"/>
          <w:color w:val="auto"/>
        </w:rPr>
      </w:pPr>
      <w:r>
        <w:rPr>
          <w:rFonts w:ascii="Times New Roman" w:cs="Times New Roman" w:eastAsia="Times New Roman" w:hAnsi="Times New Roman"/>
          <w:sz w:val="20"/>
          <w:szCs w:val="20"/>
          <w:color w:val="auto"/>
        </w:rPr>
        <w:t>extent relating to any period applicable in such calculations, and (ii) to the extent not retired in connection with such Permitted Acquisition, Indebtedness of the Person or Property acquired shall be deemed to have been incurred as of the first day of the applicable period.</w:t>
      </w:r>
    </w:p>
    <w:p>
      <w:pPr>
        <w:spacing w:after="0" w:line="201" w:lineRule="exact"/>
        <w:rPr>
          <w:sz w:val="20"/>
          <w:szCs w:val="20"/>
          <w:color w:val="auto"/>
        </w:rPr>
      </w:pPr>
    </w:p>
    <w:p>
      <w:pPr>
        <w:ind w:left="100" w:right="5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Property</w:t>
      </w:r>
      <w:r>
        <w:rPr>
          <w:rFonts w:ascii="Times New Roman" w:cs="Times New Roman" w:eastAsia="Times New Roman" w:hAnsi="Times New Roman"/>
          <w:sz w:val="20"/>
          <w:szCs w:val="20"/>
          <w:color w:val="auto"/>
        </w:rPr>
        <w:t>” means any right or interest in or to property of any kind whatsoever, whether real, personal or mixed and whether tangible or intangible, including, without limitation, Equity Interests.</w:t>
      </w:r>
    </w:p>
    <w:p>
      <w:pPr>
        <w:spacing w:after="0" w:line="160" w:lineRule="exact"/>
        <w:rPr>
          <w:sz w:val="20"/>
          <w:szCs w:val="20"/>
          <w:color w:val="auto"/>
        </w:rPr>
      </w:pPr>
    </w:p>
    <w:p>
      <w:pPr>
        <w:ind w:left="100" w:right="360"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PTE</w:t>
      </w:r>
      <w:r>
        <w:rPr>
          <w:rFonts w:ascii="Times New Roman" w:cs="Times New Roman" w:eastAsia="Times New Roman" w:hAnsi="Times New Roman"/>
          <w:sz w:val="20"/>
          <w:szCs w:val="20"/>
          <w:color w:val="auto"/>
        </w:rPr>
        <w:t>” means a prohibited transaction class exemption issued by the U.S. Department of Labor, as any such exemption may be amended from time to time.</w:t>
      </w:r>
    </w:p>
    <w:p>
      <w:pPr>
        <w:spacing w:after="0" w:line="18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Public Lenders</w:t>
      </w:r>
      <w:r>
        <w:rPr>
          <w:rFonts w:ascii="Times New Roman" w:cs="Times New Roman" w:eastAsia="Times New Roman" w:hAnsi="Times New Roman"/>
          <w:sz w:val="20"/>
          <w:szCs w:val="20"/>
          <w:color w:val="auto"/>
        </w:rPr>
        <w:t xml:space="preserve">” has the meaning assigned thereto in </w:t>
      </w:r>
      <w:r>
        <w:rPr>
          <w:rFonts w:ascii="Times New Roman" w:cs="Times New Roman" w:eastAsia="Times New Roman" w:hAnsi="Times New Roman"/>
          <w:sz w:val="20"/>
          <w:szCs w:val="20"/>
          <w:u w:val="single" w:color="auto"/>
          <w:color w:val="auto"/>
        </w:rPr>
        <w:t>Section 8.2</w:t>
      </w:r>
      <w:r>
        <w:rPr>
          <w:rFonts w:ascii="Times New Roman" w:cs="Times New Roman" w:eastAsia="Times New Roman" w:hAnsi="Times New Roman"/>
          <w:sz w:val="20"/>
          <w:szCs w:val="20"/>
          <w:color w:val="auto"/>
        </w:rPr>
        <w:t>.</w:t>
      </w:r>
    </w:p>
    <w:p>
      <w:pPr>
        <w:spacing w:after="0" w:line="28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Qualified Equity Interests</w:t>
      </w:r>
      <w:r>
        <w:rPr>
          <w:rFonts w:ascii="Times New Roman" w:cs="Times New Roman" w:eastAsia="Times New Roman" w:hAnsi="Times New Roman"/>
          <w:sz w:val="20"/>
          <w:szCs w:val="20"/>
          <w:color w:val="auto"/>
        </w:rPr>
        <w:t>” means any Equity Interests that are not Disqualified Equity Interests.</w:t>
      </w:r>
    </w:p>
    <w:p>
      <w:pPr>
        <w:spacing w:after="0" w:line="283" w:lineRule="exact"/>
        <w:rPr>
          <w:sz w:val="20"/>
          <w:szCs w:val="20"/>
          <w:color w:val="auto"/>
        </w:rPr>
      </w:pPr>
    </w:p>
    <w:p>
      <w:pPr>
        <w:jc w:val="both"/>
        <w:ind w:left="100" w:right="20" w:firstLine="648"/>
        <w:spacing w:after="0" w:line="21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Receivables Assets</w:t>
      </w:r>
      <w:r>
        <w:rPr>
          <w:rFonts w:ascii="Times New Roman" w:cs="Times New Roman" w:eastAsia="Times New Roman" w:hAnsi="Times New Roman"/>
          <w:sz w:val="20"/>
          <w:szCs w:val="20"/>
          <w:color w:val="auto"/>
        </w:rPr>
        <w:t>” means accounts receivable (including any bills of exchange), notes receivable, lease receivables or other instruments from time to time originated, acquired or otherwise owned by Centuri or any Subsidiary in the ordinary course of business,</w:t>
      </w:r>
    </w:p>
    <w:p>
      <w:pPr>
        <w:spacing w:after="0" w:line="1" w:lineRule="exact"/>
        <w:rPr>
          <w:sz w:val="20"/>
          <w:szCs w:val="20"/>
          <w:color w:val="auto"/>
        </w:rPr>
      </w:pPr>
    </w:p>
    <w:p>
      <w:pPr>
        <w:jc w:val="both"/>
        <w:ind w:left="100" w:right="20"/>
        <w:spacing w:after="0" w:line="228" w:lineRule="auto"/>
        <w:rPr>
          <w:sz w:val="20"/>
          <w:szCs w:val="20"/>
          <w:color w:val="auto"/>
        </w:rPr>
      </w:pPr>
      <w:r>
        <w:rPr>
          <w:rFonts w:ascii="Times New Roman" w:cs="Times New Roman" w:eastAsia="Times New Roman" w:hAnsi="Times New Roman"/>
          <w:sz w:val="20"/>
          <w:szCs w:val="20"/>
          <w:color w:val="auto"/>
        </w:rPr>
        <w:t>including any thereof constituting or evidenced by chattel paper, instruments or general intangibles, and all proceeds thereof and rights (contractual and other) and collateral (including all general intangibles, documents, instruments and records) related thereto.</w:t>
      </w:r>
    </w:p>
    <w:p>
      <w:pPr>
        <w:spacing w:after="0" w:line="189" w:lineRule="exact"/>
        <w:rPr>
          <w:sz w:val="20"/>
          <w:szCs w:val="20"/>
          <w:color w:val="auto"/>
        </w:rPr>
      </w:pPr>
    </w:p>
    <w:p>
      <w:pPr>
        <w:jc w:val="both"/>
        <w:ind w:left="100" w:firstLine="648"/>
        <w:spacing w:after="0" w:line="22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Receivables Subsidiary</w:t>
      </w:r>
      <w:r>
        <w:rPr>
          <w:rFonts w:ascii="Times New Roman" w:cs="Times New Roman" w:eastAsia="Times New Roman" w:hAnsi="Times New Roman"/>
          <w:sz w:val="19"/>
          <w:szCs w:val="19"/>
          <w:color w:val="auto"/>
        </w:rPr>
        <w:t>” means any direct or indirect special purpose, bankruptcy-remote Subsidiary of Centuri established in connection with a Permitted Receivables Transaction for the acquisition of Receivables Assets or interests therein, and which is organized</w:t>
      </w:r>
    </w:p>
    <w:p>
      <w:pPr>
        <w:ind w:left="100"/>
        <w:spacing w:after="0" w:line="211" w:lineRule="auto"/>
        <w:rPr>
          <w:sz w:val="20"/>
          <w:szCs w:val="20"/>
          <w:color w:val="auto"/>
        </w:rPr>
      </w:pPr>
      <w:r>
        <w:rPr>
          <w:rFonts w:ascii="Times New Roman" w:cs="Times New Roman" w:eastAsia="Times New Roman" w:hAnsi="Times New Roman"/>
          <w:sz w:val="20"/>
          <w:szCs w:val="20"/>
          <w:color w:val="auto"/>
        </w:rPr>
        <w:t>in a manner intended to reduce the likelihood that it would be substantively consolidated with the Borrower or any of its Subsidiaries</w:t>
      </w:r>
    </w:p>
    <w:p>
      <w:pPr>
        <w:spacing w:after="0" w:line="1" w:lineRule="exact"/>
        <w:rPr>
          <w:sz w:val="20"/>
          <w:szCs w:val="20"/>
          <w:color w:val="auto"/>
        </w:rPr>
      </w:pPr>
    </w:p>
    <w:p>
      <w:pPr>
        <w:jc w:val="both"/>
        <w:ind w:left="100"/>
        <w:spacing w:after="0" w:line="221" w:lineRule="auto"/>
        <w:rPr>
          <w:sz w:val="20"/>
          <w:szCs w:val="20"/>
          <w:color w:val="auto"/>
        </w:rPr>
      </w:pPr>
      <w:r>
        <w:rPr>
          <w:rFonts w:ascii="Times New Roman" w:cs="Times New Roman" w:eastAsia="Times New Roman" w:hAnsi="Times New Roman"/>
          <w:sz w:val="20"/>
          <w:szCs w:val="20"/>
          <w:color w:val="auto"/>
        </w:rPr>
        <w:t>(other than Receivables Subsidiaries) in the event Centuri or any such Subsidiary becomes subject to a proceeding under any Debtor Relief Laws.</w:t>
      </w:r>
    </w:p>
    <w:p>
      <w:pPr>
        <w:spacing w:after="0" w:line="18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Recipient</w:t>
      </w:r>
      <w:r>
        <w:rPr>
          <w:rFonts w:ascii="Times New Roman" w:cs="Times New Roman" w:eastAsia="Times New Roman" w:hAnsi="Times New Roman"/>
          <w:sz w:val="20"/>
          <w:szCs w:val="20"/>
          <w:color w:val="auto"/>
        </w:rPr>
        <w:t>” means (a) the Administrative Agent, (b) any Lender and (c) any Issuing Lender, as applicable.</w:t>
      </w:r>
    </w:p>
    <w:p>
      <w:pPr>
        <w:spacing w:after="0" w:line="243" w:lineRule="exact"/>
        <w:rPr>
          <w:sz w:val="20"/>
          <w:szCs w:val="20"/>
          <w:color w:val="auto"/>
        </w:rPr>
      </w:pPr>
    </w:p>
    <w:p>
      <w:pPr>
        <w:jc w:val="both"/>
        <w:ind w:left="100"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Reference Time</w:t>
      </w:r>
      <w:r>
        <w:rPr>
          <w:rFonts w:ascii="Times New Roman" w:cs="Times New Roman" w:eastAsia="Times New Roman" w:hAnsi="Times New Roman"/>
          <w:sz w:val="20"/>
          <w:szCs w:val="20"/>
          <w:color w:val="auto"/>
        </w:rPr>
        <w:t>” with respect to any setting of the then-current Benchmark means (1) if such Benchmark is USD LIBOR, 11:00 a.m. (London time) on the day that is two (2) London Banking Days preceding the date of such setting, and (2) if such Benchmark is not USD LIBOR, the time determined by the Administrative Agent in its reasonable discretion.</w:t>
      </w:r>
    </w:p>
    <w:p>
      <w:pPr>
        <w:spacing w:after="0" w:line="18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Refinance</w:t>
      </w:r>
      <w:r>
        <w:rPr>
          <w:rFonts w:ascii="Times New Roman" w:cs="Times New Roman" w:eastAsia="Times New Roman" w:hAnsi="Times New Roman"/>
          <w:sz w:val="20"/>
          <w:szCs w:val="20"/>
          <w:color w:val="auto"/>
        </w:rPr>
        <w:t xml:space="preserve">” has the meaning assigned thereto in </w:t>
      </w:r>
      <w:r>
        <w:rPr>
          <w:rFonts w:ascii="Times New Roman" w:cs="Times New Roman" w:eastAsia="Times New Roman" w:hAnsi="Times New Roman"/>
          <w:sz w:val="20"/>
          <w:szCs w:val="20"/>
          <w:u w:val="single" w:color="auto"/>
          <w:color w:val="auto"/>
        </w:rPr>
        <w:t>Section 5.18(a)</w:t>
      </w:r>
      <w:r>
        <w:rPr>
          <w:rFonts w:ascii="Times New Roman" w:cs="Times New Roman" w:eastAsia="Times New Roman" w:hAnsi="Times New Roman"/>
          <w:sz w:val="20"/>
          <w:szCs w:val="20"/>
          <w:color w:val="auto"/>
        </w:rPr>
        <w:t>.</w:t>
      </w:r>
    </w:p>
    <w:p>
      <w:pPr>
        <w:spacing w:after="0" w:line="28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Refinancing Amendment</w:t>
      </w:r>
      <w:r>
        <w:rPr>
          <w:rFonts w:ascii="Times New Roman" w:cs="Times New Roman" w:eastAsia="Times New Roman" w:hAnsi="Times New Roman"/>
          <w:sz w:val="20"/>
          <w:szCs w:val="20"/>
          <w:color w:val="auto"/>
        </w:rPr>
        <w:t xml:space="preserve">” has the meaning assigned thereto in </w:t>
      </w:r>
      <w:r>
        <w:rPr>
          <w:rFonts w:ascii="Times New Roman" w:cs="Times New Roman" w:eastAsia="Times New Roman" w:hAnsi="Times New Roman"/>
          <w:sz w:val="20"/>
          <w:szCs w:val="20"/>
          <w:u w:val="single" w:color="auto"/>
          <w:color w:val="auto"/>
        </w:rPr>
        <w:t>Section 5.18(d)</w:t>
      </w:r>
      <w:r>
        <w:rPr>
          <w:rFonts w:ascii="Times New Roman" w:cs="Times New Roman" w:eastAsia="Times New Roman" w:hAnsi="Times New Roman"/>
          <w:sz w:val="20"/>
          <w:szCs w:val="20"/>
          <w:color w:val="auto"/>
        </w:rPr>
        <w:t>.</w:t>
      </w:r>
    </w:p>
    <w:p>
      <w:pPr>
        <w:spacing w:after="0" w:line="283" w:lineRule="exact"/>
        <w:rPr>
          <w:sz w:val="20"/>
          <w:szCs w:val="20"/>
          <w:color w:val="auto"/>
        </w:rPr>
      </w:pPr>
    </w:p>
    <w:p>
      <w:pPr>
        <w:ind w:left="100" w:right="120" w:firstLine="648"/>
        <w:spacing w:after="0" w:line="23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Refinancing Debt</w:t>
      </w:r>
      <w:r>
        <w:rPr>
          <w:rFonts w:ascii="Times New Roman" w:cs="Times New Roman" w:eastAsia="Times New Roman" w:hAnsi="Times New Roman"/>
          <w:sz w:val="20"/>
          <w:szCs w:val="20"/>
          <w:color w:val="auto"/>
        </w:rPr>
        <w:t>” means Refinancing Term Loans, Refinancing Revolving Credit Commitments, Refinancing Revolving Loans and/or Refinancing Notes, as the context requires.</w:t>
      </w:r>
    </w:p>
    <w:p>
      <w:pPr>
        <w:spacing w:after="0" w:line="20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Refinancing Effective Date</w:t>
      </w:r>
      <w:r>
        <w:rPr>
          <w:rFonts w:ascii="Times New Roman" w:cs="Times New Roman" w:eastAsia="Times New Roman" w:hAnsi="Times New Roman"/>
          <w:sz w:val="20"/>
          <w:szCs w:val="20"/>
          <w:color w:val="auto"/>
        </w:rPr>
        <w:t xml:space="preserve">” has the meaning assigned thereto in </w:t>
      </w:r>
      <w:r>
        <w:rPr>
          <w:rFonts w:ascii="Times New Roman" w:cs="Times New Roman" w:eastAsia="Times New Roman" w:hAnsi="Times New Roman"/>
          <w:sz w:val="20"/>
          <w:szCs w:val="20"/>
          <w:u w:val="single" w:color="auto"/>
          <w:color w:val="auto"/>
        </w:rPr>
        <w:t>Section 5.18(b)</w:t>
      </w:r>
      <w:r>
        <w:rPr>
          <w:rFonts w:ascii="Times New Roman" w:cs="Times New Roman" w:eastAsia="Times New Roman" w:hAnsi="Times New Roman"/>
          <w:sz w:val="20"/>
          <w:szCs w:val="20"/>
          <w:color w:val="auto"/>
        </w:rPr>
        <w:t>.</w:t>
      </w:r>
    </w:p>
    <w:p>
      <w:pPr>
        <w:spacing w:after="0" w:line="28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Refinancing Lender</w:t>
      </w:r>
      <w:r>
        <w:rPr>
          <w:rFonts w:ascii="Times New Roman" w:cs="Times New Roman" w:eastAsia="Times New Roman" w:hAnsi="Times New Roman"/>
          <w:sz w:val="20"/>
          <w:szCs w:val="20"/>
          <w:color w:val="auto"/>
        </w:rPr>
        <w:t xml:space="preserve">” has the meaning assigned thereto in </w:t>
      </w:r>
      <w:r>
        <w:rPr>
          <w:rFonts w:ascii="Times New Roman" w:cs="Times New Roman" w:eastAsia="Times New Roman" w:hAnsi="Times New Roman"/>
          <w:sz w:val="20"/>
          <w:szCs w:val="20"/>
          <w:u w:val="single" w:color="auto"/>
          <w:color w:val="auto"/>
        </w:rPr>
        <w:t>Section 5.18(c)</w:t>
      </w:r>
      <w:r>
        <w:rPr>
          <w:rFonts w:ascii="Times New Roman" w:cs="Times New Roman" w:eastAsia="Times New Roman" w:hAnsi="Times New Roman"/>
          <w:sz w:val="20"/>
          <w:szCs w:val="20"/>
          <w:color w:val="auto"/>
        </w:rPr>
        <w:t>.</w:t>
      </w:r>
    </w:p>
    <w:p>
      <w:pPr>
        <w:spacing w:after="0" w:line="28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Refinancing Notes</w:t>
      </w:r>
      <w:r>
        <w:rPr>
          <w:rFonts w:ascii="Times New Roman" w:cs="Times New Roman" w:eastAsia="Times New Roman" w:hAnsi="Times New Roman"/>
          <w:sz w:val="20"/>
          <w:szCs w:val="20"/>
          <w:color w:val="auto"/>
        </w:rPr>
        <w:t xml:space="preserve">” has the meaning assigned thereto in </w:t>
      </w:r>
      <w:r>
        <w:rPr>
          <w:rFonts w:ascii="Times New Roman" w:cs="Times New Roman" w:eastAsia="Times New Roman" w:hAnsi="Times New Roman"/>
          <w:sz w:val="20"/>
          <w:szCs w:val="20"/>
          <w:u w:val="single" w:color="auto"/>
          <w:color w:val="auto"/>
        </w:rPr>
        <w:t>Section 5.18(a)</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Refinancing Revolving Credit Commitments</w:t>
      </w:r>
      <w:r>
        <w:rPr>
          <w:rFonts w:ascii="Times New Roman" w:cs="Times New Roman" w:eastAsia="Times New Roman" w:hAnsi="Times New Roman"/>
          <w:sz w:val="20"/>
          <w:szCs w:val="20"/>
          <w:color w:val="auto"/>
        </w:rPr>
        <w:t xml:space="preserve">” has the meaning assigned thereto in </w:t>
      </w:r>
      <w:r>
        <w:rPr>
          <w:rFonts w:ascii="Times New Roman" w:cs="Times New Roman" w:eastAsia="Times New Roman" w:hAnsi="Times New Roman"/>
          <w:sz w:val="20"/>
          <w:szCs w:val="20"/>
          <w:u w:val="single" w:color="auto"/>
          <w:color w:val="auto"/>
        </w:rPr>
        <w:t>Section 5.18(a)</w:t>
      </w:r>
      <w:r>
        <w:rPr>
          <w:rFonts w:ascii="Times New Roman" w:cs="Times New Roman" w:eastAsia="Times New Roman" w:hAnsi="Times New Roman"/>
          <w:sz w:val="20"/>
          <w:szCs w:val="20"/>
          <w:color w:val="auto"/>
        </w:rPr>
        <w:t>.</w:t>
      </w:r>
    </w:p>
    <w:p>
      <w:pPr>
        <w:spacing w:after="0" w:line="28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42</w:t>
      </w:r>
    </w:p>
    <w:p>
      <w:pPr>
        <w:spacing w:after="0" w:line="200" w:lineRule="exact"/>
        <w:rPr>
          <w:sz w:val="20"/>
          <w:szCs w:val="20"/>
          <w:color w:val="auto"/>
        </w:rPr>
      </w:pPr>
    </w:p>
    <w:p>
      <w:pPr>
        <w:spacing w:after="0" w:line="3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FF0000"/>
          <w:strike w:val="1"/>
        </w:rPr>
        <w:t>146960219_6</w:t>
      </w:r>
    </w:p>
    <w:p>
      <w:pPr>
        <w:ind w:left="40"/>
        <w:spacing w:after="0"/>
        <w:rPr>
          <w:sz w:val="20"/>
          <w:szCs w:val="20"/>
          <w:color w:val="auto"/>
        </w:rPr>
      </w:pP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140"/>
          </w:cols>
          <w:pgMar w:left="320" w:top="1089" w:right="439" w:bottom="1440" w:gutter="0" w:footer="0" w:header="0"/>
        </w:sectPr>
      </w:pPr>
    </w:p>
    <w:bookmarkStart w:id="125" w:name="page126"/>
    <w:bookmarkEnd w:id="125"/>
    <w:p>
      <w:pPr>
        <w:ind w:left="67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Refinancing Revolving Loans</w:t>
      </w:r>
      <w:r>
        <w:rPr>
          <w:rFonts w:ascii="Times New Roman" w:cs="Times New Roman" w:eastAsia="Times New Roman" w:hAnsi="Times New Roman"/>
          <w:sz w:val="20"/>
          <w:szCs w:val="20"/>
          <w:color w:val="auto"/>
        </w:rPr>
        <w:t xml:space="preserve">” has the meaning assigned thereto in </w:t>
      </w:r>
      <w:r>
        <w:rPr>
          <w:rFonts w:ascii="Times New Roman" w:cs="Times New Roman" w:eastAsia="Times New Roman" w:hAnsi="Times New Roman"/>
          <w:sz w:val="20"/>
          <w:szCs w:val="20"/>
          <w:u w:val="single" w:color="auto"/>
          <w:color w:val="auto"/>
        </w:rPr>
        <w:t>Section 5.18(a)</w:t>
      </w:r>
      <w:r>
        <w:rPr>
          <w:rFonts w:ascii="Times New Roman" w:cs="Times New Roman" w:eastAsia="Times New Roman" w:hAnsi="Times New Roman"/>
          <w:sz w:val="20"/>
          <w:szCs w:val="20"/>
          <w:color w:val="auto"/>
        </w:rPr>
        <w:t>.</w:t>
      </w:r>
    </w:p>
    <w:p>
      <w:pPr>
        <w:spacing w:after="0" w:line="283" w:lineRule="exact"/>
        <w:rPr>
          <w:sz w:val="20"/>
          <w:szCs w:val="20"/>
          <w:color w:val="auto"/>
        </w:rPr>
      </w:pPr>
    </w:p>
    <w:p>
      <w:pPr>
        <w:ind w:left="67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Refinancing Series</w:t>
      </w:r>
      <w:r>
        <w:rPr>
          <w:rFonts w:ascii="Times New Roman" w:cs="Times New Roman" w:eastAsia="Times New Roman" w:hAnsi="Times New Roman"/>
          <w:sz w:val="20"/>
          <w:szCs w:val="20"/>
          <w:color w:val="auto"/>
        </w:rPr>
        <w:t xml:space="preserve">” has the meaning assigned thereto in </w:t>
      </w:r>
      <w:r>
        <w:rPr>
          <w:rFonts w:ascii="Times New Roman" w:cs="Times New Roman" w:eastAsia="Times New Roman" w:hAnsi="Times New Roman"/>
          <w:sz w:val="20"/>
          <w:szCs w:val="20"/>
          <w:u w:val="single" w:color="auto"/>
          <w:color w:val="auto"/>
        </w:rPr>
        <w:t>Section 5.18(c)</w:t>
      </w:r>
      <w:r>
        <w:rPr>
          <w:rFonts w:ascii="Times New Roman" w:cs="Times New Roman" w:eastAsia="Times New Roman" w:hAnsi="Times New Roman"/>
          <w:sz w:val="20"/>
          <w:szCs w:val="20"/>
          <w:color w:val="auto"/>
        </w:rPr>
        <w:t>.</w:t>
      </w:r>
    </w:p>
    <w:p>
      <w:pPr>
        <w:spacing w:after="0" w:line="283" w:lineRule="exact"/>
        <w:rPr>
          <w:sz w:val="20"/>
          <w:szCs w:val="20"/>
          <w:color w:val="auto"/>
        </w:rPr>
      </w:pPr>
    </w:p>
    <w:p>
      <w:pPr>
        <w:ind w:left="67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Refinancing Term Loans</w:t>
      </w:r>
      <w:r>
        <w:rPr>
          <w:rFonts w:ascii="Times New Roman" w:cs="Times New Roman" w:eastAsia="Times New Roman" w:hAnsi="Times New Roman"/>
          <w:sz w:val="20"/>
          <w:szCs w:val="20"/>
          <w:color w:val="auto"/>
        </w:rPr>
        <w:t xml:space="preserve">” has the meaning assigned thereto in </w:t>
      </w:r>
      <w:r>
        <w:rPr>
          <w:rFonts w:ascii="Times New Roman" w:cs="Times New Roman" w:eastAsia="Times New Roman" w:hAnsi="Times New Roman"/>
          <w:sz w:val="20"/>
          <w:szCs w:val="20"/>
          <w:u w:val="single" w:color="auto"/>
          <w:color w:val="auto"/>
        </w:rPr>
        <w:t>Section 5.18(a)</w:t>
      </w:r>
      <w:r>
        <w:rPr>
          <w:rFonts w:ascii="Times New Roman" w:cs="Times New Roman" w:eastAsia="Times New Roman" w:hAnsi="Times New Roman"/>
          <w:sz w:val="20"/>
          <w:szCs w:val="20"/>
          <w:color w:val="auto"/>
        </w:rPr>
        <w:t>.</w:t>
      </w:r>
    </w:p>
    <w:p>
      <w:pPr>
        <w:spacing w:after="0" w:line="283" w:lineRule="exact"/>
        <w:rPr>
          <w:sz w:val="20"/>
          <w:szCs w:val="20"/>
          <w:color w:val="auto"/>
        </w:rPr>
      </w:pPr>
    </w:p>
    <w:p>
      <w:pPr>
        <w:ind w:left="67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Register</w:t>
      </w:r>
      <w:r>
        <w:rPr>
          <w:rFonts w:ascii="Times New Roman" w:cs="Times New Roman" w:eastAsia="Times New Roman" w:hAnsi="Times New Roman"/>
          <w:sz w:val="20"/>
          <w:szCs w:val="20"/>
          <w:color w:val="auto"/>
        </w:rPr>
        <w:t xml:space="preserve">” has the meaning assigned thereto in </w:t>
      </w:r>
      <w:r>
        <w:rPr>
          <w:rFonts w:ascii="Times New Roman" w:cs="Times New Roman" w:eastAsia="Times New Roman" w:hAnsi="Times New Roman"/>
          <w:sz w:val="20"/>
          <w:szCs w:val="20"/>
          <w:u w:val="single" w:color="auto"/>
          <w:color w:val="auto"/>
        </w:rPr>
        <w:t>Section 12.9(c)</w:t>
      </w:r>
      <w:r>
        <w:rPr>
          <w:rFonts w:ascii="Times New Roman" w:cs="Times New Roman" w:eastAsia="Times New Roman" w:hAnsi="Times New Roman"/>
          <w:sz w:val="20"/>
          <w:szCs w:val="20"/>
          <w:color w:val="auto"/>
        </w:rPr>
        <w:t>.</w:t>
      </w:r>
    </w:p>
    <w:p>
      <w:pPr>
        <w:spacing w:after="0" w:line="283" w:lineRule="exact"/>
        <w:rPr>
          <w:sz w:val="20"/>
          <w:szCs w:val="20"/>
          <w:color w:val="auto"/>
        </w:rPr>
      </w:pPr>
    </w:p>
    <w:p>
      <w:pPr>
        <w:ind w:left="38" w:right="220" w:firstLine="648"/>
        <w:spacing w:after="0" w:line="23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Reimbursement Obligation</w:t>
      </w:r>
      <w:r>
        <w:rPr>
          <w:rFonts w:ascii="Times New Roman" w:cs="Times New Roman" w:eastAsia="Times New Roman" w:hAnsi="Times New Roman"/>
          <w:sz w:val="20"/>
          <w:szCs w:val="20"/>
          <w:color w:val="auto"/>
        </w:rPr>
        <w:t xml:space="preserve">” means the obligation of the Borrowers to reimburse any Issuing Lender pursuant to </w:t>
      </w:r>
      <w:r>
        <w:rPr>
          <w:rFonts w:ascii="Times New Roman" w:cs="Times New Roman" w:eastAsia="Times New Roman" w:hAnsi="Times New Roman"/>
          <w:sz w:val="20"/>
          <w:szCs w:val="20"/>
          <w:u w:val="single" w:color="auto"/>
          <w:color w:val="auto"/>
        </w:rPr>
        <w:t>Section 3.5</w:t>
      </w:r>
      <w:r>
        <w:rPr>
          <w:rFonts w:ascii="Times New Roman" w:cs="Times New Roman" w:eastAsia="Times New Roman" w:hAnsi="Times New Roman"/>
          <w:sz w:val="20"/>
          <w:szCs w:val="20"/>
          <w:color w:val="auto"/>
        </w:rPr>
        <w:t xml:space="preserve"> for amounts drawn under Letters of Credit issued by such Issuing Lender.</w:t>
      </w:r>
    </w:p>
    <w:p>
      <w:pPr>
        <w:spacing w:after="0" w:line="255" w:lineRule="exact"/>
        <w:rPr>
          <w:sz w:val="20"/>
          <w:szCs w:val="20"/>
          <w:color w:val="auto"/>
        </w:rPr>
      </w:pPr>
    </w:p>
    <w:p>
      <w:pPr>
        <w:ind w:left="38" w:right="20"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Related Parties</w:t>
      </w:r>
      <w:r>
        <w:rPr>
          <w:rFonts w:ascii="Times New Roman" w:cs="Times New Roman" w:eastAsia="Times New Roman" w:hAnsi="Times New Roman"/>
          <w:sz w:val="20"/>
          <w:szCs w:val="20"/>
          <w:color w:val="auto"/>
        </w:rPr>
        <w:t>” means, with respect to any Person, such Person’s Affiliates and the partners, directors, officers, employees, agents, trustees, administrators, managers, advisors and representatives of such Person and of such Person’s Affiliates.</w:t>
      </w:r>
    </w:p>
    <w:p>
      <w:pPr>
        <w:spacing w:after="0" w:line="188" w:lineRule="exact"/>
        <w:rPr>
          <w:sz w:val="20"/>
          <w:szCs w:val="20"/>
          <w:color w:val="auto"/>
        </w:rPr>
      </w:pPr>
    </w:p>
    <w:p>
      <w:pPr>
        <w:ind w:left="38" w:right="20"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Relevant Governmental Body</w:t>
      </w:r>
      <w:r>
        <w:rPr>
          <w:rFonts w:ascii="Times New Roman" w:cs="Times New Roman" w:eastAsia="Times New Roman" w:hAnsi="Times New Roman"/>
          <w:sz w:val="20"/>
          <w:szCs w:val="20"/>
          <w:color w:val="auto"/>
        </w:rPr>
        <w:t>” means the FRB or the Federal Reserve Bank of New York, or a committee officially endorsed or convened by the FRB or the Federal Reserve Bank of New York, or any successor thereto.</w:t>
      </w:r>
    </w:p>
    <w:p>
      <w:pPr>
        <w:spacing w:after="0" w:line="183" w:lineRule="exact"/>
        <w:rPr>
          <w:sz w:val="20"/>
          <w:szCs w:val="20"/>
          <w:color w:val="auto"/>
        </w:rPr>
      </w:pPr>
    </w:p>
    <w:p>
      <w:pPr>
        <w:ind w:left="67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Repricing Transaction</w:t>
      </w:r>
      <w:r>
        <w:rPr>
          <w:rFonts w:ascii="Times New Roman" w:cs="Times New Roman" w:eastAsia="Times New Roman" w:hAnsi="Times New Roman"/>
          <w:sz w:val="20"/>
          <w:szCs w:val="20"/>
          <w:color w:val="auto"/>
        </w:rPr>
        <w:t>” means (a) any prepayment or repayment of all or a portion of the Initial Term Loan with the proceeds of,</w:t>
      </w:r>
    </w:p>
    <w:p>
      <w:pPr>
        <w:ind w:left="38"/>
        <w:spacing w:after="0" w:line="204" w:lineRule="auto"/>
        <w:rPr>
          <w:sz w:val="20"/>
          <w:szCs w:val="20"/>
          <w:color w:val="auto"/>
        </w:rPr>
      </w:pPr>
      <w:r>
        <w:rPr>
          <w:rFonts w:ascii="Times New Roman" w:cs="Times New Roman" w:eastAsia="Times New Roman" w:hAnsi="Times New Roman"/>
          <w:sz w:val="20"/>
          <w:szCs w:val="20"/>
          <w:color w:val="auto"/>
        </w:rPr>
        <w:t>or any conversion of any such Initial Term Loan into, any new or replacement bank Indebtedness or other credit facility (whether under this Agreement or otherwise), including, without limitation, any Refinancing Term Loans or Refinancing Notes, bearing interest with an</w:t>
      </w:r>
    </w:p>
    <w:p>
      <w:pPr>
        <w:spacing w:after="0" w:line="1" w:lineRule="exact"/>
        <w:rPr>
          <w:sz w:val="20"/>
          <w:szCs w:val="20"/>
          <w:color w:val="auto"/>
        </w:rPr>
      </w:pPr>
    </w:p>
    <w:p>
      <w:pPr>
        <w:ind w:left="38"/>
        <w:spacing w:after="0" w:line="215" w:lineRule="auto"/>
        <w:rPr>
          <w:sz w:val="20"/>
          <w:szCs w:val="20"/>
          <w:color w:val="auto"/>
        </w:rPr>
      </w:pPr>
      <w:r>
        <w:rPr>
          <w:rFonts w:ascii="Times New Roman" w:cs="Times New Roman" w:eastAsia="Times New Roman" w:hAnsi="Times New Roman"/>
          <w:sz w:val="19"/>
          <w:szCs w:val="19"/>
          <w:color w:val="auto"/>
        </w:rPr>
        <w:t>All-In Yield less than the All-In Yield applicable to such Initial Term Loan subject to such event and (b) any repricing of any of the Initial Term Loan (whether pursuant to an amendment, amendment and restatement, mandatory assignment or otherwise) which reduces the All-</w:t>
      </w:r>
    </w:p>
    <w:p>
      <w:pPr>
        <w:ind w:left="38"/>
        <w:spacing w:after="0" w:line="211" w:lineRule="auto"/>
        <w:rPr>
          <w:sz w:val="20"/>
          <w:szCs w:val="20"/>
          <w:color w:val="auto"/>
        </w:rPr>
      </w:pPr>
      <w:r>
        <w:rPr>
          <w:rFonts w:ascii="Times New Roman" w:cs="Times New Roman" w:eastAsia="Times New Roman" w:hAnsi="Times New Roman"/>
          <w:sz w:val="20"/>
          <w:szCs w:val="20"/>
          <w:color w:val="auto"/>
        </w:rPr>
        <w:t>In Yield applicable to all or a portion of such Initial Term Loan, in each case, other than in connection with the consummation of an</w:t>
      </w:r>
    </w:p>
    <w:p>
      <w:pPr>
        <w:ind w:left="38"/>
        <w:spacing w:after="0" w:line="204" w:lineRule="auto"/>
        <w:rPr>
          <w:sz w:val="20"/>
          <w:szCs w:val="20"/>
          <w:color w:val="auto"/>
        </w:rPr>
      </w:pPr>
      <w:r>
        <w:rPr>
          <w:rFonts w:ascii="Times New Roman" w:cs="Times New Roman" w:eastAsia="Times New Roman" w:hAnsi="Times New Roman"/>
          <w:sz w:val="20"/>
          <w:szCs w:val="20"/>
          <w:color w:val="auto"/>
        </w:rPr>
        <w:t>Acquisition not permitted under this Agreement, an initial public offering of Centuri or the occurrence of a Change in Control (so long as the primary purpose of the prepayment or repayment of, or amendment to such Initial Term Loan in connection therewith is not to reduce</w:t>
      </w:r>
    </w:p>
    <w:p>
      <w:pPr>
        <w:spacing w:after="0" w:line="1" w:lineRule="exact"/>
        <w:rPr>
          <w:sz w:val="20"/>
          <w:szCs w:val="20"/>
          <w:color w:val="auto"/>
        </w:rPr>
      </w:pPr>
    </w:p>
    <w:p>
      <w:pPr>
        <w:ind w:left="38"/>
        <w:spacing w:after="0" w:line="228" w:lineRule="auto"/>
        <w:rPr>
          <w:sz w:val="20"/>
          <w:szCs w:val="20"/>
          <w:color w:val="auto"/>
        </w:rPr>
      </w:pPr>
      <w:r>
        <w:rPr>
          <w:rFonts w:ascii="Times New Roman" w:cs="Times New Roman" w:eastAsia="Times New Roman" w:hAnsi="Times New Roman"/>
          <w:sz w:val="20"/>
          <w:szCs w:val="20"/>
          <w:color w:val="auto"/>
        </w:rPr>
        <w:t>the All-In Yield applicable to such Initial Term Loan as certified by a financial officer of Centuri in a certificate to the Administrative Agent (on which the Administrative Agent is expressly permitted to rely)).</w:t>
      </w:r>
    </w:p>
    <w:p>
      <w:pPr>
        <w:spacing w:after="0" w:line="203" w:lineRule="exact"/>
        <w:rPr>
          <w:sz w:val="20"/>
          <w:szCs w:val="20"/>
          <w:color w:val="auto"/>
        </w:rPr>
      </w:pPr>
    </w:p>
    <w:p>
      <w:pPr>
        <w:ind w:left="38"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Required Facility Lenders</w:t>
      </w:r>
      <w:r>
        <w:rPr>
          <w:rFonts w:ascii="Times New Roman" w:cs="Times New Roman" w:eastAsia="Times New Roman" w:hAnsi="Times New Roman"/>
          <w:sz w:val="20"/>
          <w:szCs w:val="20"/>
          <w:color w:val="auto"/>
        </w:rPr>
        <w:t>” means (a) for the Revolving Credit Facility, the Required Revolving Credit Lenders or (b) for the Term Loan Facility, the Required Term Loan Lenders, as applicable.</w:t>
      </w:r>
    </w:p>
    <w:p>
      <w:pPr>
        <w:spacing w:after="0" w:line="173" w:lineRule="exact"/>
        <w:rPr>
          <w:sz w:val="20"/>
          <w:szCs w:val="20"/>
          <w:color w:val="auto"/>
        </w:rPr>
      </w:pPr>
    </w:p>
    <w:p>
      <w:pPr>
        <w:ind w:left="38" w:firstLine="648"/>
        <w:spacing w:after="0" w:line="23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Required Lenders</w:t>
      </w:r>
      <w:r>
        <w:rPr>
          <w:rFonts w:ascii="Times New Roman" w:cs="Times New Roman" w:eastAsia="Times New Roman" w:hAnsi="Times New Roman"/>
          <w:sz w:val="19"/>
          <w:szCs w:val="19"/>
          <w:color w:val="auto"/>
        </w:rPr>
        <w:t>” means, at any time, two or more Lenders having Total Credit Exposures representing more than fifty percent (50%) of the Total Credit Exposures of all Lenders or, if the Commitments have been terminated, two or more Lenders holding more than</w:t>
      </w:r>
    </w:p>
    <w:p>
      <w:pPr>
        <w:spacing w:after="0" w:line="1" w:lineRule="exact"/>
        <w:rPr>
          <w:sz w:val="20"/>
          <w:szCs w:val="20"/>
          <w:color w:val="auto"/>
        </w:rPr>
      </w:pPr>
    </w:p>
    <w:p>
      <w:pPr>
        <w:ind w:left="38"/>
        <w:spacing w:after="0" w:line="221" w:lineRule="auto"/>
        <w:rPr>
          <w:sz w:val="20"/>
          <w:szCs w:val="20"/>
          <w:color w:val="auto"/>
        </w:rPr>
      </w:pPr>
      <w:r>
        <w:rPr>
          <w:rFonts w:ascii="Times New Roman" w:cs="Times New Roman" w:eastAsia="Times New Roman" w:hAnsi="Times New Roman"/>
          <w:sz w:val="20"/>
          <w:szCs w:val="20"/>
          <w:color w:val="auto"/>
        </w:rPr>
        <w:t>fifty percent (50%) of the aggregate outstanding Extensions of Credit. The Total Credit Exposure of any Defaulting Lender shall be disregarded in determining Required Lenders at any time.</w:t>
      </w:r>
    </w:p>
    <w:p>
      <w:pPr>
        <w:spacing w:after="0" w:line="189" w:lineRule="exact"/>
        <w:rPr>
          <w:sz w:val="20"/>
          <w:szCs w:val="20"/>
          <w:color w:val="auto"/>
        </w:rPr>
      </w:pPr>
    </w:p>
    <w:p>
      <w:pPr>
        <w:ind w:left="38" w:firstLine="648"/>
        <w:spacing w:after="0" w:line="23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Required Revolving Credit Lenders</w:t>
      </w:r>
      <w:r>
        <w:rPr>
          <w:rFonts w:ascii="Times New Roman" w:cs="Times New Roman" w:eastAsia="Times New Roman" w:hAnsi="Times New Roman"/>
          <w:sz w:val="19"/>
          <w:szCs w:val="19"/>
          <w:color w:val="auto"/>
        </w:rPr>
        <w:t>” means, at any date, any combination of two or more Revolving Credit Lenders that are not Affiliates (except if there is only one Revolving Credit Lender) holding more than fifty percent (50%) of the sum of the aggregate amount</w:t>
      </w:r>
    </w:p>
    <w:p>
      <w:pPr>
        <w:spacing w:after="0" w:line="1" w:lineRule="exact"/>
        <w:rPr>
          <w:sz w:val="20"/>
          <w:szCs w:val="20"/>
          <w:color w:val="auto"/>
        </w:rPr>
      </w:pPr>
    </w:p>
    <w:p>
      <w:pPr>
        <w:ind w:left="38"/>
        <w:spacing w:after="0" w:line="215" w:lineRule="auto"/>
        <w:rPr>
          <w:sz w:val="20"/>
          <w:szCs w:val="20"/>
          <w:color w:val="auto"/>
        </w:rPr>
      </w:pPr>
      <w:r>
        <w:rPr>
          <w:rFonts w:ascii="Times New Roman" w:cs="Times New Roman" w:eastAsia="Times New Roman" w:hAnsi="Times New Roman"/>
          <w:sz w:val="19"/>
          <w:szCs w:val="19"/>
          <w:color w:val="auto"/>
        </w:rPr>
        <w:t xml:space="preserve">of the Revolving Credit Commitment or, if the Revolving Credit Commitment has been terminated, any combination of Revolving Credit Lenders holding more than fifty percent (50%) of the aggregate Extensions of Credit under the Revolving Credit Facility;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w:t>
      </w:r>
    </w:p>
    <w:p>
      <w:pPr>
        <w:ind w:left="38" w:right="20"/>
        <w:spacing w:after="0" w:line="228" w:lineRule="auto"/>
        <w:rPr>
          <w:sz w:val="20"/>
          <w:szCs w:val="20"/>
          <w:color w:val="auto"/>
        </w:rPr>
      </w:pPr>
      <w:r>
        <w:rPr>
          <w:rFonts w:ascii="Times New Roman" w:cs="Times New Roman" w:eastAsia="Times New Roman" w:hAnsi="Times New Roman"/>
          <w:sz w:val="20"/>
          <w:szCs w:val="20"/>
          <w:color w:val="auto"/>
        </w:rPr>
        <w:t>Revolving Credit Commitment of, and the portion of the Extensions of Credit under the Revolving Credit Facility, as applicable, held or deemed held by, any Defaulting Lender shall be excluded for purposes of making a determination of Required Revolving Credit Lenders.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38"/>
        <w:spacing w:after="0"/>
        <w:rPr>
          <w:sz w:val="20"/>
          <w:szCs w:val="20"/>
          <w:color w:val="auto"/>
        </w:rPr>
      </w:pPr>
      <w:r>
        <w:rPr>
          <w:rFonts w:ascii="Times New Roman" w:cs="Times New Roman" w:eastAsia="Times New Roman" w:hAnsi="Times New Roman"/>
          <w:sz w:val="14"/>
          <w:szCs w:val="14"/>
          <w:color w:val="FF0000"/>
          <w:strike w:val="1"/>
        </w:rPr>
        <w:t>146960219_6</w:t>
      </w:r>
    </w:p>
    <w:p>
      <w:pPr>
        <w:spacing w:after="0" w:line="4" w:lineRule="exact"/>
        <w:rPr>
          <w:sz w:val="20"/>
          <w:szCs w:val="20"/>
          <w:color w:val="auto"/>
        </w:rPr>
      </w:pPr>
    </w:p>
    <w:p>
      <w:pPr>
        <w:ind w:left="338" w:hanging="338"/>
        <w:spacing w:after="0"/>
        <w:tabs>
          <w:tab w:leader="none" w:pos="338"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078"/>
          </w:cols>
          <w:pgMar w:left="382" w:top="1399" w:right="439" w:bottom="1440" w:gutter="0" w:footer="0" w:header="0"/>
        </w:sectPr>
      </w:pPr>
    </w:p>
    <w:bookmarkStart w:id="126" w:name="page127"/>
    <w:bookmarkEnd w:id="126"/>
    <w:p>
      <w:pPr>
        <w:ind w:left="698"/>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Required Term Loan Lenders</w:t>
      </w:r>
      <w:r>
        <w:rPr>
          <w:rFonts w:ascii="Times New Roman" w:cs="Times New Roman" w:eastAsia="Times New Roman" w:hAnsi="Times New Roman"/>
          <w:sz w:val="19"/>
          <w:szCs w:val="19"/>
          <w:color w:val="auto"/>
        </w:rPr>
        <w:t>” means, at any time, Lenders having outstanding Term Loans, representing more than fifty percent</w:t>
      </w:r>
    </w:p>
    <w:p>
      <w:pPr>
        <w:spacing w:after="0" w:line="6" w:lineRule="exact"/>
        <w:rPr>
          <w:sz w:val="20"/>
          <w:szCs w:val="20"/>
          <w:color w:val="auto"/>
        </w:rPr>
      </w:pPr>
    </w:p>
    <w:p>
      <w:pPr>
        <w:ind w:left="58" w:right="20"/>
        <w:spacing w:after="0" w:line="221" w:lineRule="auto"/>
        <w:rPr>
          <w:sz w:val="20"/>
          <w:szCs w:val="20"/>
          <w:color w:val="auto"/>
        </w:rPr>
      </w:pPr>
      <w:r>
        <w:rPr>
          <w:rFonts w:ascii="Times New Roman" w:cs="Times New Roman" w:eastAsia="Times New Roman" w:hAnsi="Times New Roman"/>
          <w:sz w:val="20"/>
          <w:szCs w:val="20"/>
          <w:color w:val="auto"/>
        </w:rPr>
        <w:t>(50%) of the sum of the aggregate outstanding Term Loans at such time. The outstanding Term Loans of any Defaulting Lender shall be disregarded in determining Required Term Loan Lenders at any time.</w:t>
      </w:r>
    </w:p>
    <w:p>
      <w:pPr>
        <w:spacing w:after="0" w:line="202" w:lineRule="exact"/>
        <w:rPr>
          <w:sz w:val="20"/>
          <w:szCs w:val="20"/>
          <w:color w:val="auto"/>
        </w:rPr>
      </w:pPr>
    </w:p>
    <w:p>
      <w:pPr>
        <w:ind w:left="58" w:firstLine="648"/>
        <w:spacing w:after="0" w:line="23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Resolution Authority</w:t>
      </w:r>
      <w:r>
        <w:rPr>
          <w:rFonts w:ascii="Times New Roman" w:cs="Times New Roman" w:eastAsia="Times New Roman" w:hAnsi="Times New Roman"/>
          <w:sz w:val="20"/>
          <w:szCs w:val="20"/>
          <w:color w:val="auto"/>
        </w:rPr>
        <w:t>” means an EEA Resolution Authority or, with respect to any UK Financial Institution, a UK Resolution Authority.</w:t>
      </w:r>
    </w:p>
    <w:p>
      <w:pPr>
        <w:spacing w:after="0" w:line="188" w:lineRule="exact"/>
        <w:rPr>
          <w:sz w:val="20"/>
          <w:szCs w:val="20"/>
          <w:color w:val="auto"/>
        </w:rPr>
      </w:pPr>
    </w:p>
    <w:p>
      <w:pPr>
        <w:ind w:left="58" w:firstLine="648"/>
        <w:spacing w:after="0" w:line="23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Responsible Officer</w:t>
      </w:r>
      <w:r>
        <w:rPr>
          <w:rFonts w:ascii="Times New Roman" w:cs="Times New Roman" w:eastAsia="Times New Roman" w:hAnsi="Times New Roman"/>
          <w:sz w:val="19"/>
          <w:szCs w:val="19"/>
          <w:color w:val="auto"/>
        </w:rPr>
        <w:t>” means, as to any Person, the chief executive officer, president, chief financial officer, controller, treasurer or assistant treasurer of such Person or any other officer of such Person reasonably acceptable to the Administrative Agent. Any document</w:t>
      </w:r>
    </w:p>
    <w:p>
      <w:pPr>
        <w:spacing w:after="0" w:line="1" w:lineRule="exact"/>
        <w:rPr>
          <w:sz w:val="20"/>
          <w:szCs w:val="20"/>
          <w:color w:val="auto"/>
        </w:rPr>
      </w:pPr>
    </w:p>
    <w:p>
      <w:pPr>
        <w:ind w:left="58"/>
        <w:spacing w:after="0" w:line="215" w:lineRule="auto"/>
        <w:rPr>
          <w:sz w:val="20"/>
          <w:szCs w:val="20"/>
          <w:color w:val="auto"/>
        </w:rPr>
      </w:pPr>
      <w:r>
        <w:rPr>
          <w:rFonts w:ascii="Times New Roman" w:cs="Times New Roman" w:eastAsia="Times New Roman" w:hAnsi="Times New Roman"/>
          <w:sz w:val="19"/>
          <w:szCs w:val="19"/>
          <w:color w:val="auto"/>
        </w:rPr>
        <w:t>delivered hereunder or under any other Loan Document that is signed by a Responsible Officer of a Person shall be conclusively presumed to have been authorized by all necessary corporate, partnership and/or other action on the part of such Person and such Responsible Officer</w:t>
      </w:r>
    </w:p>
    <w:p>
      <w:pPr>
        <w:ind w:left="58"/>
        <w:spacing w:after="0"/>
        <w:rPr>
          <w:sz w:val="20"/>
          <w:szCs w:val="20"/>
          <w:color w:val="auto"/>
        </w:rPr>
      </w:pPr>
      <w:r>
        <w:rPr>
          <w:rFonts w:ascii="Times New Roman" w:cs="Times New Roman" w:eastAsia="Times New Roman" w:hAnsi="Times New Roman"/>
          <w:sz w:val="20"/>
          <w:szCs w:val="20"/>
          <w:color w:val="auto"/>
        </w:rPr>
        <w:t>shall be conclusively presumed to have acted on behalf of such Person.</w:t>
      </w:r>
    </w:p>
    <w:p>
      <w:pPr>
        <w:spacing w:after="0" w:line="194" w:lineRule="exact"/>
        <w:rPr>
          <w:sz w:val="20"/>
          <w:szCs w:val="20"/>
          <w:color w:val="auto"/>
        </w:rPr>
      </w:pPr>
    </w:p>
    <w:p>
      <w:pPr>
        <w:ind w:left="69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Restricted Payment</w:t>
      </w:r>
      <w:r>
        <w:rPr>
          <w:rFonts w:ascii="Times New Roman" w:cs="Times New Roman" w:eastAsia="Times New Roman" w:hAnsi="Times New Roman"/>
          <w:sz w:val="20"/>
          <w:szCs w:val="20"/>
          <w:color w:val="auto"/>
        </w:rPr>
        <w:t xml:space="preserve">” has the meaning assigned thereto in </w:t>
      </w:r>
      <w:r>
        <w:rPr>
          <w:rFonts w:ascii="Times New Roman" w:cs="Times New Roman" w:eastAsia="Times New Roman" w:hAnsi="Times New Roman"/>
          <w:sz w:val="20"/>
          <w:szCs w:val="20"/>
          <w:u w:val="single" w:color="auto"/>
          <w:color w:val="auto"/>
        </w:rPr>
        <w:t>Section 9.6</w:t>
      </w:r>
      <w:r>
        <w:rPr>
          <w:rFonts w:ascii="Times New Roman" w:cs="Times New Roman" w:eastAsia="Times New Roman" w:hAnsi="Times New Roman"/>
          <w:sz w:val="20"/>
          <w:szCs w:val="20"/>
          <w:color w:val="auto"/>
        </w:rPr>
        <w:t>.</w:t>
      </w:r>
    </w:p>
    <w:p>
      <w:pPr>
        <w:spacing w:after="0" w:line="270" w:lineRule="exact"/>
        <w:rPr>
          <w:sz w:val="20"/>
          <w:szCs w:val="20"/>
          <w:color w:val="auto"/>
        </w:rPr>
      </w:pPr>
    </w:p>
    <w:p>
      <w:pPr>
        <w:ind w:left="58" w:firstLine="648"/>
        <w:spacing w:after="0" w:line="22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Revaluation Date</w:t>
      </w:r>
      <w:r>
        <w:rPr>
          <w:rFonts w:ascii="Times New Roman" w:cs="Times New Roman" w:eastAsia="Times New Roman" w:hAnsi="Times New Roman"/>
          <w:sz w:val="20"/>
          <w:szCs w:val="20"/>
          <w:color w:val="auto"/>
        </w:rPr>
        <w:t>” means, with respect to any Extension of Credit, each of the following: (a) each date of a borrowing, conversion or continuation of any Loan, but only as to the amounts so borrowed on such date, (b) each date of issuance of any Letter of</w:t>
      </w:r>
    </w:p>
    <w:p>
      <w:pPr>
        <w:spacing w:after="0" w:line="2" w:lineRule="exact"/>
        <w:rPr>
          <w:sz w:val="20"/>
          <w:szCs w:val="20"/>
          <w:color w:val="auto"/>
        </w:rPr>
      </w:pPr>
    </w:p>
    <w:p>
      <w:pPr>
        <w:ind w:left="58"/>
        <w:spacing w:after="0" w:line="221" w:lineRule="auto"/>
        <w:rPr>
          <w:sz w:val="20"/>
          <w:szCs w:val="20"/>
          <w:color w:val="auto"/>
        </w:rPr>
      </w:pPr>
      <w:r>
        <w:rPr>
          <w:rFonts w:ascii="Times New Roman" w:cs="Times New Roman" w:eastAsia="Times New Roman" w:hAnsi="Times New Roman"/>
          <w:sz w:val="20"/>
          <w:szCs w:val="20"/>
          <w:color w:val="auto"/>
        </w:rPr>
        <w:t>Credit, but only as to the Letter of Credit so issued, amended or extended on such date, and (c) such additional dates as the Administrative Agent shall determine or the Required Lenders shall require.</w:t>
      </w:r>
    </w:p>
    <w:p>
      <w:pPr>
        <w:spacing w:after="0" w:line="189" w:lineRule="exact"/>
        <w:rPr>
          <w:sz w:val="20"/>
          <w:szCs w:val="20"/>
          <w:color w:val="auto"/>
        </w:rPr>
      </w:pPr>
    </w:p>
    <w:p>
      <w:pPr>
        <w:ind w:left="58" w:firstLine="648"/>
        <w:spacing w:after="0" w:line="23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Revolving Credit Commitment</w:t>
      </w:r>
      <w:r>
        <w:rPr>
          <w:rFonts w:ascii="Times New Roman" w:cs="Times New Roman" w:eastAsia="Times New Roman" w:hAnsi="Times New Roman"/>
          <w:sz w:val="19"/>
          <w:szCs w:val="19"/>
          <w:color w:val="auto"/>
        </w:rPr>
        <w:t>” means (a) as to any Revolving Credit Lender, the obligation of such Revolving Credit Lender to make Revolving Credit Loans to, and to purchase participations in L/C Obligations and Swingline Loans for the account of, the Borrowers</w:t>
      </w:r>
    </w:p>
    <w:p>
      <w:pPr>
        <w:spacing w:after="0" w:line="1" w:lineRule="exact"/>
        <w:rPr>
          <w:sz w:val="20"/>
          <w:szCs w:val="20"/>
          <w:color w:val="auto"/>
        </w:rPr>
      </w:pPr>
    </w:p>
    <w:p>
      <w:pPr>
        <w:jc w:val="both"/>
        <w:ind w:left="58"/>
        <w:spacing w:after="0" w:line="215" w:lineRule="auto"/>
        <w:rPr>
          <w:sz w:val="20"/>
          <w:szCs w:val="20"/>
          <w:color w:val="auto"/>
        </w:rPr>
      </w:pPr>
      <w:r>
        <w:rPr>
          <w:rFonts w:ascii="Times New Roman" w:cs="Times New Roman" w:eastAsia="Times New Roman" w:hAnsi="Times New Roman"/>
          <w:sz w:val="19"/>
          <w:szCs w:val="19"/>
          <w:color w:val="auto"/>
        </w:rPr>
        <w:t>hereunder in an aggregate principal amount at any time outstanding not to exceed the amount set forth opposite such Revolving Credit Lender’s name on the Register, as such amount may be modified at any time or from time to time pursuant to the terms hereof (including,</w:t>
      </w:r>
    </w:p>
    <w:p>
      <w:pPr>
        <w:ind w:left="58"/>
        <w:spacing w:after="0" w:line="222" w:lineRule="auto"/>
        <w:rPr>
          <w:sz w:val="20"/>
          <w:szCs w:val="20"/>
          <w:color w:val="auto"/>
        </w:rPr>
      </w:pPr>
      <w:r>
        <w:rPr>
          <w:rFonts w:ascii="Times New Roman" w:cs="Times New Roman" w:eastAsia="Times New Roman" w:hAnsi="Times New Roman"/>
          <w:sz w:val="19"/>
          <w:szCs w:val="19"/>
          <w:color w:val="auto"/>
        </w:rPr>
        <w:t xml:space="preserve">without limitation, </w:t>
      </w:r>
      <w:r>
        <w:rPr>
          <w:rFonts w:ascii="Times New Roman" w:cs="Times New Roman" w:eastAsia="Times New Roman" w:hAnsi="Times New Roman"/>
          <w:sz w:val="19"/>
          <w:szCs w:val="19"/>
          <w:u w:val="single" w:color="auto"/>
          <w:color w:val="auto"/>
        </w:rPr>
        <w:t>Section 5.13</w:t>
      </w:r>
      <w:r>
        <w:rPr>
          <w:rFonts w:ascii="Times New Roman" w:cs="Times New Roman" w:eastAsia="Times New Roman" w:hAnsi="Times New Roman"/>
          <w:sz w:val="19"/>
          <w:szCs w:val="19"/>
          <w:color w:val="auto"/>
        </w:rPr>
        <w:t>) and (b) as to all Revolving Credit Lenders, the aggregate commitment of all Revolving Credit Lenders to</w:t>
      </w:r>
    </w:p>
    <w:p>
      <w:pPr>
        <w:ind w:left="58"/>
        <w:spacing w:after="0" w:line="204" w:lineRule="auto"/>
        <w:rPr>
          <w:sz w:val="20"/>
          <w:szCs w:val="20"/>
          <w:color w:val="auto"/>
        </w:rPr>
      </w:pPr>
      <w:r>
        <w:rPr>
          <w:rFonts w:ascii="Times New Roman" w:cs="Times New Roman" w:eastAsia="Times New Roman" w:hAnsi="Times New Roman"/>
          <w:sz w:val="20"/>
          <w:szCs w:val="20"/>
          <w:color w:val="auto"/>
        </w:rPr>
        <w:t xml:space="preserve">make Revolving Credit Loans, as such amount may be modified at any time or from time to time pursuant to the terms hereof (including, without limitation, </w:t>
      </w:r>
      <w:r>
        <w:rPr>
          <w:rFonts w:ascii="Times New Roman" w:cs="Times New Roman" w:eastAsia="Times New Roman" w:hAnsi="Times New Roman"/>
          <w:sz w:val="20"/>
          <w:szCs w:val="20"/>
          <w:u w:val="single" w:color="auto"/>
          <w:color w:val="auto"/>
        </w:rPr>
        <w:t>Section 5.13</w:t>
      </w:r>
      <w:r>
        <w:rPr>
          <w:rFonts w:ascii="Times New Roman" w:cs="Times New Roman" w:eastAsia="Times New Roman" w:hAnsi="Times New Roman"/>
          <w:sz w:val="20"/>
          <w:szCs w:val="20"/>
          <w:color w:val="auto"/>
        </w:rPr>
        <w:t>). The aggregate Revolving Credit Commitment of all the Revolving Credit Lenders on the Closing Date</w:t>
      </w:r>
    </w:p>
    <w:p>
      <w:pPr>
        <w:ind w:left="58"/>
        <w:spacing w:after="0" w:line="211" w:lineRule="auto"/>
        <w:rPr>
          <w:sz w:val="20"/>
          <w:szCs w:val="20"/>
          <w:color w:val="auto"/>
        </w:rPr>
      </w:pPr>
      <w:r>
        <w:rPr>
          <w:rFonts w:ascii="Times New Roman" w:cs="Times New Roman" w:eastAsia="Times New Roman" w:hAnsi="Times New Roman"/>
          <w:sz w:val="20"/>
          <w:szCs w:val="20"/>
          <w:color w:val="auto"/>
        </w:rPr>
        <w:t>shall be $400,000,000. The initial Revolving Credit Commitment of each Revolving Credit Lender on the Closing Date is set forth</w:t>
      </w:r>
    </w:p>
    <w:p>
      <w:pPr>
        <w:spacing w:after="0" w:line="1" w:lineRule="exact"/>
        <w:rPr>
          <w:sz w:val="20"/>
          <w:szCs w:val="20"/>
          <w:color w:val="auto"/>
        </w:rPr>
      </w:pPr>
    </w:p>
    <w:p>
      <w:pPr>
        <w:ind w:left="58"/>
        <w:spacing w:after="0" w:line="221" w:lineRule="auto"/>
        <w:rPr>
          <w:sz w:val="20"/>
          <w:szCs w:val="20"/>
          <w:color w:val="auto"/>
        </w:rPr>
      </w:pPr>
      <w:r>
        <w:rPr>
          <w:rFonts w:ascii="Times New Roman" w:cs="Times New Roman" w:eastAsia="Times New Roman" w:hAnsi="Times New Roman"/>
          <w:sz w:val="20"/>
          <w:szCs w:val="20"/>
          <w:color w:val="auto"/>
        </w:rPr>
        <w:t xml:space="preserve">opposite the name of such Lender on </w:t>
      </w:r>
      <w:r>
        <w:rPr>
          <w:rFonts w:ascii="Times New Roman" w:cs="Times New Roman" w:eastAsia="Times New Roman" w:hAnsi="Times New Roman"/>
          <w:sz w:val="20"/>
          <w:szCs w:val="20"/>
          <w:u w:val="single" w:color="auto"/>
          <w:color w:val="auto"/>
        </w:rPr>
        <w:t>Schedule 1.1(a)</w:t>
      </w:r>
      <w:r>
        <w:rPr>
          <w:rFonts w:ascii="Times New Roman" w:cs="Times New Roman" w:eastAsia="Times New Roman" w:hAnsi="Times New Roman"/>
          <w:sz w:val="20"/>
          <w:szCs w:val="20"/>
          <w:color w:val="auto"/>
        </w:rPr>
        <w:t>. The Revolving Credit Commitment of any Lender shall include the Extended Revolving Credit Commitment and Refinancing Revolving Credit Commitment of such Lender.</w:t>
      </w:r>
    </w:p>
    <w:p>
      <w:pPr>
        <w:spacing w:after="0" w:line="202" w:lineRule="exact"/>
        <w:rPr>
          <w:sz w:val="20"/>
          <w:szCs w:val="20"/>
          <w:color w:val="auto"/>
        </w:rPr>
      </w:pPr>
    </w:p>
    <w:p>
      <w:pPr>
        <w:ind w:left="58" w:firstLine="648"/>
        <w:spacing w:after="0" w:line="21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Credit Commitment Percentage</w:t>
      </w:r>
      <w:r>
        <w:rPr>
          <w:rFonts w:ascii="Times New Roman" w:cs="Times New Roman" w:eastAsia="Times New Roman" w:hAnsi="Times New Roman"/>
          <w:sz w:val="20"/>
          <w:szCs w:val="20"/>
          <w:color w:val="auto"/>
        </w:rPr>
        <w:t>” means, with respect to any Revolving Credit Lender at any time, the percentage of the total Revolving Credit Commitments of all the Revolving Credit Lenders represented by such Revolving Credit Lender’s Revolving</w:t>
      </w:r>
    </w:p>
    <w:p>
      <w:pPr>
        <w:spacing w:after="0" w:line="1" w:lineRule="exact"/>
        <w:rPr>
          <w:sz w:val="20"/>
          <w:szCs w:val="20"/>
          <w:color w:val="auto"/>
        </w:rPr>
      </w:pPr>
    </w:p>
    <w:p>
      <w:pPr>
        <w:ind w:left="58"/>
        <w:spacing w:after="0" w:line="204" w:lineRule="auto"/>
        <w:rPr>
          <w:sz w:val="20"/>
          <w:szCs w:val="20"/>
          <w:color w:val="auto"/>
        </w:rPr>
      </w:pPr>
      <w:r>
        <w:rPr>
          <w:rFonts w:ascii="Times New Roman" w:cs="Times New Roman" w:eastAsia="Times New Roman" w:hAnsi="Times New Roman"/>
          <w:sz w:val="20"/>
          <w:szCs w:val="20"/>
          <w:color w:val="auto"/>
        </w:rPr>
        <w:t>Credit Commitment. If the Revolving Credit Commitments have terminated or expired, the Revolving Credit Commitment Percentages shall be determined based upon the Revolving Credit Commitments most recently in effect, giving effect to any assignments. The initial</w:t>
      </w:r>
    </w:p>
    <w:p>
      <w:pPr>
        <w:spacing w:after="0" w:line="1" w:lineRule="exact"/>
        <w:rPr>
          <w:sz w:val="20"/>
          <w:szCs w:val="20"/>
          <w:color w:val="auto"/>
        </w:rPr>
      </w:pPr>
    </w:p>
    <w:p>
      <w:pPr>
        <w:ind w:left="58"/>
        <w:spacing w:after="0"/>
        <w:rPr>
          <w:sz w:val="20"/>
          <w:szCs w:val="20"/>
          <w:color w:val="auto"/>
        </w:rPr>
      </w:pPr>
      <w:r>
        <w:rPr>
          <w:rFonts w:ascii="Times New Roman" w:cs="Times New Roman" w:eastAsia="Times New Roman" w:hAnsi="Times New Roman"/>
          <w:sz w:val="20"/>
          <w:szCs w:val="20"/>
          <w:color w:val="auto"/>
        </w:rPr>
        <w:t xml:space="preserve">Revolving Credit Commitment of each Revolving Credit Lender is set forth opposite the name of such Lender on </w:t>
      </w:r>
      <w:r>
        <w:rPr>
          <w:rFonts w:ascii="Times New Roman" w:cs="Times New Roman" w:eastAsia="Times New Roman" w:hAnsi="Times New Roman"/>
          <w:sz w:val="20"/>
          <w:szCs w:val="20"/>
          <w:u w:val="single" w:color="auto"/>
          <w:color w:val="auto"/>
        </w:rPr>
        <w:t>Schedule 1.1(a)</w:t>
      </w:r>
      <w:r>
        <w:rPr>
          <w:rFonts w:ascii="Times New Roman" w:cs="Times New Roman" w:eastAsia="Times New Roman" w:hAnsi="Times New Roman"/>
          <w:sz w:val="20"/>
          <w:szCs w:val="20"/>
          <w:color w:val="auto"/>
        </w:rPr>
        <w:t>.</w:t>
      </w:r>
    </w:p>
    <w:p>
      <w:pPr>
        <w:spacing w:after="0" w:line="261" w:lineRule="exact"/>
        <w:rPr>
          <w:sz w:val="20"/>
          <w:szCs w:val="20"/>
          <w:color w:val="auto"/>
        </w:rPr>
      </w:pPr>
    </w:p>
    <w:p>
      <w:pPr>
        <w:ind w:left="58" w:firstLine="648"/>
        <w:spacing w:after="0" w:line="21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Credit Exposure</w:t>
      </w:r>
      <w:r>
        <w:rPr>
          <w:rFonts w:ascii="Times New Roman" w:cs="Times New Roman" w:eastAsia="Times New Roman" w:hAnsi="Times New Roman"/>
          <w:sz w:val="20"/>
          <w:szCs w:val="20"/>
          <w:color w:val="auto"/>
        </w:rPr>
        <w:t>” means, as to any Revolving Credit Lender at any time, the aggregate principal amount at such time of its outstanding Revolving Credit Loans and such Revolving Credit Lender’s participation in L/C Obligations and Swingline Loans at</w:t>
      </w:r>
    </w:p>
    <w:p>
      <w:pPr>
        <w:spacing w:after="0" w:line="1" w:lineRule="exact"/>
        <w:rPr>
          <w:sz w:val="20"/>
          <w:szCs w:val="20"/>
          <w:color w:val="auto"/>
        </w:rPr>
      </w:pPr>
    </w:p>
    <w:p>
      <w:pPr>
        <w:ind w:left="58"/>
        <w:spacing w:after="0"/>
        <w:rPr>
          <w:sz w:val="20"/>
          <w:szCs w:val="20"/>
          <w:color w:val="auto"/>
        </w:rPr>
      </w:pPr>
      <w:r>
        <w:rPr>
          <w:rFonts w:ascii="Times New Roman" w:cs="Times New Roman" w:eastAsia="Times New Roman" w:hAnsi="Times New Roman"/>
          <w:sz w:val="20"/>
          <w:szCs w:val="20"/>
          <w:color w:val="auto"/>
        </w:rPr>
        <w:t>such time.</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38"/>
        <w:spacing w:after="0"/>
        <w:rPr>
          <w:sz w:val="20"/>
          <w:szCs w:val="20"/>
          <w:color w:val="auto"/>
        </w:rPr>
      </w:pPr>
      <w:r>
        <w:rPr>
          <w:rFonts w:ascii="Times New Roman" w:cs="Times New Roman" w:eastAsia="Times New Roman" w:hAnsi="Times New Roman"/>
          <w:sz w:val="14"/>
          <w:szCs w:val="14"/>
          <w:color w:val="FF0000"/>
          <w:strike w:val="1"/>
        </w:rPr>
        <w:t>146960219_6</w:t>
      </w:r>
    </w:p>
    <w:p>
      <w:pPr>
        <w:spacing w:after="0" w:line="4" w:lineRule="exact"/>
        <w:rPr>
          <w:sz w:val="20"/>
          <w:szCs w:val="20"/>
          <w:color w:val="auto"/>
        </w:rPr>
      </w:pPr>
    </w:p>
    <w:p>
      <w:pPr>
        <w:ind w:left="338" w:hanging="338"/>
        <w:spacing w:after="0"/>
        <w:tabs>
          <w:tab w:leader="none" w:pos="338"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078"/>
          </w:cols>
          <w:pgMar w:left="382" w:top="1399" w:right="439" w:bottom="1440" w:gutter="0" w:footer="0" w:header="0"/>
        </w:sectPr>
      </w:pPr>
    </w:p>
    <w:bookmarkStart w:id="127" w:name="page128"/>
    <w:bookmarkEnd w:id="127"/>
    <w:p>
      <w:pPr>
        <w:ind w:left="38"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Credit Facility</w:t>
      </w:r>
      <w:r>
        <w:rPr>
          <w:rFonts w:ascii="Times New Roman" w:cs="Times New Roman" w:eastAsia="Times New Roman" w:hAnsi="Times New Roman"/>
          <w:sz w:val="20"/>
          <w:szCs w:val="20"/>
          <w:color w:val="auto"/>
        </w:rPr>
        <w:t xml:space="preserve">” means the revolving credit facility established pursuant to </w:t>
      </w: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color w:val="auto"/>
        </w:rPr>
        <w:t xml:space="preserve"> (including any increase in such revolving credit facility established pursuant to </w:t>
      </w:r>
      <w:r>
        <w:rPr>
          <w:rFonts w:ascii="Times New Roman" w:cs="Times New Roman" w:eastAsia="Times New Roman" w:hAnsi="Times New Roman"/>
          <w:sz w:val="20"/>
          <w:szCs w:val="20"/>
          <w:u w:val="single" w:color="auto"/>
          <w:color w:val="auto"/>
        </w:rPr>
        <w:t>Section 5.13</w:t>
      </w:r>
      <w:r>
        <w:rPr>
          <w:rFonts w:ascii="Times New Roman" w:cs="Times New Roman" w:eastAsia="Times New Roman" w:hAnsi="Times New Roman"/>
          <w:sz w:val="20"/>
          <w:szCs w:val="20"/>
          <w:color w:val="auto"/>
        </w:rPr>
        <w:t xml:space="preserve">, any Refinance pursuant to </w:t>
      </w:r>
      <w:r>
        <w:rPr>
          <w:rFonts w:ascii="Times New Roman" w:cs="Times New Roman" w:eastAsia="Times New Roman" w:hAnsi="Times New Roman"/>
          <w:sz w:val="20"/>
          <w:szCs w:val="20"/>
          <w:u w:val="single" w:color="auto"/>
          <w:color w:val="auto"/>
        </w:rPr>
        <w:t>Section 5.18</w:t>
      </w:r>
      <w:r>
        <w:rPr>
          <w:rFonts w:ascii="Times New Roman" w:cs="Times New Roman" w:eastAsia="Times New Roman" w:hAnsi="Times New Roman"/>
          <w:sz w:val="20"/>
          <w:szCs w:val="20"/>
          <w:color w:val="auto"/>
        </w:rPr>
        <w:t xml:space="preserve"> and any Extension pursuant to</w:t>
      </w:r>
    </w:p>
    <w:p>
      <w:pPr>
        <w:spacing w:after="0" w:line="2" w:lineRule="exact"/>
        <w:rPr>
          <w:sz w:val="20"/>
          <w:szCs w:val="20"/>
          <w:color w:val="auto"/>
        </w:rPr>
      </w:pPr>
    </w:p>
    <w:p>
      <w:pPr>
        <w:ind w:left="38"/>
        <w:spacing w:after="0"/>
        <w:rPr>
          <w:sz w:val="20"/>
          <w:szCs w:val="20"/>
          <w:color w:val="auto"/>
        </w:rPr>
      </w:pPr>
      <w:r>
        <w:rPr>
          <w:rFonts w:ascii="Times New Roman" w:cs="Times New Roman" w:eastAsia="Times New Roman" w:hAnsi="Times New Roman"/>
          <w:sz w:val="20"/>
          <w:szCs w:val="20"/>
          <w:u w:val="single" w:color="auto"/>
          <w:color w:val="auto"/>
        </w:rPr>
        <w:t>Section 5.19</w:t>
      </w:r>
      <w:r>
        <w:rPr>
          <w:rFonts w:ascii="Times New Roman" w:cs="Times New Roman" w:eastAsia="Times New Roman" w:hAnsi="Times New Roman"/>
          <w:sz w:val="20"/>
          <w:szCs w:val="20"/>
          <w:color w:val="auto"/>
        </w:rPr>
        <w:t>).</w:t>
      </w:r>
    </w:p>
    <w:p>
      <w:pPr>
        <w:spacing w:after="0" w:line="275" w:lineRule="exact"/>
        <w:rPr>
          <w:sz w:val="20"/>
          <w:szCs w:val="20"/>
          <w:color w:val="auto"/>
        </w:rPr>
      </w:pPr>
    </w:p>
    <w:p>
      <w:pPr>
        <w:ind w:left="678"/>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Revolving Credit Lenders</w:t>
      </w:r>
      <w:r>
        <w:rPr>
          <w:rFonts w:ascii="Times New Roman" w:cs="Times New Roman" w:eastAsia="Times New Roman" w:hAnsi="Times New Roman"/>
          <w:sz w:val="19"/>
          <w:szCs w:val="19"/>
          <w:color w:val="auto"/>
        </w:rPr>
        <w:t>” means, collectively, all of the Lenders with a Revolving Credit Commitment. With respect to (a) each</w:t>
      </w:r>
    </w:p>
    <w:p>
      <w:pPr>
        <w:spacing w:after="0" w:line="6" w:lineRule="exact"/>
        <w:rPr>
          <w:sz w:val="20"/>
          <w:szCs w:val="20"/>
          <w:color w:val="auto"/>
        </w:rPr>
      </w:pPr>
    </w:p>
    <w:p>
      <w:pPr>
        <w:ind w:left="38"/>
        <w:spacing w:after="0" w:line="204" w:lineRule="auto"/>
        <w:rPr>
          <w:sz w:val="20"/>
          <w:szCs w:val="20"/>
          <w:color w:val="auto"/>
        </w:rPr>
      </w:pPr>
      <w:r>
        <w:rPr>
          <w:rFonts w:ascii="Times New Roman" w:cs="Times New Roman" w:eastAsia="Times New Roman" w:hAnsi="Times New Roman"/>
          <w:sz w:val="20"/>
          <w:szCs w:val="20"/>
          <w:color w:val="auto"/>
        </w:rPr>
        <w:t>provision of this Agreement relating to the making or the repayment of any Canadian Revolving Credit Loan, (b) any rights of set-off, (c) any rights of indemnification or expense reimbursement and (d) reserves, capital adequacy or other provisions, each reference to a</w:t>
      </w:r>
    </w:p>
    <w:p>
      <w:pPr>
        <w:spacing w:after="0" w:line="1" w:lineRule="exact"/>
        <w:rPr>
          <w:sz w:val="20"/>
          <w:szCs w:val="20"/>
          <w:color w:val="auto"/>
        </w:rPr>
      </w:pPr>
    </w:p>
    <w:p>
      <w:pPr>
        <w:ind w:left="38" w:right="20"/>
        <w:spacing w:after="0" w:line="228" w:lineRule="auto"/>
        <w:rPr>
          <w:sz w:val="20"/>
          <w:szCs w:val="20"/>
          <w:color w:val="auto"/>
        </w:rPr>
      </w:pPr>
      <w:r>
        <w:rPr>
          <w:rFonts w:ascii="Times New Roman" w:cs="Times New Roman" w:eastAsia="Times New Roman" w:hAnsi="Times New Roman"/>
          <w:sz w:val="20"/>
          <w:szCs w:val="20"/>
          <w:color w:val="auto"/>
        </w:rPr>
        <w:t>“Revolving Credit Lender” shall be deemed to include such Revolving Credit Lender’s Applicable Designee with respect to the portion of such Revolving Credit Lender’s Commitment funded by such Applicable Designee.</w:t>
      </w:r>
    </w:p>
    <w:p>
      <w:pPr>
        <w:spacing w:after="0" w:line="189" w:lineRule="exact"/>
        <w:rPr>
          <w:sz w:val="20"/>
          <w:szCs w:val="20"/>
          <w:color w:val="auto"/>
        </w:rPr>
      </w:pPr>
    </w:p>
    <w:p>
      <w:pPr>
        <w:ind w:left="67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Credit Loan</w:t>
      </w:r>
      <w:r>
        <w:rPr>
          <w:rFonts w:ascii="Times New Roman" w:cs="Times New Roman" w:eastAsia="Times New Roman" w:hAnsi="Times New Roman"/>
          <w:sz w:val="20"/>
          <w:szCs w:val="20"/>
          <w:color w:val="auto"/>
        </w:rPr>
        <w:t>” means, collectively, all US Revolving Credit Loans and all Canadian Revolving Credit Loans.</w:t>
      </w:r>
    </w:p>
    <w:p>
      <w:pPr>
        <w:spacing w:after="0" w:line="210" w:lineRule="exact"/>
        <w:rPr>
          <w:sz w:val="20"/>
          <w:szCs w:val="20"/>
          <w:color w:val="auto"/>
        </w:rPr>
      </w:pPr>
    </w:p>
    <w:p>
      <w:pPr>
        <w:ind w:left="67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Credit Maturity Date</w:t>
      </w:r>
      <w:r>
        <w:rPr>
          <w:rFonts w:ascii="Times New Roman" w:cs="Times New Roman" w:eastAsia="Times New Roman" w:hAnsi="Times New Roman"/>
          <w:sz w:val="20"/>
          <w:szCs w:val="20"/>
          <w:color w:val="auto"/>
        </w:rPr>
        <w:t>” means the earliest to occur of (a) August 27, 2026, (b) the date of termination of the entire</w:t>
      </w:r>
    </w:p>
    <w:p>
      <w:pPr>
        <w:ind w:left="38"/>
        <w:spacing w:after="0" w:line="204" w:lineRule="auto"/>
        <w:rPr>
          <w:sz w:val="20"/>
          <w:szCs w:val="20"/>
          <w:color w:val="auto"/>
        </w:rPr>
      </w:pPr>
      <w:r>
        <w:rPr>
          <w:rFonts w:ascii="Times New Roman" w:cs="Times New Roman" w:eastAsia="Times New Roman" w:hAnsi="Times New Roman"/>
          <w:sz w:val="20"/>
          <w:szCs w:val="20"/>
          <w:color w:val="auto"/>
        </w:rPr>
        <w:t xml:space="preserve">Revolving Credit Commitment by the US Borrowers pursuant to </w:t>
      </w:r>
      <w:r>
        <w:rPr>
          <w:rFonts w:ascii="Times New Roman" w:cs="Times New Roman" w:eastAsia="Times New Roman" w:hAnsi="Times New Roman"/>
          <w:sz w:val="20"/>
          <w:szCs w:val="20"/>
          <w:u w:val="single" w:color="auto"/>
          <w:color w:val="auto"/>
        </w:rPr>
        <w:t>Section 2.5</w:t>
      </w:r>
      <w:r>
        <w:rPr>
          <w:rFonts w:ascii="Times New Roman" w:cs="Times New Roman" w:eastAsia="Times New Roman" w:hAnsi="Times New Roman"/>
          <w:sz w:val="20"/>
          <w:szCs w:val="20"/>
          <w:color w:val="auto"/>
        </w:rPr>
        <w:t xml:space="preserve">, and (c) the date of termination of the Revolving Credit Commitment pursuant to </w:t>
      </w:r>
      <w:r>
        <w:rPr>
          <w:rFonts w:ascii="Times New Roman" w:cs="Times New Roman" w:eastAsia="Times New Roman" w:hAnsi="Times New Roman"/>
          <w:sz w:val="20"/>
          <w:szCs w:val="20"/>
          <w:u w:val="single" w:color="auto"/>
          <w:color w:val="auto"/>
        </w:rPr>
        <w:t>Section 10.2(a)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the Revolving Credit Maturity Date applicable to Extended Revolving Credit</w:t>
      </w:r>
    </w:p>
    <w:p>
      <w:pPr>
        <w:spacing w:after="0" w:line="1" w:lineRule="exact"/>
        <w:rPr>
          <w:sz w:val="20"/>
          <w:szCs w:val="20"/>
          <w:color w:val="auto"/>
        </w:rPr>
      </w:pPr>
    </w:p>
    <w:p>
      <w:pPr>
        <w:ind w:left="38" w:right="20"/>
        <w:spacing w:after="0" w:line="221" w:lineRule="auto"/>
        <w:rPr>
          <w:sz w:val="20"/>
          <w:szCs w:val="20"/>
          <w:color w:val="auto"/>
        </w:rPr>
      </w:pPr>
      <w:r>
        <w:rPr>
          <w:rFonts w:ascii="Times New Roman" w:cs="Times New Roman" w:eastAsia="Times New Roman" w:hAnsi="Times New Roman"/>
          <w:sz w:val="20"/>
          <w:szCs w:val="20"/>
          <w:color w:val="auto"/>
        </w:rPr>
        <w:t>Commitments and Refinancing Revolving Credit Commitments shall be the final maturity date specified in the relevant documentation for such Extended Revolving Credit Commitments or Refinancing Revolving Credit Commitments.</w:t>
      </w:r>
    </w:p>
    <w:p>
      <w:pPr>
        <w:spacing w:after="0" w:line="202" w:lineRule="exact"/>
        <w:rPr>
          <w:sz w:val="20"/>
          <w:szCs w:val="20"/>
          <w:color w:val="auto"/>
        </w:rPr>
      </w:pPr>
    </w:p>
    <w:p>
      <w:pPr>
        <w:ind w:left="38" w:firstLine="648"/>
        <w:spacing w:after="0" w:line="21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Credit Outstandings</w:t>
      </w:r>
      <w:r>
        <w:rPr>
          <w:rFonts w:ascii="Times New Roman" w:cs="Times New Roman" w:eastAsia="Times New Roman" w:hAnsi="Times New Roman"/>
          <w:sz w:val="20"/>
          <w:szCs w:val="20"/>
          <w:color w:val="auto"/>
        </w:rPr>
        <w:t xml:space="preserve">” means the </w:t>
      </w:r>
      <w:r>
        <w:rPr>
          <w:rFonts w:ascii="Times New Roman" w:cs="Times New Roman" w:eastAsia="Times New Roman" w:hAnsi="Times New Roman"/>
          <w:sz w:val="20"/>
          <w:szCs w:val="20"/>
          <w:u w:val="single" w:color="auto"/>
          <w:color w:val="auto"/>
        </w:rPr>
        <w:t>sum</w:t>
      </w:r>
      <w:r>
        <w:rPr>
          <w:rFonts w:ascii="Times New Roman" w:cs="Times New Roman" w:eastAsia="Times New Roman" w:hAnsi="Times New Roman"/>
          <w:sz w:val="20"/>
          <w:szCs w:val="20"/>
          <w:color w:val="auto"/>
        </w:rPr>
        <w:t xml:space="preserve"> of (a) with respect to Revolving Credit Loans and Swingline Loans on any date, the aggregate outstanding principal amount thereof after giving effect to any borrowings and prepayments or repayments of Revolving</w:t>
      </w:r>
    </w:p>
    <w:p>
      <w:pPr>
        <w:ind w:left="38"/>
        <w:spacing w:after="0" w:line="212" w:lineRule="auto"/>
        <w:rPr>
          <w:sz w:val="20"/>
          <w:szCs w:val="20"/>
          <w:color w:val="auto"/>
        </w:rPr>
      </w:pPr>
      <w:r>
        <w:rPr>
          <w:rFonts w:ascii="Times New Roman" w:cs="Times New Roman" w:eastAsia="Times New Roman" w:hAnsi="Times New Roman"/>
          <w:sz w:val="20"/>
          <w:szCs w:val="20"/>
          <w:color w:val="auto"/>
        </w:rPr>
        <w:t xml:space="preserve">Credit Loans and Swingline Loans, as the case may be, occurring on such date;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(b) with respect to any L/C Obligations on any date,</w:t>
      </w:r>
    </w:p>
    <w:p>
      <w:pPr>
        <w:spacing w:after="0" w:line="1" w:lineRule="exact"/>
        <w:rPr>
          <w:sz w:val="20"/>
          <w:szCs w:val="20"/>
          <w:color w:val="auto"/>
        </w:rPr>
      </w:pPr>
    </w:p>
    <w:p>
      <w:pPr>
        <w:ind w:left="38"/>
        <w:spacing w:after="0" w:line="204" w:lineRule="auto"/>
        <w:rPr>
          <w:sz w:val="20"/>
          <w:szCs w:val="20"/>
          <w:color w:val="auto"/>
        </w:rPr>
      </w:pPr>
      <w:r>
        <w:rPr>
          <w:rFonts w:ascii="Times New Roman" w:cs="Times New Roman" w:eastAsia="Times New Roman" w:hAnsi="Times New Roman"/>
          <w:sz w:val="20"/>
          <w:szCs w:val="20"/>
          <w:color w:val="auto"/>
        </w:rPr>
        <w:t>the aggregate outstanding amount thereof on such date after giving effect to any Revolving Extensions of Credit occurring on such date and any other changes in the aggregate amount of the L/C Obligations as of such date, including as a result of any reimbursements of</w:t>
      </w:r>
    </w:p>
    <w:p>
      <w:pPr>
        <w:spacing w:after="0" w:line="1" w:lineRule="exact"/>
        <w:rPr>
          <w:sz w:val="20"/>
          <w:szCs w:val="20"/>
          <w:color w:val="auto"/>
        </w:rPr>
      </w:pPr>
    </w:p>
    <w:p>
      <w:pPr>
        <w:ind w:left="38"/>
        <w:spacing w:after="0" w:line="228" w:lineRule="auto"/>
        <w:rPr>
          <w:sz w:val="20"/>
          <w:szCs w:val="20"/>
          <w:color w:val="auto"/>
        </w:rPr>
      </w:pPr>
      <w:r>
        <w:rPr>
          <w:rFonts w:ascii="Times New Roman" w:cs="Times New Roman" w:eastAsia="Times New Roman" w:hAnsi="Times New Roman"/>
          <w:sz w:val="20"/>
          <w:szCs w:val="20"/>
          <w:color w:val="auto"/>
        </w:rPr>
        <w:t>outstanding unpaid drawings under any Letters of Credit or any reductions in the maximum amount available for drawing under Letters of Credit taking effect on such date.</w:t>
      </w:r>
    </w:p>
    <w:p>
      <w:pPr>
        <w:spacing w:after="0" w:line="203" w:lineRule="exact"/>
        <w:rPr>
          <w:sz w:val="20"/>
          <w:szCs w:val="20"/>
          <w:color w:val="auto"/>
        </w:rPr>
      </w:pPr>
    </w:p>
    <w:p>
      <w:pPr>
        <w:ind w:left="38"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Extensions of Credit</w:t>
      </w:r>
      <w:r>
        <w:rPr>
          <w:rFonts w:ascii="Times New Roman" w:cs="Times New Roman" w:eastAsia="Times New Roman" w:hAnsi="Times New Roman"/>
          <w:sz w:val="20"/>
          <w:szCs w:val="20"/>
          <w:color w:val="auto"/>
        </w:rPr>
        <w:t>” means (a) any Revolving Credit Loan then outstanding, (b) any Letter of Credit then outstanding or (c) any Swingline Loan then outstanding.</w:t>
      </w:r>
    </w:p>
    <w:p>
      <w:pPr>
        <w:spacing w:after="0" w:line="186" w:lineRule="exact"/>
        <w:rPr>
          <w:sz w:val="20"/>
          <w:szCs w:val="20"/>
          <w:color w:val="auto"/>
        </w:rPr>
      </w:pPr>
    </w:p>
    <w:p>
      <w:pPr>
        <w:ind w:left="59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S&amp;P</w:t>
      </w:r>
      <w:r>
        <w:rPr>
          <w:rFonts w:ascii="Times New Roman" w:cs="Times New Roman" w:eastAsia="Times New Roman" w:hAnsi="Times New Roman"/>
          <w:sz w:val="20"/>
          <w:szCs w:val="20"/>
          <w:color w:val="auto"/>
        </w:rPr>
        <w:t>” means Standard &amp; Poor’s Rating Service, a division of S&amp;P Global Inc. and any successor thereto.</w:t>
      </w:r>
    </w:p>
    <w:p>
      <w:pPr>
        <w:spacing w:after="0" w:line="297" w:lineRule="exact"/>
        <w:rPr>
          <w:sz w:val="20"/>
          <w:szCs w:val="20"/>
          <w:color w:val="auto"/>
        </w:rPr>
      </w:pPr>
    </w:p>
    <w:p>
      <w:pPr>
        <w:ind w:left="38"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Sanctioned Country</w:t>
      </w:r>
      <w:r>
        <w:rPr>
          <w:rFonts w:ascii="Times New Roman" w:cs="Times New Roman" w:eastAsia="Times New Roman" w:hAnsi="Times New Roman"/>
          <w:sz w:val="20"/>
          <w:szCs w:val="20"/>
          <w:color w:val="auto"/>
        </w:rPr>
        <w:t>” means at any time, a region, country or territory which is itself the subject or target of any Sanctions (which, as of the Closing Date, consists of Cuba, Iran, North Korea, Syria and Crimea).</w:t>
      </w:r>
    </w:p>
    <w:p>
      <w:pPr>
        <w:spacing w:after="0" w:line="173" w:lineRule="exact"/>
        <w:rPr>
          <w:sz w:val="20"/>
          <w:szCs w:val="20"/>
          <w:color w:val="auto"/>
        </w:rPr>
      </w:pPr>
    </w:p>
    <w:p>
      <w:pPr>
        <w:jc w:val="both"/>
        <w:ind w:left="38" w:firstLine="648"/>
        <w:spacing w:after="0" w:line="23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Sanctioned Person</w:t>
      </w:r>
      <w:r>
        <w:rPr>
          <w:rFonts w:ascii="Times New Roman" w:cs="Times New Roman" w:eastAsia="Times New Roman" w:hAnsi="Times New Roman"/>
          <w:sz w:val="19"/>
          <w:szCs w:val="19"/>
          <w:color w:val="auto"/>
        </w:rPr>
        <w:t>” means, at any time, (a) any Person listed in any Sanctions-related list of designated Persons maintained by OFAC, the U.S. Department of State, the United Nations Security Council, the European Union, any member state of the European Union,</w:t>
      </w:r>
    </w:p>
    <w:p>
      <w:pPr>
        <w:spacing w:after="0" w:line="1" w:lineRule="exact"/>
        <w:rPr>
          <w:sz w:val="20"/>
          <w:szCs w:val="20"/>
          <w:color w:val="auto"/>
        </w:rPr>
      </w:pPr>
    </w:p>
    <w:p>
      <w:pPr>
        <w:ind w:left="38"/>
        <w:spacing w:after="0" w:line="204" w:lineRule="auto"/>
        <w:rPr>
          <w:sz w:val="20"/>
          <w:szCs w:val="20"/>
          <w:color w:val="auto"/>
        </w:rPr>
      </w:pPr>
      <w:r>
        <w:rPr>
          <w:rFonts w:ascii="Times New Roman" w:cs="Times New Roman" w:eastAsia="Times New Roman" w:hAnsi="Times New Roman"/>
          <w:sz w:val="20"/>
          <w:szCs w:val="20"/>
          <w:color w:val="auto"/>
        </w:rPr>
        <w:t>Her Majesty’s Treasury of the United Kingdom, Global Affairs Canada, or other relevant sanctions authority, (b) any Person operating, organized or resident in a Sanctioned Country or (c) any Person owned or controlled by any such Person or Persons described in clauses</w:t>
      </w:r>
    </w:p>
    <w:p>
      <w:pPr>
        <w:spacing w:after="0" w:line="1" w:lineRule="exact"/>
        <w:rPr>
          <w:sz w:val="20"/>
          <w:szCs w:val="20"/>
          <w:color w:val="auto"/>
        </w:rPr>
      </w:pPr>
    </w:p>
    <w:p>
      <w:pPr>
        <w:ind w:left="38"/>
        <w:spacing w:after="0"/>
        <w:rPr>
          <w:sz w:val="20"/>
          <w:szCs w:val="20"/>
          <w:color w:val="auto"/>
        </w:rPr>
      </w:pPr>
      <w:r>
        <w:rPr>
          <w:rFonts w:ascii="Times New Roman" w:cs="Times New Roman" w:eastAsia="Times New Roman" w:hAnsi="Times New Roman"/>
          <w:sz w:val="20"/>
          <w:szCs w:val="20"/>
          <w:color w:val="auto"/>
        </w:rPr>
        <w:t>(a) and (b).</w:t>
      </w:r>
    </w:p>
    <w:p>
      <w:pPr>
        <w:spacing w:after="0" w:line="200" w:lineRule="exact"/>
        <w:rPr>
          <w:sz w:val="20"/>
          <w:szCs w:val="20"/>
          <w:color w:val="auto"/>
        </w:rPr>
      </w:pPr>
    </w:p>
    <w:p>
      <w:pPr>
        <w:spacing w:after="0" w:line="300" w:lineRule="exact"/>
        <w:rPr>
          <w:sz w:val="20"/>
          <w:szCs w:val="20"/>
          <w:color w:val="auto"/>
        </w:rPr>
      </w:pPr>
    </w:p>
    <w:p>
      <w:pPr>
        <w:ind w:left="338"/>
        <w:spacing w:after="0"/>
        <w:rPr>
          <w:sz w:val="20"/>
          <w:szCs w:val="20"/>
          <w:color w:val="auto"/>
        </w:rPr>
      </w:pPr>
      <w:r>
        <w:rPr>
          <w:rFonts w:ascii="Times New Roman" w:cs="Times New Roman" w:eastAsia="Times New Roman" w:hAnsi="Times New Roman"/>
          <w:sz w:val="14"/>
          <w:szCs w:val="14"/>
          <w:color w:val="FF0000"/>
          <w:strike w:val="1"/>
        </w:rPr>
        <w:t>146960219_6</w:t>
      </w:r>
    </w:p>
    <w:p>
      <w:pPr>
        <w:ind w:left="338" w:hanging="338"/>
        <w:spacing w:after="0" w:line="229" w:lineRule="auto"/>
        <w:tabs>
          <w:tab w:leader="none" w:pos="338"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078"/>
          </w:cols>
          <w:pgMar w:left="382" w:top="1089" w:right="439" w:bottom="1440" w:gutter="0" w:footer="0" w:header="0"/>
        </w:sectPr>
      </w:pPr>
    </w:p>
    <w:bookmarkStart w:id="128" w:name="page129"/>
    <w:bookmarkEnd w:id="128"/>
    <w:p>
      <w:pPr>
        <w:ind w:left="67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Sanctions</w:t>
      </w:r>
      <w:r>
        <w:rPr>
          <w:rFonts w:ascii="Times New Roman" w:cs="Times New Roman" w:eastAsia="Times New Roman" w:hAnsi="Times New Roman"/>
          <w:sz w:val="20"/>
          <w:szCs w:val="20"/>
          <w:color w:val="auto"/>
        </w:rPr>
        <w:t>” means sanctions, trade embargoes and anti-terrorism laws, including, but not limited to, those imposed, administered</w:t>
      </w:r>
    </w:p>
    <w:p>
      <w:pPr>
        <w:jc w:val="both"/>
        <w:ind w:left="38"/>
        <w:spacing w:after="0" w:line="215" w:lineRule="auto"/>
        <w:rPr>
          <w:sz w:val="20"/>
          <w:szCs w:val="20"/>
          <w:color w:val="auto"/>
        </w:rPr>
      </w:pPr>
      <w:r>
        <w:rPr>
          <w:rFonts w:ascii="Times New Roman" w:cs="Times New Roman" w:eastAsia="Times New Roman" w:hAnsi="Times New Roman"/>
          <w:sz w:val="19"/>
          <w:szCs w:val="19"/>
          <w:color w:val="auto"/>
        </w:rPr>
        <w:t>or enforced from time to time by the U.S. government (including those administered by OFAC or the U.S. Department of State), the United Nations Security Council, the European Union, any member state of the European Union, Her Majesty’s Treasury of the United Kingdom,</w:t>
      </w:r>
    </w:p>
    <w:p>
      <w:pPr>
        <w:ind w:left="38"/>
        <w:spacing w:after="0"/>
        <w:rPr>
          <w:sz w:val="20"/>
          <w:szCs w:val="20"/>
          <w:color w:val="auto"/>
        </w:rPr>
      </w:pPr>
      <w:r>
        <w:rPr>
          <w:rFonts w:ascii="Times New Roman" w:cs="Times New Roman" w:eastAsia="Times New Roman" w:hAnsi="Times New Roman"/>
          <w:sz w:val="20"/>
          <w:szCs w:val="20"/>
          <w:color w:val="auto"/>
        </w:rPr>
        <w:t>Global Affairs Canada, or other relevant sanctions authority.</w:t>
      </w:r>
    </w:p>
    <w:p>
      <w:pPr>
        <w:spacing w:after="0" w:line="194" w:lineRule="exact"/>
        <w:rPr>
          <w:sz w:val="20"/>
          <w:szCs w:val="20"/>
          <w:color w:val="auto"/>
        </w:rPr>
      </w:pPr>
    </w:p>
    <w:p>
      <w:pPr>
        <w:jc w:val="both"/>
        <w:ind w:left="38"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Secured Cash Management Agreement</w:t>
      </w:r>
      <w:r>
        <w:rPr>
          <w:rFonts w:ascii="Times New Roman" w:cs="Times New Roman" w:eastAsia="Times New Roman" w:hAnsi="Times New Roman"/>
          <w:sz w:val="20"/>
          <w:szCs w:val="20"/>
          <w:color w:val="auto"/>
        </w:rPr>
        <w:t>” means any Cash Management Agreement between or among any Credit Party or applicable Subsidiary thereof and any Cash Management Bank.</w:t>
      </w:r>
    </w:p>
    <w:p>
      <w:pPr>
        <w:spacing w:after="0" w:line="188" w:lineRule="exact"/>
        <w:rPr>
          <w:sz w:val="20"/>
          <w:szCs w:val="20"/>
          <w:color w:val="auto"/>
        </w:rPr>
      </w:pPr>
    </w:p>
    <w:p>
      <w:pPr>
        <w:jc w:val="both"/>
        <w:ind w:left="38"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Secured Hedge Agreement</w:t>
      </w:r>
      <w:r>
        <w:rPr>
          <w:rFonts w:ascii="Times New Roman" w:cs="Times New Roman" w:eastAsia="Times New Roman" w:hAnsi="Times New Roman"/>
          <w:sz w:val="20"/>
          <w:szCs w:val="20"/>
          <w:color w:val="auto"/>
        </w:rPr>
        <w:t>” means any Hedge Agreement between or among any Credit Party or applicable Subsidiary thereof and any Hedge Bank.</w:t>
      </w:r>
    </w:p>
    <w:p>
      <w:pPr>
        <w:spacing w:after="0" w:line="183" w:lineRule="exact"/>
        <w:rPr>
          <w:sz w:val="20"/>
          <w:szCs w:val="20"/>
          <w:color w:val="auto"/>
        </w:rPr>
      </w:pPr>
    </w:p>
    <w:p>
      <w:pPr>
        <w:ind w:left="67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Secured Obligations</w:t>
      </w:r>
      <w:r>
        <w:rPr>
          <w:rFonts w:ascii="Times New Roman" w:cs="Times New Roman" w:eastAsia="Times New Roman" w:hAnsi="Times New Roman"/>
          <w:sz w:val="20"/>
          <w:szCs w:val="20"/>
          <w:color w:val="auto"/>
        </w:rPr>
        <w:t>” means, collectively, (a) the Obligations and (b) all existing or future payment and other obligations owing</w:t>
      </w:r>
    </w:p>
    <w:p>
      <w:pPr>
        <w:jc w:val="both"/>
        <w:ind w:left="38" w:right="20"/>
        <w:spacing w:after="0" w:line="221" w:lineRule="auto"/>
        <w:rPr>
          <w:sz w:val="20"/>
          <w:szCs w:val="20"/>
          <w:color w:val="auto"/>
        </w:rPr>
      </w:pPr>
      <w:r>
        <w:rPr>
          <w:rFonts w:ascii="Times New Roman" w:cs="Times New Roman" w:eastAsia="Times New Roman" w:hAnsi="Times New Roman"/>
          <w:sz w:val="20"/>
          <w:szCs w:val="20"/>
          <w:color w:val="auto"/>
        </w:rPr>
        <w:t>by any Credit Party under (i) any Secured Hedge Agreement (other than an Excluded Swap Obligation) and (ii) any Secured Cash Management Agreement.</w:t>
      </w:r>
    </w:p>
    <w:p>
      <w:pPr>
        <w:spacing w:after="0" w:line="202" w:lineRule="exact"/>
        <w:rPr>
          <w:sz w:val="20"/>
          <w:szCs w:val="20"/>
          <w:color w:val="auto"/>
        </w:rPr>
      </w:pPr>
    </w:p>
    <w:p>
      <w:pPr>
        <w:ind w:left="67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Secured Parties</w:t>
      </w:r>
      <w:r>
        <w:rPr>
          <w:rFonts w:ascii="Times New Roman" w:cs="Times New Roman" w:eastAsia="Times New Roman" w:hAnsi="Times New Roman"/>
          <w:sz w:val="20"/>
          <w:szCs w:val="20"/>
          <w:color w:val="auto"/>
        </w:rPr>
        <w:t>” means, collectively, the Canadian Secured Parties and the US Secured Parties.</w:t>
      </w:r>
    </w:p>
    <w:p>
      <w:pPr>
        <w:spacing w:after="0" w:line="270" w:lineRule="exact"/>
        <w:rPr>
          <w:sz w:val="20"/>
          <w:szCs w:val="20"/>
          <w:color w:val="auto"/>
        </w:rPr>
      </w:pPr>
    </w:p>
    <w:p>
      <w:pPr>
        <w:ind w:left="67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Securities Act</w:t>
      </w:r>
      <w:r>
        <w:rPr>
          <w:rFonts w:ascii="Times New Roman" w:cs="Times New Roman" w:eastAsia="Times New Roman" w:hAnsi="Times New Roman"/>
          <w:sz w:val="20"/>
          <w:szCs w:val="20"/>
          <w:color w:val="auto"/>
        </w:rPr>
        <w:t>” means the Securities Act of 1933 (15 U.S.C. §§ 77 et seq.).</w:t>
      </w:r>
    </w:p>
    <w:p>
      <w:pPr>
        <w:spacing w:after="0" w:line="297" w:lineRule="exact"/>
        <w:rPr>
          <w:sz w:val="20"/>
          <w:szCs w:val="20"/>
          <w:color w:val="auto"/>
        </w:rPr>
      </w:pPr>
    </w:p>
    <w:p>
      <w:pPr>
        <w:jc w:val="both"/>
        <w:ind w:left="38"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Security Documents</w:t>
      </w:r>
      <w:r>
        <w:rPr>
          <w:rFonts w:ascii="Times New Roman" w:cs="Times New Roman" w:eastAsia="Times New Roman" w:hAnsi="Times New Roman"/>
          <w:sz w:val="20"/>
          <w:szCs w:val="20"/>
          <w:color w:val="auto"/>
        </w:rPr>
        <w:t>” means the collective reference to the US Collateral Agreement, Canadian Collateral Agreement, and each other agreement or writing pursuant to which any Credit Party pledges or grants a security interest in any Property or assets securing the Secured Obligations.</w:t>
      </w:r>
    </w:p>
    <w:p>
      <w:pPr>
        <w:spacing w:after="0" w:line="215" w:lineRule="exact"/>
        <w:rPr>
          <w:sz w:val="20"/>
          <w:szCs w:val="20"/>
          <w:color w:val="auto"/>
        </w:rPr>
      </w:pPr>
    </w:p>
    <w:p>
      <w:pPr>
        <w:jc w:val="both"/>
        <w:ind w:left="38"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w:t>
      </w:r>
      <w:r>
        <w:rPr>
          <w:rFonts w:ascii="Times New Roman" w:cs="Times New Roman" w:eastAsia="Times New Roman" w:hAnsi="Times New Roman"/>
          <w:sz w:val="20"/>
          <w:szCs w:val="20"/>
          <w:color w:val="auto"/>
        </w:rPr>
        <w:t>” means</w:t>
      </w:r>
      <w:r>
        <w:rPr>
          <w:rFonts w:ascii="Times New Roman" w:cs="Times New Roman" w:eastAsia="Times New Roman" w:hAnsi="Times New Roman"/>
          <w:sz w:val="20"/>
          <w:szCs w:val="20"/>
          <w:color w:val="FF0000"/>
          <w:strike w:val="1"/>
        </w:rPr>
        <w:t>, with respect to any Business Day,</w:t>
      </w:r>
      <w:r>
        <w:rPr>
          <w:rFonts w:ascii="Times New Roman" w:cs="Times New Roman" w:eastAsia="Times New Roman" w:hAnsi="Times New Roman"/>
          <w:sz w:val="20"/>
          <w:szCs w:val="20"/>
          <w:color w:val="auto"/>
        </w:rPr>
        <w:t xml:space="preserve"> a rate </w:t>
      </w:r>
      <w:r>
        <w:rPr>
          <w:rFonts w:ascii="Times New Roman" w:cs="Times New Roman" w:eastAsia="Times New Roman" w:hAnsi="Times New Roman"/>
          <w:sz w:val="20"/>
          <w:szCs w:val="20"/>
          <w:color w:val="FF0000"/>
          <w:strike w:val="1"/>
        </w:rPr>
        <w:t>per annum</w:t>
      </w:r>
      <w:r>
        <w:rPr>
          <w:rFonts w:ascii="Times New Roman" w:cs="Times New Roman" w:eastAsia="Times New Roman" w:hAnsi="Times New Roman"/>
          <w:sz w:val="20"/>
          <w:szCs w:val="20"/>
          <w:color w:val="auto"/>
        </w:rPr>
        <w:t xml:space="preserve"> equal to the secured overnight financing rate </w:t>
      </w:r>
      <w:r>
        <w:rPr>
          <w:rFonts w:ascii="Times New Roman" w:cs="Times New Roman" w:eastAsia="Times New Roman" w:hAnsi="Times New Roman"/>
          <w:sz w:val="20"/>
          <w:szCs w:val="20"/>
          <w:color w:val="FF0000"/>
          <w:strike w:val="1"/>
        </w:rPr>
        <w:t>for such Business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FF0000"/>
          <w:strike w:val="1"/>
        </w:rPr>
        <w:t>Day published</w:t>
      </w:r>
      <w:r>
        <w:rPr>
          <w:rFonts w:ascii="Times New Roman" w:cs="Times New Roman" w:eastAsia="Times New Roman" w:hAnsi="Times New Roman"/>
          <w:sz w:val="20"/>
          <w:szCs w:val="20"/>
          <w:u w:val="single" w:color="auto"/>
          <w:color w:val="0000FF"/>
        </w:rPr>
        <w:t>as administered</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by the SOFR Administrator</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FF0000"/>
          <w:strike w:val="1"/>
        </w:rPr>
        <w:t>on the SOFR Administrator’s Website on the immediately succeeding Business</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FF0000"/>
          <w:strike w:val="1"/>
        </w:rPr>
        <w:t>Day</w:t>
      </w:r>
      <w:r>
        <w:rPr>
          <w:rFonts w:ascii="Times New Roman" w:cs="Times New Roman" w:eastAsia="Times New Roman" w:hAnsi="Times New Roman"/>
          <w:sz w:val="20"/>
          <w:szCs w:val="20"/>
          <w:color w:val="000000"/>
        </w:rPr>
        <w:t>.</w:t>
      </w:r>
    </w:p>
    <w:p>
      <w:pPr>
        <w:spacing w:after="0" w:line="255" w:lineRule="exact"/>
        <w:rPr>
          <w:sz w:val="20"/>
          <w:szCs w:val="20"/>
          <w:color w:val="auto"/>
        </w:rPr>
      </w:pPr>
    </w:p>
    <w:p>
      <w:pPr>
        <w:jc w:val="both"/>
        <w:ind w:left="38" w:right="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 Administrator</w:t>
      </w:r>
      <w:r>
        <w:rPr>
          <w:rFonts w:ascii="Times New Roman" w:cs="Times New Roman" w:eastAsia="Times New Roman" w:hAnsi="Times New Roman"/>
          <w:sz w:val="20"/>
          <w:szCs w:val="20"/>
          <w:color w:val="auto"/>
        </w:rPr>
        <w:t>” means the Federal Reserve Bank of New York (or a successor administrator of the secured overnight financing rate).</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678"/>
        <w:spacing w:after="0"/>
        <w:tabs>
          <w:tab w:leader="none" w:pos="1418" w:val="left"/>
          <w:tab w:leader="none" w:pos="2838" w:val="left"/>
          <w:tab w:leader="none" w:pos="3738" w:val="left"/>
          <w:tab w:leader="none" w:pos="4418" w:val="left"/>
          <w:tab w:leader="none" w:pos="4818" w:val="left"/>
          <w:tab w:leader="none" w:pos="5598" w:val="left"/>
          <w:tab w:leader="none" w:pos="5938" w:val="left"/>
          <w:tab w:leader="none" w:pos="6358" w:val="left"/>
          <w:tab w:leader="none" w:pos="7118" w:val="left"/>
          <w:tab w:leader="none" w:pos="7938" w:val="left"/>
          <w:tab w:leader="none" w:pos="8518" w:val="left"/>
          <w:tab w:leader="none" w:pos="8858" w:val="left"/>
          <w:tab w:leader="none" w:pos="9418" w:val="left"/>
          <w:tab w:leader="none" w:pos="10018" w:val="left"/>
          <w:tab w:leader="none" w:pos="10898" w:val="left"/>
        </w:tabs>
        <w:rPr>
          <w:sz w:val="20"/>
          <w:szCs w:val="20"/>
          <w:color w:val="auto"/>
        </w:rPr>
      </w:pPr>
      <w:r>
        <w:rPr>
          <w:rFonts w:ascii="Times New Roman" w:cs="Times New Roman" w:eastAsia="Times New Roman" w:hAnsi="Times New Roman"/>
          <w:sz w:val="20"/>
          <w:szCs w:val="20"/>
          <w:color w:val="auto"/>
        </w:rPr>
        <w:t>“SOFR</w:t>
      </w:r>
      <w:r>
        <w:rPr>
          <w:rFonts w:ascii="Times New Roman" w:cs="Times New Roman" w:eastAsia="Times New Roman" w:hAnsi="Times New Roman"/>
          <w:sz w:val="20"/>
          <w:szCs w:val="20"/>
          <w:color w:val="FF0000"/>
        </w:rPr>
        <w:tab/>
        <w:t>Administrator’s</w:t>
        <w:tab/>
        <w:t>Website”</w:t>
        <w:tab/>
        <w:t>means</w:t>
        <w:tab/>
        <w:t>the</w:t>
        <w:tab/>
        <w:t>website</w:t>
        <w:tab/>
        <w:t>of</w:t>
      </w:r>
      <w:r>
        <w:rPr>
          <w:rFonts w:ascii="Times New Roman" w:cs="Times New Roman" w:eastAsia="Times New Roman" w:hAnsi="Times New Roman"/>
          <w:sz w:val="20"/>
          <w:szCs w:val="20"/>
          <w:color w:val="00C000"/>
        </w:rPr>
        <w:tab/>
        <w:t>the</w:t>
        <w:tab/>
        <w:t>Federal</w:t>
        <w:tab/>
        <w:t>Reserve</w:t>
        <w:tab/>
        <w:t>Bank</w:t>
        <w:tab/>
        <w:t>of</w:t>
        <w:tab/>
        <w:t>New</w:t>
        <w:tab/>
        <w:t>York,</w:t>
      </w:r>
      <w:r>
        <w:rPr>
          <w:sz w:val="20"/>
          <w:szCs w:val="20"/>
          <w:color w:val="auto"/>
        </w:rPr>
        <w:tab/>
      </w:r>
      <w:r>
        <w:rPr>
          <w:rFonts w:ascii="Times New Roman" w:cs="Times New Roman" w:eastAsia="Times New Roman" w:hAnsi="Times New Roman"/>
          <w:sz w:val="20"/>
          <w:szCs w:val="20"/>
          <w:color w:val="FF0000"/>
          <w:strike w:val="1"/>
        </w:rPr>
        <w:t>currently</w:t>
      </w:r>
      <w:r>
        <w:rPr>
          <w:sz w:val="20"/>
          <w:szCs w:val="20"/>
          <w:color w:val="auto"/>
        </w:rPr>
        <w:tab/>
      </w:r>
      <w:r>
        <w:rPr>
          <w:rFonts w:ascii="Times New Roman" w:cs="Times New Roman" w:eastAsia="Times New Roman" w:hAnsi="Times New Roman"/>
          <w:sz w:val="19"/>
          <w:szCs w:val="19"/>
          <w:color w:val="FF0000"/>
          <w:strike w:val="1"/>
        </w:rPr>
        <w:t>at</w:t>
      </w:r>
    </w:p>
    <w:p>
      <w:pPr>
        <w:spacing w:after="0" w:line="22" w:lineRule="exact"/>
        <w:rPr>
          <w:sz w:val="20"/>
          <w:szCs w:val="20"/>
          <w:color w:val="auto"/>
        </w:rPr>
      </w:pPr>
    </w:p>
    <w:p>
      <w:pPr>
        <w:ind w:left="38"/>
        <w:spacing w:after="0"/>
        <w:rPr>
          <w:sz w:val="20"/>
          <w:szCs w:val="20"/>
          <w:color w:val="auto"/>
        </w:rPr>
      </w:pPr>
      <w:r>
        <w:rPr>
          <w:rFonts w:ascii="Times New Roman" w:cs="Times New Roman" w:eastAsia="Times New Roman" w:hAnsi="Times New Roman"/>
          <w:sz w:val="19"/>
          <w:szCs w:val="19"/>
          <w:u w:val="single" w:color="auto"/>
          <w:color w:val="FF0000"/>
          <w:strike w:val="1"/>
        </w:rPr>
        <w:t>http://www.newyorkfed.org</w:t>
      </w:r>
      <w:r>
        <w:rPr>
          <w:rFonts w:ascii="Times New Roman" w:cs="Times New Roman" w:eastAsia="Times New Roman" w:hAnsi="Times New Roman"/>
          <w:sz w:val="19"/>
          <w:szCs w:val="19"/>
          <w:color w:val="FF0000"/>
          <w:strike w:val="1"/>
        </w:rPr>
        <w:t>, or any successor source for the secured overnight financing rate identified as such by the SOFR Administrator</w:t>
      </w:r>
    </w:p>
    <w:p>
      <w:pPr>
        <w:spacing w:after="0" w:line="11" w:lineRule="exact"/>
        <w:rPr>
          <w:sz w:val="20"/>
          <w:szCs w:val="20"/>
          <w:color w:val="auto"/>
        </w:rPr>
      </w:pPr>
    </w:p>
    <w:p>
      <w:pPr>
        <w:ind w:left="38"/>
        <w:spacing w:after="0"/>
        <w:rPr>
          <w:sz w:val="20"/>
          <w:szCs w:val="20"/>
          <w:color w:val="auto"/>
        </w:rPr>
      </w:pPr>
      <w:r>
        <w:rPr>
          <w:rFonts w:ascii="Times New Roman" w:cs="Times New Roman" w:eastAsia="Times New Roman" w:hAnsi="Times New Roman"/>
          <w:sz w:val="20"/>
          <w:szCs w:val="20"/>
          <w:color w:val="FF0000"/>
          <w:strike w:val="1"/>
        </w:rPr>
        <w:t>from time to time</w:t>
      </w:r>
      <w:r>
        <w:rPr>
          <w:rFonts w:ascii="Times New Roman" w:cs="Times New Roman" w:eastAsia="Times New Roman" w:hAnsi="Times New Roman"/>
          <w:sz w:val="20"/>
          <w:szCs w:val="20"/>
          <w:u w:val="single" w:color="auto"/>
          <w:color w:val="0000FF"/>
        </w:rPr>
        <w:t>Loan” means any Loan bearing interest at a rate based on Adjusted Term SOFR as provided in Section 5.1(a)</w:t>
      </w:r>
      <w:r>
        <w:rPr>
          <w:rFonts w:ascii="Times New Roman" w:cs="Times New Roman" w:eastAsia="Times New Roman" w:hAnsi="Times New Roman"/>
          <w:sz w:val="20"/>
          <w:szCs w:val="20"/>
          <w:color w:val="000000"/>
        </w:rPr>
        <w:t>.</w:t>
      </w:r>
    </w:p>
    <w:p>
      <w:pPr>
        <w:spacing w:after="0" w:line="275" w:lineRule="exact"/>
        <w:rPr>
          <w:sz w:val="20"/>
          <w:szCs w:val="20"/>
          <w:color w:val="auto"/>
        </w:rPr>
      </w:pPr>
    </w:p>
    <w:p>
      <w:pPr>
        <w:jc w:val="both"/>
        <w:ind w:left="38" w:firstLine="648"/>
        <w:spacing w:after="0" w:line="22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Solvent</w:t>
      </w:r>
      <w:r>
        <w:rPr>
          <w:rFonts w:ascii="Times New Roman" w:cs="Times New Roman" w:eastAsia="Times New Roman" w:hAnsi="Times New Roman"/>
          <w:sz w:val="19"/>
          <w:szCs w:val="19"/>
          <w:color w:val="auto"/>
        </w:rPr>
        <w:t>” and “</w:t>
      </w:r>
      <w:r>
        <w:rPr>
          <w:rFonts w:ascii="Times New Roman" w:cs="Times New Roman" w:eastAsia="Times New Roman" w:hAnsi="Times New Roman"/>
          <w:sz w:val="19"/>
          <w:szCs w:val="19"/>
          <w:u w:val="single" w:color="auto"/>
          <w:color w:val="auto"/>
        </w:rPr>
        <w:t>Solvency</w:t>
      </w:r>
      <w:r>
        <w:rPr>
          <w:rFonts w:ascii="Times New Roman" w:cs="Times New Roman" w:eastAsia="Times New Roman" w:hAnsi="Times New Roman"/>
          <w:sz w:val="19"/>
          <w:szCs w:val="19"/>
          <w:color w:val="auto"/>
        </w:rPr>
        <w:t>” mean, with respect to any Person on any date of determination, that on such date (a) the fair value of the property of such Person is greater than the total amount of liabilities, including contingent liabilities, of such Person, (b) the present fair</w:t>
      </w:r>
    </w:p>
    <w:p>
      <w:pPr>
        <w:ind w:left="38"/>
        <w:spacing w:after="0" w:line="222" w:lineRule="auto"/>
        <w:rPr>
          <w:sz w:val="20"/>
          <w:szCs w:val="20"/>
          <w:color w:val="auto"/>
        </w:rPr>
      </w:pPr>
      <w:r>
        <w:rPr>
          <w:rFonts w:ascii="Times New Roman" w:cs="Times New Roman" w:eastAsia="Times New Roman" w:hAnsi="Times New Roman"/>
          <w:sz w:val="19"/>
          <w:szCs w:val="19"/>
          <w:color w:val="auto"/>
        </w:rPr>
        <w:t>salable value of the assets of such Person is not less than the amount that will be required to pay the probable liability of such Person on its</w:t>
      </w:r>
    </w:p>
    <w:p>
      <w:pPr>
        <w:spacing w:after="0" w:line="1" w:lineRule="exact"/>
        <w:rPr>
          <w:sz w:val="20"/>
          <w:szCs w:val="20"/>
          <w:color w:val="auto"/>
        </w:rPr>
      </w:pPr>
    </w:p>
    <w:p>
      <w:pPr>
        <w:jc w:val="both"/>
        <w:ind w:left="38"/>
        <w:spacing w:after="0" w:line="204" w:lineRule="auto"/>
        <w:rPr>
          <w:sz w:val="20"/>
          <w:szCs w:val="20"/>
          <w:color w:val="auto"/>
        </w:rPr>
      </w:pPr>
      <w:r>
        <w:rPr>
          <w:rFonts w:ascii="Times New Roman" w:cs="Times New Roman" w:eastAsia="Times New Roman" w:hAnsi="Times New Roman"/>
          <w:sz w:val="20"/>
          <w:szCs w:val="20"/>
          <w:color w:val="auto"/>
        </w:rPr>
        <w:t>debts as they become absolute and matured, (c) such Person does not intend to, and does not believe that it will, incur debts or liabilities beyond such Person’s ability to pay such debts and liabilities as they mature, (d) such Person is not engaged in business or a transaction,</w:t>
      </w:r>
    </w:p>
    <w:p>
      <w:pPr>
        <w:ind w:left="38"/>
        <w:spacing w:after="0" w:line="211" w:lineRule="auto"/>
        <w:rPr>
          <w:sz w:val="20"/>
          <w:szCs w:val="20"/>
          <w:color w:val="auto"/>
        </w:rPr>
      </w:pPr>
      <w:r>
        <w:rPr>
          <w:rFonts w:ascii="Times New Roman" w:cs="Times New Roman" w:eastAsia="Times New Roman" w:hAnsi="Times New Roman"/>
          <w:sz w:val="20"/>
          <w:szCs w:val="20"/>
          <w:color w:val="auto"/>
        </w:rPr>
        <w:t>and is not about to engage in business or a transaction, for which such Person’s property would constitute an unreasonably small capital,</w:t>
      </w:r>
    </w:p>
    <w:p>
      <w:pPr>
        <w:spacing w:after="0" w:line="1" w:lineRule="exact"/>
        <w:rPr>
          <w:sz w:val="20"/>
          <w:szCs w:val="20"/>
          <w:color w:val="auto"/>
        </w:rPr>
      </w:pPr>
    </w:p>
    <w:p>
      <w:pPr>
        <w:jc w:val="both"/>
        <w:ind w:left="38"/>
        <w:spacing w:after="0" w:line="204" w:lineRule="auto"/>
        <w:rPr>
          <w:sz w:val="20"/>
          <w:szCs w:val="20"/>
          <w:color w:val="auto"/>
        </w:rPr>
      </w:pPr>
      <w:r>
        <w:rPr>
          <w:rFonts w:ascii="Times New Roman" w:cs="Times New Roman" w:eastAsia="Times New Roman" w:hAnsi="Times New Roman"/>
          <w:sz w:val="20"/>
          <w:szCs w:val="20"/>
          <w:color w:val="auto"/>
        </w:rPr>
        <w:t>and (e) such Person is able to pay its debts and liabilities, contingent obligations and other commitments as they mature in the ordinary course of business. The amount of contingent liabilities at any time shall be computed as the amount that, in the light of all the facts and</w:t>
      </w:r>
    </w:p>
    <w:p>
      <w:pPr>
        <w:spacing w:after="0" w:line="1" w:lineRule="exact"/>
        <w:rPr>
          <w:sz w:val="20"/>
          <w:szCs w:val="20"/>
          <w:color w:val="auto"/>
        </w:rPr>
      </w:pPr>
    </w:p>
    <w:p>
      <w:pPr>
        <w:ind w:left="38"/>
        <w:spacing w:after="0"/>
        <w:rPr>
          <w:sz w:val="20"/>
          <w:szCs w:val="20"/>
          <w:color w:val="auto"/>
        </w:rPr>
      </w:pPr>
      <w:r>
        <w:rPr>
          <w:rFonts w:ascii="Times New Roman" w:cs="Times New Roman" w:eastAsia="Times New Roman" w:hAnsi="Times New Roman"/>
          <w:sz w:val="20"/>
          <w:szCs w:val="20"/>
          <w:color w:val="auto"/>
        </w:rPr>
        <w:t>circumstances existing at such time, represents the amount that can reasonably be expected to become an actual or matured liability.</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38"/>
        <w:spacing w:after="0"/>
        <w:rPr>
          <w:sz w:val="20"/>
          <w:szCs w:val="20"/>
          <w:color w:val="auto"/>
        </w:rPr>
      </w:pPr>
      <w:r>
        <w:rPr>
          <w:rFonts w:ascii="Times New Roman" w:cs="Times New Roman" w:eastAsia="Times New Roman" w:hAnsi="Times New Roman"/>
          <w:sz w:val="14"/>
          <w:szCs w:val="14"/>
          <w:color w:val="FF0000"/>
          <w:strike w:val="1"/>
        </w:rPr>
        <w:t>146960219_6</w:t>
      </w:r>
    </w:p>
    <w:p>
      <w:pPr>
        <w:spacing w:after="0" w:line="4" w:lineRule="exact"/>
        <w:rPr>
          <w:sz w:val="20"/>
          <w:szCs w:val="20"/>
          <w:color w:val="auto"/>
        </w:rPr>
      </w:pPr>
    </w:p>
    <w:p>
      <w:pPr>
        <w:ind w:left="338" w:hanging="338"/>
        <w:spacing w:after="0"/>
        <w:tabs>
          <w:tab w:leader="none" w:pos="338"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078"/>
          </w:cols>
          <w:pgMar w:left="382" w:top="1394" w:right="439" w:bottom="1440" w:gutter="0" w:footer="0" w:header="0"/>
        </w:sectPr>
      </w:pPr>
    </w:p>
    <w:bookmarkStart w:id="129" w:name="page130"/>
    <w:bookmarkEnd w:id="129"/>
    <w:p>
      <w:pPr>
        <w:ind w:left="69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Southwest Gas</w:t>
      </w:r>
      <w:r>
        <w:rPr>
          <w:rFonts w:ascii="Times New Roman" w:cs="Times New Roman" w:eastAsia="Times New Roman" w:hAnsi="Times New Roman"/>
          <w:sz w:val="20"/>
          <w:szCs w:val="20"/>
          <w:color w:val="auto"/>
        </w:rPr>
        <w:t>” means Southwest Gas Holdings, Inc., a Delaware corporation.</w:t>
      </w:r>
    </w:p>
    <w:p>
      <w:pPr>
        <w:spacing w:after="0" w:line="297" w:lineRule="exact"/>
        <w:rPr>
          <w:sz w:val="20"/>
          <w:szCs w:val="20"/>
          <w:color w:val="auto"/>
        </w:rPr>
      </w:pPr>
    </w:p>
    <w:p>
      <w:pPr>
        <w:ind w:left="58"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Specified Disposition</w:t>
      </w:r>
      <w:r>
        <w:rPr>
          <w:rFonts w:ascii="Times New Roman" w:cs="Times New Roman" w:eastAsia="Times New Roman" w:hAnsi="Times New Roman"/>
          <w:sz w:val="20"/>
          <w:szCs w:val="20"/>
          <w:color w:val="auto"/>
        </w:rPr>
        <w:t>” means any Asset Disposition (or series of related Asset Dispositions) having gross sales proceeds in excess of $10,000,000.</w:t>
      </w:r>
    </w:p>
    <w:p>
      <w:pPr>
        <w:spacing w:after="0" w:line="173" w:lineRule="exact"/>
        <w:rPr>
          <w:sz w:val="20"/>
          <w:szCs w:val="20"/>
          <w:color w:val="auto"/>
        </w:rPr>
      </w:pPr>
    </w:p>
    <w:p>
      <w:pPr>
        <w:jc w:val="both"/>
        <w:ind w:left="58" w:firstLine="648"/>
        <w:spacing w:after="0" w:line="23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Specified Representations</w:t>
      </w:r>
      <w:r>
        <w:rPr>
          <w:rFonts w:ascii="Times New Roman" w:cs="Times New Roman" w:eastAsia="Times New Roman" w:hAnsi="Times New Roman"/>
          <w:sz w:val="19"/>
          <w:szCs w:val="19"/>
          <w:color w:val="auto"/>
        </w:rPr>
        <w:t>” means the representations and warranties set forth in the Loan Documents relating to corporate existence of the Credit Parties and good standing of the Credit Parties in their respective jurisdictions of organization; power and authority,</w:t>
      </w:r>
    </w:p>
    <w:p>
      <w:pPr>
        <w:spacing w:after="0" w:line="1" w:lineRule="exact"/>
        <w:rPr>
          <w:sz w:val="20"/>
          <w:szCs w:val="20"/>
          <w:color w:val="auto"/>
        </w:rPr>
      </w:pPr>
    </w:p>
    <w:p>
      <w:pPr>
        <w:ind w:left="58"/>
        <w:spacing w:after="0" w:line="204" w:lineRule="auto"/>
        <w:rPr>
          <w:sz w:val="20"/>
          <w:szCs w:val="20"/>
          <w:color w:val="auto"/>
        </w:rPr>
      </w:pPr>
      <w:r>
        <w:rPr>
          <w:rFonts w:ascii="Times New Roman" w:cs="Times New Roman" w:eastAsia="Times New Roman" w:hAnsi="Times New Roman"/>
          <w:sz w:val="20"/>
          <w:szCs w:val="20"/>
          <w:color w:val="auto"/>
        </w:rPr>
        <w:t>due authorization, execution and delivery and enforceability, in each case, relating to the Credit Parties entering into and performance of the Loan Documents; no conflicts with or consents under the Credit Parties’ organizational documents; Solvency of the Borrowers and</w:t>
      </w:r>
    </w:p>
    <w:p>
      <w:pPr>
        <w:ind w:left="58"/>
        <w:spacing w:after="0" w:line="211" w:lineRule="auto"/>
        <w:rPr>
          <w:sz w:val="20"/>
          <w:szCs w:val="20"/>
          <w:color w:val="auto"/>
        </w:rPr>
      </w:pPr>
      <w:r>
        <w:rPr>
          <w:rFonts w:ascii="Times New Roman" w:cs="Times New Roman" w:eastAsia="Times New Roman" w:hAnsi="Times New Roman"/>
          <w:sz w:val="20"/>
          <w:szCs w:val="20"/>
          <w:color w:val="auto"/>
        </w:rPr>
        <w:t>their respective subsidiaries on a Consolidated basis as of the Closing Date (after giving effect to the Transactions); Federal Reserve</w:t>
      </w:r>
    </w:p>
    <w:p>
      <w:pPr>
        <w:spacing w:after="0" w:line="1" w:lineRule="exact"/>
        <w:rPr>
          <w:sz w:val="20"/>
          <w:szCs w:val="20"/>
          <w:color w:val="auto"/>
        </w:rPr>
      </w:pPr>
    </w:p>
    <w:p>
      <w:pPr>
        <w:ind w:left="58"/>
        <w:spacing w:after="0" w:line="204" w:lineRule="auto"/>
        <w:rPr>
          <w:sz w:val="20"/>
          <w:szCs w:val="20"/>
          <w:color w:val="auto"/>
        </w:rPr>
      </w:pPr>
      <w:r>
        <w:rPr>
          <w:rFonts w:ascii="Times New Roman" w:cs="Times New Roman" w:eastAsia="Times New Roman" w:hAnsi="Times New Roman"/>
          <w:sz w:val="20"/>
          <w:szCs w:val="20"/>
          <w:color w:val="auto"/>
        </w:rPr>
        <w:t>margin regulations; the Investment Company Act; use of proceeds not in violation of Sanctions, Anti-Money Laundering Laws, Anti-Corruption Laws and Beneficial Ownership Certifications; and creation, validity and perfection of security interests in the Collateral; and</w:t>
      </w:r>
    </w:p>
    <w:p>
      <w:pPr>
        <w:spacing w:after="0" w:line="1" w:lineRule="exact"/>
        <w:rPr>
          <w:sz w:val="20"/>
          <w:szCs w:val="20"/>
          <w:color w:val="auto"/>
        </w:rPr>
      </w:pPr>
    </w:p>
    <w:p>
      <w:pPr>
        <w:ind w:left="58" w:right="20"/>
        <w:spacing w:after="0" w:line="228" w:lineRule="auto"/>
        <w:rPr>
          <w:sz w:val="20"/>
          <w:szCs w:val="20"/>
          <w:color w:val="auto"/>
        </w:rPr>
      </w:pPr>
      <w:r>
        <w:rPr>
          <w:rFonts w:ascii="Times New Roman" w:cs="Times New Roman" w:eastAsia="Times New Roman" w:hAnsi="Times New Roman"/>
          <w:sz w:val="20"/>
          <w:szCs w:val="20"/>
          <w:color w:val="auto"/>
        </w:rPr>
        <w:t>the status of the Credit Facilities and the guaranties thereof as senior debt (or equivalent term) and, to the extent applicable, “designated senior debt” (or an equivalent term).</w:t>
      </w:r>
    </w:p>
    <w:p>
      <w:pPr>
        <w:spacing w:after="0" w:line="189" w:lineRule="exact"/>
        <w:rPr>
          <w:sz w:val="20"/>
          <w:szCs w:val="20"/>
          <w:color w:val="auto"/>
        </w:rPr>
      </w:pPr>
    </w:p>
    <w:p>
      <w:pPr>
        <w:ind w:left="58" w:right="2500"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Specified Transactions</w:t>
      </w:r>
      <w:r>
        <w:rPr>
          <w:rFonts w:ascii="Times New Roman" w:cs="Times New Roman" w:eastAsia="Times New Roman" w:hAnsi="Times New Roman"/>
          <w:sz w:val="20"/>
          <w:szCs w:val="20"/>
          <w:color w:val="auto"/>
        </w:rPr>
        <w:t>” means (a) any Specified Disposition consummated after the Closing Date, (b) any Permitted Acquisition consummated after the Closing Date and (c) the Transactions.</w:t>
      </w:r>
    </w:p>
    <w:p>
      <w:pPr>
        <w:spacing w:after="0" w:line="183" w:lineRule="exact"/>
        <w:rPr>
          <w:sz w:val="20"/>
          <w:szCs w:val="20"/>
          <w:color w:val="auto"/>
        </w:rPr>
      </w:pPr>
    </w:p>
    <w:p>
      <w:pPr>
        <w:ind w:left="69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Spot Rate</w:t>
      </w:r>
      <w:r>
        <w:rPr>
          <w:rFonts w:ascii="Times New Roman" w:cs="Times New Roman" w:eastAsia="Times New Roman" w:hAnsi="Times New Roman"/>
          <w:sz w:val="20"/>
          <w:szCs w:val="20"/>
          <w:color w:val="auto"/>
        </w:rPr>
        <w:t>” for a currency means the rate determined by the Administrative Agent to be the rate quoted by the Person acting in</w:t>
      </w:r>
    </w:p>
    <w:p>
      <w:pPr>
        <w:ind w:left="58"/>
        <w:spacing w:after="0" w:line="204" w:lineRule="auto"/>
        <w:rPr>
          <w:sz w:val="20"/>
          <w:szCs w:val="20"/>
          <w:color w:val="auto"/>
        </w:rPr>
      </w:pPr>
      <w:r>
        <w:rPr>
          <w:rFonts w:ascii="Times New Roman" w:cs="Times New Roman" w:eastAsia="Times New Roman" w:hAnsi="Times New Roman"/>
          <w:sz w:val="20"/>
          <w:szCs w:val="20"/>
          <w:color w:val="auto"/>
        </w:rPr>
        <w:t>such capacity as the spot rate for the purchase by such Person of such currency with another currency through its principal foreign exchange trading office at approximately 11:00</w:t>
      </w:r>
    </w:p>
    <w:p>
      <w:pPr>
        <w:spacing w:after="0" w:line="1" w:lineRule="exact"/>
        <w:rPr>
          <w:sz w:val="20"/>
          <w:szCs w:val="20"/>
          <w:color w:val="auto"/>
        </w:rPr>
      </w:pPr>
    </w:p>
    <w:p>
      <w:pPr>
        <w:jc w:val="both"/>
        <w:ind w:left="58" w:hanging="4"/>
        <w:spacing w:after="0" w:line="218" w:lineRule="auto"/>
        <w:tabs>
          <w:tab w:leader="none" w:pos="589"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on the date two (2) Business Days prior to the date as of which the foreign exchange computation is made;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Administrative Agent may obtain such spot rate from another financial institution reasonably designated by the Administrative Agent if the Person acting in such capacity does not have as of the date of determination a spot buying rate for any such currency.</w:t>
      </w:r>
    </w:p>
    <w:p>
      <w:pPr>
        <w:spacing w:after="0" w:line="188" w:lineRule="exact"/>
        <w:rPr>
          <w:sz w:val="20"/>
          <w:szCs w:val="20"/>
          <w:color w:val="auto"/>
        </w:rPr>
      </w:pPr>
    </w:p>
    <w:p>
      <w:pPr>
        <w:ind w:left="58"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Subordinated Indebtedness</w:t>
      </w:r>
      <w:r>
        <w:rPr>
          <w:rFonts w:ascii="Times New Roman" w:cs="Times New Roman" w:eastAsia="Times New Roman" w:hAnsi="Times New Roman"/>
          <w:sz w:val="20"/>
          <w:szCs w:val="20"/>
          <w:color w:val="auto"/>
        </w:rPr>
        <w:t>” means the collective reference to any Indebtedness incurred by any Consolidated Company that is subordinated in right and time of payment to the Obligations on terms and conditions satisfactory to the Administrative Agent.</w:t>
      </w:r>
    </w:p>
    <w:p>
      <w:pPr>
        <w:spacing w:after="0" w:line="188" w:lineRule="exact"/>
        <w:rPr>
          <w:sz w:val="20"/>
          <w:szCs w:val="20"/>
          <w:color w:val="auto"/>
        </w:rPr>
      </w:pPr>
    </w:p>
    <w:p>
      <w:pPr>
        <w:ind w:left="58" w:firstLine="648"/>
        <w:spacing w:after="0" w:line="22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Subsidiary</w:t>
      </w:r>
      <w:r>
        <w:rPr>
          <w:rFonts w:ascii="Times New Roman" w:cs="Times New Roman" w:eastAsia="Times New Roman" w:hAnsi="Times New Roman"/>
          <w:sz w:val="20"/>
          <w:szCs w:val="20"/>
          <w:color w:val="auto"/>
        </w:rPr>
        <w:t>” means as to any Person, any corporation, partnership, limited liability company or other entity of which more than fifty percent (50%) of the outstanding Equity Interests having ordinary voting power to elect a majority of the board of directors (or</w:t>
      </w:r>
    </w:p>
    <w:p>
      <w:pPr>
        <w:spacing w:after="0" w:line="2" w:lineRule="exact"/>
        <w:rPr>
          <w:sz w:val="20"/>
          <w:szCs w:val="20"/>
          <w:color w:val="auto"/>
        </w:rPr>
      </w:pPr>
    </w:p>
    <w:p>
      <w:pPr>
        <w:ind w:left="58" w:right="20"/>
        <w:spacing w:after="0" w:line="204" w:lineRule="auto"/>
        <w:rPr>
          <w:sz w:val="20"/>
          <w:szCs w:val="20"/>
          <w:color w:val="auto"/>
        </w:rPr>
      </w:pPr>
      <w:r>
        <w:rPr>
          <w:rFonts w:ascii="Times New Roman" w:cs="Times New Roman" w:eastAsia="Times New Roman" w:hAnsi="Times New Roman"/>
          <w:sz w:val="20"/>
          <w:szCs w:val="20"/>
          <w:color w:val="auto"/>
        </w:rPr>
        <w:t>equivalent governing body) or other managers of such corporation, partnership, limited liability company or other entity is at the time owned by (directly or indirectly) or the management is otherwise controlled by (directly or indirectly) such Person (irrespective of</w:t>
      </w:r>
    </w:p>
    <w:p>
      <w:pPr>
        <w:ind w:left="58"/>
        <w:spacing w:after="0" w:line="223" w:lineRule="auto"/>
        <w:rPr>
          <w:sz w:val="20"/>
          <w:szCs w:val="20"/>
          <w:color w:val="auto"/>
        </w:rPr>
      </w:pPr>
      <w:r>
        <w:rPr>
          <w:rFonts w:ascii="Times New Roman" w:cs="Times New Roman" w:eastAsia="Times New Roman" w:hAnsi="Times New Roman"/>
          <w:sz w:val="19"/>
          <w:szCs w:val="19"/>
          <w:color w:val="auto"/>
        </w:rPr>
        <w:t>whether, at the time, Equity Interests of any other class or classes of such corporation, partnership, limited liability company or other entity</w:t>
      </w:r>
    </w:p>
    <w:p>
      <w:pPr>
        <w:ind w:left="58"/>
        <w:spacing w:after="0" w:line="221" w:lineRule="auto"/>
        <w:rPr>
          <w:sz w:val="20"/>
          <w:szCs w:val="20"/>
          <w:color w:val="auto"/>
        </w:rPr>
      </w:pPr>
      <w:r>
        <w:rPr>
          <w:rFonts w:ascii="Times New Roman" w:cs="Times New Roman" w:eastAsia="Times New Roman" w:hAnsi="Times New Roman"/>
          <w:sz w:val="20"/>
          <w:szCs w:val="20"/>
          <w:color w:val="auto"/>
        </w:rPr>
        <w:t>shall have or might have voting power by reason of the happening of any contingency). Unless otherwise qualified, references to “Subsidiary” or “Subsidiaries” herein shall refer to those of Centuri.</w:t>
      </w:r>
    </w:p>
    <w:p>
      <w:pPr>
        <w:spacing w:after="0" w:line="202" w:lineRule="exact"/>
        <w:rPr>
          <w:sz w:val="20"/>
          <w:szCs w:val="20"/>
          <w:color w:val="auto"/>
        </w:rPr>
      </w:pPr>
    </w:p>
    <w:p>
      <w:pPr>
        <w:ind w:left="69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Subsidiary Guarantors</w:t>
      </w:r>
      <w:r>
        <w:rPr>
          <w:rFonts w:ascii="Times New Roman" w:cs="Times New Roman" w:eastAsia="Times New Roman" w:hAnsi="Times New Roman"/>
          <w:sz w:val="20"/>
          <w:szCs w:val="20"/>
          <w:color w:val="auto"/>
        </w:rPr>
        <w:t>” means, collectively, the US Subsidiary Guarantors and the Canadian Subsidiary Guarantors.</w:t>
      </w:r>
    </w:p>
    <w:p>
      <w:pPr>
        <w:spacing w:after="0" w:line="256" w:lineRule="exact"/>
        <w:rPr>
          <w:sz w:val="20"/>
          <w:szCs w:val="20"/>
          <w:color w:val="auto"/>
        </w:rPr>
      </w:pPr>
    </w:p>
    <w:p>
      <w:pPr>
        <w:ind w:left="58"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Swap Obligation</w:t>
      </w:r>
      <w:r>
        <w:rPr>
          <w:rFonts w:ascii="Times New Roman" w:cs="Times New Roman" w:eastAsia="Times New Roman" w:hAnsi="Times New Roman"/>
          <w:sz w:val="20"/>
          <w:szCs w:val="20"/>
          <w:color w:val="auto"/>
        </w:rPr>
        <w:t>” means, with respect to any Credit Party, any obligation to pay or perform under any agreement, contract or transaction that constitutes a “swap” within the meaning of section 1a(47) of the Commodity Exchange Act.</w:t>
      </w:r>
    </w:p>
    <w:p>
      <w:pPr>
        <w:spacing w:after="0" w:line="186" w:lineRule="exact"/>
        <w:rPr>
          <w:sz w:val="20"/>
          <w:szCs w:val="20"/>
          <w:color w:val="auto"/>
        </w:rPr>
      </w:pPr>
    </w:p>
    <w:p>
      <w:pPr>
        <w:ind w:left="69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Swingline Commitment</w:t>
      </w:r>
      <w:r>
        <w:rPr>
          <w:rFonts w:ascii="Times New Roman" w:cs="Times New Roman" w:eastAsia="Times New Roman" w:hAnsi="Times New Roman"/>
          <w:sz w:val="20"/>
          <w:szCs w:val="20"/>
          <w:color w:val="auto"/>
        </w:rPr>
        <w:t>” means the lesser of (a) $30,000,000 and (b) the Revolving Credit Commitment.</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38"/>
        <w:spacing w:after="0"/>
        <w:rPr>
          <w:sz w:val="20"/>
          <w:szCs w:val="20"/>
          <w:color w:val="auto"/>
        </w:rPr>
      </w:pPr>
      <w:r>
        <w:rPr>
          <w:rFonts w:ascii="Times New Roman" w:cs="Times New Roman" w:eastAsia="Times New Roman" w:hAnsi="Times New Roman"/>
          <w:sz w:val="14"/>
          <w:szCs w:val="14"/>
          <w:color w:val="FF0000"/>
          <w:strike w:val="1"/>
        </w:rPr>
        <w:t>146960219_6</w:t>
      </w:r>
    </w:p>
    <w:p>
      <w:pPr>
        <w:spacing w:after="0" w:line="4" w:lineRule="exact"/>
        <w:rPr>
          <w:sz w:val="20"/>
          <w:szCs w:val="20"/>
          <w:color w:val="auto"/>
        </w:rPr>
      </w:pPr>
    </w:p>
    <w:p>
      <w:pPr>
        <w:ind w:left="338" w:hanging="338"/>
        <w:spacing w:after="0"/>
        <w:tabs>
          <w:tab w:leader="none" w:pos="338"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078"/>
          </w:cols>
          <w:pgMar w:left="382" w:top="1399" w:right="439" w:bottom="1440" w:gutter="0" w:footer="0" w:header="0"/>
        </w:sectPr>
      </w:pPr>
    </w:p>
    <w:bookmarkStart w:id="130" w:name="page131"/>
    <w:bookmarkEnd w:id="130"/>
    <w:p>
      <w:pPr>
        <w:ind w:left="67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Swingline Facility</w:t>
      </w:r>
      <w:r>
        <w:rPr>
          <w:rFonts w:ascii="Times New Roman" w:cs="Times New Roman" w:eastAsia="Times New Roman" w:hAnsi="Times New Roman"/>
          <w:sz w:val="20"/>
          <w:szCs w:val="20"/>
          <w:color w:val="auto"/>
        </w:rPr>
        <w:t xml:space="preserve">” means the swingline facility established pursuant to </w:t>
      </w:r>
      <w:r>
        <w:rPr>
          <w:rFonts w:ascii="Times New Roman" w:cs="Times New Roman" w:eastAsia="Times New Roman" w:hAnsi="Times New Roman"/>
          <w:sz w:val="20"/>
          <w:szCs w:val="20"/>
          <w:u w:val="single" w:color="auto"/>
          <w:color w:val="auto"/>
        </w:rPr>
        <w:t>Section 2.2</w:t>
      </w:r>
      <w:r>
        <w:rPr>
          <w:rFonts w:ascii="Times New Roman" w:cs="Times New Roman" w:eastAsia="Times New Roman" w:hAnsi="Times New Roman"/>
          <w:sz w:val="20"/>
          <w:szCs w:val="20"/>
          <w:color w:val="auto"/>
        </w:rPr>
        <w:t>.</w:t>
      </w:r>
    </w:p>
    <w:p>
      <w:pPr>
        <w:spacing w:after="0" w:line="283" w:lineRule="exact"/>
        <w:rPr>
          <w:sz w:val="20"/>
          <w:szCs w:val="20"/>
          <w:color w:val="auto"/>
        </w:rPr>
      </w:pPr>
    </w:p>
    <w:p>
      <w:pPr>
        <w:jc w:val="both"/>
        <w:ind w:left="38"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Swingline Lender</w:t>
      </w:r>
      <w:r>
        <w:rPr>
          <w:rFonts w:ascii="Times New Roman" w:cs="Times New Roman" w:eastAsia="Times New Roman" w:hAnsi="Times New Roman"/>
          <w:sz w:val="20"/>
          <w:szCs w:val="20"/>
          <w:color w:val="auto"/>
        </w:rPr>
        <w:t>” means (a) Wells Fargo, solely in its capacity as swingline lender with respect to US Swingline Loans and (b) CIBC, solely in its capacity as swingline lender with respect to Canadian Swingline Loans, in each case, or any successor thereto.</w:t>
      </w:r>
    </w:p>
    <w:p>
      <w:pPr>
        <w:spacing w:after="0" w:line="188" w:lineRule="exact"/>
        <w:rPr>
          <w:sz w:val="20"/>
          <w:szCs w:val="20"/>
          <w:color w:val="auto"/>
        </w:rPr>
      </w:pPr>
    </w:p>
    <w:p>
      <w:pPr>
        <w:jc w:val="both"/>
        <w:ind w:left="38" w:firstLine="648"/>
        <w:spacing w:after="0" w:line="23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Swingline Loan</w:t>
      </w:r>
      <w:r>
        <w:rPr>
          <w:rFonts w:ascii="Times New Roman" w:cs="Times New Roman" w:eastAsia="Times New Roman" w:hAnsi="Times New Roman"/>
          <w:sz w:val="20"/>
          <w:szCs w:val="20"/>
          <w:color w:val="auto"/>
        </w:rPr>
        <w:t>” means, a US Swingline Loan or a Canadian Swingline Loan, as the context requires, and “</w:t>
      </w:r>
      <w:r>
        <w:rPr>
          <w:rFonts w:ascii="Times New Roman" w:cs="Times New Roman" w:eastAsia="Times New Roman" w:hAnsi="Times New Roman"/>
          <w:sz w:val="20"/>
          <w:szCs w:val="20"/>
          <w:u w:val="single" w:color="auto"/>
          <w:color w:val="auto"/>
        </w:rPr>
        <w:t>Swingline Loans</w:t>
      </w:r>
      <w:r>
        <w:rPr>
          <w:rFonts w:ascii="Times New Roman" w:cs="Times New Roman" w:eastAsia="Times New Roman" w:hAnsi="Times New Roman"/>
          <w:sz w:val="20"/>
          <w:szCs w:val="20"/>
          <w:color w:val="auto"/>
        </w:rPr>
        <w:t>” means, collectively, all US Swingline Loans and all Canadian Swingline Loans.</w:t>
      </w:r>
    </w:p>
    <w:p>
      <w:pPr>
        <w:spacing w:after="0" w:line="215" w:lineRule="exact"/>
        <w:rPr>
          <w:sz w:val="20"/>
          <w:szCs w:val="20"/>
          <w:color w:val="auto"/>
        </w:rPr>
      </w:pPr>
    </w:p>
    <w:p>
      <w:pPr>
        <w:jc w:val="both"/>
        <w:ind w:left="38"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Synthetic Lease</w:t>
      </w:r>
      <w:r>
        <w:rPr>
          <w:rFonts w:ascii="Times New Roman" w:cs="Times New Roman" w:eastAsia="Times New Roman" w:hAnsi="Times New Roman"/>
          <w:sz w:val="20"/>
          <w:szCs w:val="20"/>
          <w:color w:val="auto"/>
        </w:rPr>
        <w:t>” means any synthetic lease, tax retention operating lease, off-balance sheet loan or similar off-balance sheet financing product where such transaction is considered borrowed money indebtedness for tax purposes but is classified as an Operating Lease in accordance with GAAP.</w:t>
      </w:r>
    </w:p>
    <w:p>
      <w:pPr>
        <w:spacing w:after="0" w:line="201" w:lineRule="exact"/>
        <w:rPr>
          <w:sz w:val="20"/>
          <w:szCs w:val="20"/>
          <w:color w:val="auto"/>
        </w:rPr>
      </w:pPr>
    </w:p>
    <w:p>
      <w:pPr>
        <w:jc w:val="both"/>
        <w:ind w:left="38" w:right="20"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Taxes</w:t>
      </w:r>
      <w:r>
        <w:rPr>
          <w:rFonts w:ascii="Times New Roman" w:cs="Times New Roman" w:eastAsia="Times New Roman" w:hAnsi="Times New Roman"/>
          <w:sz w:val="20"/>
          <w:szCs w:val="20"/>
          <w:color w:val="auto"/>
        </w:rPr>
        <w:t>” means all present or future taxes, levies, imposts, duties, deductions, withholdings (including backup withholding), assessments, fees or other charges imposed by any Governmental Authority, including any interest, fines, additions to tax or penalties applicable thereto.</w:t>
      </w:r>
    </w:p>
    <w:p>
      <w:pPr>
        <w:spacing w:after="0" w:line="188" w:lineRule="exact"/>
        <w:rPr>
          <w:sz w:val="20"/>
          <w:szCs w:val="20"/>
          <w:color w:val="auto"/>
        </w:rPr>
      </w:pPr>
    </w:p>
    <w:p>
      <w:pPr>
        <w:jc w:val="both"/>
        <w:ind w:left="38" w:firstLine="648"/>
        <w:spacing w:after="0" w:line="23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Term Loan Commitment</w:t>
      </w:r>
      <w:r>
        <w:rPr>
          <w:rFonts w:ascii="Times New Roman" w:cs="Times New Roman" w:eastAsia="Times New Roman" w:hAnsi="Times New Roman"/>
          <w:sz w:val="19"/>
          <w:szCs w:val="19"/>
          <w:color w:val="auto"/>
        </w:rPr>
        <w:t>” means (a) as to any Term Loan Lender, the obligation of such Term Loan Lender to make a portion of the Initial Term Loan and/or Incremental Term Loans, as applicable, to the account of the US Borrowers or the Canadian Borrowers, as</w:t>
      </w:r>
    </w:p>
    <w:p>
      <w:pPr>
        <w:spacing w:after="0" w:line="1" w:lineRule="exact"/>
        <w:rPr>
          <w:sz w:val="20"/>
          <w:szCs w:val="20"/>
          <w:color w:val="auto"/>
        </w:rPr>
      </w:pPr>
    </w:p>
    <w:p>
      <w:pPr>
        <w:jc w:val="both"/>
        <w:ind w:left="38"/>
        <w:spacing w:after="0" w:line="204" w:lineRule="auto"/>
        <w:rPr>
          <w:sz w:val="20"/>
          <w:szCs w:val="20"/>
          <w:color w:val="auto"/>
        </w:rPr>
      </w:pPr>
      <w:r>
        <w:rPr>
          <w:rFonts w:ascii="Times New Roman" w:cs="Times New Roman" w:eastAsia="Times New Roman" w:hAnsi="Times New Roman"/>
          <w:sz w:val="20"/>
          <w:szCs w:val="20"/>
          <w:color w:val="auto"/>
        </w:rPr>
        <w:t>applicable, hereunder on the Closing Date or the applicable borrowing date (in the case of any Incremental Term Loan) in an aggregate principal amount not to exceed the amount set forth opposite such Lender’s name on the Register, as such amount may be increased,</w:t>
      </w:r>
    </w:p>
    <w:p>
      <w:pPr>
        <w:ind w:left="38"/>
        <w:spacing w:after="0" w:line="211" w:lineRule="auto"/>
        <w:rPr>
          <w:sz w:val="20"/>
          <w:szCs w:val="20"/>
          <w:color w:val="auto"/>
        </w:rPr>
      </w:pPr>
      <w:r>
        <w:rPr>
          <w:rFonts w:ascii="Times New Roman" w:cs="Times New Roman" w:eastAsia="Times New Roman" w:hAnsi="Times New Roman"/>
          <w:sz w:val="20"/>
          <w:szCs w:val="20"/>
          <w:color w:val="auto"/>
        </w:rPr>
        <w:t>reduced or otherwise modified at any time or from time to time pursuant to the terms hereof and (b) as to all Term Loan Lenders, the</w:t>
      </w:r>
    </w:p>
    <w:p>
      <w:pPr>
        <w:spacing w:after="0" w:line="1" w:lineRule="exact"/>
        <w:rPr>
          <w:sz w:val="20"/>
          <w:szCs w:val="20"/>
          <w:color w:val="auto"/>
        </w:rPr>
      </w:pPr>
    </w:p>
    <w:p>
      <w:pPr>
        <w:jc w:val="both"/>
        <w:ind w:left="38"/>
        <w:spacing w:after="0" w:line="221" w:lineRule="auto"/>
        <w:rPr>
          <w:sz w:val="20"/>
          <w:szCs w:val="20"/>
          <w:color w:val="auto"/>
        </w:rPr>
      </w:pPr>
      <w:r>
        <w:rPr>
          <w:rFonts w:ascii="Times New Roman" w:cs="Times New Roman" w:eastAsia="Times New Roman" w:hAnsi="Times New Roman"/>
          <w:sz w:val="20"/>
          <w:szCs w:val="20"/>
          <w:color w:val="auto"/>
        </w:rPr>
        <w:t>aggregate commitment of all Term Loan Lenders to make such Initial Term Loan. The aggregate Term Loan Commitment with respect to the Initial Term Loan of all Term Loan Lenders on the Closing Date shall be $1,145,000,000.</w:t>
      </w:r>
    </w:p>
    <w:p>
      <w:pPr>
        <w:spacing w:after="0" w:line="202" w:lineRule="exact"/>
        <w:rPr>
          <w:sz w:val="20"/>
          <w:szCs w:val="20"/>
          <w:color w:val="auto"/>
        </w:rPr>
      </w:pPr>
    </w:p>
    <w:p>
      <w:pPr>
        <w:jc w:val="both"/>
        <w:ind w:left="38"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Loan Facility</w:t>
      </w:r>
      <w:r>
        <w:rPr>
          <w:rFonts w:ascii="Times New Roman" w:cs="Times New Roman" w:eastAsia="Times New Roman" w:hAnsi="Times New Roman"/>
          <w:sz w:val="20"/>
          <w:szCs w:val="20"/>
          <w:color w:val="auto"/>
        </w:rPr>
        <w:t xml:space="preserve">” means the term loan facility established pursuant to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xml:space="preserve"> (including any new term loan facility established pursuant to </w:t>
      </w:r>
      <w:r>
        <w:rPr>
          <w:rFonts w:ascii="Times New Roman" w:cs="Times New Roman" w:eastAsia="Times New Roman" w:hAnsi="Times New Roman"/>
          <w:sz w:val="20"/>
          <w:szCs w:val="20"/>
          <w:u w:val="single" w:color="auto"/>
          <w:color w:val="auto"/>
        </w:rPr>
        <w:t>Section 5.13</w:t>
      </w:r>
      <w:r>
        <w:rPr>
          <w:rFonts w:ascii="Times New Roman" w:cs="Times New Roman" w:eastAsia="Times New Roman" w:hAnsi="Times New Roman"/>
          <w:sz w:val="20"/>
          <w:szCs w:val="20"/>
          <w:color w:val="auto"/>
        </w:rPr>
        <w:t>, each facility providing for the borrowing of Refinancing Term Loans and each facility providing for the borrowing of Extended Term Loans).</w:t>
      </w:r>
    </w:p>
    <w:p>
      <w:pPr>
        <w:spacing w:after="0" w:line="201" w:lineRule="exact"/>
        <w:rPr>
          <w:sz w:val="20"/>
          <w:szCs w:val="20"/>
          <w:color w:val="auto"/>
        </w:rPr>
      </w:pPr>
    </w:p>
    <w:p>
      <w:pPr>
        <w:jc w:val="both"/>
        <w:ind w:left="38" w:firstLine="648"/>
        <w:spacing w:after="0" w:line="22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Term Loan Lender</w:t>
      </w:r>
      <w:r>
        <w:rPr>
          <w:rFonts w:ascii="Times New Roman" w:cs="Times New Roman" w:eastAsia="Times New Roman" w:hAnsi="Times New Roman"/>
          <w:sz w:val="19"/>
          <w:szCs w:val="19"/>
          <w:color w:val="auto"/>
        </w:rPr>
        <w:t>” means any Lender with a Term Loan Commitment and/or outstanding Term Loans, each reference to a “Term Loan Lender” shall be deemed to include such Term Loan Lender’s Applicable Designee with respect to the portion of such Term Loan</w:t>
      </w:r>
    </w:p>
    <w:p>
      <w:pPr>
        <w:ind w:left="38"/>
        <w:spacing w:after="0"/>
        <w:rPr>
          <w:sz w:val="20"/>
          <w:szCs w:val="20"/>
          <w:color w:val="auto"/>
        </w:rPr>
      </w:pPr>
      <w:r>
        <w:rPr>
          <w:rFonts w:ascii="Times New Roman" w:cs="Times New Roman" w:eastAsia="Times New Roman" w:hAnsi="Times New Roman"/>
          <w:sz w:val="20"/>
          <w:szCs w:val="20"/>
          <w:color w:val="auto"/>
        </w:rPr>
        <w:t>Lender’s Term Loan Commitment funded by such Applicable Designee.</w:t>
      </w:r>
    </w:p>
    <w:p>
      <w:pPr>
        <w:spacing w:after="0" w:line="194" w:lineRule="exact"/>
        <w:rPr>
          <w:sz w:val="20"/>
          <w:szCs w:val="20"/>
          <w:color w:val="auto"/>
        </w:rPr>
      </w:pPr>
    </w:p>
    <w:p>
      <w:pPr>
        <w:jc w:val="both"/>
        <w:ind w:left="38" w:firstLine="648"/>
        <w:spacing w:after="0" w:line="23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Term Loan Maturity Date</w:t>
      </w:r>
      <w:r>
        <w:rPr>
          <w:rFonts w:ascii="Times New Roman" w:cs="Times New Roman" w:eastAsia="Times New Roman" w:hAnsi="Times New Roman"/>
          <w:sz w:val="19"/>
          <w:szCs w:val="19"/>
          <w:color w:val="auto"/>
        </w:rPr>
        <w:t xml:space="preserve">” means the first to occur of (a) August 27, 2028 and (b) the date of acceleration of the Term Loans pursuant to </w:t>
      </w:r>
      <w:r>
        <w:rPr>
          <w:rFonts w:ascii="Times New Roman" w:cs="Times New Roman" w:eastAsia="Times New Roman" w:hAnsi="Times New Roman"/>
          <w:sz w:val="19"/>
          <w:szCs w:val="19"/>
          <w:u w:val="single" w:color="auto"/>
          <w:color w:val="auto"/>
        </w:rPr>
        <w:t>Section 10.2(a)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 the Term Loan Maturity Date applicable to Incremental Term Loans, Extended Term Loans and</w:t>
      </w:r>
    </w:p>
    <w:p>
      <w:pPr>
        <w:spacing w:after="0" w:line="1" w:lineRule="exact"/>
        <w:rPr>
          <w:sz w:val="20"/>
          <w:szCs w:val="20"/>
          <w:color w:val="auto"/>
        </w:rPr>
      </w:pPr>
    </w:p>
    <w:p>
      <w:pPr>
        <w:jc w:val="both"/>
        <w:ind w:left="38" w:right="20"/>
        <w:spacing w:after="0" w:line="221" w:lineRule="auto"/>
        <w:rPr>
          <w:sz w:val="20"/>
          <w:szCs w:val="20"/>
          <w:color w:val="auto"/>
        </w:rPr>
      </w:pPr>
      <w:r>
        <w:rPr>
          <w:rFonts w:ascii="Times New Roman" w:cs="Times New Roman" w:eastAsia="Times New Roman" w:hAnsi="Times New Roman"/>
          <w:sz w:val="20"/>
          <w:szCs w:val="20"/>
          <w:color w:val="auto"/>
        </w:rPr>
        <w:t>Refinancing Term Loans shall be the final maturity date specified in the relevant documentation for such Incremental Term Loans, Extended Term Loans and Refinancing Term Loans.</w:t>
      </w:r>
    </w:p>
    <w:p>
      <w:pPr>
        <w:spacing w:after="0" w:line="202" w:lineRule="exact"/>
        <w:rPr>
          <w:sz w:val="20"/>
          <w:szCs w:val="20"/>
          <w:color w:val="auto"/>
        </w:rPr>
      </w:pPr>
    </w:p>
    <w:p>
      <w:pPr>
        <w:jc w:val="both"/>
        <w:ind w:left="38"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Loan Percentage</w:t>
      </w:r>
      <w:r>
        <w:rPr>
          <w:rFonts w:ascii="Times New Roman" w:cs="Times New Roman" w:eastAsia="Times New Roman" w:hAnsi="Times New Roman"/>
          <w:sz w:val="20"/>
          <w:szCs w:val="20"/>
          <w:color w:val="auto"/>
        </w:rPr>
        <w:t>” means, with respect to any Term Loan Lender at any time, the percentage of the total outstanding principal balance of the Term Loans represented by the outstanding principal balance of such Term Loan Lender’s Term Loans.</w:t>
      </w:r>
    </w:p>
    <w:p>
      <w:pPr>
        <w:spacing w:after="0" w:line="186" w:lineRule="exact"/>
        <w:rPr>
          <w:sz w:val="20"/>
          <w:szCs w:val="20"/>
          <w:color w:val="auto"/>
        </w:rPr>
      </w:pPr>
    </w:p>
    <w:p>
      <w:pPr>
        <w:jc w:val="both"/>
        <w:ind w:left="38" w:right="20" w:firstLine="648"/>
        <w:spacing w:after="0" w:line="23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Loans</w:t>
      </w:r>
      <w:r>
        <w:rPr>
          <w:rFonts w:ascii="Times New Roman" w:cs="Times New Roman" w:eastAsia="Times New Roman" w:hAnsi="Times New Roman"/>
          <w:sz w:val="20"/>
          <w:szCs w:val="20"/>
          <w:color w:val="auto"/>
        </w:rPr>
        <w:t>” means the Initial Term Loan and, if applicable, the Incremental Term Loans, the Extended Term Loans and the Refinancing Term Loans, and “</w:t>
      </w:r>
      <w:r>
        <w:rPr>
          <w:rFonts w:ascii="Times New Roman" w:cs="Times New Roman" w:eastAsia="Times New Roman" w:hAnsi="Times New Roman"/>
          <w:sz w:val="20"/>
          <w:szCs w:val="20"/>
          <w:u w:val="single" w:color="auto"/>
          <w:color w:val="auto"/>
        </w:rPr>
        <w:t>Term Loan</w:t>
      </w:r>
      <w:r>
        <w:rPr>
          <w:rFonts w:ascii="Times New Roman" w:cs="Times New Roman" w:eastAsia="Times New Roman" w:hAnsi="Times New Roman"/>
          <w:sz w:val="20"/>
          <w:szCs w:val="20"/>
          <w:color w:val="auto"/>
        </w:rPr>
        <w:t>” means any of such Term Loans.</w:t>
      </w:r>
    </w:p>
    <w:p>
      <w:pPr>
        <w:spacing w:after="0" w:line="255" w:lineRule="exact"/>
        <w:rPr>
          <w:sz w:val="20"/>
          <w:szCs w:val="20"/>
          <w:color w:val="auto"/>
        </w:rPr>
      </w:pPr>
    </w:p>
    <w:p>
      <w:pPr>
        <w:ind w:left="73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w:t>
      </w:r>
      <w:r>
        <w:rPr>
          <w:rFonts w:ascii="Times New Roman" w:cs="Times New Roman" w:eastAsia="Times New Roman" w:hAnsi="Times New Roman"/>
          <w:sz w:val="20"/>
          <w:szCs w:val="20"/>
          <w:color w:val="auto"/>
        </w:rPr>
        <w:t>” means</w:t>
      </w:r>
      <w:r>
        <w:rPr>
          <w:rFonts w:ascii="Times New Roman" w:cs="Times New Roman" w:eastAsia="Times New Roman" w:hAnsi="Times New Roman"/>
          <w:sz w:val="20"/>
          <w:szCs w:val="20"/>
          <w:color w:val="0000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437515</wp:posOffset>
            </wp:positionH>
            <wp:positionV relativeFrom="paragraph">
              <wp:posOffset>-62230</wp:posOffset>
            </wp:positionV>
            <wp:extent cx="3429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3429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38"/>
        <w:spacing w:after="0"/>
        <w:rPr>
          <w:sz w:val="20"/>
          <w:szCs w:val="20"/>
          <w:color w:val="auto"/>
        </w:rPr>
      </w:pPr>
      <w:r>
        <w:rPr>
          <w:rFonts w:ascii="Times New Roman" w:cs="Times New Roman" w:eastAsia="Times New Roman" w:hAnsi="Times New Roman"/>
          <w:sz w:val="14"/>
          <w:szCs w:val="14"/>
          <w:color w:val="FF0000"/>
          <w:strike w:val="1"/>
        </w:rPr>
        <w:t>146960219_6</w:t>
      </w:r>
    </w:p>
    <w:p>
      <w:pPr>
        <w:spacing w:after="0" w:line="4" w:lineRule="exact"/>
        <w:rPr>
          <w:sz w:val="20"/>
          <w:szCs w:val="20"/>
          <w:color w:val="auto"/>
        </w:rPr>
      </w:pPr>
    </w:p>
    <w:p>
      <w:pPr>
        <w:ind w:left="338" w:hanging="338"/>
        <w:spacing w:after="0"/>
        <w:tabs>
          <w:tab w:leader="none" w:pos="338"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078"/>
          </w:cols>
          <w:pgMar w:left="382" w:top="1399" w:right="439" w:bottom="1440" w:gutter="0" w:footer="0" w:header="0"/>
        </w:sectPr>
      </w:pPr>
    </w:p>
    <w:bookmarkStart w:id="131" w:name="page132"/>
    <w:bookmarkEnd w:id="131"/>
    <w:p>
      <w:pPr>
        <w:ind w:left="1238" w:hanging="536"/>
        <w:spacing w:after="0"/>
        <w:tabs>
          <w:tab w:leader="none" w:pos="1238" w:val="left"/>
        </w:tabs>
        <w:numPr>
          <w:ilvl w:val="0"/>
          <w:numId w:val="119"/>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0000FF"/>
        </w:rPr>
        <w:t xml:space="preserve">for purposes of Revolving Credit </w:t>
      </w:r>
      <w:r>
        <w:rPr>
          <w:rFonts w:ascii="Times New Roman" w:cs="Times New Roman" w:eastAsia="Times New Roman" w:hAnsi="Times New Roman"/>
          <w:sz w:val="20"/>
          <w:szCs w:val="20"/>
          <w:color w:val="00C000"/>
        </w:rPr>
        <w:t>Loans and</w:t>
      </w:r>
      <w:r>
        <w:rPr>
          <w:rFonts w:ascii="Times New Roman" w:cs="Times New Roman" w:eastAsia="Times New Roman" w:hAnsi="Times New Roman"/>
          <w:sz w:val="20"/>
          <w:szCs w:val="20"/>
          <w:color w:val="0000FF"/>
        </w:rPr>
        <w:t xml:space="preserve"> Swingline Loans:</w:t>
      </w:r>
    </w:p>
    <w:p>
      <w:pPr>
        <w:spacing w:after="0" w:line="283" w:lineRule="exact"/>
        <w:rPr>
          <w:rFonts w:ascii="Times New Roman" w:cs="Times New Roman" w:eastAsia="Times New Roman" w:hAnsi="Times New Roman"/>
          <w:sz w:val="20"/>
          <w:szCs w:val="20"/>
          <w:u w:val="single" w:color="auto"/>
          <w:color w:val="auto"/>
        </w:rPr>
      </w:pPr>
    </w:p>
    <w:p>
      <w:pPr>
        <w:jc w:val="both"/>
        <w:ind w:left="698" w:firstLine="652"/>
        <w:spacing w:after="0" w:line="212" w:lineRule="auto"/>
        <w:tabs>
          <w:tab w:leader="none" w:pos="1884" w:val="left"/>
        </w:tabs>
        <w:numPr>
          <w:ilvl w:val="1"/>
          <w:numId w:val="119"/>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0000FF"/>
        </w:rPr>
        <w:t>for any calculation with respect to a SOFR Loan, the Term SOFR Reference Rate for a tenor comparable to the applicable Interest Period on the day (such day, the “Periodic Term SOFR Determination Day”) that is two (2) US Government Securities Business Days prior to the first day of such Interest Period, as such rate is published by the Term SOFR Administrator; provided, however, that if as of 5:00 p.m. (Eastern time) on any Periodic Term SOFR Determination Day the Term SOFR Reference Rate for the applicable tenor has not been published by the Term SOFR Administrator and a Benchmark Replacement Date (Non-LIBOR)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and</w:t>
      </w:r>
    </w:p>
    <w:p>
      <w:pPr>
        <w:spacing w:after="0" w:line="263" w:lineRule="exact"/>
        <w:rPr>
          <w:rFonts w:ascii="Times New Roman" w:cs="Times New Roman" w:eastAsia="Times New Roman" w:hAnsi="Times New Roman"/>
          <w:sz w:val="20"/>
          <w:szCs w:val="20"/>
          <w:u w:val="single" w:color="auto"/>
          <w:color w:val="auto"/>
        </w:rPr>
      </w:pPr>
    </w:p>
    <w:p>
      <w:pPr>
        <w:jc w:val="both"/>
        <w:ind w:left="698" w:firstLine="652"/>
        <w:spacing w:after="0" w:line="212" w:lineRule="auto"/>
        <w:tabs>
          <w:tab w:leader="none" w:pos="1885" w:val="left"/>
        </w:tabs>
        <w:numPr>
          <w:ilvl w:val="1"/>
          <w:numId w:val="119"/>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0000FF"/>
        </w:rPr>
        <w:t>for any calculation with respect to a Base Rate Loan on any day, the Term SOFR Reference Rate for a tenor of one month on the day (such day, the “Base Rate Term SOFR Determination Day”) that is two (2) US Government Securities Business Days prior to such day, as such rate is published by the Term SOFR Administrator; provided, however, that if as of 5:00 p.m. (Eastern time) on any Base Rate Term SOFR Determination Day the Term SOFR Reference Rate for the applicable tenor has not been published by the Term SOFR Administrator and a Benchmark Replacement Date (Non-LIBOR)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Base Rate SOFR Determination Day; and</w:t>
      </w:r>
    </w:p>
    <w:p>
      <w:pPr>
        <w:spacing w:after="0" w:line="263" w:lineRule="exact"/>
        <w:rPr>
          <w:rFonts w:ascii="Times New Roman" w:cs="Times New Roman" w:eastAsia="Times New Roman" w:hAnsi="Times New Roman"/>
          <w:sz w:val="20"/>
          <w:szCs w:val="20"/>
          <w:u w:val="single" w:color="auto"/>
          <w:color w:val="auto"/>
        </w:rPr>
      </w:pPr>
    </w:p>
    <w:p>
      <w:pPr>
        <w:ind w:left="58" w:right="20" w:firstLine="644"/>
        <w:spacing w:after="0" w:line="269" w:lineRule="auto"/>
        <w:tabs>
          <w:tab w:leader="none" w:pos="1234" w:val="left"/>
        </w:tabs>
        <w:numPr>
          <w:ilvl w:val="0"/>
          <w:numId w:val="119"/>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0000FF"/>
        </w:rPr>
        <w:t>for all other purposes</w:t>
      </w:r>
      <w:r>
        <w:rPr>
          <w:rFonts w:ascii="Times New Roman" w:cs="Times New Roman" w:eastAsia="Times New Roman" w:hAnsi="Times New Roman"/>
          <w:sz w:val="20"/>
          <w:szCs w:val="20"/>
          <w:color w:val="000000"/>
        </w:rPr>
        <w:t>, for the applicable Corresponding Tenor as of the applicable Reference Time, the forward-looking</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term rate based on SOFR that has been selected or recommended by the Relevant Governmental Body.</w:t>
      </w:r>
    </w:p>
    <w:p>
      <w:pPr>
        <w:spacing w:after="0" w:line="186" w:lineRule="exact"/>
        <w:rPr>
          <w:sz w:val="20"/>
          <w:szCs w:val="20"/>
          <w:color w:val="auto"/>
        </w:rPr>
      </w:pPr>
    </w:p>
    <w:p>
      <w:pPr>
        <w:ind w:left="698"/>
        <w:spacing w:after="0"/>
        <w:rPr>
          <w:sz w:val="20"/>
          <w:szCs w:val="20"/>
          <w:color w:val="auto"/>
        </w:rPr>
      </w:pPr>
      <w:r>
        <w:rPr>
          <w:rFonts w:ascii="Times New Roman" w:cs="Times New Roman" w:eastAsia="Times New Roman" w:hAnsi="Times New Roman"/>
          <w:sz w:val="20"/>
          <w:szCs w:val="20"/>
          <w:u w:val="single" w:color="auto"/>
          <w:color w:val="0000FF"/>
        </w:rPr>
        <w:t>“Term SOFR Adjustment” means a percentage equal to 0.10% per annum.</w:t>
      </w:r>
    </w:p>
    <w:p>
      <w:pPr>
        <w:spacing w:after="0" w:line="283" w:lineRule="exact"/>
        <w:rPr>
          <w:sz w:val="20"/>
          <w:szCs w:val="20"/>
          <w:color w:val="auto"/>
        </w:rPr>
      </w:pPr>
    </w:p>
    <w:p>
      <w:pPr>
        <w:ind w:left="58" w:right="20" w:firstLine="648"/>
        <w:spacing w:after="0" w:line="233" w:lineRule="auto"/>
        <w:rPr>
          <w:sz w:val="20"/>
          <w:szCs w:val="20"/>
          <w:color w:val="auto"/>
        </w:rPr>
      </w:pPr>
      <w:r>
        <w:rPr>
          <w:rFonts w:ascii="Times New Roman" w:cs="Times New Roman" w:eastAsia="Times New Roman" w:hAnsi="Times New Roman"/>
          <w:sz w:val="20"/>
          <w:szCs w:val="20"/>
          <w:u w:val="single" w:color="auto"/>
          <w:color w:val="0000FF"/>
        </w:rPr>
        <w:t>“Term SOFR Administrator” means CME Group Benchmark Administration Limited (CBA) (or a successor administrator of the Term SOFR Reference Rate selected by the Administrative Agent in its reasonable discretion).</w:t>
      </w:r>
    </w:p>
    <w:p>
      <w:pPr>
        <w:spacing w:after="0" w:line="255" w:lineRule="exact"/>
        <w:rPr>
          <w:sz w:val="20"/>
          <w:szCs w:val="20"/>
          <w:color w:val="auto"/>
        </w:rPr>
      </w:pPr>
    </w:p>
    <w:p>
      <w:pPr>
        <w:ind w:left="58" w:right="320"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 Notice</w:t>
      </w:r>
      <w:r>
        <w:rPr>
          <w:rFonts w:ascii="Times New Roman" w:cs="Times New Roman" w:eastAsia="Times New Roman" w:hAnsi="Times New Roman"/>
          <w:sz w:val="20"/>
          <w:szCs w:val="20"/>
          <w:color w:val="auto"/>
        </w:rPr>
        <w:t>” means a notification by the Administrative Agent to the Lenders and the Borrower of the occurrence of a Term SOFR Transition Event.</w:t>
      </w:r>
    </w:p>
    <w:p>
      <w:pPr>
        <w:spacing w:after="0" w:line="188" w:lineRule="exact"/>
        <w:rPr>
          <w:sz w:val="20"/>
          <w:szCs w:val="20"/>
          <w:color w:val="auto"/>
        </w:rPr>
      </w:pPr>
    </w:p>
    <w:p>
      <w:pPr>
        <w:ind w:left="698"/>
        <w:spacing w:after="0"/>
        <w:rPr>
          <w:sz w:val="20"/>
          <w:szCs w:val="20"/>
          <w:color w:val="auto"/>
        </w:rPr>
      </w:pPr>
      <w:r>
        <w:rPr>
          <w:rFonts w:ascii="Times New Roman" w:cs="Times New Roman" w:eastAsia="Times New Roman" w:hAnsi="Times New Roman"/>
          <w:sz w:val="20"/>
          <w:szCs w:val="20"/>
          <w:u w:val="single" w:color="auto"/>
          <w:color w:val="0000FF"/>
        </w:rPr>
        <w:t>“Term SOFR Reference Rate” means the forward-looking term rate based on SOFR.</w:t>
      </w:r>
    </w:p>
    <w:p>
      <w:pPr>
        <w:spacing w:after="0" w:line="283" w:lineRule="exact"/>
        <w:rPr>
          <w:sz w:val="20"/>
          <w:szCs w:val="20"/>
          <w:color w:val="auto"/>
        </w:rPr>
      </w:pPr>
    </w:p>
    <w:p>
      <w:pPr>
        <w:ind w:left="58" w:firstLine="648"/>
        <w:spacing w:after="0" w:line="22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Term SOFR Transition Event</w:t>
      </w:r>
      <w:r>
        <w:rPr>
          <w:rFonts w:ascii="Times New Roman" w:cs="Times New Roman" w:eastAsia="Times New Roman" w:hAnsi="Times New Roman"/>
          <w:sz w:val="19"/>
          <w:szCs w:val="19"/>
          <w:color w:val="auto"/>
        </w:rPr>
        <w:t>” means the determination by the Administrative Agent that (a) Term SOFR has been recommended for use by the Relevant Governmental Body, (b) the administration of Term SOFR is administratively feasible for the Administrative</w:t>
      </w:r>
    </w:p>
    <w:p>
      <w:pPr>
        <w:ind w:left="58"/>
        <w:spacing w:after="0" w:line="228" w:lineRule="auto"/>
        <w:rPr>
          <w:sz w:val="20"/>
          <w:szCs w:val="20"/>
          <w:color w:val="auto"/>
        </w:rPr>
      </w:pPr>
      <w:r>
        <w:rPr>
          <w:rFonts w:ascii="Times New Roman" w:cs="Times New Roman" w:eastAsia="Times New Roman" w:hAnsi="Times New Roman"/>
          <w:sz w:val="20"/>
          <w:szCs w:val="20"/>
          <w:color w:val="auto"/>
        </w:rPr>
        <w:t xml:space="preserve">Agent and (c) a Benchmark Transition Event </w:t>
      </w:r>
      <w:r>
        <w:rPr>
          <w:rFonts w:ascii="Times New Roman" w:cs="Times New Roman" w:eastAsia="Times New Roman" w:hAnsi="Times New Roman"/>
          <w:sz w:val="20"/>
          <w:szCs w:val="20"/>
          <w:u w:val="single" w:color="auto"/>
          <w:color w:val="0000FF"/>
        </w:rPr>
        <w:t>(LIBOR)</w:t>
      </w:r>
      <w:r>
        <w:rPr>
          <w:rFonts w:ascii="Times New Roman" w:cs="Times New Roman" w:eastAsia="Times New Roman" w:hAnsi="Times New Roman"/>
          <w:sz w:val="20"/>
          <w:szCs w:val="20"/>
          <w:color w:val="auto"/>
        </w:rPr>
        <w:t xml:space="preserve"> or an Early Opt-in Election, as applicable, has previously occurred resulting in the replacement of the then-current Benchmark for all purposes hereunder and under any Loan Document in accordance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38"/>
        <w:spacing w:after="0"/>
        <w:rPr>
          <w:sz w:val="20"/>
          <w:szCs w:val="20"/>
          <w:color w:val="auto"/>
        </w:rPr>
      </w:pPr>
      <w:r>
        <w:rPr>
          <w:rFonts w:ascii="Times New Roman" w:cs="Times New Roman" w:eastAsia="Times New Roman" w:hAnsi="Times New Roman"/>
          <w:sz w:val="14"/>
          <w:szCs w:val="14"/>
          <w:color w:val="FF0000"/>
          <w:strike w:val="1"/>
        </w:rPr>
        <w:t>146960219_6</w:t>
      </w:r>
    </w:p>
    <w:p>
      <w:pPr>
        <w:spacing w:after="0" w:line="4" w:lineRule="exact"/>
        <w:rPr>
          <w:sz w:val="20"/>
          <w:szCs w:val="20"/>
          <w:color w:val="auto"/>
        </w:rPr>
      </w:pPr>
    </w:p>
    <w:p>
      <w:pPr>
        <w:ind w:left="338" w:hanging="338"/>
        <w:spacing w:after="0"/>
        <w:tabs>
          <w:tab w:leader="none" w:pos="338"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078"/>
          </w:cols>
          <w:pgMar w:left="382" w:top="1399" w:right="439" w:bottom="1440" w:gutter="0" w:footer="0" w:header="0"/>
        </w:sectPr>
      </w:pPr>
    </w:p>
    <w:bookmarkStart w:id="132" w:name="page133"/>
    <w:bookmarkEnd w:id="132"/>
    <w:p>
      <w:pPr>
        <w:ind w:left="76" w:right="240"/>
        <w:spacing w:after="0"/>
        <w:rPr>
          <w:sz w:val="20"/>
          <w:szCs w:val="20"/>
          <w:color w:val="auto"/>
        </w:rPr>
      </w:pPr>
      <w:r>
        <w:rPr>
          <w:rFonts w:ascii="Times New Roman" w:cs="Times New Roman" w:eastAsia="Times New Roman" w:hAnsi="Times New Roman"/>
          <w:sz w:val="20"/>
          <w:szCs w:val="20"/>
          <w:color w:val="auto"/>
        </w:rPr>
        <w:t xml:space="preserve">with </w:t>
      </w:r>
      <w:r>
        <w:rPr>
          <w:rFonts w:ascii="Times New Roman" w:cs="Times New Roman" w:eastAsia="Times New Roman" w:hAnsi="Times New Roman"/>
          <w:sz w:val="20"/>
          <w:szCs w:val="20"/>
          <w:u w:val="single" w:color="auto"/>
          <w:color w:val="auto"/>
        </w:rPr>
        <w:t>Section 5.8(c)</w:t>
      </w:r>
      <w:r>
        <w:rPr>
          <w:rFonts w:ascii="Times New Roman" w:cs="Times New Roman" w:eastAsia="Times New Roman" w:hAnsi="Times New Roman"/>
          <w:sz w:val="20"/>
          <w:szCs w:val="20"/>
          <w:color w:val="auto"/>
        </w:rPr>
        <w:t xml:space="preserve"> with a Benchmark Replacement </w:t>
      </w:r>
      <w:r>
        <w:rPr>
          <w:rFonts w:ascii="Times New Roman" w:cs="Times New Roman" w:eastAsia="Times New Roman" w:hAnsi="Times New Roman"/>
          <w:sz w:val="20"/>
          <w:szCs w:val="20"/>
          <w:u w:val="single" w:color="auto"/>
          <w:color w:val="0000FF"/>
        </w:rPr>
        <w:t>(LIBOR)</w:t>
      </w:r>
      <w:r>
        <w:rPr>
          <w:rFonts w:ascii="Times New Roman" w:cs="Times New Roman" w:eastAsia="Times New Roman" w:hAnsi="Times New Roman"/>
          <w:sz w:val="20"/>
          <w:szCs w:val="20"/>
          <w:color w:val="auto"/>
        </w:rPr>
        <w:t xml:space="preserve"> the Unadjusted Benchmark Replacement component of which is not Term SOFR.</w:t>
      </w:r>
    </w:p>
    <w:p>
      <w:pPr>
        <w:spacing w:after="0" w:line="183" w:lineRule="exact"/>
        <w:rPr>
          <w:sz w:val="20"/>
          <w:szCs w:val="20"/>
          <w:color w:val="auto"/>
        </w:rPr>
      </w:pPr>
    </w:p>
    <w:p>
      <w:pPr>
        <w:ind w:left="716"/>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Termination Event</w:t>
      </w:r>
      <w:r>
        <w:rPr>
          <w:rFonts w:ascii="Times New Roman" w:cs="Times New Roman" w:eastAsia="Times New Roman" w:hAnsi="Times New Roman"/>
          <w:sz w:val="20"/>
          <w:szCs w:val="20"/>
          <w:color w:val="auto"/>
        </w:rPr>
        <w:t>” means the occurrence of any of the following which, individually or in the aggregate, has resulted or could</w:t>
      </w:r>
    </w:p>
    <w:p>
      <w:pPr>
        <w:jc w:val="both"/>
        <w:ind w:left="76"/>
        <w:spacing w:after="0" w:line="204" w:lineRule="auto"/>
        <w:rPr>
          <w:sz w:val="20"/>
          <w:szCs w:val="20"/>
          <w:color w:val="auto"/>
        </w:rPr>
      </w:pPr>
      <w:r>
        <w:rPr>
          <w:rFonts w:ascii="Times New Roman" w:cs="Times New Roman" w:eastAsia="Times New Roman" w:hAnsi="Times New Roman"/>
          <w:sz w:val="20"/>
          <w:szCs w:val="20"/>
          <w:color w:val="auto"/>
        </w:rPr>
        <w:t>reasonably be expected to result in liability of the US Borrowers or any of their respective Subsidiaries in an aggregate amount in excess of the Threshold Amount: (a) a “Reportable Event” described in Section 4043 of ERISA for which the thirty (30) day notice requirement</w:t>
      </w:r>
    </w:p>
    <w:p>
      <w:pPr>
        <w:ind w:left="76"/>
        <w:spacing w:after="0" w:line="211" w:lineRule="auto"/>
        <w:rPr>
          <w:sz w:val="20"/>
          <w:szCs w:val="20"/>
          <w:color w:val="auto"/>
        </w:rPr>
      </w:pPr>
      <w:r>
        <w:rPr>
          <w:rFonts w:ascii="Times New Roman" w:cs="Times New Roman" w:eastAsia="Times New Roman" w:hAnsi="Times New Roman"/>
          <w:sz w:val="20"/>
          <w:szCs w:val="20"/>
          <w:color w:val="auto"/>
        </w:rPr>
        <w:t>has not been waived by the PBGC, or (b) the withdrawal of any Credit Party or any ERISA Affiliate from a Pension Plan during a plan</w:t>
      </w:r>
    </w:p>
    <w:p>
      <w:pPr>
        <w:spacing w:after="0" w:line="1" w:lineRule="exact"/>
        <w:rPr>
          <w:sz w:val="20"/>
          <w:szCs w:val="20"/>
          <w:color w:val="auto"/>
        </w:rPr>
      </w:pPr>
    </w:p>
    <w:p>
      <w:pPr>
        <w:jc w:val="both"/>
        <w:ind w:left="76"/>
        <w:spacing w:after="0" w:line="204" w:lineRule="auto"/>
        <w:rPr>
          <w:sz w:val="20"/>
          <w:szCs w:val="20"/>
          <w:color w:val="auto"/>
        </w:rPr>
      </w:pPr>
      <w:r>
        <w:rPr>
          <w:rFonts w:ascii="Times New Roman" w:cs="Times New Roman" w:eastAsia="Times New Roman" w:hAnsi="Times New Roman"/>
          <w:sz w:val="20"/>
          <w:szCs w:val="20"/>
          <w:color w:val="auto"/>
        </w:rPr>
        <w:t>year in which it was a “substantial employer” as defined in Section 4001(a)(2) of ERISA or a cessation of operations that is treated as such a withdrawal under Section 4062(e) of ERISA, or (c) the termination of a Pension Plan, the filing of a notice of intent to terminate a</w:t>
      </w:r>
    </w:p>
    <w:p>
      <w:pPr>
        <w:ind w:left="76"/>
        <w:spacing w:after="0" w:line="211" w:lineRule="auto"/>
        <w:rPr>
          <w:sz w:val="20"/>
          <w:szCs w:val="20"/>
          <w:color w:val="auto"/>
        </w:rPr>
      </w:pPr>
      <w:r>
        <w:rPr>
          <w:rFonts w:ascii="Times New Roman" w:cs="Times New Roman" w:eastAsia="Times New Roman" w:hAnsi="Times New Roman"/>
          <w:sz w:val="20"/>
          <w:szCs w:val="20"/>
          <w:color w:val="auto"/>
        </w:rPr>
        <w:t>Pension Plan or the treatment of a Pension Plan amendment as a termination, under Section 4041 of ERISA, if the plan assets are not</w:t>
      </w:r>
    </w:p>
    <w:p>
      <w:pPr>
        <w:spacing w:after="0" w:line="1" w:lineRule="exact"/>
        <w:rPr>
          <w:sz w:val="20"/>
          <w:szCs w:val="20"/>
          <w:color w:val="auto"/>
        </w:rPr>
      </w:pPr>
    </w:p>
    <w:p>
      <w:pPr>
        <w:jc w:val="both"/>
        <w:ind w:left="76"/>
        <w:spacing w:after="0" w:line="204" w:lineRule="auto"/>
        <w:rPr>
          <w:sz w:val="20"/>
          <w:szCs w:val="20"/>
          <w:color w:val="auto"/>
        </w:rPr>
      </w:pPr>
      <w:r>
        <w:rPr>
          <w:rFonts w:ascii="Times New Roman" w:cs="Times New Roman" w:eastAsia="Times New Roman" w:hAnsi="Times New Roman"/>
          <w:sz w:val="20"/>
          <w:szCs w:val="20"/>
          <w:color w:val="auto"/>
        </w:rPr>
        <w:t>sufficient to pay all plan liabilities, or (d) the institution of proceedings to terminate, or the appointment of a trustee with respect to, any Pension Plan by the PBGC, or (e) any other event or condition which would constitute grounds under Section 4042(a) of ERISA for the</w:t>
      </w:r>
    </w:p>
    <w:p>
      <w:pPr>
        <w:spacing w:after="0" w:line="1" w:lineRule="exact"/>
        <w:rPr>
          <w:sz w:val="20"/>
          <w:szCs w:val="20"/>
          <w:color w:val="auto"/>
        </w:rPr>
      </w:pPr>
    </w:p>
    <w:p>
      <w:pPr>
        <w:jc w:val="both"/>
        <w:ind w:left="76"/>
        <w:spacing w:after="0" w:line="215" w:lineRule="auto"/>
        <w:rPr>
          <w:sz w:val="20"/>
          <w:szCs w:val="20"/>
          <w:color w:val="auto"/>
        </w:rPr>
      </w:pPr>
      <w:r>
        <w:rPr>
          <w:rFonts w:ascii="Times New Roman" w:cs="Times New Roman" w:eastAsia="Times New Roman" w:hAnsi="Times New Roman"/>
          <w:sz w:val="19"/>
          <w:szCs w:val="19"/>
          <w:color w:val="auto"/>
        </w:rPr>
        <w:t>termination of, or the appointment of a trustee to administer, any Pension Plan, or (f) the imposition of a Lien pursuant to Section 430(k) of the Code or Section 303 of ERISA, or (g) the determination that any Pension Plan or Multiemployer Plan is considered an at-risk plan or</w:t>
      </w:r>
    </w:p>
    <w:p>
      <w:pPr>
        <w:ind w:left="76"/>
        <w:spacing w:after="0" w:line="222" w:lineRule="auto"/>
        <w:rPr>
          <w:sz w:val="20"/>
          <w:szCs w:val="20"/>
          <w:color w:val="auto"/>
        </w:rPr>
      </w:pPr>
      <w:r>
        <w:rPr>
          <w:rFonts w:ascii="Times New Roman" w:cs="Times New Roman" w:eastAsia="Times New Roman" w:hAnsi="Times New Roman"/>
          <w:sz w:val="19"/>
          <w:szCs w:val="19"/>
          <w:color w:val="auto"/>
        </w:rPr>
        <w:t>plan in endangered or critical status with the meaning of Sections 430, 431 or 432 of the Code or Sections 303, 304 or 305 of ERISA or (h)</w:t>
      </w:r>
    </w:p>
    <w:p>
      <w:pPr>
        <w:jc w:val="both"/>
        <w:ind w:left="76" w:right="20"/>
        <w:spacing w:after="0" w:line="204" w:lineRule="auto"/>
        <w:rPr>
          <w:sz w:val="20"/>
          <w:szCs w:val="20"/>
          <w:color w:val="auto"/>
        </w:rPr>
      </w:pPr>
      <w:r>
        <w:rPr>
          <w:rFonts w:ascii="Times New Roman" w:cs="Times New Roman" w:eastAsia="Times New Roman" w:hAnsi="Times New Roman"/>
          <w:sz w:val="20"/>
          <w:szCs w:val="20"/>
          <w:color w:val="auto"/>
        </w:rPr>
        <w:t>the partial or complete withdrawal of any Credit Party or any ERISA Affiliate from a Multiemployer Plan if withdrawal liability is asserted by such plan, or (i) any event or condition which results in the reorganization or insolvency of a Multiemployer Plan under</w:t>
      </w:r>
    </w:p>
    <w:p>
      <w:pPr>
        <w:ind w:left="76"/>
        <w:spacing w:after="0" w:line="211" w:lineRule="auto"/>
        <w:rPr>
          <w:sz w:val="20"/>
          <w:szCs w:val="20"/>
          <w:color w:val="auto"/>
        </w:rPr>
      </w:pPr>
      <w:r>
        <w:rPr>
          <w:rFonts w:ascii="Times New Roman" w:cs="Times New Roman" w:eastAsia="Times New Roman" w:hAnsi="Times New Roman"/>
          <w:sz w:val="20"/>
          <w:szCs w:val="20"/>
          <w:color w:val="auto"/>
        </w:rPr>
        <w:t>Sections 4241 or 4245 of ERISA, or (j) any event or condition which results in the termination of a Multiemployer Plan under Section</w:t>
      </w:r>
    </w:p>
    <w:p>
      <w:pPr>
        <w:spacing w:after="0" w:line="1" w:lineRule="exact"/>
        <w:rPr>
          <w:sz w:val="20"/>
          <w:szCs w:val="20"/>
          <w:color w:val="auto"/>
        </w:rPr>
      </w:pPr>
    </w:p>
    <w:p>
      <w:pPr>
        <w:jc w:val="both"/>
        <w:ind w:left="76"/>
        <w:spacing w:after="0" w:line="215" w:lineRule="auto"/>
        <w:rPr>
          <w:sz w:val="20"/>
          <w:szCs w:val="20"/>
          <w:color w:val="auto"/>
        </w:rPr>
      </w:pPr>
      <w:r>
        <w:rPr>
          <w:rFonts w:ascii="Times New Roman" w:cs="Times New Roman" w:eastAsia="Times New Roman" w:hAnsi="Times New Roman"/>
          <w:sz w:val="19"/>
          <w:szCs w:val="19"/>
          <w:color w:val="auto"/>
        </w:rPr>
        <w:t>4041A of ERISA or the institution by PBGC of proceedings to terminate a Multiemployer Plan under Section 4042 of ERISA, or (k) the imposition of any liability under Title IV of ERISA, other than for PBGC premiums due but not delinquent under Section 4007 of ERISA,</w:t>
      </w:r>
    </w:p>
    <w:p>
      <w:pPr>
        <w:ind w:left="76"/>
        <w:spacing w:after="0"/>
        <w:rPr>
          <w:sz w:val="20"/>
          <w:szCs w:val="20"/>
          <w:color w:val="auto"/>
        </w:rPr>
      </w:pPr>
      <w:r>
        <w:rPr>
          <w:rFonts w:ascii="Times New Roman" w:cs="Times New Roman" w:eastAsia="Times New Roman" w:hAnsi="Times New Roman"/>
          <w:sz w:val="20"/>
          <w:szCs w:val="20"/>
          <w:color w:val="auto"/>
        </w:rPr>
        <w:t>upon any Credit Party or any ERISA Affiliate.</w:t>
      </w:r>
    </w:p>
    <w:p>
      <w:pPr>
        <w:spacing w:after="0" w:line="194" w:lineRule="exact"/>
        <w:rPr>
          <w:sz w:val="20"/>
          <w:szCs w:val="20"/>
          <w:color w:val="auto"/>
        </w:rPr>
      </w:pPr>
    </w:p>
    <w:p>
      <w:pPr>
        <w:ind w:left="716"/>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Threshold Amount</w:t>
      </w:r>
      <w:r>
        <w:rPr>
          <w:rFonts w:ascii="Times New Roman" w:cs="Times New Roman" w:eastAsia="Times New Roman" w:hAnsi="Times New Roman"/>
          <w:sz w:val="20"/>
          <w:szCs w:val="20"/>
          <w:color w:val="auto"/>
        </w:rPr>
        <w:t>” means $35,000,000.</w:t>
      </w:r>
    </w:p>
    <w:p>
      <w:pPr>
        <w:spacing w:after="0" w:line="283" w:lineRule="exact"/>
        <w:rPr>
          <w:sz w:val="20"/>
          <w:szCs w:val="20"/>
          <w:color w:val="auto"/>
        </w:rPr>
      </w:pPr>
    </w:p>
    <w:p>
      <w:pPr>
        <w:jc w:val="both"/>
        <w:ind w:left="76" w:right="20"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Total Credit Exposure</w:t>
      </w:r>
      <w:r>
        <w:rPr>
          <w:rFonts w:ascii="Times New Roman" w:cs="Times New Roman" w:eastAsia="Times New Roman" w:hAnsi="Times New Roman"/>
          <w:sz w:val="20"/>
          <w:szCs w:val="20"/>
          <w:color w:val="auto"/>
        </w:rPr>
        <w:t>” means, as to any Lender at any time, the unused Commitments, Revolving Credit Exposure and outstanding Term Loans of such Lender at such time.</w:t>
      </w:r>
    </w:p>
    <w:p>
      <w:pPr>
        <w:spacing w:after="0" w:line="202" w:lineRule="exact"/>
        <w:rPr>
          <w:sz w:val="20"/>
          <w:szCs w:val="20"/>
          <w:color w:val="auto"/>
        </w:rPr>
      </w:pPr>
    </w:p>
    <w:p>
      <w:pPr>
        <w:jc w:val="both"/>
        <w:ind w:left="76"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Transactions</w:t>
      </w:r>
      <w:r>
        <w:rPr>
          <w:rFonts w:ascii="Times New Roman" w:cs="Times New Roman" w:eastAsia="Times New Roman" w:hAnsi="Times New Roman"/>
          <w:sz w:val="20"/>
          <w:szCs w:val="20"/>
          <w:color w:val="auto"/>
        </w:rPr>
        <w:t>” means, collectively, (a) the refinancing of Indebtedness outstanding under the Existing Credit Agreement, (b) the refinancing of certain Indebtedness of Drum and its Subsidiaries, (c) the initial Extensions of Credit, (d) the financing of the Drum Acquisition and (e) the payment of the costs incurred in connection with the foregoing.</w:t>
      </w:r>
    </w:p>
    <w:p>
      <w:pPr>
        <w:spacing w:after="0" w:line="201" w:lineRule="exact"/>
        <w:rPr>
          <w:sz w:val="20"/>
          <w:szCs w:val="20"/>
          <w:color w:val="auto"/>
        </w:rPr>
      </w:pPr>
    </w:p>
    <w:p>
      <w:pPr>
        <w:ind w:left="716"/>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UCC</w:t>
      </w:r>
      <w:r>
        <w:rPr>
          <w:rFonts w:ascii="Times New Roman" w:cs="Times New Roman" w:eastAsia="Times New Roman" w:hAnsi="Times New Roman"/>
          <w:sz w:val="20"/>
          <w:szCs w:val="20"/>
          <w:color w:val="auto"/>
        </w:rPr>
        <w:t>” means the Uniform Commercial Code as in effect in the State of New York.</w:t>
      </w:r>
    </w:p>
    <w:p>
      <w:pPr>
        <w:spacing w:after="0" w:line="264" w:lineRule="exact"/>
        <w:rPr>
          <w:sz w:val="20"/>
          <w:szCs w:val="20"/>
          <w:color w:val="auto"/>
        </w:rPr>
      </w:pPr>
    </w:p>
    <w:p>
      <w:pPr>
        <w:ind w:left="716"/>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UK Financial Institution</w:t>
      </w:r>
      <w:r>
        <w:rPr>
          <w:rFonts w:ascii="Times New Roman" w:cs="Times New Roman" w:eastAsia="Times New Roman" w:hAnsi="Times New Roman"/>
          <w:sz w:val="20"/>
          <w:szCs w:val="20"/>
          <w:color w:val="auto"/>
        </w:rPr>
        <w:t>” means any BRRD Undertaking (as such term is defined under the PRA Rulebook (as amended from</w:t>
      </w:r>
    </w:p>
    <w:p>
      <w:pPr>
        <w:jc w:val="both"/>
        <w:ind w:left="76"/>
        <w:spacing w:after="0" w:line="204" w:lineRule="auto"/>
        <w:rPr>
          <w:sz w:val="20"/>
          <w:szCs w:val="20"/>
          <w:color w:val="auto"/>
        </w:rPr>
      </w:pPr>
      <w:r>
        <w:rPr>
          <w:rFonts w:ascii="Times New Roman" w:cs="Times New Roman" w:eastAsia="Times New Roman" w:hAnsi="Times New Roman"/>
          <w:sz w:val="20"/>
          <w:szCs w:val="20"/>
          <w:color w:val="auto"/>
        </w:rPr>
        <w:t>time to time) promulgated by the United Kingdom Prudential Regulation Authority) or any person falling within IFPRU 11.6 of the FCA Handbook (as amended from time to time) promulgated by the United Kingdom Financial Conduct Authority, which includes certain</w:t>
      </w:r>
    </w:p>
    <w:p>
      <w:pPr>
        <w:spacing w:after="0" w:line="1" w:lineRule="exact"/>
        <w:rPr>
          <w:sz w:val="20"/>
          <w:szCs w:val="20"/>
          <w:color w:val="auto"/>
        </w:rPr>
      </w:pPr>
    </w:p>
    <w:p>
      <w:pPr>
        <w:ind w:left="76"/>
        <w:spacing w:after="0"/>
        <w:rPr>
          <w:sz w:val="20"/>
          <w:szCs w:val="20"/>
          <w:color w:val="auto"/>
        </w:rPr>
      </w:pPr>
      <w:r>
        <w:rPr>
          <w:rFonts w:ascii="Times New Roman" w:cs="Times New Roman" w:eastAsia="Times New Roman" w:hAnsi="Times New Roman"/>
          <w:sz w:val="20"/>
          <w:szCs w:val="20"/>
          <w:color w:val="auto"/>
        </w:rPr>
        <w:t>credit institutions and investment firms, and certain affiliates of such credit institutions or investment firms.</w:t>
      </w:r>
    </w:p>
    <w:p>
      <w:pPr>
        <w:spacing w:after="0" w:line="207" w:lineRule="exact"/>
        <w:rPr>
          <w:sz w:val="20"/>
          <w:szCs w:val="20"/>
          <w:color w:val="auto"/>
        </w:rPr>
      </w:pPr>
    </w:p>
    <w:p>
      <w:pPr>
        <w:jc w:val="both"/>
        <w:ind w:left="76"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UK Resolution Authority</w:t>
      </w:r>
      <w:r>
        <w:rPr>
          <w:rFonts w:ascii="Times New Roman" w:cs="Times New Roman" w:eastAsia="Times New Roman" w:hAnsi="Times New Roman"/>
          <w:sz w:val="20"/>
          <w:szCs w:val="20"/>
          <w:color w:val="auto"/>
        </w:rPr>
        <w:t>” means the Bank of England or any other public administrative authority having responsibility for the resolution of any UK Financial Institution.</w:t>
      </w:r>
    </w:p>
    <w:p>
      <w:pPr>
        <w:spacing w:after="0" w:line="200" w:lineRule="exact"/>
        <w:rPr>
          <w:sz w:val="20"/>
          <w:szCs w:val="20"/>
          <w:color w:val="auto"/>
        </w:rPr>
      </w:pPr>
    </w:p>
    <w:p>
      <w:pPr>
        <w:jc w:val="both"/>
        <w:ind w:left="76"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Unadjusted Benchmark Replacement</w:t>
      </w:r>
      <w:r>
        <w:rPr>
          <w:rFonts w:ascii="Times New Roman" w:cs="Times New Roman" w:eastAsia="Times New Roman" w:hAnsi="Times New Roman"/>
          <w:sz w:val="20"/>
          <w:szCs w:val="20"/>
          <w:color w:val="auto"/>
        </w:rPr>
        <w:t>” means the applicable Benchmark Replacement excluding the related Benchmark Replacement Adjustment.</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16"/>
        <w:spacing w:after="0"/>
        <w:rPr>
          <w:sz w:val="20"/>
          <w:szCs w:val="20"/>
          <w:color w:val="auto"/>
        </w:rPr>
      </w:pPr>
      <w:r>
        <w:rPr>
          <w:rFonts w:ascii="Times New Roman" w:cs="Times New Roman" w:eastAsia="Times New Roman" w:hAnsi="Times New Roman"/>
          <w:sz w:val="14"/>
          <w:szCs w:val="14"/>
          <w:color w:val="FF0000"/>
          <w:strike w:val="1"/>
        </w:rPr>
        <w:t>146960219_6</w:t>
      </w:r>
    </w:p>
    <w:p>
      <w:pPr>
        <w:spacing w:after="0" w:line="4" w:lineRule="exact"/>
        <w:rPr>
          <w:sz w:val="20"/>
          <w:szCs w:val="20"/>
          <w:color w:val="auto"/>
        </w:rPr>
      </w:pPr>
    </w:p>
    <w:p>
      <w:pPr>
        <w:ind w:left="316" w:hanging="316"/>
        <w:spacing w:after="0"/>
        <w:tabs>
          <w:tab w:leader="none" w:pos="316"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096"/>
          </w:cols>
          <w:pgMar w:left="364" w:top="1399" w:right="439" w:bottom="1440" w:gutter="0" w:footer="0" w:header="0"/>
        </w:sectPr>
      </w:pPr>
    </w:p>
    <w:bookmarkStart w:id="133" w:name="page134"/>
    <w:bookmarkEnd w:id="133"/>
    <w:p>
      <w:pPr>
        <w:ind w:left="40" w:right="440"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Uniform Customs</w:t>
      </w:r>
      <w:r>
        <w:rPr>
          <w:rFonts w:ascii="Times New Roman" w:cs="Times New Roman" w:eastAsia="Times New Roman" w:hAnsi="Times New Roman"/>
          <w:sz w:val="20"/>
          <w:szCs w:val="20"/>
          <w:color w:val="auto"/>
        </w:rPr>
        <w:t>” means the Uniform Customs and Practice for Documentary Credits (2007 Revision), effective July, 2007 International Chamber of Commerce Publication No. 600.</w:t>
      </w:r>
    </w:p>
    <w:p>
      <w:pPr>
        <w:spacing w:after="0" w:line="18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United States</w:t>
      </w:r>
      <w:r>
        <w:rPr>
          <w:rFonts w:ascii="Times New Roman" w:cs="Times New Roman" w:eastAsia="Times New Roman" w:hAnsi="Times New Roman"/>
          <w:sz w:val="20"/>
          <w:szCs w:val="20"/>
          <w:color w:val="auto"/>
        </w:rPr>
        <w:t>” means the United States of America.</w:t>
      </w:r>
    </w:p>
    <w:p>
      <w:pPr>
        <w:spacing w:after="0" w:line="283" w:lineRule="exact"/>
        <w:rPr>
          <w:sz w:val="20"/>
          <w:szCs w:val="20"/>
          <w:color w:val="auto"/>
        </w:rPr>
      </w:pPr>
    </w:p>
    <w:p>
      <w:pPr>
        <w:jc w:val="both"/>
        <w:ind w:left="40" w:right="20" w:firstLine="648"/>
        <w:spacing w:after="0" w:line="21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Unrestricted</w:t>
      </w:r>
      <w:r>
        <w:rPr>
          <w:rFonts w:ascii="Times New Roman" w:cs="Times New Roman" w:eastAsia="Times New Roman" w:hAnsi="Times New Roman"/>
          <w:sz w:val="20"/>
          <w:szCs w:val="20"/>
          <w:color w:val="auto"/>
        </w:rPr>
        <w:t>” shall mean, when referring to cash and Cash Equivalents of Centuri and its Subsidiaries, that such cash and Cash Equivalents (a) do not appear or would not be required to appear as “restricted” on the financial statements of Centuri or any such</w:t>
      </w:r>
    </w:p>
    <w:p>
      <w:pPr>
        <w:ind w:left="40"/>
        <w:spacing w:after="0" w:line="212" w:lineRule="auto"/>
        <w:rPr>
          <w:sz w:val="20"/>
          <w:szCs w:val="20"/>
          <w:color w:val="auto"/>
        </w:rPr>
      </w:pPr>
      <w:r>
        <w:rPr>
          <w:rFonts w:ascii="Times New Roman" w:cs="Times New Roman" w:eastAsia="Times New Roman" w:hAnsi="Times New Roman"/>
          <w:sz w:val="20"/>
          <w:szCs w:val="20"/>
          <w:color w:val="auto"/>
        </w:rPr>
        <w:t>Subsidiary (unless related to the Loan Documents or the Liens created thereunder), (b) are not subject to a Lien in favor of any Person</w:t>
      </w:r>
    </w:p>
    <w:p>
      <w:pPr>
        <w:spacing w:after="0" w:line="1" w:lineRule="exact"/>
        <w:rPr>
          <w:sz w:val="20"/>
          <w:szCs w:val="20"/>
          <w:color w:val="auto"/>
        </w:rPr>
      </w:pPr>
    </w:p>
    <w:p>
      <w:pPr>
        <w:jc w:val="both"/>
        <w:ind w:left="40"/>
        <w:spacing w:after="0" w:line="233" w:lineRule="auto"/>
        <w:rPr>
          <w:sz w:val="20"/>
          <w:szCs w:val="20"/>
          <w:color w:val="auto"/>
        </w:rPr>
      </w:pPr>
      <w:r>
        <w:rPr>
          <w:rFonts w:ascii="Times New Roman" w:cs="Times New Roman" w:eastAsia="Times New Roman" w:hAnsi="Times New Roman"/>
          <w:sz w:val="19"/>
          <w:szCs w:val="19"/>
          <w:color w:val="auto"/>
        </w:rPr>
        <w:t>other than the Administrative Agent under the Loan Documents, (c) are assets of Centuri or a Subsidiary that is a US Subsidiary and are held in bank accounts or securities accounts located in the United States or (d) are not otherwise unavailable to Centuri or such Subsidiary.</w:t>
      </w:r>
    </w:p>
    <w:p>
      <w:pPr>
        <w:spacing w:after="0" w:line="20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USD LIBOR</w:t>
      </w:r>
      <w:r>
        <w:rPr>
          <w:rFonts w:ascii="Times New Roman" w:cs="Times New Roman" w:eastAsia="Times New Roman" w:hAnsi="Times New Roman"/>
          <w:sz w:val="20"/>
          <w:szCs w:val="20"/>
          <w:color w:val="auto"/>
        </w:rPr>
        <w:t>” means the London interbank offered rate for Dollars.</w:t>
      </w:r>
    </w:p>
    <w:p>
      <w:pPr>
        <w:spacing w:after="0" w:line="283" w:lineRule="exact"/>
        <w:rPr>
          <w:sz w:val="20"/>
          <w:szCs w:val="20"/>
          <w:color w:val="auto"/>
        </w:rPr>
      </w:pPr>
    </w:p>
    <w:p>
      <w:pPr>
        <w:jc w:val="both"/>
        <w:ind w:left="4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Borrowers</w:t>
      </w:r>
      <w:r>
        <w:rPr>
          <w:rFonts w:ascii="Times New Roman" w:cs="Times New Roman" w:eastAsia="Times New Roman" w:hAnsi="Times New Roman"/>
          <w:sz w:val="20"/>
          <w:szCs w:val="20"/>
          <w:color w:val="auto"/>
        </w:rPr>
        <w:t>” means, collectively, Centuri and each Additional Borrower approved by the Lenders that becomes a party hereto as a US Borrower.</w:t>
      </w:r>
    </w:p>
    <w:p>
      <w:pPr>
        <w:spacing w:after="0" w:line="186" w:lineRule="exact"/>
        <w:rPr>
          <w:sz w:val="20"/>
          <w:szCs w:val="20"/>
          <w:color w:val="auto"/>
        </w:rPr>
      </w:pPr>
    </w:p>
    <w:p>
      <w:pPr>
        <w:jc w:val="both"/>
        <w:ind w:left="40" w:firstLine="648"/>
        <w:spacing w:after="0" w:line="21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Cash Management Bank</w:t>
      </w:r>
      <w:r>
        <w:rPr>
          <w:rFonts w:ascii="Times New Roman" w:cs="Times New Roman" w:eastAsia="Times New Roman" w:hAnsi="Times New Roman"/>
          <w:sz w:val="20"/>
          <w:szCs w:val="20"/>
          <w:color w:val="auto"/>
        </w:rPr>
        <w:t>” means any Person that, (a) at the time it enters into a Cash Management Agreement with a US Credit Party or any US Subsidiary thereof, is a Lender, an Affiliate of a Lender, the Administrative Agent or an Affiliate of the</w:t>
      </w:r>
    </w:p>
    <w:p>
      <w:pPr>
        <w:ind w:left="40"/>
        <w:spacing w:after="0" w:line="212" w:lineRule="auto"/>
        <w:rPr>
          <w:sz w:val="20"/>
          <w:szCs w:val="20"/>
          <w:color w:val="auto"/>
        </w:rPr>
      </w:pPr>
      <w:r>
        <w:rPr>
          <w:rFonts w:ascii="Times New Roman" w:cs="Times New Roman" w:eastAsia="Times New Roman" w:hAnsi="Times New Roman"/>
          <w:sz w:val="20"/>
          <w:szCs w:val="20"/>
          <w:color w:val="auto"/>
        </w:rPr>
        <w:t>Administrative Agent, or (b) at the time it (or its Affiliate) becomes a Lender (including on the Closing Date), is a party to a Cash</w:t>
      </w:r>
    </w:p>
    <w:p>
      <w:pPr>
        <w:spacing w:after="0" w:line="1" w:lineRule="exact"/>
        <w:rPr>
          <w:sz w:val="20"/>
          <w:szCs w:val="20"/>
          <w:color w:val="auto"/>
        </w:rPr>
      </w:pPr>
    </w:p>
    <w:p>
      <w:pPr>
        <w:jc w:val="both"/>
        <w:ind w:left="40"/>
        <w:spacing w:after="0" w:line="221" w:lineRule="auto"/>
        <w:rPr>
          <w:sz w:val="20"/>
          <w:szCs w:val="20"/>
          <w:color w:val="auto"/>
        </w:rPr>
      </w:pPr>
      <w:r>
        <w:rPr>
          <w:rFonts w:ascii="Times New Roman" w:cs="Times New Roman" w:eastAsia="Times New Roman" w:hAnsi="Times New Roman"/>
          <w:sz w:val="20"/>
          <w:szCs w:val="20"/>
          <w:color w:val="auto"/>
        </w:rPr>
        <w:t>Management Agreement with a US Credit Party or any US Subsidiary thereof, in each case in its capacity as a party to such Cash Management Agreement.</w:t>
      </w:r>
    </w:p>
    <w:p>
      <w:pPr>
        <w:spacing w:after="0" w:line="216" w:lineRule="exact"/>
        <w:rPr>
          <w:sz w:val="20"/>
          <w:szCs w:val="20"/>
          <w:color w:val="auto"/>
        </w:rPr>
      </w:pPr>
    </w:p>
    <w:p>
      <w:pPr>
        <w:jc w:val="both"/>
        <w:ind w:left="40"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Collateral Agreement</w:t>
      </w:r>
      <w:r>
        <w:rPr>
          <w:rFonts w:ascii="Times New Roman" w:cs="Times New Roman" w:eastAsia="Times New Roman" w:hAnsi="Times New Roman"/>
          <w:sz w:val="20"/>
          <w:szCs w:val="20"/>
          <w:color w:val="auto"/>
        </w:rPr>
        <w:t>” means that certain Second Amended and Restated US Collateral Agreement of even date herewith executed by the US Credit Parties in favor of the Administrative Agent, for the ratable benefit of the US Secured Parties and the Canadian Secured Parties.</w:t>
      </w:r>
    </w:p>
    <w:p>
      <w:pPr>
        <w:spacing w:after="0" w:line="18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Credit Parties</w:t>
      </w:r>
      <w:r>
        <w:rPr>
          <w:rFonts w:ascii="Times New Roman" w:cs="Times New Roman" w:eastAsia="Times New Roman" w:hAnsi="Times New Roman"/>
          <w:sz w:val="20"/>
          <w:szCs w:val="20"/>
          <w:color w:val="auto"/>
        </w:rPr>
        <w:t>” means, collectively, the US Borrowers and the US Subsidiary Guarantors.</w:t>
      </w:r>
    </w:p>
    <w:p>
      <w:pPr>
        <w:spacing w:after="0" w:line="283" w:lineRule="exact"/>
        <w:rPr>
          <w:sz w:val="20"/>
          <w:szCs w:val="20"/>
          <w:color w:val="auto"/>
        </w:rPr>
      </w:pPr>
    </w:p>
    <w:p>
      <w:pPr>
        <w:jc w:val="both"/>
        <w:ind w:left="40" w:firstLine="648"/>
        <w:spacing w:after="0" w:line="21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Credit Party Guaranty Agreement</w:t>
      </w:r>
      <w:r>
        <w:rPr>
          <w:rFonts w:ascii="Times New Roman" w:cs="Times New Roman" w:eastAsia="Times New Roman" w:hAnsi="Times New Roman"/>
          <w:sz w:val="20"/>
          <w:szCs w:val="20"/>
          <w:color w:val="auto"/>
        </w:rPr>
        <w:t>” means that certain Second Amended and Restated US Credit Party Guaranty Agreement of even date herewith executed by the US Credit Parties in favor of the Administrative Agent, for the ratable benefit of the US Secured</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Parties and the Canadian Secured Parties.</w:t>
      </w:r>
    </w:p>
    <w:p>
      <w:pPr>
        <w:spacing w:after="0" w:line="194" w:lineRule="exact"/>
        <w:rPr>
          <w:sz w:val="20"/>
          <w:szCs w:val="20"/>
          <w:color w:val="auto"/>
        </w:rPr>
      </w:pPr>
    </w:p>
    <w:p>
      <w:pPr>
        <w:jc w:val="both"/>
        <w:ind w:left="40" w:firstLine="648"/>
        <w:spacing w:after="0" w:line="222" w:lineRule="auto"/>
        <w:rPr>
          <w:sz w:val="20"/>
          <w:szCs w:val="20"/>
          <w:color w:val="auto"/>
        </w:rPr>
      </w:pPr>
      <w:r>
        <w:rPr>
          <w:rFonts w:ascii="Times New Roman" w:cs="Times New Roman" w:eastAsia="Times New Roman" w:hAnsi="Times New Roman"/>
          <w:sz w:val="20"/>
          <w:szCs w:val="20"/>
          <w:u w:val="single" w:color="auto"/>
          <w:color w:val="0000FF"/>
        </w:rPr>
        <w:t>“US Government Securities Business Day” means any day except for (a) a Saturday, (b) a Sunday or (c) a day on which the Securities Industry and Financial Markets Association recommends that the fixed income departments of its members be closed for the</w:t>
      </w:r>
    </w:p>
    <w:p>
      <w:pPr>
        <w:spacing w:after="0" w:line="2" w:lineRule="exact"/>
        <w:rPr>
          <w:sz w:val="20"/>
          <w:szCs w:val="20"/>
          <w:color w:val="auto"/>
        </w:rPr>
      </w:pPr>
    </w:p>
    <w:p>
      <w:pPr>
        <w:jc w:val="both"/>
        <w:ind w:left="40"/>
        <w:spacing w:after="0" w:line="221" w:lineRule="auto"/>
        <w:rPr>
          <w:sz w:val="20"/>
          <w:szCs w:val="20"/>
          <w:color w:val="auto"/>
        </w:rPr>
      </w:pPr>
      <w:r>
        <w:rPr>
          <w:rFonts w:ascii="Times New Roman" w:cs="Times New Roman" w:eastAsia="Times New Roman" w:hAnsi="Times New Roman"/>
          <w:sz w:val="20"/>
          <w:szCs w:val="20"/>
          <w:u w:val="single" w:color="auto"/>
          <w:color w:val="0000FF"/>
        </w:rPr>
        <w:t>entire day for purposes of trading in United States government securities; provided, that for purposes of notice requirements in Sections 2.3(a), 2.4(c) and 5.2, in each case, such day is also a Business Day.</w:t>
      </w:r>
    </w:p>
    <w:p>
      <w:pPr>
        <w:spacing w:after="0" w:line="25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Hedge Bank</w:t>
      </w:r>
      <w:r>
        <w:rPr>
          <w:rFonts w:ascii="Times New Roman" w:cs="Times New Roman" w:eastAsia="Times New Roman" w:hAnsi="Times New Roman"/>
          <w:sz w:val="20"/>
          <w:szCs w:val="20"/>
          <w:color w:val="auto"/>
        </w:rPr>
        <w:t>” means any Person that, (a) at the time it enters into a Hedge Agreement with a US Credit Party or any US</w:t>
      </w:r>
    </w:p>
    <w:p>
      <w:pPr>
        <w:ind w:left="740" w:firstLine="4"/>
        <w:spacing w:after="0" w:line="215" w:lineRule="auto"/>
        <w:rPr>
          <w:sz w:val="20"/>
          <w:szCs w:val="20"/>
          <w:color w:val="auto"/>
        </w:rPr>
      </w:pPr>
      <w:r>
        <w:rPr>
          <w:rFonts w:ascii="Times New Roman" w:cs="Times New Roman" w:eastAsia="Times New Roman" w:hAnsi="Times New Roman"/>
          <w:sz w:val="19"/>
          <w:szCs w:val="19"/>
          <w:color w:val="auto"/>
        </w:rPr>
        <w:t xml:space="preserve">Subsidiary thereof permitted under </w:t>
      </w:r>
      <w:r>
        <w:rPr>
          <w:rFonts w:ascii="Times New Roman" w:cs="Times New Roman" w:eastAsia="Times New Roman" w:hAnsi="Times New Roman"/>
          <w:sz w:val="19"/>
          <w:szCs w:val="19"/>
          <w:u w:val="single" w:color="auto"/>
          <w:color w:val="auto"/>
        </w:rPr>
        <w:t>Article IX</w:t>
      </w:r>
      <w:r>
        <w:rPr>
          <w:rFonts w:ascii="Times New Roman" w:cs="Times New Roman" w:eastAsia="Times New Roman" w:hAnsi="Times New Roman"/>
          <w:sz w:val="19"/>
          <w:szCs w:val="19"/>
          <w:color w:val="auto"/>
        </w:rPr>
        <w:t>, is a Lender, an Affiliate of a Lender, the Administrative Agent or an Affiliate of the Administrative Agent or (b) at the time it (or its Affiliate) becomes a Lender (including on the Closing Date), is a party to a Hedge</w:t>
      </w:r>
    </w:p>
    <w:p>
      <w:pPr>
        <w:ind w:left="820"/>
        <w:spacing w:after="0"/>
        <w:rPr>
          <w:sz w:val="20"/>
          <w:szCs w:val="20"/>
          <w:color w:val="auto"/>
        </w:rPr>
      </w:pPr>
      <w:r>
        <w:rPr>
          <w:rFonts w:ascii="Times New Roman" w:cs="Times New Roman" w:eastAsia="Times New Roman" w:hAnsi="Times New Roman"/>
          <w:sz w:val="19"/>
          <w:szCs w:val="19"/>
          <w:color w:val="auto"/>
        </w:rPr>
        <w:t>Agreement with a US Credit Party or any US Subsidiary thereof, in each case in its capacity as a party to such Hedge Agreement.</w:t>
      </w:r>
    </w:p>
    <w:p>
      <w:pPr>
        <w:spacing w:after="0" w:line="205" w:lineRule="exact"/>
        <w:rPr>
          <w:sz w:val="20"/>
          <w:szCs w:val="20"/>
          <w:color w:val="auto"/>
        </w:rPr>
      </w:pPr>
    </w:p>
    <w:p>
      <w:pPr>
        <w:jc w:val="both"/>
        <w:ind w:left="40" w:firstLine="648"/>
        <w:spacing w:after="0" w:line="23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L/C Obligations</w:t>
      </w:r>
      <w:r>
        <w:rPr>
          <w:rFonts w:ascii="Times New Roman" w:cs="Times New Roman" w:eastAsia="Times New Roman" w:hAnsi="Times New Roman"/>
          <w:sz w:val="20"/>
          <w:szCs w:val="20"/>
          <w:color w:val="auto"/>
        </w:rPr>
        <w:t xml:space="preserve">” means at any time, an amount equal to the sum of (a) the aggregate undrawn and unexpired amount of the then outstanding US Letters of Credit and (b) the aggregate amount of drawings under US Letters of Credit which have not then been reimbursed pursuant to </w:t>
      </w:r>
      <w:r>
        <w:rPr>
          <w:rFonts w:ascii="Times New Roman" w:cs="Times New Roman" w:eastAsia="Times New Roman" w:hAnsi="Times New Roman"/>
          <w:sz w:val="20"/>
          <w:szCs w:val="20"/>
          <w:u w:val="single" w:color="auto"/>
          <w:color w:val="auto"/>
        </w:rPr>
        <w:t>Section 3.5</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FF0000"/>
          <w:strike w:val="1"/>
        </w:rPr>
        <w:t>146960219_6</w:t>
      </w:r>
    </w:p>
    <w:p>
      <w:pPr>
        <w:spacing w:after="0" w:line="4" w:lineRule="exact"/>
        <w:rPr>
          <w:sz w:val="20"/>
          <w:szCs w:val="20"/>
          <w:color w:val="auto"/>
        </w:rPr>
      </w:pPr>
    </w:p>
    <w:p>
      <w:pPr>
        <w:ind w:left="340" w:hanging="338"/>
        <w:spacing w:after="0"/>
        <w:tabs>
          <w:tab w:leader="none" w:pos="340"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080"/>
          </w:cols>
          <w:pgMar w:left="380" w:top="1399" w:right="439" w:bottom="1440" w:gutter="0" w:footer="0" w:header="0"/>
        </w:sectPr>
      </w:pPr>
    </w:p>
    <w:bookmarkStart w:id="134" w:name="page135"/>
    <w:bookmarkEnd w:id="134"/>
    <w:p>
      <w:pPr>
        <w:ind w:left="698"/>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US Letters of Credit</w:t>
      </w:r>
      <w:r>
        <w:rPr>
          <w:rFonts w:ascii="Times New Roman" w:cs="Times New Roman" w:eastAsia="Times New Roman" w:hAnsi="Times New Roman"/>
          <w:sz w:val="19"/>
          <w:szCs w:val="19"/>
          <w:color w:val="auto"/>
        </w:rPr>
        <w:t xml:space="preserve">” means the collective reference to letters of credit denominated in Dollars pursuant to </w:t>
      </w:r>
      <w:r>
        <w:rPr>
          <w:rFonts w:ascii="Times New Roman" w:cs="Times New Roman" w:eastAsia="Times New Roman" w:hAnsi="Times New Roman"/>
          <w:sz w:val="19"/>
          <w:szCs w:val="19"/>
          <w:u w:val="single" w:color="auto"/>
          <w:color w:val="auto"/>
        </w:rPr>
        <w:t>Section 3.1</w:t>
      </w:r>
      <w:r>
        <w:rPr>
          <w:rFonts w:ascii="Times New Roman" w:cs="Times New Roman" w:eastAsia="Times New Roman" w:hAnsi="Times New Roman"/>
          <w:sz w:val="19"/>
          <w:szCs w:val="19"/>
          <w:color w:val="auto"/>
        </w:rPr>
        <w:t xml:space="preserve"> (including</w:t>
      </w:r>
    </w:p>
    <w:p>
      <w:pPr>
        <w:spacing w:after="0" w:line="6" w:lineRule="exact"/>
        <w:rPr>
          <w:sz w:val="20"/>
          <w:szCs w:val="20"/>
          <w:color w:val="auto"/>
        </w:rPr>
      </w:pPr>
    </w:p>
    <w:p>
      <w:pPr>
        <w:jc w:val="both"/>
        <w:ind w:left="58"/>
        <w:spacing w:after="0" w:line="204" w:lineRule="auto"/>
        <w:rPr>
          <w:sz w:val="20"/>
          <w:szCs w:val="20"/>
          <w:color w:val="auto"/>
        </w:rPr>
      </w:pPr>
      <w:r>
        <w:rPr>
          <w:rFonts w:ascii="Times New Roman" w:cs="Times New Roman" w:eastAsia="Times New Roman" w:hAnsi="Times New Roman"/>
          <w:sz w:val="20"/>
          <w:szCs w:val="20"/>
          <w:color w:val="auto"/>
        </w:rPr>
        <w:t>any applicable Existing Letters of Credit). Notwithstanding anything to the contrary contained herein, a letter of credit issued by any Issuing Lender (other than Wells Fargo at any time it is also acting as Administrative Agent) shall not be a “US Letter of Credit” for</w:t>
      </w:r>
    </w:p>
    <w:p>
      <w:pPr>
        <w:spacing w:after="0" w:line="1" w:lineRule="exact"/>
        <w:rPr>
          <w:sz w:val="20"/>
          <w:szCs w:val="20"/>
          <w:color w:val="auto"/>
        </w:rPr>
      </w:pPr>
    </w:p>
    <w:p>
      <w:pPr>
        <w:jc w:val="both"/>
        <w:ind w:left="58" w:right="20"/>
        <w:spacing w:after="0" w:line="228" w:lineRule="auto"/>
        <w:rPr>
          <w:sz w:val="20"/>
          <w:szCs w:val="20"/>
          <w:color w:val="auto"/>
        </w:rPr>
      </w:pPr>
      <w:r>
        <w:rPr>
          <w:rFonts w:ascii="Times New Roman" w:cs="Times New Roman" w:eastAsia="Times New Roman" w:hAnsi="Times New Roman"/>
          <w:sz w:val="20"/>
          <w:szCs w:val="20"/>
          <w:color w:val="auto"/>
        </w:rPr>
        <w:t>purposes of the Loan Documents until such time as the Administrative Agent has been notified in writing of the issuance thereof by the applicable Issuing Lender.</w:t>
      </w:r>
    </w:p>
    <w:p>
      <w:pPr>
        <w:spacing w:after="0" w:line="189" w:lineRule="exact"/>
        <w:rPr>
          <w:sz w:val="20"/>
          <w:szCs w:val="20"/>
          <w:color w:val="auto"/>
        </w:rPr>
      </w:pPr>
    </w:p>
    <w:p>
      <w:pPr>
        <w:jc w:val="both"/>
        <w:ind w:left="58" w:right="20" w:firstLine="648"/>
        <w:spacing w:after="0" w:line="22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US Obligations</w:t>
      </w:r>
      <w:r>
        <w:rPr>
          <w:rFonts w:ascii="Times New Roman" w:cs="Times New Roman" w:eastAsia="Times New Roman" w:hAnsi="Times New Roman"/>
          <w:sz w:val="19"/>
          <w:szCs w:val="19"/>
          <w:color w:val="auto"/>
        </w:rPr>
        <w:t>” means, in each case, whether now in existence or hereafter arising: (a) the principal of and interest on (including interest accruing after the filing of any bankruptcy or similar petition) the Loans (other than the Canadian Revolving Credit Loans, the</w:t>
      </w:r>
    </w:p>
    <w:p>
      <w:pPr>
        <w:ind w:left="58"/>
        <w:spacing w:after="0" w:line="211" w:lineRule="auto"/>
        <w:rPr>
          <w:sz w:val="20"/>
          <w:szCs w:val="20"/>
          <w:color w:val="auto"/>
        </w:rPr>
      </w:pPr>
      <w:r>
        <w:rPr>
          <w:rFonts w:ascii="Times New Roman" w:cs="Times New Roman" w:eastAsia="Times New Roman" w:hAnsi="Times New Roman"/>
          <w:sz w:val="20"/>
          <w:szCs w:val="20"/>
          <w:color w:val="auto"/>
        </w:rPr>
        <w:t>Canadian Swingline Loans and, to the extent applicable, any Incremental Term Loan made to the Canadian Borrowers), (b) the US L/C</w:t>
      </w:r>
    </w:p>
    <w:p>
      <w:pPr>
        <w:spacing w:after="0" w:line="1" w:lineRule="exact"/>
        <w:rPr>
          <w:sz w:val="20"/>
          <w:szCs w:val="20"/>
          <w:color w:val="auto"/>
        </w:rPr>
      </w:pPr>
    </w:p>
    <w:p>
      <w:pPr>
        <w:jc w:val="both"/>
        <w:ind w:left="58"/>
        <w:spacing w:after="0" w:line="204" w:lineRule="auto"/>
        <w:rPr>
          <w:sz w:val="20"/>
          <w:szCs w:val="20"/>
          <w:color w:val="auto"/>
        </w:rPr>
      </w:pPr>
      <w:r>
        <w:rPr>
          <w:rFonts w:ascii="Times New Roman" w:cs="Times New Roman" w:eastAsia="Times New Roman" w:hAnsi="Times New Roman"/>
          <w:sz w:val="20"/>
          <w:szCs w:val="20"/>
          <w:color w:val="auto"/>
        </w:rPr>
        <w:t>Obligations and (c) all other fees and commissions (including attorneys’ fees), charges, indebtedness, loans, liabilities, financial accommodations, obligations, covenants and duties owing by the US Credit Parties to the Lenders, the Issuing Lenders or the</w:t>
      </w:r>
    </w:p>
    <w:p>
      <w:pPr>
        <w:ind w:left="58"/>
        <w:spacing w:after="0" w:line="223" w:lineRule="auto"/>
        <w:rPr>
          <w:sz w:val="20"/>
          <w:szCs w:val="20"/>
          <w:color w:val="auto"/>
        </w:rPr>
      </w:pPr>
      <w:r>
        <w:rPr>
          <w:rFonts w:ascii="Times New Roman" w:cs="Times New Roman" w:eastAsia="Times New Roman" w:hAnsi="Times New Roman"/>
          <w:sz w:val="19"/>
          <w:szCs w:val="19"/>
          <w:color w:val="auto"/>
        </w:rPr>
        <w:t>Administrative Agent, in each case under any Loan Document, with respect to any Loan (other than any Canadian Revolving Credit Loan,</w:t>
      </w:r>
    </w:p>
    <w:p>
      <w:pPr>
        <w:jc w:val="both"/>
        <w:ind w:left="58"/>
        <w:spacing w:after="0" w:line="204" w:lineRule="auto"/>
        <w:rPr>
          <w:sz w:val="20"/>
          <w:szCs w:val="20"/>
          <w:color w:val="auto"/>
        </w:rPr>
      </w:pPr>
      <w:r>
        <w:rPr>
          <w:rFonts w:ascii="Times New Roman" w:cs="Times New Roman" w:eastAsia="Times New Roman" w:hAnsi="Times New Roman"/>
          <w:sz w:val="20"/>
          <w:szCs w:val="20"/>
          <w:color w:val="auto"/>
        </w:rPr>
        <w:t>any Canadian Swingline Loan and, to the extent applicable, any Incremental Term Loan made to the Canadian Borrowers) or any US Letter of Credit of every kind, nature and description, direct or indirect, absolute or contingent, due or to become due, contractual or</w:t>
      </w:r>
    </w:p>
    <w:p>
      <w:pPr>
        <w:ind w:left="58"/>
        <w:spacing w:after="0" w:line="211" w:lineRule="auto"/>
        <w:rPr>
          <w:sz w:val="20"/>
          <w:szCs w:val="20"/>
          <w:color w:val="auto"/>
        </w:rPr>
      </w:pPr>
      <w:r>
        <w:rPr>
          <w:rFonts w:ascii="Times New Roman" w:cs="Times New Roman" w:eastAsia="Times New Roman" w:hAnsi="Times New Roman"/>
          <w:sz w:val="20"/>
          <w:szCs w:val="20"/>
          <w:color w:val="auto"/>
        </w:rPr>
        <w:t>tortious, liquidated or unliquidated, and whether or not evidenced by any note and including interest and fees that accrue after the</w:t>
      </w:r>
    </w:p>
    <w:p>
      <w:pPr>
        <w:spacing w:after="0" w:line="1" w:lineRule="exact"/>
        <w:rPr>
          <w:sz w:val="20"/>
          <w:szCs w:val="20"/>
          <w:color w:val="auto"/>
        </w:rPr>
      </w:pPr>
    </w:p>
    <w:p>
      <w:pPr>
        <w:jc w:val="both"/>
        <w:ind w:left="58"/>
        <w:spacing w:after="0" w:line="221" w:lineRule="auto"/>
        <w:rPr>
          <w:sz w:val="20"/>
          <w:szCs w:val="20"/>
          <w:color w:val="auto"/>
        </w:rPr>
      </w:pPr>
      <w:r>
        <w:rPr>
          <w:rFonts w:ascii="Times New Roman" w:cs="Times New Roman" w:eastAsia="Times New Roman" w:hAnsi="Times New Roman"/>
          <w:sz w:val="20"/>
          <w:szCs w:val="20"/>
          <w:color w:val="auto"/>
        </w:rPr>
        <w:t>commencement by or against any Credit Party or any Affiliate thereof of any proceeding under any Debtor Relief Laws, naming such Person as the debtor in such proceeding, regardless of whether such interest and fees are allowed claims in such proceeding.</w:t>
      </w:r>
    </w:p>
    <w:p>
      <w:pPr>
        <w:spacing w:after="0" w:line="202" w:lineRule="exact"/>
        <w:rPr>
          <w:sz w:val="20"/>
          <w:szCs w:val="20"/>
          <w:color w:val="auto"/>
        </w:rPr>
      </w:pPr>
    </w:p>
    <w:p>
      <w:pPr>
        <w:ind w:left="69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Person</w:t>
      </w:r>
      <w:r>
        <w:rPr>
          <w:rFonts w:ascii="Times New Roman" w:cs="Times New Roman" w:eastAsia="Times New Roman" w:hAnsi="Times New Roman"/>
          <w:sz w:val="20"/>
          <w:szCs w:val="20"/>
          <w:color w:val="auto"/>
        </w:rPr>
        <w:t>” means any Person that is a “United States person” as defined in Section 7701(a)(30) of the Code.</w:t>
      </w:r>
    </w:p>
    <w:p>
      <w:pPr>
        <w:spacing w:after="0" w:line="243" w:lineRule="exact"/>
        <w:rPr>
          <w:sz w:val="20"/>
          <w:szCs w:val="20"/>
          <w:color w:val="auto"/>
        </w:rPr>
      </w:pPr>
    </w:p>
    <w:p>
      <w:pPr>
        <w:jc w:val="both"/>
        <w:ind w:left="58" w:firstLine="648"/>
        <w:spacing w:after="0" w:line="21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Revolving Credit Loans</w:t>
      </w:r>
      <w:r>
        <w:rPr>
          <w:rFonts w:ascii="Times New Roman" w:cs="Times New Roman" w:eastAsia="Times New Roman" w:hAnsi="Times New Roman"/>
          <w:sz w:val="20"/>
          <w:szCs w:val="20"/>
          <w:color w:val="auto"/>
        </w:rPr>
        <w:t xml:space="preserve">” means any revolving loan denominated in Dollars made to the US Borrowers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w:t>
      </w:r>
      <w:r>
        <w:rPr>
          <w:rFonts w:ascii="Times New Roman" w:cs="Times New Roman" w:eastAsia="Times New Roman" w:hAnsi="Times New Roman"/>
          <w:sz w:val="20"/>
          <w:szCs w:val="20"/>
          <w:color w:val="auto"/>
        </w:rPr>
        <w:t>, and all such revolving loans collectively as the context requires, and shall include any Extended Revolving Credit Loans, any</w:t>
      </w:r>
    </w:p>
    <w:p>
      <w:pPr>
        <w:spacing w:after="0" w:line="1" w:lineRule="exact"/>
        <w:rPr>
          <w:sz w:val="20"/>
          <w:szCs w:val="20"/>
          <w:color w:val="auto"/>
        </w:rPr>
      </w:pPr>
    </w:p>
    <w:p>
      <w:pPr>
        <w:jc w:val="both"/>
        <w:ind w:left="58"/>
        <w:spacing w:after="0" w:line="228" w:lineRule="auto"/>
        <w:rPr>
          <w:sz w:val="20"/>
          <w:szCs w:val="20"/>
          <w:color w:val="auto"/>
        </w:rPr>
      </w:pPr>
      <w:r>
        <w:rPr>
          <w:rFonts w:ascii="Times New Roman" w:cs="Times New Roman" w:eastAsia="Times New Roman" w:hAnsi="Times New Roman"/>
          <w:sz w:val="20"/>
          <w:szCs w:val="20"/>
          <w:color w:val="auto"/>
        </w:rPr>
        <w:t>Refinancing Revolving Loans and any loans made pursuant to an Incremental Revolving Credit Facility Increase, in each case, related to such loans.</w:t>
      </w:r>
    </w:p>
    <w:p>
      <w:pPr>
        <w:spacing w:after="0" w:line="184" w:lineRule="exact"/>
        <w:rPr>
          <w:sz w:val="20"/>
          <w:szCs w:val="20"/>
          <w:color w:val="auto"/>
        </w:rPr>
      </w:pPr>
    </w:p>
    <w:p>
      <w:pPr>
        <w:ind w:left="69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Revolving Credit Note</w:t>
      </w:r>
      <w:r>
        <w:rPr>
          <w:rFonts w:ascii="Times New Roman" w:cs="Times New Roman" w:eastAsia="Times New Roman" w:hAnsi="Times New Roman"/>
          <w:sz w:val="20"/>
          <w:szCs w:val="20"/>
          <w:color w:val="auto"/>
        </w:rPr>
        <w:t>” means a promissory note made by the US Borrowers in favor of a Revolving Credit Lender</w:t>
      </w:r>
    </w:p>
    <w:p>
      <w:pPr>
        <w:jc w:val="both"/>
        <w:ind w:left="58"/>
        <w:spacing w:after="0" w:line="221" w:lineRule="auto"/>
        <w:rPr>
          <w:sz w:val="20"/>
          <w:szCs w:val="20"/>
          <w:color w:val="auto"/>
        </w:rPr>
      </w:pPr>
      <w:r>
        <w:rPr>
          <w:rFonts w:ascii="Times New Roman" w:cs="Times New Roman" w:eastAsia="Times New Roman" w:hAnsi="Times New Roman"/>
          <w:sz w:val="20"/>
          <w:szCs w:val="20"/>
          <w:color w:val="auto"/>
        </w:rPr>
        <w:t xml:space="preserve">evidencing the Revolving Credit Loans made by such Revolving Credit Lender, substantially in the form attached as </w:t>
      </w:r>
      <w:r>
        <w:rPr>
          <w:rFonts w:ascii="Times New Roman" w:cs="Times New Roman" w:eastAsia="Times New Roman" w:hAnsi="Times New Roman"/>
          <w:sz w:val="20"/>
          <w:szCs w:val="20"/>
          <w:b w:val="1"/>
          <w:bCs w:val="1"/>
          <w:i w:val="1"/>
          <w:iCs w:val="1"/>
          <w:color w:val="auto"/>
        </w:rPr>
        <w:t>Exhibit A-1</w:t>
      </w:r>
      <w:r>
        <w:rPr>
          <w:rFonts w:ascii="Times New Roman" w:cs="Times New Roman" w:eastAsia="Times New Roman" w:hAnsi="Times New Roman"/>
          <w:sz w:val="20"/>
          <w:szCs w:val="20"/>
          <w:color w:val="auto"/>
        </w:rPr>
        <w:t>, and any substitutes therefor, and any replacements, restatements, renewals or extension thereof, in whole or in part.</w:t>
      </w:r>
    </w:p>
    <w:p>
      <w:pPr>
        <w:spacing w:after="0" w:line="189" w:lineRule="exact"/>
        <w:rPr>
          <w:sz w:val="20"/>
          <w:szCs w:val="20"/>
          <w:color w:val="auto"/>
        </w:rPr>
      </w:pPr>
    </w:p>
    <w:p>
      <w:pPr>
        <w:jc w:val="both"/>
        <w:ind w:left="58" w:firstLine="648"/>
        <w:spacing w:after="0" w:line="23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Secured Obligations</w:t>
      </w:r>
      <w:r>
        <w:rPr>
          <w:rFonts w:ascii="Times New Roman" w:cs="Times New Roman" w:eastAsia="Times New Roman" w:hAnsi="Times New Roman"/>
          <w:sz w:val="20"/>
          <w:szCs w:val="20"/>
          <w:color w:val="auto"/>
        </w:rPr>
        <w:t>” means, collectively, (a) the US Obligations and (b) all existing or future payment and other obligations owing by any US Credit Party or any US Subsidiary thereof under (i) any Secured Hedge Agreement with a US Hedge Bank and (ii) any Secured Cash Management Agreement with a US Cash Management Bank.</w:t>
      </w:r>
    </w:p>
    <w:p>
      <w:pPr>
        <w:spacing w:after="0" w:line="184" w:lineRule="exact"/>
        <w:rPr>
          <w:sz w:val="20"/>
          <w:szCs w:val="20"/>
          <w:color w:val="auto"/>
        </w:rPr>
      </w:pPr>
    </w:p>
    <w:p>
      <w:pPr>
        <w:ind w:left="69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Secured Parties</w:t>
      </w:r>
      <w:r>
        <w:rPr>
          <w:rFonts w:ascii="Times New Roman" w:cs="Times New Roman" w:eastAsia="Times New Roman" w:hAnsi="Times New Roman"/>
          <w:sz w:val="20"/>
          <w:szCs w:val="20"/>
          <w:color w:val="auto"/>
        </w:rPr>
        <w:t>” means, collectively, the Administrative Agent, the Lenders, the Issuing Lenders, the US Hedge Banks, the</w:t>
      </w:r>
    </w:p>
    <w:p>
      <w:pPr>
        <w:jc w:val="both"/>
        <w:ind w:left="58"/>
        <w:spacing w:after="0" w:line="204" w:lineRule="auto"/>
        <w:rPr>
          <w:sz w:val="20"/>
          <w:szCs w:val="20"/>
          <w:color w:val="auto"/>
        </w:rPr>
      </w:pPr>
      <w:r>
        <w:rPr>
          <w:rFonts w:ascii="Times New Roman" w:cs="Times New Roman" w:eastAsia="Times New Roman" w:hAnsi="Times New Roman"/>
          <w:sz w:val="20"/>
          <w:szCs w:val="20"/>
          <w:color w:val="auto"/>
        </w:rPr>
        <w:t xml:space="preserve">US Cash Management Banks, each co-agent or sub-agent appointed by the Administrative Agent from time to time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12.5</w:t>
      </w:r>
      <w:r>
        <w:rPr>
          <w:rFonts w:ascii="Times New Roman" w:cs="Times New Roman" w:eastAsia="Times New Roman" w:hAnsi="Times New Roman"/>
          <w:sz w:val="20"/>
          <w:szCs w:val="20"/>
          <w:color w:val="auto"/>
        </w:rPr>
        <w:t>, any other holder from time to time of any US Secured Obligations and, in each case, their respective successors and permitted</w:t>
      </w:r>
    </w:p>
    <w:p>
      <w:pPr>
        <w:spacing w:after="0" w:line="1" w:lineRule="exact"/>
        <w:rPr>
          <w:sz w:val="20"/>
          <w:szCs w:val="20"/>
          <w:color w:val="auto"/>
        </w:rPr>
      </w:pPr>
    </w:p>
    <w:p>
      <w:pPr>
        <w:ind w:left="58"/>
        <w:spacing w:after="0"/>
        <w:rPr>
          <w:sz w:val="20"/>
          <w:szCs w:val="20"/>
          <w:color w:val="auto"/>
        </w:rPr>
      </w:pPr>
      <w:r>
        <w:rPr>
          <w:rFonts w:ascii="Times New Roman" w:cs="Times New Roman" w:eastAsia="Times New Roman" w:hAnsi="Times New Roman"/>
          <w:sz w:val="20"/>
          <w:szCs w:val="20"/>
          <w:color w:val="auto"/>
        </w:rPr>
        <w:t>assigns.</w:t>
      </w:r>
    </w:p>
    <w:p>
      <w:pPr>
        <w:spacing w:after="0" w:line="207" w:lineRule="exact"/>
        <w:rPr>
          <w:sz w:val="20"/>
          <w:szCs w:val="20"/>
          <w:color w:val="auto"/>
        </w:rPr>
      </w:pPr>
    </w:p>
    <w:p>
      <w:pPr>
        <w:jc w:val="both"/>
        <w:ind w:left="58"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Subsidiary</w:t>
      </w:r>
      <w:r>
        <w:rPr>
          <w:rFonts w:ascii="Times New Roman" w:cs="Times New Roman" w:eastAsia="Times New Roman" w:hAnsi="Times New Roman"/>
          <w:sz w:val="20"/>
          <w:szCs w:val="20"/>
          <w:color w:val="auto"/>
        </w:rPr>
        <w:t>” means any Subsidiary that is organized under the laws of the United States, any State thereof or the District of Columbia.</w:t>
      </w:r>
    </w:p>
    <w:p>
      <w:pPr>
        <w:spacing w:after="0" w:line="186" w:lineRule="exact"/>
        <w:rPr>
          <w:sz w:val="20"/>
          <w:szCs w:val="20"/>
          <w:color w:val="auto"/>
        </w:rPr>
      </w:pPr>
    </w:p>
    <w:p>
      <w:pPr>
        <w:jc w:val="both"/>
        <w:ind w:left="58" w:right="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Subsidiary Guarantors</w:t>
      </w:r>
      <w:r>
        <w:rPr>
          <w:rFonts w:ascii="Times New Roman" w:cs="Times New Roman" w:eastAsia="Times New Roman" w:hAnsi="Times New Roman"/>
          <w:sz w:val="20"/>
          <w:szCs w:val="20"/>
          <w:color w:val="auto"/>
        </w:rPr>
        <w:t xml:space="preserve">” means, collectively, all US Subsidiaries in existence on the Closing Date or which become parties to the US Credit Party Guaranty Agreement pursuant to </w:t>
      </w:r>
      <w:r>
        <w:rPr>
          <w:rFonts w:ascii="Times New Roman" w:cs="Times New Roman" w:eastAsia="Times New Roman" w:hAnsi="Times New Roman"/>
          <w:sz w:val="20"/>
          <w:szCs w:val="20"/>
          <w:u w:val="single" w:color="auto"/>
          <w:color w:val="auto"/>
        </w:rPr>
        <w:t>Section 8.14</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38"/>
        <w:spacing w:after="0"/>
        <w:rPr>
          <w:sz w:val="20"/>
          <w:szCs w:val="20"/>
          <w:color w:val="auto"/>
        </w:rPr>
      </w:pPr>
      <w:r>
        <w:rPr>
          <w:rFonts w:ascii="Times New Roman" w:cs="Times New Roman" w:eastAsia="Times New Roman" w:hAnsi="Times New Roman"/>
          <w:sz w:val="14"/>
          <w:szCs w:val="14"/>
          <w:color w:val="FF0000"/>
          <w:strike w:val="1"/>
        </w:rPr>
        <w:t>146960219_6</w:t>
      </w:r>
    </w:p>
    <w:p>
      <w:pPr>
        <w:ind w:left="338" w:hanging="338"/>
        <w:spacing w:after="0" w:line="229" w:lineRule="auto"/>
        <w:tabs>
          <w:tab w:leader="none" w:pos="338"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078"/>
          </w:cols>
          <w:pgMar w:left="382" w:top="1399" w:right="439" w:bottom="1440" w:gutter="0" w:footer="0" w:header="0"/>
        </w:sectPr>
      </w:pPr>
    </w:p>
    <w:bookmarkStart w:id="135" w:name="page136"/>
    <w:bookmarkEnd w:id="135"/>
    <w:p>
      <w:pPr>
        <w:spacing w:after="0" w:line="216" w:lineRule="exact"/>
        <w:rPr>
          <w:sz w:val="20"/>
          <w:szCs w:val="20"/>
          <w:color w:val="auto"/>
        </w:rPr>
      </w:pPr>
    </w:p>
    <w:p>
      <w:pPr>
        <w:jc w:val="both"/>
        <w:ind w:left="58"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Swingline Loan</w:t>
      </w:r>
      <w:r>
        <w:rPr>
          <w:rFonts w:ascii="Times New Roman" w:cs="Times New Roman" w:eastAsia="Times New Roman" w:hAnsi="Times New Roman"/>
          <w:sz w:val="20"/>
          <w:szCs w:val="20"/>
          <w:color w:val="auto"/>
        </w:rPr>
        <w:t xml:space="preserve">” means any swingline loan denominated in Dollars made by the applicable Swingline Lender to a US Borrower pursuant to </w:t>
      </w:r>
      <w:r>
        <w:rPr>
          <w:rFonts w:ascii="Times New Roman" w:cs="Times New Roman" w:eastAsia="Times New Roman" w:hAnsi="Times New Roman"/>
          <w:sz w:val="20"/>
          <w:szCs w:val="20"/>
          <w:u w:val="single" w:color="auto"/>
          <w:color w:val="auto"/>
        </w:rPr>
        <w:t>Section 2.2</w:t>
      </w:r>
      <w:r>
        <w:rPr>
          <w:rFonts w:ascii="Times New Roman" w:cs="Times New Roman" w:eastAsia="Times New Roman" w:hAnsi="Times New Roman"/>
          <w:sz w:val="20"/>
          <w:szCs w:val="20"/>
          <w:color w:val="auto"/>
        </w:rPr>
        <w:t>, and all such swingline loans collectively as the context requires.</w:t>
      </w:r>
    </w:p>
    <w:p>
      <w:pPr>
        <w:spacing w:after="0" w:line="173" w:lineRule="exact"/>
        <w:rPr>
          <w:sz w:val="20"/>
          <w:szCs w:val="20"/>
          <w:color w:val="auto"/>
        </w:rPr>
      </w:pPr>
    </w:p>
    <w:p>
      <w:pPr>
        <w:jc w:val="both"/>
        <w:ind w:left="58" w:firstLine="648"/>
        <w:spacing w:after="0" w:line="23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Swingline Note</w:t>
      </w:r>
      <w:r>
        <w:rPr>
          <w:rFonts w:ascii="Times New Roman" w:cs="Times New Roman" w:eastAsia="Times New Roman" w:hAnsi="Times New Roman"/>
          <w:sz w:val="20"/>
          <w:szCs w:val="20"/>
          <w:color w:val="auto"/>
        </w:rPr>
        <w:t xml:space="preserve">” means a promissory note made by the US Borrowers in favor of the applicable Swingline Lender evidencing the Swingline Loans made by the applicable Swingline Lender, substantially in the form attached as </w:t>
      </w:r>
      <w:r>
        <w:rPr>
          <w:rFonts w:ascii="Times New Roman" w:cs="Times New Roman" w:eastAsia="Times New Roman" w:hAnsi="Times New Roman"/>
          <w:sz w:val="20"/>
          <w:szCs w:val="20"/>
          <w:b w:val="1"/>
          <w:bCs w:val="1"/>
          <w:i w:val="1"/>
          <w:iCs w:val="1"/>
          <w:color w:val="auto"/>
        </w:rPr>
        <w:t>Exhibit A-3</w:t>
      </w:r>
      <w:r>
        <w:rPr>
          <w:rFonts w:ascii="Times New Roman" w:cs="Times New Roman" w:eastAsia="Times New Roman" w:hAnsi="Times New Roman"/>
          <w:sz w:val="20"/>
          <w:szCs w:val="20"/>
          <w:color w:val="auto"/>
        </w:rPr>
        <w:t>, and any substitutes therefor, and any replacements, restatements, renewals or extension thereof, in whole or in part.</w:t>
      </w:r>
    </w:p>
    <w:p>
      <w:pPr>
        <w:spacing w:after="0" w:line="176" w:lineRule="exact"/>
        <w:rPr>
          <w:sz w:val="20"/>
          <w:szCs w:val="20"/>
          <w:color w:val="auto"/>
        </w:rPr>
      </w:pPr>
    </w:p>
    <w:p>
      <w:pPr>
        <w:ind w:left="69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Tax Compliance Certificate</w:t>
      </w:r>
      <w:r>
        <w:rPr>
          <w:rFonts w:ascii="Times New Roman" w:cs="Times New Roman" w:eastAsia="Times New Roman" w:hAnsi="Times New Roman"/>
          <w:sz w:val="20"/>
          <w:szCs w:val="20"/>
          <w:color w:val="auto"/>
        </w:rPr>
        <w:t xml:space="preserve">” has the meaning assigned thereto in </w:t>
      </w:r>
      <w:r>
        <w:rPr>
          <w:rFonts w:ascii="Times New Roman" w:cs="Times New Roman" w:eastAsia="Times New Roman" w:hAnsi="Times New Roman"/>
          <w:sz w:val="20"/>
          <w:szCs w:val="20"/>
          <w:u w:val="single" w:color="auto"/>
          <w:color w:val="auto"/>
        </w:rPr>
        <w:t>Section 5.11(g)</w:t>
      </w:r>
      <w:r>
        <w:rPr>
          <w:rFonts w:ascii="Times New Roman" w:cs="Times New Roman" w:eastAsia="Times New Roman" w:hAnsi="Times New Roman"/>
          <w:sz w:val="20"/>
          <w:szCs w:val="20"/>
          <w:color w:val="auto"/>
        </w:rPr>
        <w:t>.</w:t>
      </w:r>
    </w:p>
    <w:p>
      <w:pPr>
        <w:spacing w:after="0" w:line="278" w:lineRule="exact"/>
        <w:rPr>
          <w:sz w:val="20"/>
          <w:szCs w:val="20"/>
          <w:color w:val="auto"/>
        </w:rPr>
      </w:pPr>
    </w:p>
    <w:p>
      <w:pPr>
        <w:ind w:left="69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Term Loan Note</w:t>
      </w:r>
      <w:r>
        <w:rPr>
          <w:rFonts w:ascii="Times New Roman" w:cs="Times New Roman" w:eastAsia="Times New Roman" w:hAnsi="Times New Roman"/>
          <w:sz w:val="20"/>
          <w:szCs w:val="20"/>
          <w:color w:val="auto"/>
        </w:rPr>
        <w:t>” means a promissory note made by the US Borrowers in favor of a Term Loan Lender evidencing the</w:t>
      </w:r>
    </w:p>
    <w:p>
      <w:pPr>
        <w:jc w:val="both"/>
        <w:ind w:left="58"/>
        <w:spacing w:after="0" w:line="221" w:lineRule="auto"/>
        <w:rPr>
          <w:sz w:val="20"/>
          <w:szCs w:val="20"/>
          <w:color w:val="auto"/>
        </w:rPr>
      </w:pPr>
      <w:r>
        <w:rPr>
          <w:rFonts w:ascii="Times New Roman" w:cs="Times New Roman" w:eastAsia="Times New Roman" w:hAnsi="Times New Roman"/>
          <w:sz w:val="20"/>
          <w:szCs w:val="20"/>
          <w:color w:val="auto"/>
        </w:rPr>
        <w:t xml:space="preserve">portion of the Term Loans made by such Term Loan Lender to the US Borrowers, substantially in the form attached as </w:t>
      </w:r>
      <w:r>
        <w:rPr>
          <w:rFonts w:ascii="Times New Roman" w:cs="Times New Roman" w:eastAsia="Times New Roman" w:hAnsi="Times New Roman"/>
          <w:sz w:val="20"/>
          <w:szCs w:val="20"/>
          <w:b w:val="1"/>
          <w:bCs w:val="1"/>
          <w:i w:val="1"/>
          <w:iCs w:val="1"/>
          <w:color w:val="auto"/>
        </w:rPr>
        <w:t>Exhibit A-5</w:t>
      </w:r>
      <w:r>
        <w:rPr>
          <w:rFonts w:ascii="Times New Roman" w:cs="Times New Roman" w:eastAsia="Times New Roman" w:hAnsi="Times New Roman"/>
          <w:sz w:val="20"/>
          <w:szCs w:val="20"/>
          <w:color w:val="auto"/>
        </w:rPr>
        <w:t>, and any substitutes therefor, and any replacements, restatements, renewals or extensions thereof, in whole or in part.</w:t>
      </w:r>
    </w:p>
    <w:p>
      <w:pPr>
        <w:spacing w:after="0" w:line="202" w:lineRule="exact"/>
        <w:rPr>
          <w:sz w:val="20"/>
          <w:szCs w:val="20"/>
          <w:color w:val="auto"/>
        </w:rPr>
      </w:pPr>
    </w:p>
    <w:p>
      <w:pPr>
        <w:jc w:val="both"/>
        <w:ind w:left="58" w:firstLine="648"/>
        <w:spacing w:after="0" w:line="21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Weighted Average Life to Maturity</w:t>
      </w:r>
      <w:r>
        <w:rPr>
          <w:rFonts w:ascii="Times New Roman" w:cs="Times New Roman" w:eastAsia="Times New Roman" w:hAnsi="Times New Roman"/>
          <w:sz w:val="20"/>
          <w:szCs w:val="20"/>
          <w:color w:val="auto"/>
        </w:rPr>
        <w:t>” means, when applied to any Indebtedness at any date, the number of years obtained by dividing: (a) the sum of the products obtained by multiplying (i) the amount of each then remaining installment, sinking fund, serial</w:t>
      </w:r>
    </w:p>
    <w:p>
      <w:pPr>
        <w:spacing w:after="0" w:line="1" w:lineRule="exact"/>
        <w:rPr>
          <w:sz w:val="20"/>
          <w:szCs w:val="20"/>
          <w:color w:val="auto"/>
        </w:rPr>
      </w:pPr>
    </w:p>
    <w:p>
      <w:pPr>
        <w:jc w:val="both"/>
        <w:ind w:left="58"/>
        <w:spacing w:after="0" w:line="204" w:lineRule="auto"/>
        <w:rPr>
          <w:sz w:val="20"/>
          <w:szCs w:val="20"/>
          <w:color w:val="auto"/>
        </w:rPr>
      </w:pPr>
      <w:r>
        <w:rPr>
          <w:rFonts w:ascii="Times New Roman" w:cs="Times New Roman" w:eastAsia="Times New Roman" w:hAnsi="Times New Roman"/>
          <w:sz w:val="20"/>
          <w:szCs w:val="20"/>
          <w:color w:val="auto"/>
        </w:rPr>
        <w:t>maturity or other required payments of principal, including payment at final maturity, in respect thereof, by (ii) the number of years (calculated to the nearest one-twelfth) that will elapse between such date and the making of such payment; by (b) the then outstanding</w:t>
      </w:r>
    </w:p>
    <w:p>
      <w:pPr>
        <w:spacing w:after="0" w:line="1" w:lineRule="exact"/>
        <w:rPr>
          <w:sz w:val="20"/>
          <w:szCs w:val="20"/>
          <w:color w:val="auto"/>
        </w:rPr>
      </w:pPr>
    </w:p>
    <w:p>
      <w:pPr>
        <w:jc w:val="both"/>
        <w:ind w:left="58"/>
        <w:spacing w:after="0" w:line="228" w:lineRule="auto"/>
        <w:rPr>
          <w:sz w:val="20"/>
          <w:szCs w:val="20"/>
          <w:color w:val="auto"/>
        </w:rPr>
      </w:pPr>
      <w:r>
        <w:rPr>
          <w:rFonts w:ascii="Times New Roman" w:cs="Times New Roman" w:eastAsia="Times New Roman" w:hAnsi="Times New Roman"/>
          <w:sz w:val="20"/>
          <w:szCs w:val="20"/>
          <w:color w:val="auto"/>
        </w:rPr>
        <w:t>principal amount of such Indebtedness, in each case of clauses (a) and (b), without giving effect to the application of any prior prepayment to such installment, sinking fund, serial maturity or other required payment of principal.</w:t>
      </w:r>
    </w:p>
    <w:p>
      <w:pPr>
        <w:spacing w:after="0" w:line="189" w:lineRule="exact"/>
        <w:rPr>
          <w:sz w:val="20"/>
          <w:szCs w:val="20"/>
          <w:color w:val="auto"/>
        </w:rPr>
      </w:pPr>
    </w:p>
    <w:p>
      <w:pPr>
        <w:ind w:left="69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Wells Fargo</w:t>
      </w:r>
      <w:r>
        <w:rPr>
          <w:rFonts w:ascii="Times New Roman" w:cs="Times New Roman" w:eastAsia="Times New Roman" w:hAnsi="Times New Roman"/>
          <w:sz w:val="20"/>
          <w:szCs w:val="20"/>
          <w:color w:val="auto"/>
        </w:rPr>
        <w:t>” means Wells Fargo Bank, National Association, a national banking association.</w:t>
      </w:r>
    </w:p>
    <w:p>
      <w:pPr>
        <w:spacing w:after="0" w:line="283" w:lineRule="exact"/>
        <w:rPr>
          <w:sz w:val="20"/>
          <w:szCs w:val="20"/>
          <w:color w:val="auto"/>
        </w:rPr>
      </w:pPr>
    </w:p>
    <w:p>
      <w:pPr>
        <w:ind w:left="698"/>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Wholly-Owned</w:t>
      </w:r>
      <w:r>
        <w:rPr>
          <w:rFonts w:ascii="Times New Roman" w:cs="Times New Roman" w:eastAsia="Times New Roman" w:hAnsi="Times New Roman"/>
          <w:sz w:val="19"/>
          <w:szCs w:val="19"/>
          <w:color w:val="auto"/>
        </w:rPr>
        <w:t>” means, with respect to a Subsidiary, that all of the Equity Interests of such Subsidiary are, directly or indirectly,</w:t>
      </w:r>
    </w:p>
    <w:p>
      <w:pPr>
        <w:spacing w:after="0" w:line="6" w:lineRule="exact"/>
        <w:rPr>
          <w:sz w:val="20"/>
          <w:szCs w:val="20"/>
          <w:color w:val="auto"/>
        </w:rPr>
      </w:pPr>
    </w:p>
    <w:p>
      <w:pPr>
        <w:jc w:val="both"/>
        <w:ind w:left="58"/>
        <w:spacing w:after="0" w:line="221" w:lineRule="auto"/>
        <w:rPr>
          <w:sz w:val="20"/>
          <w:szCs w:val="20"/>
          <w:color w:val="auto"/>
        </w:rPr>
      </w:pPr>
      <w:r>
        <w:rPr>
          <w:rFonts w:ascii="Times New Roman" w:cs="Times New Roman" w:eastAsia="Times New Roman" w:hAnsi="Times New Roman"/>
          <w:sz w:val="20"/>
          <w:szCs w:val="20"/>
          <w:color w:val="auto"/>
        </w:rPr>
        <w:t>owned or controlled by Centuri and/or one or more of its Wholly- Owned Subsidiaries (except for directors’ qualifying shares or other shares required by Applicable Law to be owned by a Person other than Centuri and/or one or more of its Wholly-Owned Subsidiaries).</w:t>
      </w:r>
    </w:p>
    <w:p>
      <w:pPr>
        <w:spacing w:after="0" w:line="189" w:lineRule="exact"/>
        <w:rPr>
          <w:sz w:val="20"/>
          <w:szCs w:val="20"/>
          <w:color w:val="auto"/>
        </w:rPr>
      </w:pPr>
    </w:p>
    <w:p>
      <w:pPr>
        <w:ind w:left="69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Withholding Agent</w:t>
      </w:r>
      <w:r>
        <w:rPr>
          <w:rFonts w:ascii="Times New Roman" w:cs="Times New Roman" w:eastAsia="Times New Roman" w:hAnsi="Times New Roman"/>
          <w:sz w:val="20"/>
          <w:szCs w:val="20"/>
          <w:color w:val="auto"/>
        </w:rPr>
        <w:t>” means any Credit Party and the Administrative Agent.</w:t>
      </w:r>
    </w:p>
    <w:p>
      <w:pPr>
        <w:spacing w:after="0" w:line="283" w:lineRule="exact"/>
        <w:rPr>
          <w:sz w:val="20"/>
          <w:szCs w:val="20"/>
          <w:color w:val="auto"/>
        </w:rPr>
      </w:pPr>
    </w:p>
    <w:p>
      <w:pPr>
        <w:jc w:val="both"/>
        <w:ind w:left="58" w:firstLine="648"/>
        <w:spacing w:after="0" w:line="23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Working Capital</w:t>
      </w:r>
      <w:r>
        <w:rPr>
          <w:rFonts w:ascii="Times New Roman" w:cs="Times New Roman" w:eastAsia="Times New Roman" w:hAnsi="Times New Roman"/>
          <w:sz w:val="19"/>
          <w:szCs w:val="19"/>
          <w:color w:val="auto"/>
        </w:rPr>
        <w:t>” means, for Centuri and its Subsidiaries on a Consolidated basis and calculated in accordance with GAAP, as of any date of determination, the excess of (a) current assets (other than cash, Cash Equivalents, taxes and deferred taxes) over (b) current</w:t>
      </w:r>
    </w:p>
    <w:p>
      <w:pPr>
        <w:spacing w:after="0" w:line="1" w:lineRule="exact"/>
        <w:rPr>
          <w:sz w:val="20"/>
          <w:szCs w:val="20"/>
          <w:color w:val="auto"/>
        </w:rPr>
      </w:pPr>
    </w:p>
    <w:p>
      <w:pPr>
        <w:jc w:val="both"/>
        <w:ind w:left="58"/>
        <w:spacing w:after="0" w:line="204" w:lineRule="auto"/>
        <w:rPr>
          <w:sz w:val="20"/>
          <w:szCs w:val="20"/>
          <w:color w:val="auto"/>
        </w:rPr>
      </w:pPr>
      <w:r>
        <w:rPr>
          <w:rFonts w:ascii="Times New Roman" w:cs="Times New Roman" w:eastAsia="Times New Roman" w:hAnsi="Times New Roman"/>
          <w:sz w:val="20"/>
          <w:szCs w:val="20"/>
          <w:color w:val="auto"/>
        </w:rPr>
        <w:t>liabilities, excluding, without duplication, (i) the current portion of any long-term Indebtedness, (ii) outstanding Revolving Credit Loans and Swingline Loans, (iii) the current portion of current taxes and deferred income taxes and (iv) the current portion of accrued</w:t>
      </w:r>
    </w:p>
    <w:p>
      <w:pPr>
        <w:spacing w:after="0" w:line="1" w:lineRule="exact"/>
        <w:rPr>
          <w:sz w:val="20"/>
          <w:szCs w:val="20"/>
          <w:color w:val="auto"/>
        </w:rPr>
      </w:pPr>
    </w:p>
    <w:p>
      <w:pPr>
        <w:ind w:left="58"/>
        <w:spacing w:after="0"/>
        <w:rPr>
          <w:sz w:val="20"/>
          <w:szCs w:val="20"/>
          <w:color w:val="auto"/>
        </w:rPr>
      </w:pPr>
      <w:r>
        <w:rPr>
          <w:rFonts w:ascii="Times New Roman" w:cs="Times New Roman" w:eastAsia="Times New Roman" w:hAnsi="Times New Roman"/>
          <w:sz w:val="20"/>
          <w:szCs w:val="20"/>
          <w:color w:val="auto"/>
        </w:rPr>
        <w:t>Consolidated Interest Expense.</w:t>
      </w:r>
    </w:p>
    <w:p>
      <w:pPr>
        <w:spacing w:after="0" w:line="188" w:lineRule="exact"/>
        <w:rPr>
          <w:sz w:val="20"/>
          <w:szCs w:val="20"/>
          <w:color w:val="auto"/>
        </w:rPr>
      </w:pPr>
    </w:p>
    <w:p>
      <w:pPr>
        <w:ind w:left="69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Write-Down and Conversion Powers</w:t>
      </w:r>
      <w:r>
        <w:rPr>
          <w:rFonts w:ascii="Times New Roman" w:cs="Times New Roman" w:eastAsia="Times New Roman" w:hAnsi="Times New Roman"/>
          <w:sz w:val="20"/>
          <w:szCs w:val="20"/>
          <w:color w:val="auto"/>
        </w:rPr>
        <w:t>” means (a) with respect to any EEA Resolution Authority, the write-down and conversion</w:t>
      </w:r>
    </w:p>
    <w:p>
      <w:pPr>
        <w:jc w:val="both"/>
        <w:ind w:left="58"/>
        <w:spacing w:after="0" w:line="204" w:lineRule="auto"/>
        <w:rPr>
          <w:sz w:val="20"/>
          <w:szCs w:val="20"/>
          <w:color w:val="auto"/>
        </w:rPr>
      </w:pPr>
      <w:r>
        <w:rPr>
          <w:rFonts w:ascii="Times New Roman" w:cs="Times New Roman" w:eastAsia="Times New Roman" w:hAnsi="Times New Roman"/>
          <w:sz w:val="20"/>
          <w:szCs w:val="20"/>
          <w:color w:val="auto"/>
        </w:rPr>
        <w:t>powers of such EEA Resolution Authority from time to time under the Bail- In Legislation for the applicable EEA Member Country, which write-down and conversion powers are described in the EU Bail-In Legislation Schedule and (b) with respect to the United</w:t>
      </w:r>
    </w:p>
    <w:p>
      <w:pPr>
        <w:ind w:left="58"/>
        <w:spacing w:after="0" w:line="223" w:lineRule="auto"/>
        <w:rPr>
          <w:sz w:val="20"/>
          <w:szCs w:val="20"/>
          <w:color w:val="auto"/>
        </w:rPr>
      </w:pPr>
      <w:r>
        <w:rPr>
          <w:rFonts w:ascii="Times New Roman" w:cs="Times New Roman" w:eastAsia="Times New Roman" w:hAnsi="Times New Roman"/>
          <w:sz w:val="19"/>
          <w:szCs w:val="19"/>
          <w:color w:val="auto"/>
        </w:rPr>
        <w:t>Kingdom, any powers of the applicable Resolution Authority under the Bail-In Legislation to cancel, reduce, modify or change the form of</w:t>
      </w:r>
    </w:p>
    <w:p>
      <w:pPr>
        <w:jc w:val="both"/>
        <w:ind w:left="58"/>
        <w:spacing w:after="0" w:line="204" w:lineRule="auto"/>
        <w:rPr>
          <w:sz w:val="20"/>
          <w:szCs w:val="20"/>
          <w:color w:val="auto"/>
        </w:rPr>
      </w:pPr>
      <w:r>
        <w:rPr>
          <w:rFonts w:ascii="Times New Roman" w:cs="Times New Roman" w:eastAsia="Times New Roman" w:hAnsi="Times New Roman"/>
          <w:sz w:val="20"/>
          <w:szCs w:val="20"/>
          <w:color w:val="auto"/>
        </w:rPr>
        <w:t>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w:t>
      </w:r>
    </w:p>
    <w:p>
      <w:pPr>
        <w:spacing w:after="0" w:line="1" w:lineRule="exact"/>
        <w:rPr>
          <w:sz w:val="20"/>
          <w:szCs w:val="20"/>
          <w:color w:val="auto"/>
        </w:rPr>
      </w:pPr>
    </w:p>
    <w:p>
      <w:pPr>
        <w:jc w:val="both"/>
        <w:ind w:left="58" w:right="20"/>
        <w:spacing w:after="0" w:line="228" w:lineRule="auto"/>
        <w:rPr>
          <w:sz w:val="20"/>
          <w:szCs w:val="20"/>
          <w:color w:val="auto"/>
        </w:rPr>
      </w:pPr>
      <w:r>
        <w:rPr>
          <w:rFonts w:ascii="Times New Roman" w:cs="Times New Roman" w:eastAsia="Times New Roman" w:hAnsi="Times New Roman"/>
          <w:sz w:val="20"/>
          <w:szCs w:val="20"/>
          <w:color w:val="auto"/>
        </w:rPr>
        <w:t>effect as if a right had been exercised under it or to suspend any obligation in respect of that liability or any of the powers under that Bail-In Legislation that are related to or ancillary to any of those powers.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38"/>
        <w:spacing w:after="0"/>
        <w:rPr>
          <w:sz w:val="20"/>
          <w:szCs w:val="20"/>
          <w:color w:val="auto"/>
        </w:rPr>
      </w:pPr>
      <w:r>
        <w:rPr>
          <w:rFonts w:ascii="Times New Roman" w:cs="Times New Roman" w:eastAsia="Times New Roman" w:hAnsi="Times New Roman"/>
          <w:sz w:val="14"/>
          <w:szCs w:val="14"/>
          <w:color w:val="FF0000"/>
          <w:strike w:val="1"/>
        </w:rPr>
        <w:t>146960219_6</w:t>
      </w:r>
    </w:p>
    <w:p>
      <w:pPr>
        <w:spacing w:after="0" w:line="4" w:lineRule="exact"/>
        <w:rPr>
          <w:sz w:val="20"/>
          <w:szCs w:val="20"/>
          <w:color w:val="auto"/>
        </w:rPr>
      </w:pPr>
    </w:p>
    <w:p>
      <w:pPr>
        <w:ind w:left="338" w:hanging="338"/>
        <w:spacing w:after="0"/>
        <w:tabs>
          <w:tab w:leader="none" w:pos="338"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078"/>
          </w:cols>
          <w:pgMar w:left="382" w:top="1440" w:right="439" w:bottom="1440" w:gutter="0" w:footer="0" w:header="0"/>
        </w:sectPr>
      </w:pPr>
    </w:p>
    <w:bookmarkStart w:id="136" w:name="page137"/>
    <w:bookmarkEnd w:id="136"/>
    <w:p>
      <w:pPr>
        <w:spacing w:after="0" w:line="203" w:lineRule="exact"/>
        <w:rPr>
          <w:sz w:val="20"/>
          <w:szCs w:val="20"/>
          <w:color w:val="auto"/>
        </w:rPr>
      </w:pPr>
    </w:p>
    <w:p>
      <w:pPr>
        <w:ind w:left="698"/>
        <w:spacing w:after="0"/>
        <w:tabs>
          <w:tab w:leader="none" w:pos="2018" w:val="left"/>
        </w:tabs>
        <w:rPr>
          <w:sz w:val="20"/>
          <w:szCs w:val="20"/>
          <w:color w:val="auto"/>
        </w:rPr>
      </w:pPr>
      <w:r>
        <w:rPr>
          <w:rFonts w:ascii="Times New Roman" w:cs="Times New Roman" w:eastAsia="Times New Roman" w:hAnsi="Times New Roman"/>
          <w:sz w:val="20"/>
          <w:szCs w:val="20"/>
          <w:color w:val="auto"/>
        </w:rPr>
        <w:t>SECTION 1.2</w:t>
      </w:r>
      <w:r>
        <w:rPr>
          <w:sz w:val="20"/>
          <w:szCs w:val="20"/>
          <w:color w:val="auto"/>
        </w:rPr>
        <w:tab/>
      </w:r>
      <w:r>
        <w:rPr>
          <w:rFonts w:ascii="Times New Roman" w:cs="Times New Roman" w:eastAsia="Times New Roman" w:hAnsi="Times New Roman"/>
          <w:sz w:val="19"/>
          <w:szCs w:val="19"/>
          <w:u w:val="single" w:color="auto"/>
          <w:color w:val="auto"/>
        </w:rPr>
        <w:t>Other Definitions and Provisions</w:t>
      </w:r>
    </w:p>
    <w:p>
      <w:pPr>
        <w:spacing w:after="0" w:line="283" w:lineRule="exact"/>
        <w:rPr>
          <w:sz w:val="20"/>
          <w:szCs w:val="20"/>
          <w:color w:val="auto"/>
        </w:rPr>
      </w:pPr>
    </w:p>
    <w:p>
      <w:pPr>
        <w:jc w:val="both"/>
        <w:ind w:left="58" w:hanging="4"/>
        <w:spacing w:after="0" w:line="207" w:lineRule="auto"/>
        <w:tabs>
          <w:tab w:leader="none" w:pos="161"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reference to this Agreement and each other Loan Document, unless otherwise specified herein or in such other Loan Document: (a) the definitions of terms herein shall apply equally to the singular and plural forms of the terms defined, (b) whenever the context may require, any pronoun shall include the corresponding masculine, feminine and neuter forms, (c) the words “include”, “includes” and “including” shall be deemed to be followed by the phrase “without limitation”, (d) the word “will” shall be construed to have the same meaning and effect as the word “shall”, (e) any reference herein to any Person shall be construed to include such Person’s successors and assigns, (f) the words “herein”, “hereof” and “hereunder”, and words of similar import, shall be construed to refer to this Agreement in its entirety and not to any particular provision hereof, (g) all references herein to Articles, Sections, Exhibits and Schedules shall be construed to refer to Articles and Sections of, and Exhibits and Schedules to, this Agreement, (h) the words “asset” and “property” shall be construed to have the same meaning and effect and to refer to any and all tangible and intangible assets and properties, including cash, securities, accounts and contract rights,</w:t>
      </w:r>
    </w:p>
    <w:p>
      <w:pPr>
        <w:spacing w:after="0" w:line="9" w:lineRule="exact"/>
        <w:rPr>
          <w:sz w:val="20"/>
          <w:szCs w:val="20"/>
          <w:color w:val="auto"/>
        </w:rPr>
      </w:pPr>
    </w:p>
    <w:p>
      <w:pPr>
        <w:jc w:val="both"/>
        <w:ind w:left="58" w:hanging="4"/>
        <w:spacing w:after="0" w:line="216" w:lineRule="auto"/>
        <w:tabs>
          <w:tab w:leader="none" w:pos="596"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 “documents” includes any and all instruments, documents, agreements, certificates, notices, reports, financial statements and other writings, however evidenced, whether in physical or electronic form and (j) in the computation of periods of time from a specified date to a later specified date, the word “from” means “from and including;” the words “to” and “until” each mean “to but excluding;” and the word “through” means “to and including”.</w:t>
      </w:r>
    </w:p>
    <w:p>
      <w:pPr>
        <w:spacing w:after="0" w:line="203" w:lineRule="exact"/>
        <w:rPr>
          <w:sz w:val="20"/>
          <w:szCs w:val="20"/>
          <w:color w:val="auto"/>
        </w:rPr>
      </w:pPr>
    </w:p>
    <w:p>
      <w:pPr>
        <w:ind w:left="698"/>
        <w:spacing w:after="0"/>
        <w:tabs>
          <w:tab w:leader="none" w:pos="2018" w:val="left"/>
        </w:tabs>
        <w:rPr>
          <w:sz w:val="20"/>
          <w:szCs w:val="20"/>
          <w:color w:val="auto"/>
        </w:rPr>
      </w:pPr>
      <w:r>
        <w:rPr>
          <w:rFonts w:ascii="Times New Roman" w:cs="Times New Roman" w:eastAsia="Times New Roman" w:hAnsi="Times New Roman"/>
          <w:sz w:val="20"/>
          <w:szCs w:val="20"/>
          <w:color w:val="auto"/>
        </w:rPr>
        <w:t>SECTION 1.3</w:t>
      </w:r>
      <w:r>
        <w:rPr>
          <w:sz w:val="20"/>
          <w:szCs w:val="20"/>
          <w:color w:val="auto"/>
        </w:rPr>
        <w:tab/>
      </w:r>
      <w:r>
        <w:rPr>
          <w:rFonts w:ascii="Times New Roman" w:cs="Times New Roman" w:eastAsia="Times New Roman" w:hAnsi="Times New Roman"/>
          <w:sz w:val="19"/>
          <w:szCs w:val="19"/>
          <w:u w:val="single" w:color="auto"/>
          <w:color w:val="auto"/>
        </w:rPr>
        <w:t>Accounting Terms</w:t>
      </w:r>
      <w:r>
        <w:rPr>
          <w:rFonts w:ascii="Times New Roman" w:cs="Times New Roman" w:eastAsia="Times New Roman" w:hAnsi="Times New Roman"/>
          <w:sz w:val="19"/>
          <w:szCs w:val="19"/>
          <w:color w:val="auto"/>
        </w:rPr>
        <w:t>.</w:t>
      </w:r>
    </w:p>
    <w:p>
      <w:pPr>
        <w:spacing w:after="0" w:line="283" w:lineRule="exact"/>
        <w:rPr>
          <w:sz w:val="20"/>
          <w:szCs w:val="20"/>
          <w:color w:val="auto"/>
        </w:rPr>
      </w:pPr>
    </w:p>
    <w:p>
      <w:pPr>
        <w:jc w:val="both"/>
        <w:ind w:left="58" w:firstLine="644"/>
        <w:spacing w:after="0" w:line="213" w:lineRule="auto"/>
        <w:tabs>
          <w:tab w:leader="none" w:pos="1241"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on a consistent basis, as in effect from time to time and in a manner consistent with that used in preparing the audited financial statements required by </w:t>
      </w:r>
      <w:r>
        <w:rPr>
          <w:rFonts w:ascii="Times New Roman" w:cs="Times New Roman" w:eastAsia="Times New Roman" w:hAnsi="Times New Roman"/>
          <w:sz w:val="20"/>
          <w:szCs w:val="20"/>
          <w:u w:val="single" w:color="auto"/>
          <w:color w:val="auto"/>
        </w:rPr>
        <w:t>Section 8.1(a)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except</w:t>
      </w:r>
      <w:r>
        <w:rPr>
          <w:rFonts w:ascii="Times New Roman" w:cs="Times New Roman" w:eastAsia="Times New Roman" w:hAnsi="Times New Roman"/>
          <w:sz w:val="20"/>
          <w:szCs w:val="20"/>
          <w:color w:val="auto"/>
        </w:rPr>
        <w:t xml:space="preserve"> as otherwise specifically prescribed herein. Notwithstanding the foregoing, for purposes of determining compliance with any covenant (including the computation of any financial covenant) contained herein, Indebtedness of the Consolidated Companies shall be deemed to be carried at 100% of the outstanding principal amount thereof, and the effects of FASB ASC 825 and FASB ASC 470-20 on financial liabilities shall be disregarded.</w:t>
      </w:r>
    </w:p>
    <w:p>
      <w:pPr>
        <w:spacing w:after="0" w:line="204" w:lineRule="exact"/>
        <w:rPr>
          <w:rFonts w:ascii="Times New Roman" w:cs="Times New Roman" w:eastAsia="Times New Roman" w:hAnsi="Times New Roman"/>
          <w:sz w:val="20"/>
          <w:szCs w:val="20"/>
          <w:color w:val="auto"/>
        </w:rPr>
      </w:pPr>
    </w:p>
    <w:p>
      <w:pPr>
        <w:jc w:val="both"/>
        <w:ind w:left="58" w:firstLine="644"/>
        <w:spacing w:after="0" w:line="211" w:lineRule="auto"/>
        <w:tabs>
          <w:tab w:leader="none" w:pos="1240"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at any time any change in GAAP would affect the computation of any financial ratio or requirement set forth in any Loan Document, and either the Borrowers or the Required Lenders shall so request, the Administrative Agent, the Lenders and the Borrowers shall negotiate in good faith to amend such ratio or requirement to preserve the original intent thereof in light of such change in GAAP (subject to the approval of the Required Lenders);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until so amended, (i) such ratio or requirement shall continue to be computed in accordance with GAAP prior to such change therein and (ii) the Borrowers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all obligations of any Person that are or would have been treated as operating leases for purposes of GAAP prior to the effectiveness of FASB ASC 842 shall continue to be accounted for as operating leases for purposes of all financial definitions and calculations for purpose of this Agreement (whether or not such operating lease obligations were in effect on such date) notwithstanding the fact that such obligations are required in accordance with FASB ASC 842 (on a prospective or retroactive basis or otherwise) to be treated as Capital Lease Obligations in the financial statements.</w:t>
      </w:r>
    </w:p>
    <w:p>
      <w:pPr>
        <w:spacing w:after="0" w:line="179" w:lineRule="exact"/>
        <w:rPr>
          <w:sz w:val="20"/>
          <w:szCs w:val="20"/>
          <w:color w:val="auto"/>
        </w:rPr>
      </w:pPr>
    </w:p>
    <w:p>
      <w:pPr>
        <w:ind w:left="698"/>
        <w:spacing w:after="0"/>
        <w:tabs>
          <w:tab w:leader="none" w:pos="2018" w:val="left"/>
        </w:tabs>
        <w:rPr>
          <w:sz w:val="20"/>
          <w:szCs w:val="20"/>
          <w:color w:val="auto"/>
        </w:rPr>
      </w:pPr>
      <w:r>
        <w:rPr>
          <w:rFonts w:ascii="Times New Roman" w:cs="Times New Roman" w:eastAsia="Times New Roman" w:hAnsi="Times New Roman"/>
          <w:sz w:val="20"/>
          <w:szCs w:val="20"/>
          <w:color w:val="auto"/>
        </w:rPr>
        <w:t>SECTION 1.4</w:t>
      </w:r>
      <w:r>
        <w:rPr>
          <w:sz w:val="20"/>
          <w:szCs w:val="20"/>
          <w:color w:val="auto"/>
        </w:rPr>
        <w:tab/>
      </w:r>
      <w:r>
        <w:rPr>
          <w:rFonts w:ascii="Times New Roman" w:cs="Times New Roman" w:eastAsia="Times New Roman" w:hAnsi="Times New Roman"/>
          <w:sz w:val="19"/>
          <w:szCs w:val="19"/>
          <w:u w:val="single" w:color="auto"/>
          <w:color w:val="auto"/>
        </w:rPr>
        <w:t>UCC and PPSA Terms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38"/>
        <w:spacing w:after="0"/>
        <w:rPr>
          <w:sz w:val="20"/>
          <w:szCs w:val="20"/>
          <w:color w:val="auto"/>
        </w:rPr>
      </w:pPr>
      <w:r>
        <w:rPr>
          <w:rFonts w:ascii="Times New Roman" w:cs="Times New Roman" w:eastAsia="Times New Roman" w:hAnsi="Times New Roman"/>
          <w:sz w:val="14"/>
          <w:szCs w:val="14"/>
          <w:color w:val="FF0000"/>
          <w:strike w:val="1"/>
        </w:rPr>
        <w:t>146960219_6</w:t>
      </w:r>
    </w:p>
    <w:p>
      <w:pPr>
        <w:spacing w:after="0" w:line="4" w:lineRule="exact"/>
        <w:rPr>
          <w:sz w:val="20"/>
          <w:szCs w:val="20"/>
          <w:color w:val="auto"/>
        </w:rPr>
      </w:pPr>
    </w:p>
    <w:p>
      <w:pPr>
        <w:ind w:left="338" w:hanging="338"/>
        <w:spacing w:after="0"/>
        <w:tabs>
          <w:tab w:leader="none" w:pos="338"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078"/>
          </w:cols>
          <w:pgMar w:left="382" w:top="1440" w:right="439" w:bottom="1440" w:gutter="0" w:footer="0" w:header="0"/>
        </w:sectPr>
      </w:pPr>
    </w:p>
    <w:bookmarkStart w:id="137" w:name="page138"/>
    <w:bookmarkEnd w:id="137"/>
    <w:p>
      <w:pPr>
        <w:jc w:val="both"/>
        <w:ind w:left="38" w:hanging="2"/>
        <w:spacing w:after="0" w:line="222" w:lineRule="auto"/>
        <w:tabs>
          <w:tab w:leader="none" w:pos="162"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Terms defined in the UCC and/or the PPSA in effect on the Closing Date and not otherwise defined herein shall, unless the context otherwise indicates, have the meanings provided in the UCC and/or the PPSA, as applicable;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any term is defined in both the UCC and the PPSA and not otherwise defined herein, such term shall have the meaning provided in the UCC. Subject to the foregoing, the term “UCC” and “PPSA” refers, as of any date of determination, to the UCC or PPSA then in effect.</w:t>
      </w:r>
    </w:p>
    <w:p>
      <w:pPr>
        <w:spacing w:after="0" w:line="189" w:lineRule="exact"/>
        <w:rPr>
          <w:sz w:val="20"/>
          <w:szCs w:val="20"/>
          <w:color w:val="auto"/>
        </w:rPr>
      </w:pPr>
    </w:p>
    <w:p>
      <w:pPr>
        <w:ind w:left="678"/>
        <w:spacing w:after="0"/>
        <w:tabs>
          <w:tab w:leader="none" w:pos="1998" w:val="left"/>
        </w:tabs>
        <w:rPr>
          <w:sz w:val="20"/>
          <w:szCs w:val="20"/>
          <w:color w:val="auto"/>
        </w:rPr>
      </w:pPr>
      <w:r>
        <w:rPr>
          <w:rFonts w:ascii="Times New Roman" w:cs="Times New Roman" w:eastAsia="Times New Roman" w:hAnsi="Times New Roman"/>
          <w:sz w:val="20"/>
          <w:szCs w:val="20"/>
          <w:color w:val="auto"/>
        </w:rPr>
        <w:t>SECTION 1.5</w:t>
      </w:r>
      <w:r>
        <w:rPr>
          <w:sz w:val="20"/>
          <w:szCs w:val="20"/>
          <w:color w:val="auto"/>
        </w:rPr>
        <w:tab/>
      </w:r>
      <w:r>
        <w:rPr>
          <w:rFonts w:ascii="Times New Roman" w:cs="Times New Roman" w:eastAsia="Times New Roman" w:hAnsi="Times New Roman"/>
          <w:sz w:val="19"/>
          <w:szCs w:val="19"/>
          <w:u w:val="single" w:color="auto"/>
          <w:color w:val="auto"/>
        </w:rPr>
        <w:t>Rounding</w:t>
      </w:r>
    </w:p>
    <w:p>
      <w:pPr>
        <w:spacing w:after="0" w:line="297" w:lineRule="exact"/>
        <w:rPr>
          <w:sz w:val="20"/>
          <w:szCs w:val="20"/>
          <w:color w:val="auto"/>
        </w:rPr>
      </w:pPr>
    </w:p>
    <w:p>
      <w:pPr>
        <w:jc w:val="both"/>
        <w:ind w:left="38" w:hanging="2"/>
        <w:spacing w:after="0" w:line="254" w:lineRule="auto"/>
        <w:tabs>
          <w:tab w:leader="none" w:pos="147"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financial ratios required to be maintained pursuant to this Agreement shall be calculated by dividing the appropriate component by the other component, carrying the result to one place more than the number of places by which such ratio or percentage is expressed herein and rounding the result up or down to the nearest number (with a rounding-up if there is no nearest number).</w:t>
      </w:r>
    </w:p>
    <w:p>
      <w:pPr>
        <w:spacing w:after="0" w:line="188" w:lineRule="exact"/>
        <w:rPr>
          <w:sz w:val="20"/>
          <w:szCs w:val="20"/>
          <w:color w:val="auto"/>
        </w:rPr>
      </w:pPr>
    </w:p>
    <w:p>
      <w:pPr>
        <w:ind w:left="678"/>
        <w:spacing w:after="0"/>
        <w:tabs>
          <w:tab w:leader="none" w:pos="1998" w:val="left"/>
        </w:tabs>
        <w:rPr>
          <w:sz w:val="20"/>
          <w:szCs w:val="20"/>
          <w:color w:val="auto"/>
        </w:rPr>
      </w:pPr>
      <w:r>
        <w:rPr>
          <w:rFonts w:ascii="Times New Roman" w:cs="Times New Roman" w:eastAsia="Times New Roman" w:hAnsi="Times New Roman"/>
          <w:sz w:val="20"/>
          <w:szCs w:val="20"/>
          <w:color w:val="auto"/>
        </w:rPr>
        <w:t>SECTION 1.6</w:t>
      </w:r>
      <w:r>
        <w:rPr>
          <w:sz w:val="20"/>
          <w:szCs w:val="20"/>
          <w:color w:val="auto"/>
        </w:rPr>
        <w:tab/>
      </w:r>
      <w:r>
        <w:rPr>
          <w:rFonts w:ascii="Times New Roman" w:cs="Times New Roman" w:eastAsia="Times New Roman" w:hAnsi="Times New Roman"/>
          <w:sz w:val="19"/>
          <w:szCs w:val="19"/>
          <w:u w:val="single" w:color="auto"/>
          <w:color w:val="auto"/>
        </w:rPr>
        <w:t>References to Agreement and Laws</w:t>
      </w:r>
    </w:p>
    <w:p>
      <w:pPr>
        <w:spacing w:after="0" w:line="283" w:lineRule="exact"/>
        <w:rPr>
          <w:sz w:val="20"/>
          <w:szCs w:val="20"/>
          <w:color w:val="auto"/>
        </w:rPr>
      </w:pPr>
    </w:p>
    <w:p>
      <w:pPr>
        <w:jc w:val="both"/>
        <w:ind w:left="38" w:hanging="2"/>
        <w:spacing w:after="0" w:line="215" w:lineRule="auto"/>
        <w:tabs>
          <w:tab w:leader="none" w:pos="154"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otherwise expressly provided herein, (a) any definition or reference to formation documents, governing documents, agreements (including the Loan Documents) and other contractual documents or instruments shall be deemed to include all subsequent amendments, restatements, extensions, supplements and other modifications thereto, but only to the extent that such amendments, restatements, extensions, supplements and other modifications are not prohibited by any Loan Document; and (b) any definition or reference to any Applicable Law, including, without limitation, the Code, the Commodity Exchange Act, ERISA, the Exchange Act, the PATRIOT Act, the Securities Act, the UCC, the PPSA, the Investment Company Act, the Interstate Commerce Act, the Trading with the Enemy Act of the United States or any of the foreign assets control regulations of the United States Treasury Department, shall include all statutory and regulatory provisions consolidating, amending, replacing, supplementing or interpreting such Applicable Law.</w:t>
      </w:r>
    </w:p>
    <w:p>
      <w:pPr>
        <w:spacing w:after="0" w:line="188" w:lineRule="exact"/>
        <w:rPr>
          <w:sz w:val="20"/>
          <w:szCs w:val="20"/>
          <w:color w:val="auto"/>
        </w:rPr>
      </w:pPr>
    </w:p>
    <w:p>
      <w:pPr>
        <w:ind w:left="678"/>
        <w:spacing w:after="0"/>
        <w:tabs>
          <w:tab w:leader="none" w:pos="1998" w:val="left"/>
        </w:tabs>
        <w:rPr>
          <w:sz w:val="20"/>
          <w:szCs w:val="20"/>
          <w:color w:val="auto"/>
        </w:rPr>
      </w:pPr>
      <w:r>
        <w:rPr>
          <w:rFonts w:ascii="Times New Roman" w:cs="Times New Roman" w:eastAsia="Times New Roman" w:hAnsi="Times New Roman"/>
          <w:sz w:val="20"/>
          <w:szCs w:val="20"/>
          <w:color w:val="auto"/>
        </w:rPr>
        <w:t>SECTION 1.7</w:t>
      </w:r>
      <w:r>
        <w:rPr>
          <w:sz w:val="20"/>
          <w:szCs w:val="20"/>
          <w:color w:val="auto"/>
        </w:rPr>
        <w:tab/>
      </w:r>
      <w:r>
        <w:rPr>
          <w:rFonts w:ascii="Times New Roman" w:cs="Times New Roman" w:eastAsia="Times New Roman" w:hAnsi="Times New Roman"/>
          <w:sz w:val="19"/>
          <w:szCs w:val="19"/>
          <w:u w:val="single" w:color="auto"/>
          <w:color w:val="auto"/>
        </w:rPr>
        <w:t>Times of Day</w:t>
      </w:r>
    </w:p>
    <w:p>
      <w:pPr>
        <w:spacing w:after="0" w:line="283" w:lineRule="exact"/>
        <w:rPr>
          <w:sz w:val="20"/>
          <w:szCs w:val="20"/>
          <w:color w:val="auto"/>
        </w:rPr>
      </w:pPr>
    </w:p>
    <w:p>
      <w:pPr>
        <w:ind w:left="38"/>
        <w:spacing w:after="0"/>
        <w:rPr>
          <w:sz w:val="20"/>
          <w:szCs w:val="20"/>
          <w:color w:val="auto"/>
        </w:rPr>
      </w:pPr>
      <w:r>
        <w:rPr>
          <w:rFonts w:ascii="Times New Roman" w:cs="Times New Roman" w:eastAsia="Times New Roman" w:hAnsi="Times New Roman"/>
          <w:sz w:val="20"/>
          <w:szCs w:val="20"/>
          <w:color w:val="auto"/>
        </w:rPr>
        <w:t>. Unless otherwise specified, all references herein to times of day shall be references to Eastern time (daylight or standard, as applicable).</w:t>
      </w:r>
    </w:p>
    <w:p>
      <w:pPr>
        <w:spacing w:after="0" w:line="243" w:lineRule="exact"/>
        <w:rPr>
          <w:sz w:val="20"/>
          <w:szCs w:val="20"/>
          <w:color w:val="auto"/>
        </w:rPr>
      </w:pPr>
    </w:p>
    <w:p>
      <w:pPr>
        <w:ind w:left="678"/>
        <w:spacing w:after="0"/>
        <w:tabs>
          <w:tab w:leader="none" w:pos="1998" w:val="left"/>
        </w:tabs>
        <w:rPr>
          <w:sz w:val="20"/>
          <w:szCs w:val="20"/>
          <w:color w:val="auto"/>
        </w:rPr>
      </w:pPr>
      <w:r>
        <w:rPr>
          <w:rFonts w:ascii="Times New Roman" w:cs="Times New Roman" w:eastAsia="Times New Roman" w:hAnsi="Times New Roman"/>
          <w:sz w:val="20"/>
          <w:szCs w:val="20"/>
          <w:color w:val="auto"/>
        </w:rPr>
        <w:t>SECTION 1.8</w:t>
      </w:r>
      <w:r>
        <w:rPr>
          <w:sz w:val="20"/>
          <w:szCs w:val="20"/>
          <w:color w:val="auto"/>
        </w:rPr>
        <w:tab/>
      </w:r>
      <w:r>
        <w:rPr>
          <w:rFonts w:ascii="Times New Roman" w:cs="Times New Roman" w:eastAsia="Times New Roman" w:hAnsi="Times New Roman"/>
          <w:sz w:val="19"/>
          <w:szCs w:val="19"/>
          <w:u w:val="single" w:color="auto"/>
          <w:color w:val="auto"/>
        </w:rPr>
        <w:t>Letter of Credit Amounts</w:t>
      </w:r>
    </w:p>
    <w:p>
      <w:pPr>
        <w:spacing w:after="0" w:line="283" w:lineRule="exact"/>
        <w:rPr>
          <w:sz w:val="20"/>
          <w:szCs w:val="20"/>
          <w:color w:val="auto"/>
        </w:rPr>
      </w:pPr>
    </w:p>
    <w:p>
      <w:pPr>
        <w:ind w:left="38"/>
        <w:spacing w:after="0"/>
        <w:rPr>
          <w:sz w:val="20"/>
          <w:szCs w:val="20"/>
          <w:color w:val="auto"/>
        </w:rPr>
      </w:pP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38" w:firstLine="646"/>
        <w:spacing w:after="0" w:line="220" w:lineRule="auto"/>
        <w:tabs>
          <w:tab w:leader="none" w:pos="1243"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otherwise specified, all references herein to the amount of a Letter of Credit at any time shall be deemed to mean the maximum face amount of such Letter of Credit after giving effect to all increases thereof contemplated by such Letter of Credit or the Letter of Credit Application therefor (at the time specified therefor in such applicable Letter of Credit or Letter of Credit Application and as such amount may be reduced by (i) any permanent reduction of such Letter of Credit or (ii) any amount which is drawn, reimbursed and no longer available under such Letter of Credit).</w:t>
      </w:r>
    </w:p>
    <w:p>
      <w:pPr>
        <w:spacing w:after="0" w:line="201" w:lineRule="exact"/>
        <w:rPr>
          <w:rFonts w:ascii="Times New Roman" w:cs="Times New Roman" w:eastAsia="Times New Roman" w:hAnsi="Times New Roman"/>
          <w:sz w:val="20"/>
          <w:szCs w:val="20"/>
          <w:color w:val="auto"/>
        </w:rPr>
      </w:pPr>
    </w:p>
    <w:p>
      <w:pPr>
        <w:ind w:left="38" w:right="20" w:firstLine="646"/>
        <w:spacing w:after="0" w:line="269" w:lineRule="auto"/>
        <w:tabs>
          <w:tab w:leader="none" w:pos="1241"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For purposes of </w:t>
      </w:r>
      <w:r>
        <w:rPr>
          <w:rFonts w:ascii="Times New Roman" w:cs="Times New Roman" w:eastAsia="Times New Roman" w:hAnsi="Times New Roman"/>
          <w:sz w:val="20"/>
          <w:szCs w:val="20"/>
          <w:u w:val="single" w:color="auto"/>
          <w:color w:val="auto"/>
        </w:rPr>
        <w:t>Articles 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III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V</w:t>
      </w:r>
      <w:r>
        <w:rPr>
          <w:rFonts w:ascii="Times New Roman" w:cs="Times New Roman" w:eastAsia="Times New Roman" w:hAnsi="Times New Roman"/>
          <w:sz w:val="20"/>
          <w:szCs w:val="20"/>
          <w:color w:val="auto"/>
        </w:rPr>
        <w:t>, the applicable outstanding amount of all Canadian Letters of Credit and Canadian L/C Obligations shall be deemed to refer to the Dollar Amount thereof.</w:t>
      </w:r>
    </w:p>
    <w:p>
      <w:pPr>
        <w:spacing w:after="0" w:line="173" w:lineRule="exact"/>
        <w:rPr>
          <w:sz w:val="20"/>
          <w:szCs w:val="20"/>
          <w:color w:val="auto"/>
        </w:rPr>
      </w:pPr>
    </w:p>
    <w:p>
      <w:pPr>
        <w:ind w:left="678"/>
        <w:spacing w:after="0"/>
        <w:tabs>
          <w:tab w:leader="none" w:pos="1998" w:val="left"/>
        </w:tabs>
        <w:rPr>
          <w:sz w:val="20"/>
          <w:szCs w:val="20"/>
          <w:color w:val="auto"/>
        </w:rPr>
      </w:pPr>
      <w:r>
        <w:rPr>
          <w:rFonts w:ascii="Times New Roman" w:cs="Times New Roman" w:eastAsia="Times New Roman" w:hAnsi="Times New Roman"/>
          <w:sz w:val="20"/>
          <w:szCs w:val="20"/>
          <w:color w:val="auto"/>
        </w:rPr>
        <w:t>SECTION 1.9</w:t>
      </w:r>
      <w:r>
        <w:rPr>
          <w:sz w:val="20"/>
          <w:szCs w:val="20"/>
          <w:color w:val="auto"/>
        </w:rPr>
        <w:tab/>
      </w:r>
      <w:r>
        <w:rPr>
          <w:rFonts w:ascii="Times New Roman" w:cs="Times New Roman" w:eastAsia="Times New Roman" w:hAnsi="Times New Roman"/>
          <w:sz w:val="19"/>
          <w:szCs w:val="19"/>
          <w:u w:val="single" w:color="auto"/>
          <w:color w:val="auto"/>
        </w:rPr>
        <w:t>Guarantees/Earn-Outs</w:t>
      </w:r>
    </w:p>
    <w:p>
      <w:pPr>
        <w:spacing w:after="0" w:line="283" w:lineRule="exact"/>
        <w:rPr>
          <w:sz w:val="20"/>
          <w:szCs w:val="20"/>
          <w:color w:val="auto"/>
        </w:rPr>
      </w:pPr>
    </w:p>
    <w:p>
      <w:pPr>
        <w:jc w:val="both"/>
        <w:ind w:left="38" w:hanging="2"/>
        <w:spacing w:after="0" w:line="230" w:lineRule="auto"/>
        <w:tabs>
          <w:tab w:leader="none" w:pos="161"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otherwise specified, (a) the amount of any Guarantee shall be the lesser of the amount of the obligations guaranteed and still outstanding and the maximum amount for which the guaranteeing Person may be liable pursuant to the terms of the instrument embodying such Guarantee and (b) the amount of any</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38"/>
        <w:spacing w:after="0"/>
        <w:rPr>
          <w:sz w:val="20"/>
          <w:szCs w:val="20"/>
          <w:color w:val="auto"/>
        </w:rPr>
      </w:pPr>
      <w:r>
        <w:rPr>
          <w:rFonts w:ascii="Times New Roman" w:cs="Times New Roman" w:eastAsia="Times New Roman" w:hAnsi="Times New Roman"/>
          <w:sz w:val="14"/>
          <w:szCs w:val="14"/>
          <w:color w:val="FF0000"/>
          <w:strike w:val="1"/>
        </w:rPr>
        <w:t>146960219_6</w:t>
      </w:r>
    </w:p>
    <w:p>
      <w:pPr>
        <w:spacing w:after="0" w:line="4" w:lineRule="exact"/>
        <w:rPr>
          <w:sz w:val="20"/>
          <w:szCs w:val="20"/>
          <w:color w:val="auto"/>
        </w:rPr>
      </w:pPr>
    </w:p>
    <w:p>
      <w:pPr>
        <w:ind w:left="338" w:hanging="338"/>
        <w:spacing w:after="0"/>
        <w:tabs>
          <w:tab w:leader="none" w:pos="338"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078"/>
          </w:cols>
          <w:pgMar w:left="382" w:top="1399" w:right="439" w:bottom="1440" w:gutter="0" w:footer="0" w:header="0"/>
        </w:sectPr>
      </w:pPr>
    </w:p>
    <w:bookmarkStart w:id="138" w:name="page139"/>
    <w:bookmarkEnd w:id="138"/>
    <w:p>
      <w:pPr>
        <w:ind w:left="58" w:right="260"/>
        <w:spacing w:after="0"/>
        <w:rPr>
          <w:sz w:val="20"/>
          <w:szCs w:val="20"/>
          <w:color w:val="auto"/>
        </w:rPr>
      </w:pPr>
      <w:r>
        <w:rPr>
          <w:rFonts w:ascii="Times New Roman" w:cs="Times New Roman" w:eastAsia="Times New Roman" w:hAnsi="Times New Roman"/>
          <w:sz w:val="20"/>
          <w:szCs w:val="20"/>
          <w:color w:val="auto"/>
        </w:rPr>
        <w:t>earn-out or similar obligation shall be the amount of such obligation as reflected on the balance sheet of such Person in accordance with GAAP.</w:t>
      </w:r>
    </w:p>
    <w:p>
      <w:pPr>
        <w:spacing w:after="0" w:line="188" w:lineRule="exact"/>
        <w:rPr>
          <w:sz w:val="20"/>
          <w:szCs w:val="20"/>
          <w:color w:val="auto"/>
        </w:rPr>
      </w:pPr>
    </w:p>
    <w:p>
      <w:pPr>
        <w:ind w:left="698"/>
        <w:spacing w:after="0"/>
        <w:tabs>
          <w:tab w:leader="none" w:pos="2118" w:val="left"/>
        </w:tabs>
        <w:rPr>
          <w:sz w:val="20"/>
          <w:szCs w:val="20"/>
          <w:color w:val="auto"/>
        </w:rPr>
      </w:pPr>
      <w:r>
        <w:rPr>
          <w:rFonts w:ascii="Times New Roman" w:cs="Times New Roman" w:eastAsia="Times New Roman" w:hAnsi="Times New Roman"/>
          <w:sz w:val="20"/>
          <w:szCs w:val="20"/>
          <w:color w:val="auto"/>
        </w:rPr>
        <w:t>SECTION 1.10</w:t>
      </w:r>
      <w:r>
        <w:rPr>
          <w:sz w:val="20"/>
          <w:szCs w:val="20"/>
          <w:color w:val="auto"/>
        </w:rPr>
        <w:tab/>
      </w:r>
      <w:r>
        <w:rPr>
          <w:rFonts w:ascii="Times New Roman" w:cs="Times New Roman" w:eastAsia="Times New Roman" w:hAnsi="Times New Roman"/>
          <w:sz w:val="19"/>
          <w:szCs w:val="19"/>
          <w:u w:val="single" w:color="auto"/>
          <w:color w:val="auto"/>
        </w:rPr>
        <w:t>Alternative Currency Matters</w:t>
      </w:r>
    </w:p>
    <w:p>
      <w:pPr>
        <w:spacing w:after="0" w:line="283" w:lineRule="exact"/>
        <w:rPr>
          <w:sz w:val="20"/>
          <w:szCs w:val="20"/>
          <w:color w:val="auto"/>
        </w:rPr>
      </w:pPr>
    </w:p>
    <w:p>
      <w:pPr>
        <w:ind w:left="58"/>
        <w:spacing w:after="0"/>
        <w:rPr>
          <w:sz w:val="20"/>
          <w:szCs w:val="20"/>
          <w:color w:val="auto"/>
        </w:rPr>
      </w:pP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58" w:firstLine="644"/>
        <w:spacing w:after="0" w:line="215" w:lineRule="auto"/>
        <w:tabs>
          <w:tab w:leader="none" w:pos="1236"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Covenant Compliance Generally</w:t>
      </w:r>
      <w:r>
        <w:rPr>
          <w:rFonts w:ascii="Times New Roman" w:cs="Times New Roman" w:eastAsia="Times New Roman" w:hAnsi="Times New Roman"/>
          <w:sz w:val="20"/>
          <w:szCs w:val="20"/>
          <w:color w:val="auto"/>
        </w:rPr>
        <w:t xml:space="preserve">. For purposes of determining compliance under </w:t>
      </w:r>
      <w:r>
        <w:rPr>
          <w:rFonts w:ascii="Times New Roman" w:cs="Times New Roman" w:eastAsia="Times New Roman" w:hAnsi="Times New Roman"/>
          <w:sz w:val="20"/>
          <w:szCs w:val="20"/>
          <w:u w:val="single" w:color="auto"/>
          <w:color w:val="auto"/>
        </w:rPr>
        <w:t>Sections 9.1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9.2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9.3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9.5</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9.6</w:t>
      </w:r>
      <w:r>
        <w:rPr>
          <w:rFonts w:ascii="Times New Roman" w:cs="Times New Roman" w:eastAsia="Times New Roman" w:hAnsi="Times New Roman"/>
          <w:sz w:val="20"/>
          <w:szCs w:val="20"/>
          <w:color w:val="auto"/>
        </w:rPr>
        <w:t xml:space="preserve">, any amount in a currency other than Dollars will be converted to Dollars in a manner consistent with that used in calculating Consolidated Net Income in the most recent annual financial statements of the Consolidated Companies delivered pursuant to </w:t>
      </w:r>
      <w:r>
        <w:rPr>
          <w:rFonts w:ascii="Times New Roman" w:cs="Times New Roman" w:eastAsia="Times New Roman" w:hAnsi="Times New Roman"/>
          <w:sz w:val="20"/>
          <w:szCs w:val="20"/>
          <w:u w:val="single" w:color="auto"/>
          <w:color w:val="auto"/>
        </w:rPr>
        <w:t>Section 8.1(a)</w:t>
      </w:r>
      <w:r>
        <w:rPr>
          <w:rFonts w:ascii="Times New Roman" w:cs="Times New Roman" w:eastAsia="Times New Roman" w:hAnsi="Times New Roman"/>
          <w:sz w:val="20"/>
          <w:szCs w:val="20"/>
          <w:color w:val="auto"/>
        </w:rPr>
        <w:t xml:space="preserve">. Notwithstanding the foregoing, for purposes of determining compliance with </w:t>
      </w:r>
      <w:r>
        <w:rPr>
          <w:rFonts w:ascii="Times New Roman" w:cs="Times New Roman" w:eastAsia="Times New Roman" w:hAnsi="Times New Roman"/>
          <w:sz w:val="20"/>
          <w:szCs w:val="20"/>
          <w:u w:val="single" w:color="auto"/>
          <w:color w:val="auto"/>
        </w:rPr>
        <w:t>Sections 9.1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9.2</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9.3</w:t>
      </w:r>
      <w:r>
        <w:rPr>
          <w:rFonts w:ascii="Times New Roman" w:cs="Times New Roman" w:eastAsia="Times New Roman" w:hAnsi="Times New Roman"/>
          <w:sz w:val="20"/>
          <w:szCs w:val="20"/>
          <w:color w:val="auto"/>
        </w:rPr>
        <w:t xml:space="preserve">, with respect to any amount of Indebtedness or Investment in a currency other than Dollars, no breach of any basket contained in such sections shall be deemed to have occurred solely as a result of changes in rates of exchange occurring after the time such Indebtedness or Investment is incurred;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 the avoidance of doubt, the foregoing provisions of this </w:t>
      </w:r>
      <w:r>
        <w:rPr>
          <w:rFonts w:ascii="Times New Roman" w:cs="Times New Roman" w:eastAsia="Times New Roman" w:hAnsi="Times New Roman"/>
          <w:sz w:val="20"/>
          <w:szCs w:val="20"/>
          <w:u w:val="single" w:color="auto"/>
          <w:color w:val="auto"/>
        </w:rPr>
        <w:t>Section 1.10</w:t>
      </w:r>
      <w:r>
        <w:rPr>
          <w:rFonts w:ascii="Times New Roman" w:cs="Times New Roman" w:eastAsia="Times New Roman" w:hAnsi="Times New Roman"/>
          <w:sz w:val="20"/>
          <w:szCs w:val="20"/>
          <w:color w:val="auto"/>
        </w:rPr>
        <w:t xml:space="preserve"> shall otherwise apply to such Sections, including with respect to determining whether any Indebtedness or Investment may be incurred at any time under such Sections.</w:t>
      </w:r>
    </w:p>
    <w:p>
      <w:pPr>
        <w:spacing w:after="0" w:line="187" w:lineRule="exact"/>
        <w:rPr>
          <w:rFonts w:ascii="Times New Roman" w:cs="Times New Roman" w:eastAsia="Times New Roman" w:hAnsi="Times New Roman"/>
          <w:sz w:val="20"/>
          <w:szCs w:val="20"/>
          <w:color w:val="auto"/>
        </w:rPr>
      </w:pPr>
    </w:p>
    <w:p>
      <w:pPr>
        <w:jc w:val="both"/>
        <w:ind w:left="58" w:firstLine="644"/>
        <w:spacing w:after="0" w:line="222" w:lineRule="auto"/>
        <w:tabs>
          <w:tab w:leader="none" w:pos="1234"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Amount of Obligations</w:t>
      </w:r>
      <w:r>
        <w:rPr>
          <w:rFonts w:ascii="Times New Roman" w:cs="Times New Roman" w:eastAsia="Times New Roman" w:hAnsi="Times New Roman"/>
          <w:sz w:val="20"/>
          <w:szCs w:val="20"/>
          <w:color w:val="auto"/>
        </w:rPr>
        <w:t>. Unless otherwise specified, for purposes of this Agreement, any determination of the amount of any outstanding Canadian Revolving Credit Loans, Canadian Swingline Loans, Incremental Term Loans denominated in Canadian Dollars or Canadian Obligations shall be based upon the Dollar Amount of such Canadian Revolving Credit Loans, Canadian Swingline Loans, Incremental Term Loans denominated in Canadian Dollars or Canadian Obligations, as the case may be.</w:t>
      </w:r>
    </w:p>
    <w:p>
      <w:pPr>
        <w:spacing w:after="0" w:line="188" w:lineRule="exact"/>
        <w:rPr>
          <w:rFonts w:ascii="Times New Roman" w:cs="Times New Roman" w:eastAsia="Times New Roman" w:hAnsi="Times New Roman"/>
          <w:sz w:val="20"/>
          <w:szCs w:val="20"/>
          <w:color w:val="auto"/>
        </w:rPr>
      </w:pPr>
    </w:p>
    <w:p>
      <w:pPr>
        <w:jc w:val="both"/>
        <w:ind w:left="58" w:firstLine="644"/>
        <w:spacing w:after="0" w:line="222" w:lineRule="auto"/>
        <w:tabs>
          <w:tab w:leader="none" w:pos="1236"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Exchange Rates</w:t>
      </w:r>
      <w:r>
        <w:rPr>
          <w:rFonts w:ascii="Times New Roman" w:cs="Times New Roman" w:eastAsia="Times New Roman" w:hAnsi="Times New Roman"/>
          <w:sz w:val="20"/>
          <w:szCs w:val="20"/>
          <w:color w:val="auto"/>
        </w:rPr>
        <w:t>. The Administrative Agent shall determine the Spot Rates as of each Revaluation Date to be used for calculating Dollar Amount of any Extensions of Credit and Revolving Credit Outstandings denominated in Canadian Dollars. Such Spot Rates shall become effective as of such Revaluation Date and shall be the Spot Rates employed in converting any amounts between the applicable currencies until the next Revaluation Date to occur.</w:t>
      </w:r>
    </w:p>
    <w:p>
      <w:pPr>
        <w:spacing w:after="0" w:line="189" w:lineRule="exact"/>
        <w:rPr>
          <w:sz w:val="20"/>
          <w:szCs w:val="20"/>
          <w:color w:val="auto"/>
        </w:rPr>
      </w:pPr>
    </w:p>
    <w:p>
      <w:pPr>
        <w:ind w:left="698"/>
        <w:spacing w:after="0"/>
        <w:tabs>
          <w:tab w:leader="none" w:pos="2098" w:val="left"/>
        </w:tabs>
        <w:rPr>
          <w:sz w:val="20"/>
          <w:szCs w:val="20"/>
          <w:color w:val="auto"/>
        </w:rPr>
      </w:pPr>
      <w:r>
        <w:rPr>
          <w:rFonts w:ascii="Times New Roman" w:cs="Times New Roman" w:eastAsia="Times New Roman" w:hAnsi="Times New Roman"/>
          <w:sz w:val="20"/>
          <w:szCs w:val="20"/>
          <w:color w:val="auto"/>
        </w:rPr>
        <w:t>SECTION 1.11</w:t>
      </w:r>
      <w:r>
        <w:rPr>
          <w:sz w:val="20"/>
          <w:szCs w:val="20"/>
          <w:color w:val="auto"/>
        </w:rPr>
        <w:tab/>
      </w:r>
      <w:r>
        <w:rPr>
          <w:rFonts w:ascii="Times New Roman" w:cs="Times New Roman" w:eastAsia="Times New Roman" w:hAnsi="Times New Roman"/>
          <w:sz w:val="19"/>
          <w:szCs w:val="19"/>
          <w:u w:val="single" w:color="auto"/>
          <w:color w:val="auto"/>
        </w:rPr>
        <w:t>Rates</w:t>
      </w:r>
    </w:p>
    <w:p>
      <w:pPr>
        <w:spacing w:after="0" w:line="297" w:lineRule="exact"/>
        <w:rPr>
          <w:sz w:val="20"/>
          <w:szCs w:val="20"/>
          <w:color w:val="auto"/>
        </w:rPr>
      </w:pPr>
    </w:p>
    <w:p>
      <w:pPr>
        <w:ind w:left="58"/>
        <w:spacing w:after="0"/>
        <w:rPr>
          <w:sz w:val="20"/>
          <w:szCs w:val="20"/>
          <w:color w:val="auto"/>
        </w:rPr>
      </w:pPr>
      <w:r>
        <w:rPr>
          <w:rFonts w:ascii="Times New Roman" w:cs="Times New Roman" w:eastAsia="Times New Roman" w:hAnsi="Times New Roman"/>
          <w:sz w:val="20"/>
          <w:szCs w:val="20"/>
          <w:color w:val="auto"/>
        </w:rPr>
        <w:t>. The interest rate on LIBOR Rate Loans and Base Rate Loans (when determined by reference to clause</w:t>
      </w:r>
    </w:p>
    <w:p>
      <w:pPr>
        <w:spacing w:after="0" w:line="8" w:lineRule="exact"/>
        <w:rPr>
          <w:sz w:val="20"/>
          <w:szCs w:val="20"/>
          <w:color w:val="auto"/>
        </w:rPr>
      </w:pPr>
    </w:p>
    <w:p>
      <w:pPr>
        <w:jc w:val="both"/>
        <w:ind w:left="58" w:hanging="4"/>
        <w:spacing w:after="0" w:line="209" w:lineRule="auto"/>
        <w:tabs>
          <w:tab w:leader="none" w:pos="588"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the definition of Base Rate) may be determined by reference to LIBOR, which is derived from the London interbank offered rate. The London interbank offered rate is intended to represent the rate at which contributing banks may obtain short-term borrowings from each other in the London interbank market. On March 5, 2021, ICE Benchmark Administration (“</w:t>
      </w:r>
      <w:r>
        <w:rPr>
          <w:rFonts w:ascii="Times New Roman" w:cs="Times New Roman" w:eastAsia="Times New Roman" w:hAnsi="Times New Roman"/>
          <w:sz w:val="20"/>
          <w:szCs w:val="20"/>
          <w:u w:val="single" w:color="auto"/>
          <w:color w:val="auto"/>
        </w:rPr>
        <w:t>IBA</w:t>
      </w:r>
      <w:r>
        <w:rPr>
          <w:rFonts w:ascii="Times New Roman" w:cs="Times New Roman" w:eastAsia="Times New Roman" w:hAnsi="Times New Roman"/>
          <w:sz w:val="20"/>
          <w:szCs w:val="20"/>
          <w:color w:val="auto"/>
        </w:rPr>
        <w:t>”), the administrator of the London interbank offered rate, and the Financial Conduct Authority (the “</w:t>
      </w:r>
      <w:r>
        <w:rPr>
          <w:rFonts w:ascii="Times New Roman" w:cs="Times New Roman" w:eastAsia="Times New Roman" w:hAnsi="Times New Roman"/>
          <w:sz w:val="20"/>
          <w:szCs w:val="20"/>
          <w:u w:val="single" w:color="auto"/>
          <w:color w:val="auto"/>
        </w:rPr>
        <w:t>FCA</w:t>
      </w:r>
      <w:r>
        <w:rPr>
          <w:rFonts w:ascii="Times New Roman" w:cs="Times New Roman" w:eastAsia="Times New Roman" w:hAnsi="Times New Roman"/>
          <w:sz w:val="20"/>
          <w:szCs w:val="20"/>
          <w:color w:val="auto"/>
        </w:rPr>
        <w:t>”), the regulatory supervisor of IBA, announced in public statements (the “</w:t>
      </w:r>
      <w:r>
        <w:rPr>
          <w:rFonts w:ascii="Times New Roman" w:cs="Times New Roman" w:eastAsia="Times New Roman" w:hAnsi="Times New Roman"/>
          <w:sz w:val="20"/>
          <w:szCs w:val="20"/>
          <w:u w:val="single" w:color="auto"/>
          <w:color w:val="auto"/>
        </w:rPr>
        <w:t>Announcements</w:t>
      </w:r>
      <w:r>
        <w:rPr>
          <w:rFonts w:ascii="Times New Roman" w:cs="Times New Roman" w:eastAsia="Times New Roman" w:hAnsi="Times New Roman"/>
          <w:sz w:val="20"/>
          <w:szCs w:val="20"/>
          <w:color w:val="auto"/>
        </w:rPr>
        <w:t>”) that the final publication or representativeness date for the London interbank offered rate for Dollars for: (a) 1-week and 2-month tenor settings will be December 31, 2021 and (b) overnight, 1-month, 3-month, 6-month and 12-month tenor settings will be June 30, 2023. No successor administrator for IBA was identified in such Announcements. As a result, it is possible that commencing immediately after such dates, the London interbank offered rate for such tenors may no longer be available or may no longer be deemed a representative reference rate upon which to determine the interest rate on LIBOR Rate Loans or Base Rate Loans (when determined by reference to clause (c) of the definition of Base Rate). There is no assurance that the dates set forth in the Announcements will not change or that IBA or the FCA will not take further action that could impact the availability, composition or characteristics of any London interbank offered rate. Public and private sector industry initiatives have been and continue, as of the date hereof, to be underway to implement new or alternative reference rates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38"/>
        <w:spacing w:after="0"/>
        <w:rPr>
          <w:sz w:val="20"/>
          <w:szCs w:val="20"/>
          <w:color w:val="auto"/>
        </w:rPr>
      </w:pPr>
      <w:r>
        <w:rPr>
          <w:rFonts w:ascii="Times New Roman" w:cs="Times New Roman" w:eastAsia="Times New Roman" w:hAnsi="Times New Roman"/>
          <w:sz w:val="14"/>
          <w:szCs w:val="14"/>
          <w:color w:val="FF0000"/>
          <w:strike w:val="1"/>
        </w:rPr>
        <w:t>146960219_6</w:t>
      </w:r>
    </w:p>
    <w:p>
      <w:pPr>
        <w:spacing w:after="0" w:line="4" w:lineRule="exact"/>
        <w:rPr>
          <w:sz w:val="20"/>
          <w:szCs w:val="20"/>
          <w:color w:val="auto"/>
        </w:rPr>
      </w:pPr>
    </w:p>
    <w:p>
      <w:pPr>
        <w:ind w:left="338" w:hanging="338"/>
        <w:spacing w:after="0"/>
        <w:tabs>
          <w:tab w:leader="none" w:pos="338"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078"/>
          </w:cols>
          <w:pgMar w:left="382" w:top="1399" w:right="439" w:bottom="1440" w:gutter="0" w:footer="0" w:header="0"/>
        </w:sectPr>
      </w:pPr>
    </w:p>
    <w:bookmarkStart w:id="139" w:name="page140"/>
    <w:bookmarkEnd w:id="139"/>
    <w:p>
      <w:pPr>
        <w:spacing w:after="0" w:line="203" w:lineRule="exact"/>
        <w:rPr>
          <w:sz w:val="20"/>
          <w:szCs w:val="20"/>
          <w:color w:val="auto"/>
        </w:rPr>
      </w:pPr>
    </w:p>
    <w:p>
      <w:pPr>
        <w:ind w:left="58" w:firstLine="40"/>
        <w:spacing w:after="0" w:line="222" w:lineRule="auto"/>
        <w:rPr>
          <w:sz w:val="20"/>
          <w:szCs w:val="20"/>
          <w:color w:val="auto"/>
        </w:rPr>
      </w:pPr>
      <w:r>
        <w:rPr>
          <w:rFonts w:ascii="Times New Roman" w:cs="Times New Roman" w:eastAsia="Times New Roman" w:hAnsi="Times New Roman"/>
          <w:sz w:val="20"/>
          <w:szCs w:val="20"/>
          <w:color w:val="auto"/>
        </w:rPr>
        <w:t xml:space="preserve">be used in place of the London interbank offered rate. In the event that the London interbank offered rate or any other then-current Benchmark is no longer available or in certain other circumstances set forth in </w:t>
      </w:r>
      <w:r>
        <w:rPr>
          <w:rFonts w:ascii="Times New Roman" w:cs="Times New Roman" w:eastAsia="Times New Roman" w:hAnsi="Times New Roman"/>
          <w:sz w:val="20"/>
          <w:szCs w:val="20"/>
          <w:u w:val="single" w:color="auto"/>
          <w:color w:val="auto"/>
        </w:rPr>
        <w:t>Section 5.8(c)</w:t>
      </w:r>
      <w:r>
        <w:rPr>
          <w:rFonts w:ascii="Times New Roman" w:cs="Times New Roman" w:eastAsia="Times New Roman" w:hAnsi="Times New Roman"/>
          <w:sz w:val="20"/>
          <w:szCs w:val="20"/>
          <w:color w:val="auto"/>
        </w:rPr>
        <w:t xml:space="preserve">, such </w:t>
      </w:r>
      <w:r>
        <w:rPr>
          <w:rFonts w:ascii="Times New Roman" w:cs="Times New Roman" w:eastAsia="Times New Roman" w:hAnsi="Times New Roman"/>
          <w:sz w:val="20"/>
          <w:szCs w:val="20"/>
          <w:u w:val="single" w:color="auto"/>
          <w:color w:val="auto"/>
        </w:rPr>
        <w:t>Section 5.8(c)</w:t>
      </w:r>
      <w:r>
        <w:rPr>
          <w:rFonts w:ascii="Times New Roman" w:cs="Times New Roman" w:eastAsia="Times New Roman" w:hAnsi="Times New Roman"/>
          <w:sz w:val="20"/>
          <w:szCs w:val="20"/>
          <w:color w:val="auto"/>
        </w:rPr>
        <w:t xml:space="preserve"> provides a mechanism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-186690</wp:posOffset>
            </wp:positionV>
            <wp:extent cx="2540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ind w:left="58"/>
        <w:spacing w:after="0" w:line="215" w:lineRule="auto"/>
        <w:rPr>
          <w:sz w:val="20"/>
          <w:szCs w:val="20"/>
          <w:color w:val="auto"/>
        </w:rPr>
      </w:pPr>
      <w:r>
        <w:rPr>
          <w:rFonts w:ascii="Times New Roman" w:cs="Times New Roman" w:eastAsia="Times New Roman" w:hAnsi="Times New Roman"/>
          <w:sz w:val="19"/>
          <w:szCs w:val="19"/>
          <w:color w:val="auto"/>
        </w:rPr>
        <w:t xml:space="preserve">for determining an alternative rate of interest. The Administrative Agent will notify Centuri, pursuant to </w:t>
      </w:r>
      <w:r>
        <w:rPr>
          <w:rFonts w:ascii="Times New Roman" w:cs="Times New Roman" w:eastAsia="Times New Roman" w:hAnsi="Times New Roman"/>
          <w:sz w:val="19"/>
          <w:szCs w:val="19"/>
          <w:u w:val="single" w:color="auto"/>
          <w:color w:val="auto"/>
        </w:rPr>
        <w:t>Section 5.8(c)</w:t>
      </w:r>
      <w:r>
        <w:rPr>
          <w:rFonts w:ascii="Times New Roman" w:cs="Times New Roman" w:eastAsia="Times New Roman" w:hAnsi="Times New Roman"/>
          <w:sz w:val="19"/>
          <w:szCs w:val="19"/>
          <w:color w:val="auto"/>
        </w:rPr>
        <w:t>, of any change to the reference rate upon which the interest rate on LIBOR Rate Loans and Base Rate Loans (when determined by reference to clause (c) of</w:t>
      </w:r>
    </w:p>
    <w:p>
      <w:pPr>
        <w:ind w:left="58"/>
        <w:spacing w:after="0" w:line="211" w:lineRule="auto"/>
        <w:rPr>
          <w:sz w:val="20"/>
          <w:szCs w:val="20"/>
          <w:color w:val="auto"/>
        </w:rPr>
      </w:pPr>
      <w:r>
        <w:rPr>
          <w:rFonts w:ascii="Times New Roman" w:cs="Times New Roman" w:eastAsia="Times New Roman" w:hAnsi="Times New Roman"/>
          <w:sz w:val="20"/>
          <w:szCs w:val="20"/>
          <w:color w:val="auto"/>
        </w:rPr>
        <w:t>the definition of Base Rate) is based. However, the Administrative Agent does not warrant or accept any responsibility for, and shall not</w:t>
      </w:r>
    </w:p>
    <w:p>
      <w:pPr>
        <w:ind w:left="58"/>
        <w:spacing w:after="0" w:line="204" w:lineRule="auto"/>
        <w:rPr>
          <w:sz w:val="20"/>
          <w:szCs w:val="20"/>
          <w:color w:val="auto"/>
        </w:rPr>
      </w:pPr>
      <w:r>
        <w:rPr>
          <w:rFonts w:ascii="Times New Roman" w:cs="Times New Roman" w:eastAsia="Times New Roman" w:hAnsi="Times New Roman"/>
          <w:sz w:val="20"/>
          <w:szCs w:val="20"/>
          <w:color w:val="auto"/>
        </w:rPr>
        <w:t xml:space="preserve">have any liability with respect to, (i) the continuation of, administration of, submission of, calculation of or any other matter related to </w:t>
      </w:r>
      <w:r>
        <w:rPr>
          <w:rFonts w:ascii="Times New Roman" w:cs="Times New Roman" w:eastAsia="Times New Roman" w:hAnsi="Times New Roman"/>
          <w:sz w:val="20"/>
          <w:szCs w:val="20"/>
          <w:u w:val="single" w:color="auto"/>
          <w:color w:val="0000FF"/>
        </w:rPr>
        <w:t>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Term SOFR Reference Rate, Adjusted Terms SOFR, Term SOFR,</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the London interbank offered rate or other rates in</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FF0000"/>
          <w:strike w:val="1"/>
        </w:rPr>
        <w:t>the</w:t>
      </w:r>
      <w:r>
        <w:rPr>
          <w:rFonts w:ascii="Times New Roman" w:cs="Times New Roman" w:eastAsia="Times New Roman" w:hAnsi="Times New Roman"/>
          <w:sz w:val="20"/>
          <w:szCs w:val="20"/>
          <w:u w:val="single" w:color="auto"/>
          <w:color w:val="0000FF"/>
        </w:rPr>
        <w:t>any such</w:t>
      </w:r>
    </w:p>
    <w:p>
      <w:pPr>
        <w:ind w:left="58"/>
        <w:spacing w:after="0" w:line="211" w:lineRule="auto"/>
        <w:rPr>
          <w:sz w:val="20"/>
          <w:szCs w:val="20"/>
          <w:color w:val="auto"/>
        </w:rPr>
      </w:pPr>
      <w:r>
        <w:rPr>
          <w:rFonts w:ascii="Times New Roman" w:cs="Times New Roman" w:eastAsia="Times New Roman" w:hAnsi="Times New Roman"/>
          <w:sz w:val="20"/>
          <w:szCs w:val="20"/>
          <w:color w:val="auto"/>
        </w:rPr>
        <w:t xml:space="preserve">definition </w:t>
      </w:r>
      <w:r>
        <w:rPr>
          <w:rFonts w:ascii="Times New Roman" w:cs="Times New Roman" w:eastAsia="Times New Roman" w:hAnsi="Times New Roman"/>
          <w:sz w:val="20"/>
          <w:szCs w:val="20"/>
          <w:color w:val="FF0000"/>
          <w:strike w:val="1"/>
        </w:rPr>
        <w:t>of “LIBOR”</w:t>
      </w:r>
      <w:r>
        <w:rPr>
          <w:rFonts w:ascii="Times New Roman" w:cs="Times New Roman" w:eastAsia="Times New Roman" w:hAnsi="Times New Roman"/>
          <w:sz w:val="20"/>
          <w:szCs w:val="20"/>
          <w:color w:val="auto"/>
        </w:rPr>
        <w:t xml:space="preserve"> or with respect to any alternative, successor or replacement rate thereto (including any then-current Benchmark or</w:t>
      </w:r>
    </w:p>
    <w:p>
      <w:pPr>
        <w:spacing w:after="0" w:line="1" w:lineRule="exact"/>
        <w:rPr>
          <w:sz w:val="20"/>
          <w:szCs w:val="20"/>
          <w:color w:val="auto"/>
        </w:rPr>
      </w:pPr>
    </w:p>
    <w:p>
      <w:pPr>
        <w:ind w:left="58"/>
        <w:spacing w:after="0" w:line="215" w:lineRule="auto"/>
        <w:rPr>
          <w:sz w:val="20"/>
          <w:szCs w:val="20"/>
          <w:color w:val="auto"/>
        </w:rPr>
      </w:pPr>
      <w:r>
        <w:rPr>
          <w:rFonts w:ascii="Times New Roman" w:cs="Times New Roman" w:eastAsia="Times New Roman" w:hAnsi="Times New Roman"/>
          <w:sz w:val="19"/>
          <w:szCs w:val="19"/>
          <w:color w:val="auto"/>
        </w:rPr>
        <w:t xml:space="preserve">any Benchmark Replacement), including whether the composition or characteristics of any such alternative, successor or replacement rate (including any Benchmark Replacement), as it may or may not be adjusted pursuant to </w:t>
      </w:r>
      <w:r>
        <w:rPr>
          <w:rFonts w:ascii="Times New Roman" w:cs="Times New Roman" w:eastAsia="Times New Roman" w:hAnsi="Times New Roman"/>
          <w:sz w:val="19"/>
          <w:szCs w:val="19"/>
          <w:u w:val="single" w:color="auto"/>
          <w:color w:val="auto"/>
        </w:rPr>
        <w:t>Section 5.8(c)</w:t>
      </w:r>
      <w:r>
        <w:rPr>
          <w:rFonts w:ascii="Times New Roman" w:cs="Times New Roman" w:eastAsia="Times New Roman" w:hAnsi="Times New Roman"/>
          <w:sz w:val="19"/>
          <w:szCs w:val="19"/>
          <w:color w:val="auto"/>
        </w:rPr>
        <w:t>, will be similar to, or produce the</w:t>
      </w:r>
    </w:p>
    <w:p>
      <w:pPr>
        <w:ind w:left="58"/>
        <w:spacing w:after="0" w:line="211" w:lineRule="auto"/>
        <w:rPr>
          <w:sz w:val="20"/>
          <w:szCs w:val="20"/>
          <w:color w:val="auto"/>
        </w:rPr>
      </w:pPr>
      <w:r>
        <w:rPr>
          <w:rFonts w:ascii="Times New Roman" w:cs="Times New Roman" w:eastAsia="Times New Roman" w:hAnsi="Times New Roman"/>
          <w:sz w:val="20"/>
          <w:szCs w:val="20"/>
          <w:color w:val="auto"/>
        </w:rPr>
        <w:t xml:space="preserve">same value or economic equivalence of, LIBOR or any other Benchmark, or have the same volume or liquidity as did </w:t>
      </w:r>
      <w:r>
        <w:rPr>
          <w:rFonts w:ascii="Times New Roman" w:cs="Times New Roman" w:eastAsia="Times New Roman" w:hAnsi="Times New Roman"/>
          <w:sz w:val="20"/>
          <w:szCs w:val="20"/>
          <w:u w:val="single" w:color="auto"/>
          <w:color w:val="0000FF"/>
        </w:rPr>
        <w:t>the Term SOFR</w:t>
      </w:r>
    </w:p>
    <w:p>
      <w:pPr>
        <w:jc w:val="both"/>
        <w:ind w:left="58"/>
        <w:spacing w:after="0" w:line="204" w:lineRule="auto"/>
        <w:rPr>
          <w:sz w:val="20"/>
          <w:szCs w:val="20"/>
          <w:color w:val="auto"/>
        </w:rPr>
      </w:pPr>
      <w:r>
        <w:rPr>
          <w:rFonts w:ascii="Times New Roman" w:cs="Times New Roman" w:eastAsia="Times New Roman" w:hAnsi="Times New Roman"/>
          <w:sz w:val="20"/>
          <w:szCs w:val="20"/>
          <w:u w:val="single" w:color="auto"/>
          <w:color w:val="0000FF"/>
        </w:rPr>
        <w:t>Reference Rate, Adjusted Term SOFR, Term SOFR or</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the London interbank offered rate or any other Benchmark prior to its</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discontinuance or unavailability, or (ii) the effect, implementation or composition of any Benchmark Replacement Conforming Changes.</w:t>
      </w:r>
    </w:p>
    <w:p>
      <w:pPr>
        <w:ind w:left="58"/>
        <w:spacing w:after="0" w:line="211" w:lineRule="auto"/>
        <w:rPr>
          <w:sz w:val="20"/>
          <w:szCs w:val="20"/>
          <w:color w:val="auto"/>
        </w:rPr>
      </w:pPr>
      <w:r>
        <w:rPr>
          <w:rFonts w:ascii="Times New Roman" w:cs="Times New Roman" w:eastAsia="Times New Roman" w:hAnsi="Times New Roman"/>
          <w:sz w:val="20"/>
          <w:szCs w:val="20"/>
          <w:color w:val="auto"/>
        </w:rPr>
        <w:t xml:space="preserve">The Administrative Agent and its Affiliates or other related entities may engage in transactions that affect the calculation of </w:t>
      </w:r>
      <w:r>
        <w:rPr>
          <w:rFonts w:ascii="Times New Roman" w:cs="Times New Roman" w:eastAsia="Times New Roman" w:hAnsi="Times New Roman"/>
          <w:sz w:val="20"/>
          <w:szCs w:val="20"/>
          <w:color w:val="FF0000"/>
          <w:strike w:val="1"/>
        </w:rPr>
        <w:t>a</w:t>
      </w:r>
      <w:r>
        <w:rPr>
          <w:rFonts w:ascii="Times New Roman" w:cs="Times New Roman" w:eastAsia="Times New Roman" w:hAnsi="Times New Roman"/>
          <w:sz w:val="20"/>
          <w:szCs w:val="20"/>
          <w:u w:val="single" w:color="auto"/>
          <w:color w:val="0000FF"/>
        </w:rPr>
        <w:t>the Term</w:t>
      </w:r>
    </w:p>
    <w:p>
      <w:pPr>
        <w:spacing w:after="0" w:line="1" w:lineRule="exact"/>
        <w:rPr>
          <w:sz w:val="20"/>
          <w:szCs w:val="20"/>
          <w:color w:val="auto"/>
        </w:rPr>
      </w:pPr>
    </w:p>
    <w:p>
      <w:pPr>
        <w:ind w:left="58"/>
        <w:spacing w:after="0" w:line="204" w:lineRule="auto"/>
        <w:rPr>
          <w:sz w:val="20"/>
          <w:szCs w:val="20"/>
          <w:color w:val="auto"/>
        </w:rPr>
      </w:pPr>
      <w:r>
        <w:rPr>
          <w:rFonts w:ascii="Times New Roman" w:cs="Times New Roman" w:eastAsia="Times New Roman" w:hAnsi="Times New Roman"/>
          <w:sz w:val="20"/>
          <w:szCs w:val="20"/>
          <w:u w:val="single" w:color="auto"/>
          <w:color w:val="0000FF"/>
        </w:rPr>
        <w:t>SOFR Reference Rate, Adjusted Term SOFR, Term SOFR, any other</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Benchmark</w:t>
      </w:r>
      <w:r>
        <w:rPr>
          <w:rFonts w:ascii="Times New Roman" w:cs="Times New Roman" w:eastAsia="Times New Roman" w:hAnsi="Times New Roman"/>
          <w:sz w:val="20"/>
          <w:szCs w:val="20"/>
          <w:color w:val="FF0000"/>
        </w:rPr>
        <w:t>,</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u w:val="single" w:color="auto"/>
          <w:color w:val="0000FF"/>
        </w:rPr>
        <w:t>or</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any alternative, successor or replacement rate</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(including any Benchmark Replacement) or any relevant adjustments thereto and such transactions may be adverse to the Borrowers. The</w:t>
      </w:r>
    </w:p>
    <w:p>
      <w:pPr>
        <w:ind w:left="58"/>
        <w:spacing w:after="0" w:line="211" w:lineRule="auto"/>
        <w:rPr>
          <w:sz w:val="20"/>
          <w:szCs w:val="20"/>
          <w:color w:val="auto"/>
        </w:rPr>
      </w:pPr>
      <w:r>
        <w:rPr>
          <w:rFonts w:ascii="Times New Roman" w:cs="Times New Roman" w:eastAsia="Times New Roman" w:hAnsi="Times New Roman"/>
          <w:sz w:val="20"/>
          <w:szCs w:val="20"/>
          <w:color w:val="auto"/>
        </w:rPr>
        <w:t xml:space="preserve">Administrative Agent may select information sources or services in its reasonable discretion to ascertain </w:t>
      </w:r>
      <w:r>
        <w:rPr>
          <w:rFonts w:ascii="Times New Roman" w:cs="Times New Roman" w:eastAsia="Times New Roman" w:hAnsi="Times New Roman"/>
          <w:sz w:val="20"/>
          <w:szCs w:val="20"/>
          <w:u w:val="single" w:color="auto"/>
          <w:color w:val="0000FF"/>
        </w:rPr>
        <w:t>the Term SOFR Reference Rate,</w:t>
      </w:r>
    </w:p>
    <w:p>
      <w:pPr>
        <w:spacing w:after="0" w:line="1" w:lineRule="exact"/>
        <w:rPr>
          <w:sz w:val="20"/>
          <w:szCs w:val="20"/>
          <w:color w:val="auto"/>
        </w:rPr>
      </w:pPr>
    </w:p>
    <w:p>
      <w:pPr>
        <w:ind w:left="58"/>
        <w:spacing w:after="0" w:line="215" w:lineRule="auto"/>
        <w:rPr>
          <w:sz w:val="20"/>
          <w:szCs w:val="20"/>
          <w:color w:val="auto"/>
        </w:rPr>
      </w:pPr>
      <w:r>
        <w:rPr>
          <w:rFonts w:ascii="Times New Roman" w:cs="Times New Roman" w:eastAsia="Times New Roman" w:hAnsi="Times New Roman"/>
          <w:sz w:val="19"/>
          <w:szCs w:val="19"/>
          <w:u w:val="single" w:color="auto"/>
          <w:color w:val="0000FF"/>
        </w:rPr>
        <w:t>Adjusted Term SOFR, Term SOFR, or</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any</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u w:val="single" w:color="auto"/>
          <w:color w:val="0000FF"/>
        </w:rPr>
        <w:t>other</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Benchmark, any component definition thereof or rates referenced in the definition</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thereof, in each case pursuant to the terms of this Agreement, and shall have no liability to the Borrowers, any Lender or any other person</w:t>
      </w:r>
    </w:p>
    <w:p>
      <w:pPr>
        <w:ind w:left="58"/>
        <w:spacing w:after="0" w:line="204" w:lineRule="auto"/>
        <w:rPr>
          <w:sz w:val="20"/>
          <w:szCs w:val="20"/>
          <w:color w:val="auto"/>
        </w:rPr>
      </w:pPr>
      <w:r>
        <w:rPr>
          <w:rFonts w:ascii="Times New Roman" w:cs="Times New Roman" w:eastAsia="Times New Roman" w:hAnsi="Times New Roman"/>
          <w:sz w:val="20"/>
          <w:szCs w:val="20"/>
          <w:color w:val="auto"/>
        </w:rPr>
        <w:t>or entity for damages of any kind, including direct or indirect, special, punitive, incidental or consequential damages, costs, losses or expenses (whether in tort, contract or otherwise and whether at law or in equity), for any error or calculation of any such rate (or</w:t>
      </w:r>
    </w:p>
    <w:p>
      <w:pPr>
        <w:spacing w:after="0" w:line="1" w:lineRule="exact"/>
        <w:rPr>
          <w:sz w:val="20"/>
          <w:szCs w:val="20"/>
          <w:color w:val="auto"/>
        </w:rPr>
      </w:pPr>
    </w:p>
    <w:p>
      <w:pPr>
        <w:ind w:left="58"/>
        <w:spacing w:after="0"/>
        <w:rPr>
          <w:sz w:val="20"/>
          <w:szCs w:val="20"/>
          <w:color w:val="auto"/>
        </w:rPr>
      </w:pPr>
      <w:r>
        <w:rPr>
          <w:rFonts w:ascii="Times New Roman" w:cs="Times New Roman" w:eastAsia="Times New Roman" w:hAnsi="Times New Roman"/>
          <w:sz w:val="20"/>
          <w:szCs w:val="20"/>
          <w:color w:val="auto"/>
        </w:rPr>
        <w:t>component thereof) provided by any such information source or service.</w:t>
      </w:r>
    </w:p>
    <w:p>
      <w:pPr>
        <w:spacing w:after="0" w:line="194" w:lineRule="exact"/>
        <w:rPr>
          <w:sz w:val="20"/>
          <w:szCs w:val="20"/>
          <w:color w:val="auto"/>
        </w:rPr>
      </w:pPr>
    </w:p>
    <w:p>
      <w:pPr>
        <w:ind w:left="698"/>
        <w:spacing w:after="0"/>
        <w:tabs>
          <w:tab w:leader="none" w:pos="2118" w:val="left"/>
        </w:tabs>
        <w:rPr>
          <w:sz w:val="20"/>
          <w:szCs w:val="20"/>
          <w:color w:val="auto"/>
        </w:rPr>
      </w:pPr>
      <w:r>
        <w:rPr>
          <w:rFonts w:ascii="Times New Roman" w:cs="Times New Roman" w:eastAsia="Times New Roman" w:hAnsi="Times New Roman"/>
          <w:sz w:val="20"/>
          <w:szCs w:val="20"/>
          <w:color w:val="auto"/>
        </w:rPr>
        <w:t>SECTION 1.12</w:t>
      </w:r>
      <w:r>
        <w:rPr>
          <w:sz w:val="20"/>
          <w:szCs w:val="20"/>
          <w:color w:val="auto"/>
        </w:rPr>
        <w:tab/>
      </w:r>
      <w:r>
        <w:rPr>
          <w:rFonts w:ascii="Times New Roman" w:cs="Times New Roman" w:eastAsia="Times New Roman" w:hAnsi="Times New Roman"/>
          <w:sz w:val="19"/>
          <w:szCs w:val="19"/>
          <w:u w:val="single" w:color="auto"/>
          <w:color w:val="auto"/>
        </w:rPr>
        <w:t>Limited Condition Acquisitions</w:t>
      </w:r>
    </w:p>
    <w:p>
      <w:pPr>
        <w:spacing w:after="0" w:line="283" w:lineRule="exact"/>
        <w:rPr>
          <w:sz w:val="20"/>
          <w:szCs w:val="20"/>
          <w:color w:val="auto"/>
        </w:rPr>
      </w:pPr>
    </w:p>
    <w:p>
      <w:pPr>
        <w:jc w:val="both"/>
        <w:ind w:left="58" w:hanging="4"/>
        <w:spacing w:after="0" w:line="234" w:lineRule="auto"/>
        <w:tabs>
          <w:tab w:leader="none" w:pos="169" w:val="left"/>
        </w:tabs>
        <w:numPr>
          <w:ilvl w:val="0"/>
          <w:numId w:val="1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the event that Centuri notifies the Administrative Agent in writing that any proposed Acquisition is a Limited Condition Acquisition and that Centuri wishes to test the conditions to such Acquisition and any Incremental Term Loan or Incremental Equivalent Indebtedness that is to be used to finance such Acquisition in accordance with this </w:t>
      </w:r>
      <w:r>
        <w:rPr>
          <w:rFonts w:ascii="Times New Roman" w:cs="Times New Roman" w:eastAsia="Times New Roman" w:hAnsi="Times New Roman"/>
          <w:sz w:val="19"/>
          <w:szCs w:val="19"/>
          <w:u w:val="single" w:color="auto"/>
          <w:color w:val="auto"/>
        </w:rPr>
        <w:t>Section 1.12</w:t>
      </w:r>
      <w:r>
        <w:rPr>
          <w:rFonts w:ascii="Times New Roman" w:cs="Times New Roman" w:eastAsia="Times New Roman" w:hAnsi="Times New Roman"/>
          <w:sz w:val="19"/>
          <w:szCs w:val="19"/>
          <w:color w:val="auto"/>
        </w:rPr>
        <w:t>, then, so long as agreed to by the Administrative Agent and the lenders providing such Incremental Term Loan or such Incremental Equivalent Indebtedness, the following provisions shall apply:</w:t>
      </w:r>
    </w:p>
    <w:p>
      <w:pPr>
        <w:spacing w:after="0" w:line="187" w:lineRule="exact"/>
        <w:rPr>
          <w:rFonts w:ascii="Times New Roman" w:cs="Times New Roman" w:eastAsia="Times New Roman" w:hAnsi="Times New Roman"/>
          <w:sz w:val="19"/>
          <w:szCs w:val="19"/>
          <w:color w:val="auto"/>
        </w:rPr>
      </w:pPr>
    </w:p>
    <w:p>
      <w:pPr>
        <w:jc w:val="both"/>
        <w:ind w:left="58" w:firstLine="644"/>
        <w:spacing w:after="0" w:line="215" w:lineRule="auto"/>
        <w:tabs>
          <w:tab w:leader="none" w:pos="1245" w:val="left"/>
        </w:tabs>
        <w:numPr>
          <w:ilvl w:val="1"/>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condition to such Limited Condition Acquisition, such Incremental Term Loan or such Incremental Equivalent Indebtedness that requires that no Default or Event of Default shall have occurred and be continuing at the time of such Limited Condition Acquisition or the incurrence of such Incremental Term Loan or Incremental Equivalent Indebtedness, shall be satisfied if (i) no Default or Event of Default shall have occurred and be continuing at the time of the execution of the definitive purchase agreement, merger agreement or other acquisition agreement governing such Limited Condition Acquisition (the “</w:t>
      </w:r>
      <w:r>
        <w:rPr>
          <w:rFonts w:ascii="Times New Roman" w:cs="Times New Roman" w:eastAsia="Times New Roman" w:hAnsi="Times New Roman"/>
          <w:sz w:val="20"/>
          <w:szCs w:val="20"/>
          <w:u w:val="single" w:color="auto"/>
          <w:color w:val="auto"/>
        </w:rPr>
        <w:t>LCA Test Date</w:t>
      </w:r>
      <w:r>
        <w:rPr>
          <w:rFonts w:ascii="Times New Roman" w:cs="Times New Roman" w:eastAsia="Times New Roman" w:hAnsi="Times New Roman"/>
          <w:sz w:val="20"/>
          <w:szCs w:val="20"/>
          <w:color w:val="auto"/>
        </w:rPr>
        <w:t xml:space="preserve">”) and (ii) no Event of Default under any of </w:t>
      </w:r>
      <w:r>
        <w:rPr>
          <w:rFonts w:ascii="Times New Roman" w:cs="Times New Roman" w:eastAsia="Times New Roman" w:hAnsi="Times New Roman"/>
          <w:sz w:val="20"/>
          <w:szCs w:val="20"/>
          <w:u w:val="single" w:color="auto"/>
          <w:color w:val="auto"/>
        </w:rPr>
        <w:t>Section 10.1(a)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10.1(b)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10.1(i)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10.1(j)</w:t>
      </w:r>
      <w:r>
        <w:rPr>
          <w:rFonts w:ascii="Times New Roman" w:cs="Times New Roman" w:eastAsia="Times New Roman" w:hAnsi="Times New Roman"/>
          <w:sz w:val="20"/>
          <w:szCs w:val="20"/>
          <w:color w:val="auto"/>
        </w:rPr>
        <w:t xml:space="preserve"> shall have occurred and be continuing both immediately before and immediately after giving effect to such Limited Condition Acquisition and any Indebtedness incurred in connection therewith (including any such additional Incremental Term Loan or Incremental Equivalent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38"/>
        <w:spacing w:after="0"/>
        <w:rPr>
          <w:sz w:val="20"/>
          <w:szCs w:val="20"/>
          <w:color w:val="auto"/>
        </w:rPr>
      </w:pPr>
      <w:r>
        <w:rPr>
          <w:rFonts w:ascii="Times New Roman" w:cs="Times New Roman" w:eastAsia="Times New Roman" w:hAnsi="Times New Roman"/>
          <w:sz w:val="14"/>
          <w:szCs w:val="14"/>
          <w:color w:val="FF0000"/>
          <w:strike w:val="1"/>
        </w:rPr>
        <w:t>146960219_6</w:t>
      </w:r>
    </w:p>
    <w:p>
      <w:pPr>
        <w:spacing w:after="0" w:line="4" w:lineRule="exact"/>
        <w:rPr>
          <w:sz w:val="20"/>
          <w:szCs w:val="20"/>
          <w:color w:val="auto"/>
        </w:rPr>
      </w:pPr>
    </w:p>
    <w:p>
      <w:pPr>
        <w:ind w:left="338" w:hanging="338"/>
        <w:spacing w:after="0"/>
        <w:tabs>
          <w:tab w:leader="none" w:pos="338"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078"/>
          </w:cols>
          <w:pgMar w:left="382" w:top="1440" w:right="439" w:bottom="1440" w:gutter="0" w:footer="0" w:header="0"/>
        </w:sectPr>
      </w:pPr>
    </w:p>
    <w:bookmarkStart w:id="140" w:name="page141"/>
    <w:bookmarkEnd w:id="140"/>
    <w:p>
      <w:pPr>
        <w:spacing w:after="0" w:line="203" w:lineRule="exact"/>
        <w:rPr>
          <w:sz w:val="20"/>
          <w:szCs w:val="20"/>
          <w:color w:val="auto"/>
        </w:rPr>
      </w:pPr>
    </w:p>
    <w:p>
      <w:pPr>
        <w:jc w:val="both"/>
        <w:ind w:left="58" w:firstLine="644"/>
        <w:spacing w:after="0" w:line="210" w:lineRule="auto"/>
        <w:tabs>
          <w:tab w:leader="none" w:pos="1235"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condition to such Limited Condition Acquisition, such Incremental Term Loan or such Incremental Equivalent Indebtedness that the representations and warranties in this Agreement and the other Loan Documents shall be true and correct at the time of consummation of such Limited Condition Acquisition or the incurrence of such Incremental Term Loan or Incremental Equivalent Indebtedness shall be deemed satisfied if (i) all representations and warranties in this Agreement and the other Loan Documents are true and correct in all material respects (except for any representation and warranty that is qualified by materiality or reference to Material Adverse Effect, which such representation and warranty shall be true and correct in all respects) as of the LCA Test Date, or if such representation speaks as of an earlier date, as of such earlier date and (ii) as of the date of consummation of such Limited Condition Acquisition, (A) the representations and warranties under the relevant definitive agreement governing such Limited Condition Acquisition as are material to the lenders providing such Incremental Term Loan or Incremental Equivalent Indebtedness shall be true and correct, but only to the extent that Centuri or its applicable Subsidiary has the right to terminate its obligations under such agreement or otherwise decline to close such Limited Condition Acquisition as a result of a breach of such representations and warranties or the failure of those representations and warranties to be true and correct and (B) certain of the representations and warranties in this Agreement and the other Loan Documents which are customary for similar “funds certain” financings and required by the lenders providing such Incremental Term Loan or Incremental Equivalent Indebtedness shall be true and correct in all material respects (except for any representation and warranty that is qualified by materiality or reference to Material Adverse Effect, which such representation and warranty shall be true and correct in all respects);</w:t>
      </w:r>
    </w:p>
    <w:p>
      <w:pPr>
        <w:spacing w:after="0" w:line="195" w:lineRule="exact"/>
        <w:rPr>
          <w:rFonts w:ascii="Times New Roman" w:cs="Times New Roman" w:eastAsia="Times New Roman" w:hAnsi="Times New Roman"/>
          <w:sz w:val="20"/>
          <w:szCs w:val="20"/>
          <w:color w:val="auto"/>
        </w:rPr>
      </w:pPr>
    </w:p>
    <w:p>
      <w:pPr>
        <w:jc w:val="both"/>
        <w:ind w:left="58" w:firstLine="644"/>
        <w:spacing w:after="0" w:line="212" w:lineRule="auto"/>
        <w:tabs>
          <w:tab w:leader="none" w:pos="1235"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financial ratio test or condition to be tested in connection with such Limited Condition Acquisition and the availability of such Incremental Term Loan or Incremental Equivalent Indebtedness will be tested as of the LCA Test Date, in each case, after giving effect to the relevant Limited Condition Acquisition and related incurrence of Incremental Term Loan or Incremental Equivalent Indebtedness, on a Pro Forma Basis where applicable, and, for the avoidance of doubt, (i) such ratios and baskets shall not be tested at the time of consummation of such Limited Condition Acquisition and (ii) if any of such ratios are exceeded or conditions are not met following the LCA Test Date, but prior to the closing of such Limited Condition Acquisition, as a result of fluctuations in such ratio or amount (including due to fluctuations in Consolidated EBITDA of Centuri or the Person subject to such Limited Condition Acquisition), at or prior to the consummation of the relevant transaction or action, such ratios will not be deemed to have been exceeded and such conditions will not be deemed unmet as a result of such fluctuations solely for purposes of determining whether the relevant transaction or action is permitted to be consummated or taken;</w:t>
      </w:r>
    </w:p>
    <w:p>
      <w:pPr>
        <w:spacing w:after="0" w:line="196" w:lineRule="exact"/>
        <w:rPr>
          <w:rFonts w:ascii="Times New Roman" w:cs="Times New Roman" w:eastAsia="Times New Roman" w:hAnsi="Times New Roman"/>
          <w:sz w:val="20"/>
          <w:szCs w:val="20"/>
          <w:color w:val="auto"/>
        </w:rPr>
      </w:pPr>
    </w:p>
    <w:p>
      <w:pPr>
        <w:jc w:val="both"/>
        <w:ind w:left="58" w:firstLine="644"/>
        <w:spacing w:after="0" w:line="211" w:lineRule="auto"/>
        <w:tabs>
          <w:tab w:leader="none" w:pos="1237"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provided in the next sentence, in connection with any subsequent calculation of any ratio or basket on or following the relevant LCA Test Date and prior to the earlier of the date on which such Limited Condition Acquisition is consummated and the date that the definitive agreement for such Limited Condition Acquisition is terminated or expires without consummation of such Limited Condition Acquisition, any such ratio or basket shall be calculated on a Pro Forma Basis assuming such Limited Condition Acquisition and other transactions in connection therewith (including the incurrence or assumption of the applicable Incremental Term Loan, Incremental Equivalent Indebtedness or any other applicable Indebtedness) have been consummated;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calculation of any such ratio or basket under </w:t>
      </w:r>
      <w:r>
        <w:rPr>
          <w:rFonts w:ascii="Times New Roman" w:cs="Times New Roman" w:eastAsia="Times New Roman" w:hAnsi="Times New Roman"/>
          <w:sz w:val="20"/>
          <w:szCs w:val="20"/>
          <w:u w:val="single" w:color="auto"/>
          <w:color w:val="auto"/>
        </w:rPr>
        <w:t>Section 9.6</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9.9</w:t>
      </w:r>
      <w:r>
        <w:rPr>
          <w:rFonts w:ascii="Times New Roman" w:cs="Times New Roman" w:eastAsia="Times New Roman" w:hAnsi="Times New Roman"/>
          <w:sz w:val="20"/>
          <w:szCs w:val="20"/>
          <w:color w:val="auto"/>
        </w:rPr>
        <w:t xml:space="preserve"> shall be calculated (i) on a Pro Forma Basis assuming such Limited Condition Acquisition and other transactions in connection therewith (including the incurrence or assumption of the applicable Incremental Term Loan, Incremental Equivalent Indebtedness or any other applicable Indebtedness) have been consummated and (ii) assuming such Limited Condition Acquisition and other transactions in connection therewith (including the incurrence or assumption of the applicable Incremental Term Loan, Incremental Equivalent Indebtedness or any other applicable Indebtedness) have not been consummated. Notwithstanding the foregoing, any calculation of a ratio in connection with determining the Applicable Margin and determining whether or not the Borrower is in compliance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338"/>
        <w:spacing w:after="0"/>
        <w:rPr>
          <w:sz w:val="20"/>
          <w:szCs w:val="20"/>
          <w:color w:val="auto"/>
        </w:rPr>
      </w:pPr>
      <w:r>
        <w:rPr>
          <w:rFonts w:ascii="Times New Roman" w:cs="Times New Roman" w:eastAsia="Times New Roman" w:hAnsi="Times New Roman"/>
          <w:sz w:val="14"/>
          <w:szCs w:val="14"/>
          <w:color w:val="FF0000"/>
          <w:strike w:val="1"/>
        </w:rPr>
        <w:t>146960219_6</w:t>
      </w:r>
    </w:p>
    <w:p>
      <w:pPr>
        <w:spacing w:after="0" w:line="4" w:lineRule="exact"/>
        <w:rPr>
          <w:sz w:val="20"/>
          <w:szCs w:val="20"/>
          <w:color w:val="auto"/>
        </w:rPr>
      </w:pPr>
    </w:p>
    <w:p>
      <w:pPr>
        <w:ind w:left="338" w:hanging="338"/>
        <w:spacing w:after="0"/>
        <w:tabs>
          <w:tab w:leader="none" w:pos="338"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078"/>
          </w:cols>
          <w:pgMar w:left="382" w:top="1440" w:right="439" w:bottom="1440" w:gutter="0" w:footer="0" w:header="0"/>
        </w:sectPr>
      </w:pPr>
    </w:p>
    <w:bookmarkStart w:id="141" w:name="page142"/>
    <w:bookmarkEnd w:id="141"/>
    <w:p>
      <w:pPr>
        <w:spacing w:after="0" w:line="1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 xml:space="preserve">financial covenants set forth in </w:t>
      </w:r>
      <w:r>
        <w:rPr>
          <w:rFonts w:ascii="Times New Roman" w:cs="Times New Roman" w:eastAsia="Times New Roman" w:hAnsi="Times New Roman"/>
          <w:sz w:val="20"/>
          <w:szCs w:val="20"/>
          <w:u w:val="single" w:color="auto"/>
          <w:color w:val="auto"/>
        </w:rPr>
        <w:t>Section 9.13</w:t>
      </w:r>
      <w:r>
        <w:rPr>
          <w:rFonts w:ascii="Times New Roman" w:cs="Times New Roman" w:eastAsia="Times New Roman" w:hAnsi="Times New Roman"/>
          <w:sz w:val="20"/>
          <w:szCs w:val="20"/>
          <w:color w:val="auto"/>
        </w:rPr>
        <w:t xml:space="preserve"> shall, in each case be calculated assuming such Limited Condition Acquisition and other</w:t>
      </w:r>
    </w:p>
    <w:p>
      <w:pPr>
        <w:ind w:left="60"/>
        <w:spacing w:after="0" w:line="204" w:lineRule="auto"/>
        <w:rPr>
          <w:sz w:val="20"/>
          <w:szCs w:val="20"/>
          <w:color w:val="auto"/>
        </w:rPr>
      </w:pPr>
      <w:r>
        <w:rPr>
          <w:rFonts w:ascii="Times New Roman" w:cs="Times New Roman" w:eastAsia="Times New Roman" w:hAnsi="Times New Roman"/>
          <w:sz w:val="20"/>
          <w:szCs w:val="20"/>
          <w:color w:val="auto"/>
        </w:rPr>
        <w:t>transactions in connection therewith (including the incurrence or assumption of the applicable Incremental Term Loan, Incremental Equivalent Indebtedness or any other applicable Indebtedness to be incurred or assumed in connection with such Acquisition) have not</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been consummated.</w:t>
      </w:r>
    </w:p>
    <w:p>
      <w:pPr>
        <w:spacing w:after="0" w:line="194" w:lineRule="exact"/>
        <w:rPr>
          <w:sz w:val="20"/>
          <w:szCs w:val="20"/>
          <w:color w:val="auto"/>
        </w:rPr>
      </w:pPr>
    </w:p>
    <w:p>
      <w:pPr>
        <w:ind w:left="60" w:right="60" w:firstLine="648"/>
        <w:spacing w:after="0"/>
        <w:rPr>
          <w:sz w:val="20"/>
          <w:szCs w:val="20"/>
          <w:color w:val="auto"/>
        </w:rPr>
      </w:pPr>
      <w:r>
        <w:rPr>
          <w:rFonts w:ascii="Times New Roman" w:cs="Times New Roman" w:eastAsia="Times New Roman" w:hAnsi="Times New Roman"/>
          <w:sz w:val="20"/>
          <w:szCs w:val="20"/>
          <w:color w:val="auto"/>
        </w:rPr>
        <w:t>The foregoing provisions shall apply with similar effect during the pendency of multiple Limited Condition Acquisitions such that each of the possible scenarios is separately tested.</w:t>
      </w:r>
    </w:p>
    <w:p>
      <w:pPr>
        <w:spacing w:after="0" w:line="188" w:lineRule="exact"/>
        <w:rPr>
          <w:sz w:val="20"/>
          <w:szCs w:val="20"/>
          <w:color w:val="auto"/>
        </w:rPr>
      </w:pPr>
    </w:p>
    <w:p>
      <w:pPr>
        <w:ind w:left="700"/>
        <w:spacing w:after="0"/>
        <w:tabs>
          <w:tab w:leader="none" w:pos="2120" w:val="left"/>
        </w:tabs>
        <w:rPr>
          <w:sz w:val="20"/>
          <w:szCs w:val="20"/>
          <w:color w:val="auto"/>
        </w:rPr>
      </w:pPr>
      <w:r>
        <w:rPr>
          <w:rFonts w:ascii="Times New Roman" w:cs="Times New Roman" w:eastAsia="Times New Roman" w:hAnsi="Times New Roman"/>
          <w:sz w:val="20"/>
          <w:szCs w:val="20"/>
          <w:color w:val="auto"/>
        </w:rPr>
        <w:t>SECTION 1.13</w:t>
      </w:r>
      <w:r>
        <w:rPr>
          <w:sz w:val="20"/>
          <w:szCs w:val="20"/>
          <w:color w:val="auto"/>
        </w:rPr>
        <w:tab/>
      </w:r>
      <w:r>
        <w:rPr>
          <w:rFonts w:ascii="Times New Roman" w:cs="Times New Roman" w:eastAsia="Times New Roman" w:hAnsi="Times New Roman"/>
          <w:sz w:val="19"/>
          <w:szCs w:val="19"/>
          <w:u w:val="single" w:color="auto"/>
          <w:color w:val="auto"/>
        </w:rPr>
        <w:t>Divisions</w:t>
      </w:r>
    </w:p>
    <w:p>
      <w:pPr>
        <w:spacing w:after="0" w:line="283" w:lineRule="exact"/>
        <w:rPr>
          <w:sz w:val="20"/>
          <w:szCs w:val="20"/>
          <w:color w:val="auto"/>
        </w:rPr>
      </w:pPr>
    </w:p>
    <w:p>
      <w:pPr>
        <w:jc w:val="both"/>
        <w:ind w:left="60" w:hanging="5"/>
        <w:spacing w:after="0" w:line="225" w:lineRule="auto"/>
        <w:tabs>
          <w:tab w:leader="none" w:pos="164" w:val="left"/>
        </w:tabs>
        <w:numPr>
          <w:ilvl w:val="0"/>
          <w:numId w:val="1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w:t>
      </w:r>
    </w:p>
    <w:p>
      <w:pPr>
        <w:spacing w:after="0" w:line="1" w:lineRule="exact"/>
        <w:rPr>
          <w:rFonts w:ascii="Times New Roman" w:cs="Times New Roman" w:eastAsia="Times New Roman" w:hAnsi="Times New Roman"/>
          <w:sz w:val="19"/>
          <w:szCs w:val="19"/>
          <w:color w:val="auto"/>
        </w:rPr>
      </w:pPr>
    </w:p>
    <w:p>
      <w:pPr>
        <w:ind w:left="60" w:right="20"/>
        <w:spacing w:after="0" w:line="221"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(b) if any new Person comes into existence, such new Person shall be deemed to have been organized on the first date of its existence by the holders of its Equity Interests at such time.</w:t>
      </w:r>
    </w:p>
    <w:p>
      <w:pPr>
        <w:spacing w:after="0" w:line="337" w:lineRule="exact"/>
        <w:rPr>
          <w:sz w:val="20"/>
          <w:szCs w:val="20"/>
          <w:color w:val="auto"/>
        </w:rPr>
      </w:pPr>
    </w:p>
    <w:p>
      <w:pPr>
        <w:jc w:val="center"/>
        <w:ind w:right="3120"/>
        <w:spacing w:after="0"/>
        <w:rPr>
          <w:sz w:val="20"/>
          <w:szCs w:val="20"/>
          <w:color w:val="auto"/>
        </w:rPr>
      </w:pPr>
      <w:r>
        <w:rPr>
          <w:rFonts w:ascii="Times New Roman" w:cs="Times New Roman" w:eastAsia="Times New Roman" w:hAnsi="Times New Roman"/>
          <w:sz w:val="20"/>
          <w:szCs w:val="20"/>
          <w:color w:val="auto"/>
        </w:rPr>
        <w:t>ARTICLE II</w:t>
      </w:r>
    </w:p>
    <w:p>
      <w:pPr>
        <w:spacing w:after="0" w:line="94" w:lineRule="exact"/>
        <w:rPr>
          <w:sz w:val="20"/>
          <w:szCs w:val="20"/>
          <w:color w:val="auto"/>
        </w:rPr>
      </w:pPr>
    </w:p>
    <w:p>
      <w:pPr>
        <w:jc w:val="center"/>
        <w:ind w:right="3160"/>
        <w:spacing w:after="0"/>
        <w:rPr>
          <w:sz w:val="20"/>
          <w:szCs w:val="20"/>
          <w:color w:val="auto"/>
        </w:rPr>
      </w:pPr>
      <w:r>
        <w:rPr>
          <w:rFonts w:ascii="Times New Roman" w:cs="Times New Roman" w:eastAsia="Times New Roman" w:hAnsi="Times New Roman"/>
          <w:sz w:val="20"/>
          <w:szCs w:val="20"/>
          <w:color w:val="auto"/>
        </w:rPr>
        <w:t>REVOLVING CREDIT FACILITY</w:t>
      </w:r>
    </w:p>
    <w:p>
      <w:pPr>
        <w:spacing w:after="0" w:line="216" w:lineRule="exact"/>
        <w:rPr>
          <w:sz w:val="20"/>
          <w:szCs w:val="20"/>
          <w:color w:val="auto"/>
        </w:rPr>
      </w:pPr>
    </w:p>
    <w:p>
      <w:pPr>
        <w:ind w:left="700"/>
        <w:spacing w:after="0"/>
        <w:tabs>
          <w:tab w:leader="none" w:pos="2020" w:val="left"/>
        </w:tabs>
        <w:rPr>
          <w:sz w:val="20"/>
          <w:szCs w:val="20"/>
          <w:color w:val="auto"/>
        </w:rPr>
      </w:pPr>
      <w:r>
        <w:rPr>
          <w:rFonts w:ascii="Times New Roman" w:cs="Times New Roman" w:eastAsia="Times New Roman" w:hAnsi="Times New Roman"/>
          <w:sz w:val="20"/>
          <w:szCs w:val="20"/>
          <w:color w:val="auto"/>
        </w:rPr>
        <w:t>SECTION 2.1</w:t>
      </w:r>
      <w:r>
        <w:rPr>
          <w:sz w:val="20"/>
          <w:szCs w:val="20"/>
          <w:color w:val="auto"/>
        </w:rPr>
        <w:tab/>
      </w:r>
      <w:r>
        <w:rPr>
          <w:rFonts w:ascii="Times New Roman" w:cs="Times New Roman" w:eastAsia="Times New Roman" w:hAnsi="Times New Roman"/>
          <w:sz w:val="19"/>
          <w:szCs w:val="19"/>
          <w:u w:val="single" w:color="auto"/>
          <w:color w:val="auto"/>
        </w:rPr>
        <w:t>Revolving Credit Loans</w:t>
      </w:r>
    </w:p>
    <w:p>
      <w:pPr>
        <w:spacing w:after="0" w:line="297" w:lineRule="exact"/>
        <w:rPr>
          <w:sz w:val="20"/>
          <w:szCs w:val="20"/>
          <w:color w:val="auto"/>
        </w:rPr>
      </w:pPr>
    </w:p>
    <w:p>
      <w:pPr>
        <w:jc w:val="both"/>
        <w:ind w:left="60" w:hanging="4"/>
        <w:spacing w:after="0" w:line="214" w:lineRule="auto"/>
        <w:tabs>
          <w:tab w:leader="none" w:pos="187"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terms and conditions of this Agreement and the other Loan Documents, and in reliance upon the representations and warranties set forth in this Agreement and the other Loan Documents, each Revolving Credit Lender severally agrees to make (a) US Revolving Credit Loans to the US Borrowers and</w:t>
      </w:r>
    </w:p>
    <w:p>
      <w:pPr>
        <w:spacing w:after="0" w:line="1" w:lineRule="exact"/>
        <w:rPr>
          <w:sz w:val="20"/>
          <w:szCs w:val="20"/>
          <w:color w:val="auto"/>
        </w:rPr>
      </w:pPr>
    </w:p>
    <w:p>
      <w:pPr>
        <w:jc w:val="both"/>
        <w:ind w:left="60" w:hanging="4"/>
        <w:spacing w:after="0" w:line="210" w:lineRule="auto"/>
        <w:tabs>
          <w:tab w:leader="none" w:pos="588"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Canadian Revolving Credit Loans to the Canadian Borrowers, in each case, from time to time from the Closing Date through, but not including, the Revolving Credit Maturity Date as requested by a US Borrower or a Canadian Borrower, as applicable, in accordance with the terms of </w:t>
      </w:r>
      <w:r>
        <w:rPr>
          <w:rFonts w:ascii="Times New Roman" w:cs="Times New Roman" w:eastAsia="Times New Roman" w:hAnsi="Times New Roman"/>
          <w:sz w:val="20"/>
          <w:szCs w:val="20"/>
          <w:u w:val="single" w:color="auto"/>
          <w:color w:val="auto"/>
        </w:rPr>
        <w:t>Section 2.3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(i) on the Closing Date, the aggregate Revolving Credit Outstandings, excluding the aggregate undrawn and unexpired amount of the Existing Letters of Credit, shall not exceed $125,000,000, (ii) after the Closing Date, (A) the Revolving Credit Outstandings shall not exceed the Revolving Credit Commitment and (B) the Revolving Credit Exposure of any Revolving Credit Lender shall not at any time exceed such Revolving Credit Lender’s Revolving Credit Commitment. Each Revolving Credit Loan by a Revolving Credit Lender shall be in a principal amount equal to such Revolving Credit Lender’s Revolving Credit Commitment Percentage of the aggregate principal amount of Revolving Credit Loans requested on such occasion. Subject to the terms and conditions hereof, the Borrowers may borrow, repay and reborrow Revolving Credit Loans hereunder until the Revolving Credit Maturity Date.</w:t>
      </w:r>
    </w:p>
    <w:p>
      <w:pPr>
        <w:spacing w:after="0" w:line="193" w:lineRule="exact"/>
        <w:rPr>
          <w:sz w:val="20"/>
          <w:szCs w:val="20"/>
          <w:color w:val="auto"/>
        </w:rPr>
      </w:pPr>
    </w:p>
    <w:p>
      <w:pPr>
        <w:ind w:left="700"/>
        <w:spacing w:after="0"/>
        <w:tabs>
          <w:tab w:leader="none" w:pos="2020" w:val="left"/>
        </w:tabs>
        <w:rPr>
          <w:sz w:val="20"/>
          <w:szCs w:val="20"/>
          <w:color w:val="auto"/>
        </w:rPr>
      </w:pPr>
      <w:r>
        <w:rPr>
          <w:rFonts w:ascii="Times New Roman" w:cs="Times New Roman" w:eastAsia="Times New Roman" w:hAnsi="Times New Roman"/>
          <w:sz w:val="20"/>
          <w:szCs w:val="20"/>
          <w:color w:val="auto"/>
        </w:rPr>
        <w:t>SECTION 2.2</w:t>
      </w:r>
      <w:r>
        <w:rPr>
          <w:sz w:val="20"/>
          <w:szCs w:val="20"/>
          <w:color w:val="auto"/>
        </w:rPr>
        <w:tab/>
      </w:r>
      <w:r>
        <w:rPr>
          <w:rFonts w:ascii="Times New Roman" w:cs="Times New Roman" w:eastAsia="Times New Roman" w:hAnsi="Times New Roman"/>
          <w:sz w:val="19"/>
          <w:szCs w:val="19"/>
          <w:u w:val="single" w:color="auto"/>
          <w:color w:val="auto"/>
        </w:rPr>
        <w:t>Swingline Loans</w:t>
      </w:r>
      <w:r>
        <w:rPr>
          <w:rFonts w:ascii="Times New Roman" w:cs="Times New Roman" w:eastAsia="Times New Roman" w:hAnsi="Times New Roman"/>
          <w:sz w:val="19"/>
          <w:szCs w:val="19"/>
          <w:color w:val="auto"/>
        </w:rPr>
        <w:t>.</w:t>
      </w:r>
    </w:p>
    <w:p>
      <w:pPr>
        <w:spacing w:after="0" w:line="283" w:lineRule="exact"/>
        <w:rPr>
          <w:sz w:val="20"/>
          <w:szCs w:val="20"/>
          <w:color w:val="auto"/>
        </w:rPr>
      </w:pPr>
    </w:p>
    <w:p>
      <w:pPr>
        <w:jc w:val="both"/>
        <w:ind w:left="60" w:firstLine="644"/>
        <w:spacing w:after="0" w:line="214" w:lineRule="auto"/>
        <w:tabs>
          <w:tab w:leader="none" w:pos="1236" w:val="left"/>
        </w:tabs>
        <w:numPr>
          <w:ilvl w:val="1"/>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Availability</w:t>
      </w:r>
      <w:r>
        <w:rPr>
          <w:rFonts w:ascii="Times New Roman" w:cs="Times New Roman" w:eastAsia="Times New Roman" w:hAnsi="Times New Roman"/>
          <w:sz w:val="20"/>
          <w:szCs w:val="20"/>
          <w:color w:val="auto"/>
        </w:rPr>
        <w:t>. Subject to the terms and conditions of this Agreement and the other Loan Documents, and in reliance upon the representations and warranties set forth in this Agreement and the other Loan Documents, (a) the Swingline Lender shall make US Swingline Loans to the US Borrowers and</w:t>
      </w:r>
    </w:p>
    <w:p>
      <w:pPr>
        <w:jc w:val="both"/>
        <w:ind w:left="60" w:hanging="4"/>
        <w:spacing w:after="0" w:line="216" w:lineRule="auto"/>
        <w:tabs>
          <w:tab w:leader="none" w:pos="588"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Swingline Lender shall make Canadian Swingline Loans to the Canadian Borrowers, in each case, from time to time from the Closing Date through, but not including, the Revolving Credit Maturity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(i) after giving effect to any amount requested, the Revolving Credit Outstandings shall not exceed the Revolving Credit Commitment and (ii) the aggregate principal amount of all outstanding Swingline Loans (after giving effect to any amount requested), shall not exceed the Swingline Commitment.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FF0000"/>
          <w:strike w:val="1"/>
        </w:rPr>
        <w:t>146960219_6</w:t>
      </w:r>
    </w:p>
    <w:p>
      <w:pPr>
        <w:spacing w:after="0" w:line="4" w:lineRule="exact"/>
        <w:rPr>
          <w:sz w:val="20"/>
          <w:szCs w:val="20"/>
          <w:color w:val="auto"/>
        </w:rPr>
      </w:pPr>
    </w:p>
    <w:p>
      <w:pPr>
        <w:ind w:left="340" w:hanging="338"/>
        <w:spacing w:after="0"/>
        <w:tabs>
          <w:tab w:leader="none" w:pos="340"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080"/>
          </w:cols>
          <w:pgMar w:left="380" w:top="1440" w:right="439" w:bottom="1440" w:gutter="0" w:footer="0" w:header="0"/>
        </w:sectPr>
      </w:pPr>
    </w:p>
    <w:bookmarkStart w:id="142" w:name="page143"/>
    <w:bookmarkEnd w:id="142"/>
    <w:p>
      <w:pPr>
        <w:ind w:left="1256" w:hanging="554"/>
        <w:spacing w:after="0"/>
        <w:tabs>
          <w:tab w:leader="none" w:pos="1256"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Refunding</w:t>
      </w:r>
      <w:r>
        <w:rPr>
          <w:rFonts w:ascii="Times New Roman" w:cs="Times New Roman" w:eastAsia="Times New Roman" w:hAnsi="Times New Roman"/>
          <w:sz w:val="20"/>
          <w:szCs w:val="20"/>
          <w:color w:val="auto"/>
        </w:rPr>
        <w:t>.</w:t>
      </w:r>
    </w:p>
    <w:p>
      <w:pPr>
        <w:spacing w:after="0" w:line="283" w:lineRule="exact"/>
        <w:rPr>
          <w:rFonts w:ascii="Times New Roman" w:cs="Times New Roman" w:eastAsia="Times New Roman" w:hAnsi="Times New Roman"/>
          <w:sz w:val="20"/>
          <w:szCs w:val="20"/>
          <w:color w:val="auto"/>
        </w:rPr>
      </w:pPr>
    </w:p>
    <w:p>
      <w:pPr>
        <w:jc w:val="both"/>
        <w:ind w:left="696" w:firstLine="654"/>
        <w:spacing w:after="0" w:line="211" w:lineRule="auto"/>
        <w:tabs>
          <w:tab w:leader="none" w:pos="1896" w:val="left"/>
        </w:tabs>
        <w:numPr>
          <w:ilvl w:val="1"/>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Swingline Loans shall be refunded by the Revolving Credit Lenders on demand by the applicable Swingline Lender. Such refundings shall be made by the Revolving Credit Lenders in accordance with their respective Revolving Credit Commitment Percentages, in the applicable currency of the underlying Swingline Loan, and shall thereafter be reflected as Revolving Credit Loans of the Revolving Credit Lenders on the books and records of the Administrative Agent. Each Revolving Credit Lender shall fund its respective Revolving Credit Commitment Percentage of such Revolving Credit Loans as required to repay Swingline Loans outstanding to the applicable Swingline Lender upon demand by such Swingline Lender but in no event later than 1:00 p.m. on the next succeeding Business Day after such demand is made. No Revolving Credit Lender’s obligation to fund its respective Revolving Credit Commitment Percentage of a Swingline Loan shall be affected by any other Revolving Credit Lender’s failure to fund its Revolving Credit Commitment Percentage of a Swingline Loan, nor shall any Revolving Credit Lender’s Revolving Credit Commitment Percentage be increased as a result of any such failure of any other Revolving Credit Lender to fund its Revolving Credit Commitment Percentage of a Swingline Loan.</w:t>
      </w:r>
    </w:p>
    <w:p>
      <w:pPr>
        <w:spacing w:after="0" w:line="205" w:lineRule="exact"/>
        <w:rPr>
          <w:rFonts w:ascii="Times New Roman" w:cs="Times New Roman" w:eastAsia="Times New Roman" w:hAnsi="Times New Roman"/>
          <w:sz w:val="20"/>
          <w:szCs w:val="20"/>
          <w:color w:val="auto"/>
        </w:rPr>
      </w:pPr>
    </w:p>
    <w:p>
      <w:pPr>
        <w:jc w:val="both"/>
        <w:ind w:left="696" w:firstLine="654"/>
        <w:spacing w:after="0" w:line="210" w:lineRule="auto"/>
        <w:tabs>
          <w:tab w:leader="none" w:pos="1897" w:val="left"/>
        </w:tabs>
        <w:numPr>
          <w:ilvl w:val="1"/>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applicable Borrower shall pay to the applicable Swingline Lender on demand and, in any event on the Revolving Credit Maturity Date, the amount of such Swingline Loans made to such Borrower to the extent amounts received from the Revolving Credit Lenders are not sufficient to repay in full the outstanding Swingline Loans requested or required to be refunded. If not demanded by such Swingline Lender, each Canadian Swingline Loan shall be repaid by the applicable Canadian Borrower on the date that is five (5) Business Days after such Canadian Swingline Loan is made. In addition, each Borrower hereby authorizes the Administrative Agent to charge any account maintained by such Borrower with the applicable Swingline Lender (up to the amount available therein) in order to immediately pay the applicable Swingline Lender the amount of such Swingline Loans made to such Borrower to the extent amounts received from the Revolving Credit Lenders are not sufficient to repay in full the outstanding Swingline Loans requested or required to be refunded. If any portion of any such amount paid to the applicable Swingline Lender shall be recovered by or on behalf of any Borrower from the applicable Swingline Lender in bankruptcy or otherwise, the loss of the amount so recovered shall be ratably shared among all the Revolving Credit Lenders in accordance with their respective Revolving Credit Commitment Percentages (unless the amounts so recovered by or on behalf of such Borrower pertain to a Swingline Loan extended after the occurrence and during the continuance of an Event of Default of which the Administrative Agent has received notice in the manner required pursuant to </w:t>
      </w:r>
      <w:r>
        <w:rPr>
          <w:rFonts w:ascii="Times New Roman" w:cs="Times New Roman" w:eastAsia="Times New Roman" w:hAnsi="Times New Roman"/>
          <w:sz w:val="20"/>
          <w:szCs w:val="20"/>
          <w:u w:val="single" w:color="auto"/>
          <w:color w:val="auto"/>
        </w:rPr>
        <w:t>Section 11.3</w:t>
      </w:r>
      <w:r>
        <w:rPr>
          <w:rFonts w:ascii="Times New Roman" w:cs="Times New Roman" w:eastAsia="Times New Roman" w:hAnsi="Times New Roman"/>
          <w:sz w:val="20"/>
          <w:szCs w:val="20"/>
          <w:color w:val="auto"/>
        </w:rPr>
        <w:t xml:space="preserve"> and which such Event of Default has not been waived by the Required Lenders or the Lenders, as applicable).</w:t>
      </w:r>
    </w:p>
    <w:p>
      <w:pPr>
        <w:spacing w:after="0" w:line="194" w:lineRule="exact"/>
        <w:rPr>
          <w:rFonts w:ascii="Times New Roman" w:cs="Times New Roman" w:eastAsia="Times New Roman" w:hAnsi="Times New Roman"/>
          <w:sz w:val="20"/>
          <w:szCs w:val="20"/>
          <w:color w:val="auto"/>
        </w:rPr>
      </w:pPr>
    </w:p>
    <w:p>
      <w:pPr>
        <w:jc w:val="both"/>
        <w:ind w:left="696" w:firstLine="654"/>
        <w:spacing w:after="0" w:line="212" w:lineRule="auto"/>
        <w:tabs>
          <w:tab w:leader="none" w:pos="1898" w:val="left"/>
        </w:tabs>
        <w:numPr>
          <w:ilvl w:val="1"/>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Revolving Credit Lender acknowledges and agrees that its obligation to refund Swingline Loans in accordance with the terms of this Section is absolute and unconditional and shall not be affected by any circumstance whatsoever, including, without limitation, non- satisfaction of the conditions set forth in </w:t>
      </w:r>
      <w:r>
        <w:rPr>
          <w:rFonts w:ascii="Times New Roman" w:cs="Times New Roman" w:eastAsia="Times New Roman" w:hAnsi="Times New Roman"/>
          <w:sz w:val="20"/>
          <w:szCs w:val="20"/>
          <w:u w:val="single" w:color="auto"/>
          <w:color w:val="auto"/>
        </w:rPr>
        <w:t>Article VI</w:t>
      </w:r>
      <w:r>
        <w:rPr>
          <w:rFonts w:ascii="Times New Roman" w:cs="Times New Roman" w:eastAsia="Times New Roman" w:hAnsi="Times New Roman"/>
          <w:sz w:val="20"/>
          <w:szCs w:val="20"/>
          <w:color w:val="auto"/>
        </w:rPr>
        <w:t xml:space="preserve">. Further, each Revolving Credit Lender agrees and acknowledges that if prior to the refunding of any outstanding Swingline Loans pursuant to this Section, one of the events described in </w:t>
      </w:r>
      <w:r>
        <w:rPr>
          <w:rFonts w:ascii="Times New Roman" w:cs="Times New Roman" w:eastAsia="Times New Roman" w:hAnsi="Times New Roman"/>
          <w:sz w:val="20"/>
          <w:szCs w:val="20"/>
          <w:u w:val="single" w:color="auto"/>
          <w:color w:val="auto"/>
        </w:rPr>
        <w:t>Section 10.1(i)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(j)</w:t>
      </w:r>
      <w:r>
        <w:rPr>
          <w:rFonts w:ascii="Times New Roman" w:cs="Times New Roman" w:eastAsia="Times New Roman" w:hAnsi="Times New Roman"/>
          <w:sz w:val="20"/>
          <w:szCs w:val="20"/>
          <w:color w:val="auto"/>
        </w:rPr>
        <w:t xml:space="preserve"> shall have occurred, each Revolving Credit Lender will, on the date the applicable Revolving Credit Loan would have been made, purchase an undivided participating interest in the Swingline Loan to be refunded in an amount equal to its Revolving Credit Commitment Percentage of the aggregate amount of such Swingline Loan. Each Revolving Credit Lender will immediately transfer to the applicable Swingline Lender, in immediately available funds, the amount of its participation and upon receipt thereof such Swingline Lender will deliver to such Revolving Credit Lender a certificate evidencing</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16"/>
        <w:spacing w:after="0"/>
        <w:rPr>
          <w:sz w:val="20"/>
          <w:szCs w:val="20"/>
          <w:color w:val="auto"/>
        </w:rPr>
      </w:pPr>
      <w:r>
        <w:rPr>
          <w:rFonts w:ascii="Times New Roman" w:cs="Times New Roman" w:eastAsia="Times New Roman" w:hAnsi="Times New Roman"/>
          <w:sz w:val="14"/>
          <w:szCs w:val="14"/>
          <w:color w:val="FF0000"/>
          <w:strike w:val="1"/>
        </w:rPr>
        <w:t>146960219_6</w:t>
      </w:r>
    </w:p>
    <w:p>
      <w:pPr>
        <w:spacing w:after="0" w:line="4" w:lineRule="exact"/>
        <w:rPr>
          <w:sz w:val="20"/>
          <w:szCs w:val="20"/>
          <w:color w:val="auto"/>
        </w:rPr>
      </w:pPr>
    </w:p>
    <w:p>
      <w:pPr>
        <w:ind w:left="316" w:hanging="316"/>
        <w:spacing w:after="0"/>
        <w:tabs>
          <w:tab w:leader="none" w:pos="316"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096"/>
          </w:cols>
          <w:pgMar w:left="364" w:top="1399" w:right="439" w:bottom="1440" w:gutter="0" w:footer="0" w:header="0"/>
        </w:sectPr>
      </w:pPr>
    </w:p>
    <w:bookmarkStart w:id="143" w:name="page144"/>
    <w:bookmarkEnd w:id="143"/>
    <w:p>
      <w:pPr>
        <w:ind w:left="678"/>
        <w:spacing w:after="0"/>
        <w:rPr>
          <w:sz w:val="20"/>
          <w:szCs w:val="20"/>
          <w:color w:val="auto"/>
        </w:rPr>
      </w:pPr>
      <w:r>
        <w:rPr>
          <w:rFonts w:ascii="Times New Roman" w:cs="Times New Roman" w:eastAsia="Times New Roman" w:hAnsi="Times New Roman"/>
          <w:sz w:val="20"/>
          <w:szCs w:val="20"/>
          <w:color w:val="auto"/>
        </w:rPr>
        <w:t>such participation dated the date of receipt of such funds and for such amount. Whenever, at any time after the applicable</w:t>
      </w:r>
    </w:p>
    <w:p>
      <w:pPr>
        <w:ind w:left="678" w:right="20"/>
        <w:spacing w:after="0" w:line="204" w:lineRule="auto"/>
        <w:rPr>
          <w:sz w:val="20"/>
          <w:szCs w:val="20"/>
          <w:color w:val="auto"/>
        </w:rPr>
      </w:pPr>
      <w:r>
        <w:rPr>
          <w:rFonts w:ascii="Times New Roman" w:cs="Times New Roman" w:eastAsia="Times New Roman" w:hAnsi="Times New Roman"/>
          <w:sz w:val="20"/>
          <w:szCs w:val="20"/>
          <w:color w:val="auto"/>
        </w:rPr>
        <w:t>Swingline Lender has received from any Revolving Credit Lender such Revolving Credit Lender’s participating interest in a Swingline Loan, the applicable Swingline Lender receives any payment on account thereof, the applicable Swingline Lender will</w:t>
      </w:r>
    </w:p>
    <w:p>
      <w:pPr>
        <w:ind w:left="678"/>
        <w:spacing w:after="0" w:line="211" w:lineRule="auto"/>
        <w:rPr>
          <w:sz w:val="20"/>
          <w:szCs w:val="20"/>
          <w:color w:val="auto"/>
        </w:rPr>
      </w:pPr>
      <w:r>
        <w:rPr>
          <w:rFonts w:ascii="Times New Roman" w:cs="Times New Roman" w:eastAsia="Times New Roman" w:hAnsi="Times New Roman"/>
          <w:sz w:val="20"/>
          <w:szCs w:val="20"/>
          <w:color w:val="auto"/>
        </w:rPr>
        <w:t>distribute to such Revolving Credit Lender its participating interest in such amount (appropriately adjusted, in the case of interest</w:t>
      </w:r>
    </w:p>
    <w:p>
      <w:pPr>
        <w:spacing w:after="0" w:line="1" w:lineRule="exact"/>
        <w:rPr>
          <w:sz w:val="20"/>
          <w:szCs w:val="20"/>
          <w:color w:val="auto"/>
        </w:rPr>
      </w:pPr>
    </w:p>
    <w:p>
      <w:pPr>
        <w:ind w:left="678"/>
        <w:spacing w:after="0" w:line="221" w:lineRule="auto"/>
        <w:rPr>
          <w:sz w:val="20"/>
          <w:szCs w:val="20"/>
          <w:color w:val="auto"/>
        </w:rPr>
      </w:pPr>
      <w:r>
        <w:rPr>
          <w:rFonts w:ascii="Times New Roman" w:cs="Times New Roman" w:eastAsia="Times New Roman" w:hAnsi="Times New Roman"/>
          <w:sz w:val="20"/>
          <w:szCs w:val="20"/>
          <w:color w:val="auto"/>
        </w:rPr>
        <w:t>payments, to reflect the period of time during which such Revolving Credit Lender’s participating interest was outstanding and funded).</w:t>
      </w:r>
    </w:p>
    <w:p>
      <w:pPr>
        <w:spacing w:after="0" w:line="202" w:lineRule="exact"/>
        <w:rPr>
          <w:sz w:val="20"/>
          <w:szCs w:val="20"/>
          <w:color w:val="auto"/>
        </w:rPr>
      </w:pPr>
    </w:p>
    <w:p>
      <w:pPr>
        <w:ind w:left="38" w:right="520" w:firstLine="646"/>
        <w:spacing w:after="0" w:line="233" w:lineRule="auto"/>
        <w:tabs>
          <w:tab w:leader="none" w:pos="1243"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Defaulting Lenders</w:t>
      </w:r>
      <w:r>
        <w:rPr>
          <w:rFonts w:ascii="Times New Roman" w:cs="Times New Roman" w:eastAsia="Times New Roman" w:hAnsi="Times New Roman"/>
          <w:sz w:val="20"/>
          <w:szCs w:val="20"/>
          <w:color w:val="auto"/>
        </w:rPr>
        <w:t xml:space="preserve">. Notwithstanding anything to the contrary contained in this Agreement, this </w:t>
      </w:r>
      <w:r>
        <w:rPr>
          <w:rFonts w:ascii="Times New Roman" w:cs="Times New Roman" w:eastAsia="Times New Roman" w:hAnsi="Times New Roman"/>
          <w:sz w:val="20"/>
          <w:szCs w:val="20"/>
          <w:u w:val="single" w:color="auto"/>
          <w:color w:val="auto"/>
        </w:rPr>
        <w:t>Section 2.2</w:t>
      </w:r>
      <w:r>
        <w:rPr>
          <w:rFonts w:ascii="Times New Roman" w:cs="Times New Roman" w:eastAsia="Times New Roman" w:hAnsi="Times New Roman"/>
          <w:sz w:val="20"/>
          <w:szCs w:val="20"/>
          <w:color w:val="auto"/>
        </w:rPr>
        <w:t xml:space="preserve"> shall be subject to the terms and conditions of </w:t>
      </w:r>
      <w:r>
        <w:rPr>
          <w:rFonts w:ascii="Times New Roman" w:cs="Times New Roman" w:eastAsia="Times New Roman" w:hAnsi="Times New Roman"/>
          <w:sz w:val="20"/>
          <w:szCs w:val="20"/>
          <w:u w:val="single" w:color="auto"/>
          <w:color w:val="auto"/>
        </w:rPr>
        <w:t>Section 5.14</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5.15</w:t>
      </w:r>
      <w:r>
        <w:rPr>
          <w:rFonts w:ascii="Times New Roman" w:cs="Times New Roman" w:eastAsia="Times New Roman" w:hAnsi="Times New Roman"/>
          <w:sz w:val="20"/>
          <w:szCs w:val="20"/>
          <w:color w:val="auto"/>
        </w:rPr>
        <w:t>.</w:t>
      </w:r>
    </w:p>
    <w:p>
      <w:pPr>
        <w:spacing w:after="0" w:line="255" w:lineRule="exact"/>
        <w:rPr>
          <w:rFonts w:ascii="Times New Roman" w:cs="Times New Roman" w:eastAsia="Times New Roman" w:hAnsi="Times New Roman"/>
          <w:sz w:val="20"/>
          <w:szCs w:val="20"/>
          <w:color w:val="auto"/>
        </w:rPr>
      </w:pPr>
    </w:p>
    <w:p>
      <w:pPr>
        <w:jc w:val="both"/>
        <w:ind w:left="38" w:firstLine="646"/>
        <w:spacing w:after="0" w:line="216" w:lineRule="auto"/>
        <w:tabs>
          <w:tab w:leader="none" w:pos="1241"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Resignation of Swingline Lender</w:t>
      </w:r>
      <w:r>
        <w:rPr>
          <w:rFonts w:ascii="Times New Roman" w:cs="Times New Roman" w:eastAsia="Times New Roman" w:hAnsi="Times New Roman"/>
          <w:sz w:val="20"/>
          <w:szCs w:val="20"/>
          <w:color w:val="auto"/>
        </w:rPr>
        <w:t>. In connection with (i) any Refinancing Revolving Credit Commitments or (ii) any Extension of Revolving Credit Commitments, that has not been consented to by the applicable Swingline Lender, such Swingline Lender may, in connection with such Refinancing Revolving Credit Commitments or Extension resign as a Swingline Lender hereunder upon not less than five (5) Business Days’ prior notice to Centuri and the Administrative Agent (or such shorter period of time as may be acceptable to Centuri and the Administrative Agent). Following such notice of resignation, such Swingline Lender shall have no further obligations to make Swingline Loans pursuant to this Agreement.</w:t>
      </w:r>
    </w:p>
    <w:p>
      <w:pPr>
        <w:spacing w:after="0" w:line="189" w:lineRule="exact"/>
        <w:rPr>
          <w:sz w:val="20"/>
          <w:szCs w:val="20"/>
          <w:color w:val="auto"/>
        </w:rPr>
      </w:pPr>
    </w:p>
    <w:p>
      <w:pPr>
        <w:ind w:left="678"/>
        <w:spacing w:after="0"/>
        <w:tabs>
          <w:tab w:leader="none" w:pos="1998" w:val="left"/>
        </w:tabs>
        <w:rPr>
          <w:sz w:val="20"/>
          <w:szCs w:val="20"/>
          <w:color w:val="auto"/>
        </w:rPr>
      </w:pPr>
      <w:r>
        <w:rPr>
          <w:rFonts w:ascii="Times New Roman" w:cs="Times New Roman" w:eastAsia="Times New Roman" w:hAnsi="Times New Roman"/>
          <w:sz w:val="20"/>
          <w:szCs w:val="20"/>
          <w:color w:val="auto"/>
        </w:rPr>
        <w:t>SECTION 2.3</w:t>
      </w:r>
      <w:r>
        <w:rPr>
          <w:sz w:val="20"/>
          <w:szCs w:val="20"/>
          <w:color w:val="auto"/>
        </w:rPr>
        <w:tab/>
      </w:r>
      <w:r>
        <w:rPr>
          <w:rFonts w:ascii="Times New Roman" w:cs="Times New Roman" w:eastAsia="Times New Roman" w:hAnsi="Times New Roman"/>
          <w:sz w:val="19"/>
          <w:szCs w:val="19"/>
          <w:u w:val="single" w:color="auto"/>
          <w:color w:val="auto"/>
        </w:rPr>
        <w:t>Procedure for Advances of Revolving Credit Loans and Swingline Loans</w:t>
      </w:r>
      <w:r>
        <w:rPr>
          <w:rFonts w:ascii="Times New Roman" w:cs="Times New Roman" w:eastAsia="Times New Roman" w:hAnsi="Times New Roman"/>
          <w:sz w:val="19"/>
          <w:szCs w:val="19"/>
          <w:color w:val="auto"/>
        </w:rPr>
        <w:t>.</w:t>
      </w:r>
    </w:p>
    <w:p>
      <w:pPr>
        <w:spacing w:after="0" w:line="283" w:lineRule="exact"/>
        <w:rPr>
          <w:sz w:val="20"/>
          <w:szCs w:val="20"/>
          <w:color w:val="auto"/>
        </w:rPr>
      </w:pPr>
    </w:p>
    <w:p>
      <w:pPr>
        <w:jc w:val="both"/>
        <w:ind w:left="38" w:firstLine="646"/>
        <w:spacing w:after="0" w:line="219" w:lineRule="auto"/>
        <w:tabs>
          <w:tab w:leader="none" w:pos="1243" w:val="left"/>
        </w:tabs>
        <w:numPr>
          <w:ilvl w:val="1"/>
          <w:numId w:val="1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Requests for Borrowing</w:t>
      </w:r>
      <w:r>
        <w:rPr>
          <w:rFonts w:ascii="Times New Roman" w:cs="Times New Roman" w:eastAsia="Times New Roman" w:hAnsi="Times New Roman"/>
          <w:sz w:val="19"/>
          <w:szCs w:val="19"/>
          <w:color w:val="auto"/>
        </w:rPr>
        <w:t xml:space="preserve">. The applicable Borrower shall give the Administrative Agent irrevocable prior written notice substantially in the form of </w:t>
      </w:r>
      <w:r>
        <w:rPr>
          <w:rFonts w:ascii="Times New Roman" w:cs="Times New Roman" w:eastAsia="Times New Roman" w:hAnsi="Times New Roman"/>
          <w:sz w:val="19"/>
          <w:szCs w:val="19"/>
          <w:b w:val="1"/>
          <w:bCs w:val="1"/>
          <w:i w:val="1"/>
          <w:iCs w:val="1"/>
          <w:color w:val="auto"/>
        </w:rPr>
        <w:t>Exhibit B</w:t>
      </w:r>
      <w:r>
        <w:rPr>
          <w:rFonts w:ascii="Times New Roman" w:cs="Times New Roman" w:eastAsia="Times New Roman" w:hAnsi="Times New Roman"/>
          <w:sz w:val="19"/>
          <w:szCs w:val="19"/>
          <w:color w:val="auto"/>
        </w:rPr>
        <w:t xml:space="preserve"> (a “</w:t>
      </w:r>
      <w:r>
        <w:rPr>
          <w:rFonts w:ascii="Times New Roman" w:cs="Times New Roman" w:eastAsia="Times New Roman" w:hAnsi="Times New Roman"/>
          <w:sz w:val="19"/>
          <w:szCs w:val="19"/>
          <w:u w:val="single" w:color="auto"/>
          <w:color w:val="auto"/>
        </w:rPr>
        <w:t>Notice of Borrowing</w:t>
      </w:r>
      <w:r>
        <w:rPr>
          <w:rFonts w:ascii="Times New Roman" w:cs="Times New Roman" w:eastAsia="Times New Roman" w:hAnsi="Times New Roman"/>
          <w:sz w:val="19"/>
          <w:szCs w:val="19"/>
          <w:color w:val="auto"/>
        </w:rPr>
        <w:t xml:space="preserve">”) not later than 11:00 a.m. (i) on the same Business Day as each Base Rate Loan, each US Swingline Loan and each Canadian Swingline Loan, (ii) at least one (1) Business Day before each Canadian Base Rate Loan (other than Canadian Swingline Loans), (iii) at least three (3) </w:t>
      </w:r>
      <w:r>
        <w:rPr>
          <w:rFonts w:ascii="Times New Roman" w:cs="Times New Roman" w:eastAsia="Times New Roman" w:hAnsi="Times New Roman"/>
          <w:sz w:val="19"/>
          <w:szCs w:val="19"/>
          <w:u w:val="single" w:color="auto"/>
          <w:color w:val="0000FF"/>
        </w:rPr>
        <w:t>US Government Securities</w:t>
      </w:r>
      <w:r>
        <w:rPr>
          <w:rFonts w:ascii="Times New Roman" w:cs="Times New Roman" w:eastAsia="Times New Roman" w:hAnsi="Times New Roman"/>
          <w:sz w:val="19"/>
          <w:szCs w:val="19"/>
          <w:color w:val="auto"/>
        </w:rPr>
        <w:t xml:space="preserve"> Business Days before each </w:t>
      </w:r>
      <w:r>
        <w:rPr>
          <w:rFonts w:ascii="Times New Roman" w:cs="Times New Roman" w:eastAsia="Times New Roman" w:hAnsi="Times New Roman"/>
          <w:sz w:val="19"/>
          <w:szCs w:val="19"/>
          <w:color w:val="FF0000"/>
          <w:strike w:val="1"/>
        </w:rPr>
        <w:t>LIBOR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FF0000"/>
          <w:strike w:val="1"/>
        </w:rPr>
        <w:t>Rate</w:t>
      </w:r>
      <w:r>
        <w:rPr>
          <w:rFonts w:ascii="Times New Roman" w:cs="Times New Roman" w:eastAsia="Times New Roman" w:hAnsi="Times New Roman"/>
          <w:sz w:val="19"/>
          <w:szCs w:val="19"/>
          <w:u w:val="single" w:color="auto"/>
          <w:color w:val="0000FF"/>
        </w:rPr>
        <w:t>SOFR</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Loan and (iv) at least four (4) Business Days before each CDOR Rate Loan, of its intention to borrow, specifying (A) the date</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 xml:space="preserve">of such borrowing, which shall be a Business Day, (B) the amount of such borrowing, which shall be, (x) with respect to Base Rate Loans (other than Swingline Loans) and Canadian Revolving Credit Loans in an aggregate principal amount of $2,000,000 (or C$2,000,000) or a whole multiple of $500,000 (or C$500,000) in excess thereof, (y) with respect to </w:t>
      </w:r>
      <w:r>
        <w:rPr>
          <w:rFonts w:ascii="Times New Roman" w:cs="Times New Roman" w:eastAsia="Times New Roman" w:hAnsi="Times New Roman"/>
          <w:sz w:val="19"/>
          <w:szCs w:val="19"/>
          <w:color w:val="FF0000"/>
          <w:strike w:val="1"/>
        </w:rPr>
        <w:t>LIBOR Rate</w:t>
      </w:r>
      <w:r>
        <w:rPr>
          <w:rFonts w:ascii="Times New Roman" w:cs="Times New Roman" w:eastAsia="Times New Roman" w:hAnsi="Times New Roman"/>
          <w:sz w:val="19"/>
          <w:szCs w:val="19"/>
          <w:u w:val="single" w:color="auto"/>
          <w:color w:val="0000FF"/>
        </w:rPr>
        <w:t>SOFR</w:t>
      </w:r>
      <w:r>
        <w:rPr>
          <w:rFonts w:ascii="Times New Roman" w:cs="Times New Roman" w:eastAsia="Times New Roman" w:hAnsi="Times New Roman"/>
          <w:sz w:val="19"/>
          <w:szCs w:val="19"/>
          <w:color w:val="000000"/>
        </w:rPr>
        <w:t xml:space="preserve"> Loans, in an aggregate principal amount of $2,000,000 or a whole multiple of $500,000 in excess thereof and (z) with respect to Swingline Loans in an aggregate principal amount of $500,000 (or C$500,000) or a whole multiple of $100,000 (or C$100,000) in excess thereof, (C) whether such Loan is to be a US Revolving Credit Loan, Canadian Revolving Credit Loan, US Swingline Loan or Canadian Swingline Loan,</w:t>
      </w:r>
    </w:p>
    <w:p>
      <w:pPr>
        <w:spacing w:after="0" w:line="2" w:lineRule="exact"/>
        <w:rPr>
          <w:rFonts w:ascii="Times New Roman" w:cs="Times New Roman" w:eastAsia="Times New Roman" w:hAnsi="Times New Roman"/>
          <w:sz w:val="19"/>
          <w:szCs w:val="19"/>
          <w:color w:val="auto"/>
        </w:rPr>
      </w:pPr>
    </w:p>
    <w:p>
      <w:pPr>
        <w:jc w:val="both"/>
        <w:ind w:left="38" w:hanging="2"/>
        <w:spacing w:after="0" w:line="215" w:lineRule="auto"/>
        <w:tabs>
          <w:tab w:leader="none" w:pos="367" w:val="left"/>
        </w:tabs>
        <w:numPr>
          <w:ilvl w:val="0"/>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a US Revolving Credit Loan, whether the Loans are to be </w:t>
      </w:r>
      <w:r>
        <w:rPr>
          <w:rFonts w:ascii="Times New Roman" w:cs="Times New Roman" w:eastAsia="Times New Roman" w:hAnsi="Times New Roman"/>
          <w:sz w:val="20"/>
          <w:szCs w:val="20"/>
          <w:color w:val="FF0000"/>
          <w:strike w:val="1"/>
        </w:rPr>
        <w:t>LIBOR Rate</w:t>
      </w:r>
      <w:r>
        <w:rPr>
          <w:rFonts w:ascii="Times New Roman" w:cs="Times New Roman" w:eastAsia="Times New Roman" w:hAnsi="Times New Roman"/>
          <w:sz w:val="20"/>
          <w:szCs w:val="20"/>
          <w:u w:val="single" w:color="auto"/>
          <w:color w:val="0000FF"/>
        </w:rPr>
        <w:t>SOFR</w:t>
      </w:r>
      <w:r>
        <w:rPr>
          <w:rFonts w:ascii="Times New Roman" w:cs="Times New Roman" w:eastAsia="Times New Roman" w:hAnsi="Times New Roman"/>
          <w:sz w:val="20"/>
          <w:szCs w:val="20"/>
          <w:color w:val="auto"/>
        </w:rPr>
        <w:t xml:space="preserve"> Loans or Base Rate Loans, (E) in the case of a Canadian Revolving Credit Loan, whether the Loans are to be CDOR Rate Loans or Canadian Base Rate Loans, and (F) in the case of a </w:t>
      </w:r>
      <w:r>
        <w:rPr>
          <w:rFonts w:ascii="Times New Roman" w:cs="Times New Roman" w:eastAsia="Times New Roman" w:hAnsi="Times New Roman"/>
          <w:sz w:val="20"/>
          <w:szCs w:val="20"/>
          <w:color w:val="FF0000"/>
          <w:strike w:val="1"/>
        </w:rPr>
        <w:t>LIBOR Rate</w:t>
      </w:r>
      <w:r>
        <w:rPr>
          <w:rFonts w:ascii="Times New Roman" w:cs="Times New Roman" w:eastAsia="Times New Roman" w:hAnsi="Times New Roman"/>
          <w:sz w:val="20"/>
          <w:szCs w:val="20"/>
          <w:u w:val="single" w:color="auto"/>
          <w:color w:val="0000FF"/>
        </w:rPr>
        <w:t>SOFR</w:t>
      </w:r>
      <w:r>
        <w:rPr>
          <w:rFonts w:ascii="Times New Roman" w:cs="Times New Roman" w:eastAsia="Times New Roman" w:hAnsi="Times New Roman"/>
          <w:sz w:val="20"/>
          <w:szCs w:val="20"/>
          <w:color w:val="auto"/>
        </w:rPr>
        <w:t xml:space="preserve"> Loan or a CDOR Rate Loan, the duration of the Interest Period applicable thereto. A Notice of Borrowing received after 11:00 a.m. shall be deemed received on the next Business Day </w:t>
      </w:r>
      <w:r>
        <w:rPr>
          <w:rFonts w:ascii="Times New Roman" w:cs="Times New Roman" w:eastAsia="Times New Roman" w:hAnsi="Times New Roman"/>
          <w:sz w:val="20"/>
          <w:szCs w:val="20"/>
          <w:u w:val="single" w:color="auto"/>
          <w:color w:val="0000FF"/>
        </w:rPr>
        <w:t>or US Government Securities Business Day, as applicable</w:t>
      </w:r>
      <w:r>
        <w:rPr>
          <w:rFonts w:ascii="Times New Roman" w:cs="Times New Roman" w:eastAsia="Times New Roman" w:hAnsi="Times New Roman"/>
          <w:sz w:val="20"/>
          <w:szCs w:val="20"/>
          <w:color w:val="auto"/>
        </w:rPr>
        <w:t>. The Administrative Agent shall promptly notify the Revolving Credit Lenders of each Notice of Borrowing.</w:t>
      </w:r>
    </w:p>
    <w:p>
      <w:pPr>
        <w:spacing w:after="0" w:line="189" w:lineRule="exact"/>
        <w:rPr>
          <w:rFonts w:ascii="Times New Roman" w:cs="Times New Roman" w:eastAsia="Times New Roman" w:hAnsi="Times New Roman"/>
          <w:sz w:val="20"/>
          <w:szCs w:val="20"/>
          <w:color w:val="auto"/>
        </w:rPr>
      </w:pPr>
    </w:p>
    <w:p>
      <w:pPr>
        <w:jc w:val="both"/>
        <w:ind w:left="38" w:right="20" w:firstLine="646"/>
        <w:spacing w:after="0" w:line="225" w:lineRule="auto"/>
        <w:tabs>
          <w:tab w:leader="none" w:pos="1241" w:val="left"/>
        </w:tabs>
        <w:numPr>
          <w:ilvl w:val="1"/>
          <w:numId w:val="1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Disbursement of Revolving Credit and Swingline Loans</w:t>
      </w:r>
      <w:r>
        <w:rPr>
          <w:rFonts w:ascii="Times New Roman" w:cs="Times New Roman" w:eastAsia="Times New Roman" w:hAnsi="Times New Roman"/>
          <w:sz w:val="19"/>
          <w:szCs w:val="19"/>
          <w:color w:val="auto"/>
        </w:rPr>
        <w:t>. Not later than (i) 1:00 p.m. on the proposed borrowing date, each Revolving Credit Lender will make available to the Administrative Agent, for the account of the US Borrowers, at the office of the Administrative Agent in funds immediately available to the Administrative Agent (in Dollars), such Revolving Credit Lender’s Revolving</w:t>
      </w:r>
    </w:p>
    <w:p>
      <w:pPr>
        <w:ind w:left="38"/>
        <w:spacing w:after="0" w:line="198" w:lineRule="auto"/>
        <w:rPr>
          <w:sz w:val="20"/>
          <w:szCs w:val="20"/>
          <w:color w:val="auto"/>
        </w:rPr>
      </w:pPr>
      <w:r>
        <w:rPr>
          <w:rFonts w:ascii="Times New Roman" w:cs="Times New Roman" w:eastAsia="Times New Roman" w:hAnsi="Times New Roman"/>
          <w:sz w:val="20"/>
          <w:szCs w:val="20"/>
          <w:color w:val="auto"/>
        </w:rPr>
        <w:t>Credit Commitment Percentage of the US Revolving Credit Loans to be made on such borrowing date, (ii) 11:00</w:t>
      </w:r>
    </w:p>
    <w:p>
      <w:pPr>
        <w:spacing w:after="0" w:line="1" w:lineRule="exact"/>
        <w:rPr>
          <w:sz w:val="20"/>
          <w:szCs w:val="20"/>
          <w:color w:val="auto"/>
        </w:rPr>
      </w:pPr>
    </w:p>
    <w:p>
      <w:pPr>
        <w:ind w:left="38" w:hanging="2"/>
        <w:spacing w:after="0" w:line="228" w:lineRule="auto"/>
        <w:tabs>
          <w:tab w:leader="none" w:pos="583" w:val="left"/>
        </w:tabs>
        <w:numPr>
          <w:ilvl w:val="0"/>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the proposed borrowing date, each Revolving Credit Lender will make available to the Administrative Agent, for the account of the Canadian Borrowers, at the office of the Administrative Agent</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38"/>
        <w:spacing w:after="0"/>
        <w:rPr>
          <w:sz w:val="20"/>
          <w:szCs w:val="20"/>
          <w:color w:val="auto"/>
        </w:rPr>
      </w:pPr>
      <w:r>
        <w:rPr>
          <w:rFonts w:ascii="Times New Roman" w:cs="Times New Roman" w:eastAsia="Times New Roman" w:hAnsi="Times New Roman"/>
          <w:sz w:val="14"/>
          <w:szCs w:val="14"/>
          <w:color w:val="FF0000"/>
          <w:strike w:val="1"/>
        </w:rPr>
        <w:t>146960219_6</w:t>
      </w:r>
    </w:p>
    <w:p>
      <w:pPr>
        <w:spacing w:after="0" w:line="4" w:lineRule="exact"/>
        <w:rPr>
          <w:sz w:val="20"/>
          <w:szCs w:val="20"/>
          <w:color w:val="auto"/>
        </w:rPr>
      </w:pPr>
    </w:p>
    <w:p>
      <w:pPr>
        <w:ind w:left="338" w:hanging="338"/>
        <w:spacing w:after="0"/>
        <w:tabs>
          <w:tab w:leader="none" w:pos="338"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078"/>
          </w:cols>
          <w:pgMar w:left="382" w:top="1394" w:right="439" w:bottom="1440" w:gutter="0" w:footer="0" w:header="0"/>
        </w:sectPr>
      </w:pPr>
    </w:p>
    <w:bookmarkStart w:id="144" w:name="page145"/>
    <w:bookmarkEnd w:id="144"/>
    <w:p>
      <w:pPr>
        <w:ind w:left="58"/>
        <w:spacing w:after="0"/>
        <w:rPr>
          <w:sz w:val="20"/>
          <w:szCs w:val="20"/>
          <w:color w:val="auto"/>
        </w:rPr>
      </w:pPr>
      <w:r>
        <w:rPr>
          <w:rFonts w:ascii="Times New Roman" w:cs="Times New Roman" w:eastAsia="Times New Roman" w:hAnsi="Times New Roman"/>
          <w:sz w:val="20"/>
          <w:szCs w:val="20"/>
          <w:color w:val="auto"/>
        </w:rPr>
        <w:t>in funds immediately available to the Administrative Agent (in Canadian Dollars), such Revolving Credit Lender’s Revolving Credit</w:t>
      </w:r>
    </w:p>
    <w:p>
      <w:pPr>
        <w:ind w:left="58"/>
        <w:spacing w:after="0" w:line="204" w:lineRule="auto"/>
        <w:rPr>
          <w:sz w:val="20"/>
          <w:szCs w:val="20"/>
          <w:color w:val="auto"/>
        </w:rPr>
      </w:pPr>
      <w:r>
        <w:rPr>
          <w:rFonts w:ascii="Times New Roman" w:cs="Times New Roman" w:eastAsia="Times New Roman" w:hAnsi="Times New Roman"/>
          <w:sz w:val="20"/>
          <w:szCs w:val="20"/>
          <w:color w:val="auto"/>
        </w:rPr>
        <w:t>Commitment Percentage of the Canadian Revolving Credit Loans to be made on such borrowing date and (iii) 1:00 p.m. on the proposed borrowing date, the applicable Swingline Lender will make available to the Administrative Agent, for the account of the applicable</w:t>
      </w:r>
    </w:p>
    <w:p>
      <w:pPr>
        <w:ind w:left="58"/>
        <w:spacing w:after="0" w:line="211" w:lineRule="auto"/>
        <w:rPr>
          <w:sz w:val="20"/>
          <w:szCs w:val="20"/>
          <w:color w:val="auto"/>
        </w:rPr>
      </w:pPr>
      <w:r>
        <w:rPr>
          <w:rFonts w:ascii="Times New Roman" w:cs="Times New Roman" w:eastAsia="Times New Roman" w:hAnsi="Times New Roman"/>
          <w:sz w:val="20"/>
          <w:szCs w:val="20"/>
          <w:color w:val="auto"/>
        </w:rPr>
        <w:t>Borrower, at the office of the Administrative Agent in funds immediately available to the Administrative Agent (in the applicable</w:t>
      </w:r>
    </w:p>
    <w:p>
      <w:pPr>
        <w:spacing w:after="0" w:line="1" w:lineRule="exact"/>
        <w:rPr>
          <w:sz w:val="20"/>
          <w:szCs w:val="20"/>
          <w:color w:val="auto"/>
        </w:rPr>
      </w:pPr>
    </w:p>
    <w:p>
      <w:pPr>
        <w:ind w:left="58"/>
        <w:spacing w:after="0" w:line="215" w:lineRule="auto"/>
        <w:rPr>
          <w:sz w:val="20"/>
          <w:szCs w:val="20"/>
          <w:color w:val="auto"/>
        </w:rPr>
      </w:pPr>
      <w:r>
        <w:rPr>
          <w:rFonts w:ascii="Times New Roman" w:cs="Times New Roman" w:eastAsia="Times New Roman" w:hAnsi="Times New Roman"/>
          <w:sz w:val="19"/>
          <w:szCs w:val="19"/>
          <w:color w:val="auto"/>
        </w:rPr>
        <w:t>currency), the Swingline Loans to be made on such borrowing date. Each Borrower hereby irrevocably authorizes the Administrative Agent to disburse the proceeds of each borrowing requested pursuant to this Section in immediately available funds by crediting or wiring</w:t>
      </w:r>
    </w:p>
    <w:p>
      <w:pPr>
        <w:ind w:left="58"/>
        <w:spacing w:after="0" w:line="211" w:lineRule="auto"/>
        <w:rPr>
          <w:sz w:val="20"/>
          <w:szCs w:val="20"/>
          <w:color w:val="auto"/>
        </w:rPr>
      </w:pPr>
      <w:r>
        <w:rPr>
          <w:rFonts w:ascii="Times New Roman" w:cs="Times New Roman" w:eastAsia="Times New Roman" w:hAnsi="Times New Roman"/>
          <w:sz w:val="20"/>
          <w:szCs w:val="20"/>
          <w:color w:val="auto"/>
        </w:rPr>
        <w:t xml:space="preserve">such proceeds to the deposit account of such Borrower identified in the most recent notice substantially in the form attached as </w:t>
      </w:r>
      <w:r>
        <w:rPr>
          <w:rFonts w:ascii="Times New Roman" w:cs="Times New Roman" w:eastAsia="Times New Roman" w:hAnsi="Times New Roman"/>
          <w:sz w:val="20"/>
          <w:szCs w:val="20"/>
          <w:b w:val="1"/>
          <w:bCs w:val="1"/>
          <w:i w:val="1"/>
          <w:iCs w:val="1"/>
          <w:color w:val="auto"/>
        </w:rPr>
        <w:t>Exhibit C</w:t>
      </w:r>
    </w:p>
    <w:p>
      <w:pPr>
        <w:ind w:left="58"/>
        <w:spacing w:after="0" w:line="215" w:lineRule="auto"/>
        <w:rPr>
          <w:sz w:val="20"/>
          <w:szCs w:val="20"/>
          <w:color w:val="auto"/>
        </w:rPr>
      </w:pPr>
      <w:r>
        <w:rPr>
          <w:rFonts w:ascii="Times New Roman" w:cs="Times New Roman" w:eastAsia="Times New Roman" w:hAnsi="Times New Roman"/>
          <w:sz w:val="19"/>
          <w:szCs w:val="19"/>
          <w:color w:val="auto"/>
        </w:rPr>
        <w:t>(a “</w:t>
      </w:r>
      <w:r>
        <w:rPr>
          <w:rFonts w:ascii="Times New Roman" w:cs="Times New Roman" w:eastAsia="Times New Roman" w:hAnsi="Times New Roman"/>
          <w:sz w:val="19"/>
          <w:szCs w:val="19"/>
          <w:u w:val="single" w:color="auto"/>
          <w:color w:val="auto"/>
        </w:rPr>
        <w:t>Notice of Account Designation</w:t>
      </w:r>
      <w:r>
        <w:rPr>
          <w:rFonts w:ascii="Times New Roman" w:cs="Times New Roman" w:eastAsia="Times New Roman" w:hAnsi="Times New Roman"/>
          <w:sz w:val="19"/>
          <w:szCs w:val="19"/>
          <w:color w:val="auto"/>
        </w:rPr>
        <w:t xml:space="preserve">”) delivered by such Borrower to the Administrative Agent or as may be otherwise agreed upon by such Borrower and the Administrative Agent from time to time. Subject to </w:t>
      </w:r>
      <w:r>
        <w:rPr>
          <w:rFonts w:ascii="Times New Roman" w:cs="Times New Roman" w:eastAsia="Times New Roman" w:hAnsi="Times New Roman"/>
          <w:sz w:val="19"/>
          <w:szCs w:val="19"/>
          <w:u w:val="single" w:color="auto"/>
          <w:color w:val="auto"/>
        </w:rPr>
        <w:t>Section 5.7</w:t>
      </w:r>
      <w:r>
        <w:rPr>
          <w:rFonts w:ascii="Times New Roman" w:cs="Times New Roman" w:eastAsia="Times New Roman" w:hAnsi="Times New Roman"/>
          <w:sz w:val="19"/>
          <w:szCs w:val="19"/>
          <w:color w:val="auto"/>
        </w:rPr>
        <w:t xml:space="preserve"> hereof, the Administrative Agent shall not be obligated</w:t>
      </w:r>
    </w:p>
    <w:p>
      <w:pPr>
        <w:ind w:left="58"/>
        <w:spacing w:after="0" w:line="211" w:lineRule="auto"/>
        <w:rPr>
          <w:sz w:val="20"/>
          <w:szCs w:val="20"/>
          <w:color w:val="auto"/>
        </w:rPr>
      </w:pPr>
      <w:r>
        <w:rPr>
          <w:rFonts w:ascii="Times New Roman" w:cs="Times New Roman" w:eastAsia="Times New Roman" w:hAnsi="Times New Roman"/>
          <w:sz w:val="20"/>
          <w:szCs w:val="20"/>
          <w:color w:val="auto"/>
        </w:rPr>
        <w:t>to disburse the portion of the proceeds of any Revolving Credit Loan requested pursuant to this Section to the extent that any Revolving</w:t>
      </w:r>
    </w:p>
    <w:p>
      <w:pPr>
        <w:ind w:left="58"/>
        <w:spacing w:after="0" w:line="204" w:lineRule="auto"/>
        <w:rPr>
          <w:sz w:val="20"/>
          <w:szCs w:val="20"/>
          <w:color w:val="auto"/>
        </w:rPr>
      </w:pPr>
      <w:r>
        <w:rPr>
          <w:rFonts w:ascii="Times New Roman" w:cs="Times New Roman" w:eastAsia="Times New Roman" w:hAnsi="Times New Roman"/>
          <w:sz w:val="20"/>
          <w:szCs w:val="20"/>
          <w:color w:val="auto"/>
        </w:rPr>
        <w:t>Credit Lender has not made available to the Administrative Agent its Revolving Credit Commitment Percentage of such Loan. Revolving Credit Loans to be made for the purpose of refunding Swingline Loans shall be made by the Revolving Credit Lenders as provided in</w:t>
      </w:r>
    </w:p>
    <w:p>
      <w:pPr>
        <w:spacing w:after="0" w:line="1" w:lineRule="exact"/>
        <w:rPr>
          <w:sz w:val="20"/>
          <w:szCs w:val="20"/>
          <w:color w:val="auto"/>
        </w:rPr>
      </w:pPr>
    </w:p>
    <w:p>
      <w:pPr>
        <w:ind w:left="58"/>
        <w:spacing w:after="0"/>
        <w:rPr>
          <w:sz w:val="20"/>
          <w:szCs w:val="20"/>
          <w:color w:val="auto"/>
        </w:rPr>
      </w:pPr>
      <w:r>
        <w:rPr>
          <w:rFonts w:ascii="Times New Roman" w:cs="Times New Roman" w:eastAsia="Times New Roman" w:hAnsi="Times New Roman"/>
          <w:sz w:val="20"/>
          <w:szCs w:val="20"/>
          <w:u w:val="single" w:color="auto"/>
          <w:color w:val="auto"/>
        </w:rPr>
        <w:t>Section 2.2(b)</w:t>
      </w:r>
      <w:r>
        <w:rPr>
          <w:rFonts w:ascii="Times New Roman" w:cs="Times New Roman" w:eastAsia="Times New Roman" w:hAnsi="Times New Roman"/>
          <w:sz w:val="20"/>
          <w:szCs w:val="20"/>
          <w:color w:val="auto"/>
        </w:rPr>
        <w:t>.</w:t>
      </w:r>
    </w:p>
    <w:p>
      <w:pPr>
        <w:spacing w:after="0" w:line="261" w:lineRule="exact"/>
        <w:rPr>
          <w:sz w:val="20"/>
          <w:szCs w:val="20"/>
          <w:color w:val="auto"/>
        </w:rPr>
      </w:pPr>
    </w:p>
    <w:p>
      <w:pPr>
        <w:ind w:left="698"/>
        <w:spacing w:after="0"/>
        <w:tabs>
          <w:tab w:leader="none" w:pos="2018" w:val="left"/>
        </w:tabs>
        <w:rPr>
          <w:sz w:val="20"/>
          <w:szCs w:val="20"/>
          <w:color w:val="auto"/>
        </w:rPr>
      </w:pPr>
      <w:r>
        <w:rPr>
          <w:rFonts w:ascii="Times New Roman" w:cs="Times New Roman" w:eastAsia="Times New Roman" w:hAnsi="Times New Roman"/>
          <w:sz w:val="20"/>
          <w:szCs w:val="20"/>
          <w:color w:val="auto"/>
        </w:rPr>
        <w:t>SECTION 2.4</w:t>
      </w:r>
      <w:r>
        <w:rPr>
          <w:sz w:val="20"/>
          <w:szCs w:val="20"/>
          <w:color w:val="auto"/>
        </w:rPr>
        <w:tab/>
      </w:r>
      <w:r>
        <w:rPr>
          <w:rFonts w:ascii="Times New Roman" w:cs="Times New Roman" w:eastAsia="Times New Roman" w:hAnsi="Times New Roman"/>
          <w:sz w:val="19"/>
          <w:szCs w:val="19"/>
          <w:u w:val="single" w:color="auto"/>
          <w:color w:val="auto"/>
        </w:rPr>
        <w:t>Repayment and Prepayment of Revolving Credit and Swingline Loans</w:t>
      </w:r>
      <w:r>
        <w:rPr>
          <w:rFonts w:ascii="Times New Roman" w:cs="Times New Roman" w:eastAsia="Times New Roman" w:hAnsi="Times New Roman"/>
          <w:sz w:val="19"/>
          <w:szCs w:val="19"/>
          <w:color w:val="auto"/>
        </w:rPr>
        <w:t>.</w:t>
      </w:r>
    </w:p>
    <w:p>
      <w:pPr>
        <w:spacing w:after="0" w:line="283" w:lineRule="exact"/>
        <w:rPr>
          <w:sz w:val="20"/>
          <w:szCs w:val="20"/>
          <w:color w:val="auto"/>
        </w:rPr>
      </w:pPr>
    </w:p>
    <w:p>
      <w:pPr>
        <w:jc w:val="both"/>
        <w:ind w:left="58" w:firstLine="644"/>
        <w:spacing w:after="0" w:line="218" w:lineRule="auto"/>
        <w:tabs>
          <w:tab w:leader="none" w:pos="1236"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Repayment on Termination Date</w:t>
      </w:r>
      <w:r>
        <w:rPr>
          <w:rFonts w:ascii="Times New Roman" w:cs="Times New Roman" w:eastAsia="Times New Roman" w:hAnsi="Times New Roman"/>
          <w:sz w:val="20"/>
          <w:szCs w:val="20"/>
          <w:color w:val="auto"/>
        </w:rPr>
        <w:t xml:space="preserve">. Each Borrower hereby agrees to repay the outstanding principal amount of (i) all Revolving Credit Loans made to such Borrower in full on the Revolving Credit Maturity Date, and (ii) all Swingline Loans made to such Borrower in accordance with </w:t>
      </w:r>
      <w:r>
        <w:rPr>
          <w:rFonts w:ascii="Times New Roman" w:cs="Times New Roman" w:eastAsia="Times New Roman" w:hAnsi="Times New Roman"/>
          <w:sz w:val="20"/>
          <w:szCs w:val="20"/>
          <w:u w:val="single" w:color="auto"/>
          <w:color w:val="auto"/>
        </w:rPr>
        <w:t>Section 2.2(b)</w:t>
      </w:r>
      <w:r>
        <w:rPr>
          <w:rFonts w:ascii="Times New Roman" w:cs="Times New Roman" w:eastAsia="Times New Roman" w:hAnsi="Times New Roman"/>
          <w:sz w:val="20"/>
          <w:szCs w:val="20"/>
          <w:color w:val="auto"/>
        </w:rPr>
        <w:t xml:space="preserve"> (but, in any event, no later than the Revolving Credit Maturity Date), together, in each case, with all accrued but unpaid interest thereon.</w:t>
      </w:r>
    </w:p>
    <w:p>
      <w:pPr>
        <w:spacing w:after="0" w:line="203" w:lineRule="exact"/>
        <w:rPr>
          <w:rFonts w:ascii="Times New Roman" w:cs="Times New Roman" w:eastAsia="Times New Roman" w:hAnsi="Times New Roman"/>
          <w:sz w:val="20"/>
          <w:szCs w:val="20"/>
          <w:color w:val="auto"/>
        </w:rPr>
      </w:pPr>
    </w:p>
    <w:p>
      <w:pPr>
        <w:ind w:left="1338" w:hanging="636"/>
        <w:spacing w:after="0"/>
        <w:tabs>
          <w:tab w:leader="none" w:pos="1338"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Mandatory Prepayments</w:t>
      </w:r>
      <w:r>
        <w:rPr>
          <w:rFonts w:ascii="Times New Roman" w:cs="Times New Roman" w:eastAsia="Times New Roman" w:hAnsi="Times New Roman"/>
          <w:sz w:val="20"/>
          <w:szCs w:val="20"/>
          <w:color w:val="auto"/>
        </w:rPr>
        <w:t>.</w:t>
      </w:r>
    </w:p>
    <w:p>
      <w:pPr>
        <w:spacing w:after="0" w:line="269" w:lineRule="exact"/>
        <w:rPr>
          <w:rFonts w:ascii="Times New Roman" w:cs="Times New Roman" w:eastAsia="Times New Roman" w:hAnsi="Times New Roman"/>
          <w:sz w:val="20"/>
          <w:szCs w:val="20"/>
          <w:color w:val="auto"/>
        </w:rPr>
      </w:pPr>
    </w:p>
    <w:p>
      <w:pPr>
        <w:jc w:val="both"/>
        <w:ind w:left="698" w:firstLine="652"/>
        <w:spacing w:after="0" w:line="212" w:lineRule="auto"/>
        <w:tabs>
          <w:tab w:leader="none" w:pos="1887" w:val="left"/>
        </w:tabs>
        <w:numPr>
          <w:ilvl w:val="1"/>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at any time the Revolving Credit Outstandings exceed the Revolving Credit Commitment (as a result of currency fluctuations or otherwise), each applicable Borrower agrees to repay immediately upon notice from the Administrative Agent, by payment to the Administrative Agent for the account of the Revolving Credit Lenders, Extensions of Credit in an amount equal to such excess with each such repayment applied </w:t>
      </w:r>
      <w:r>
        <w:rPr>
          <w:rFonts w:ascii="Times New Roman" w:cs="Times New Roman" w:eastAsia="Times New Roman" w:hAnsi="Times New Roman"/>
          <w:sz w:val="20"/>
          <w:szCs w:val="20"/>
          <w:u w:val="single" w:color="auto"/>
          <w:color w:val="auto"/>
        </w:rPr>
        <w:t>first</w:t>
      </w:r>
      <w:r>
        <w:rPr>
          <w:rFonts w:ascii="Times New Roman" w:cs="Times New Roman" w:eastAsia="Times New Roman" w:hAnsi="Times New Roman"/>
          <w:sz w:val="20"/>
          <w:szCs w:val="20"/>
          <w:color w:val="auto"/>
        </w:rPr>
        <w:t xml:space="preserve">, to the principal amount of outstanding US Swingline Loans, </w:t>
      </w: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xml:space="preserve">, to the principal amount of outstanding Canadian Swingline Loans, </w:t>
      </w:r>
      <w:r>
        <w:rPr>
          <w:rFonts w:ascii="Times New Roman" w:cs="Times New Roman" w:eastAsia="Times New Roman" w:hAnsi="Times New Roman"/>
          <w:sz w:val="20"/>
          <w:szCs w:val="20"/>
          <w:u w:val="single" w:color="auto"/>
          <w:color w:val="auto"/>
        </w:rPr>
        <w:t>third</w:t>
      </w:r>
      <w:r>
        <w:rPr>
          <w:rFonts w:ascii="Times New Roman" w:cs="Times New Roman" w:eastAsia="Times New Roman" w:hAnsi="Times New Roman"/>
          <w:sz w:val="20"/>
          <w:szCs w:val="20"/>
          <w:color w:val="auto"/>
        </w:rPr>
        <w:t xml:space="preserve"> to the principal amount of outstanding US Revolving Credit Loans, </w:t>
      </w:r>
      <w:r>
        <w:rPr>
          <w:rFonts w:ascii="Times New Roman" w:cs="Times New Roman" w:eastAsia="Times New Roman" w:hAnsi="Times New Roman"/>
          <w:sz w:val="20"/>
          <w:szCs w:val="20"/>
          <w:u w:val="single" w:color="auto"/>
          <w:color w:val="auto"/>
        </w:rPr>
        <w:t>fourth</w:t>
      </w:r>
      <w:r>
        <w:rPr>
          <w:rFonts w:ascii="Times New Roman" w:cs="Times New Roman" w:eastAsia="Times New Roman" w:hAnsi="Times New Roman"/>
          <w:sz w:val="20"/>
          <w:szCs w:val="20"/>
          <w:color w:val="auto"/>
        </w:rPr>
        <w:t xml:space="preserve">, to the principal amount of outstanding Canadian Revolving Credit Loans and </w:t>
      </w:r>
      <w:r>
        <w:rPr>
          <w:rFonts w:ascii="Times New Roman" w:cs="Times New Roman" w:eastAsia="Times New Roman" w:hAnsi="Times New Roman"/>
          <w:sz w:val="20"/>
          <w:szCs w:val="20"/>
          <w:u w:val="single" w:color="auto"/>
          <w:color w:val="auto"/>
        </w:rPr>
        <w:t>fifth</w:t>
      </w:r>
      <w:r>
        <w:rPr>
          <w:rFonts w:ascii="Times New Roman" w:cs="Times New Roman" w:eastAsia="Times New Roman" w:hAnsi="Times New Roman"/>
          <w:sz w:val="20"/>
          <w:szCs w:val="20"/>
          <w:color w:val="auto"/>
        </w:rPr>
        <w:t xml:space="preserve">, with respect to any Letters of Credit then outstanding, a payment of Cash Collateral into a Cash Collateral account opened by the Administrative Agent, for the benefit of the Revolving Credit Lenders, in an amount equal to such excess (such Cash Collateral to be applied, upon the occurrence and during the continuance of an Event of Default, in accordance with </w:t>
      </w:r>
      <w:r>
        <w:rPr>
          <w:rFonts w:ascii="Times New Roman" w:cs="Times New Roman" w:eastAsia="Times New Roman" w:hAnsi="Times New Roman"/>
          <w:sz w:val="20"/>
          <w:szCs w:val="20"/>
          <w:u w:val="single" w:color="auto"/>
          <w:color w:val="auto"/>
        </w:rPr>
        <w:t>Section 10.2(b)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any US Borrower is required to make a payment of Cash Collateral pursuant to the terms of this </w:t>
      </w:r>
      <w:r>
        <w:rPr>
          <w:rFonts w:ascii="Times New Roman" w:cs="Times New Roman" w:eastAsia="Times New Roman" w:hAnsi="Times New Roman"/>
          <w:sz w:val="20"/>
          <w:szCs w:val="20"/>
          <w:u w:val="single" w:color="auto"/>
          <w:color w:val="auto"/>
        </w:rPr>
        <w:t>Section 2.4(b)(i)</w:t>
      </w:r>
      <w:r>
        <w:rPr>
          <w:rFonts w:ascii="Times New Roman" w:cs="Times New Roman" w:eastAsia="Times New Roman" w:hAnsi="Times New Roman"/>
          <w:sz w:val="20"/>
          <w:szCs w:val="20"/>
          <w:color w:val="auto"/>
        </w:rPr>
        <w:t xml:space="preserve"> as a result of any such excess, such amount (to the extent not applied in accordance with </w:t>
      </w:r>
      <w:r>
        <w:rPr>
          <w:rFonts w:ascii="Times New Roman" w:cs="Times New Roman" w:eastAsia="Times New Roman" w:hAnsi="Times New Roman"/>
          <w:sz w:val="20"/>
          <w:szCs w:val="20"/>
          <w:u w:val="single" w:color="auto"/>
          <w:color w:val="auto"/>
        </w:rPr>
        <w:t>Section 10.2(b)</w:t>
      </w:r>
      <w:r>
        <w:rPr>
          <w:rFonts w:ascii="Times New Roman" w:cs="Times New Roman" w:eastAsia="Times New Roman" w:hAnsi="Times New Roman"/>
          <w:sz w:val="20"/>
          <w:szCs w:val="20"/>
          <w:color w:val="auto"/>
        </w:rPr>
        <w:t>) shall be returned to such US Borrower within three Business Days after such excess ceases to exist.</w:t>
      </w:r>
    </w:p>
    <w:p>
      <w:pPr>
        <w:spacing w:after="0" w:line="194" w:lineRule="exact"/>
        <w:rPr>
          <w:rFonts w:ascii="Times New Roman" w:cs="Times New Roman" w:eastAsia="Times New Roman" w:hAnsi="Times New Roman"/>
          <w:sz w:val="20"/>
          <w:szCs w:val="20"/>
          <w:color w:val="auto"/>
        </w:rPr>
      </w:pPr>
    </w:p>
    <w:p>
      <w:pPr>
        <w:ind w:left="1978" w:hanging="628"/>
        <w:spacing w:after="0"/>
        <w:tabs>
          <w:tab w:leader="none" w:pos="1978" w:val="left"/>
        </w:tabs>
        <w:numPr>
          <w:ilvl w:val="1"/>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[intentionally omitted].</w:t>
      </w:r>
    </w:p>
    <w:p>
      <w:pPr>
        <w:spacing w:after="0" w:line="215" w:lineRule="exact"/>
        <w:rPr>
          <w:rFonts w:ascii="Times New Roman" w:cs="Times New Roman" w:eastAsia="Times New Roman" w:hAnsi="Times New Roman"/>
          <w:sz w:val="20"/>
          <w:szCs w:val="20"/>
          <w:color w:val="auto"/>
        </w:rPr>
      </w:pPr>
    </w:p>
    <w:p>
      <w:pPr>
        <w:jc w:val="both"/>
        <w:ind w:left="698" w:firstLine="651"/>
        <w:spacing w:after="0" w:line="226" w:lineRule="auto"/>
        <w:tabs>
          <w:tab w:leader="none" w:pos="1874" w:val="left"/>
        </w:tabs>
        <w:numPr>
          <w:ilvl w:val="1"/>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at any time Swingline Loans outstanding at such time exceed the Swingline Commitment (as a result of currency fluctuations or otherwise), the applicable Borrower or Borrowers agree to repay within one (1) Business Day following receipt of notice from the Administrative Agent, by payment to the Administrative Agent for the account of the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38"/>
        <w:spacing w:after="0"/>
        <w:rPr>
          <w:sz w:val="20"/>
          <w:szCs w:val="20"/>
          <w:color w:val="auto"/>
        </w:rPr>
      </w:pPr>
      <w:r>
        <w:rPr>
          <w:rFonts w:ascii="Times New Roman" w:cs="Times New Roman" w:eastAsia="Times New Roman" w:hAnsi="Times New Roman"/>
          <w:sz w:val="14"/>
          <w:szCs w:val="14"/>
          <w:color w:val="FF0000"/>
          <w:strike w:val="1"/>
        </w:rPr>
        <w:t>146960219_6</w:t>
      </w:r>
    </w:p>
    <w:p>
      <w:pPr>
        <w:ind w:left="338" w:hanging="338"/>
        <w:spacing w:after="0" w:line="229" w:lineRule="auto"/>
        <w:tabs>
          <w:tab w:leader="none" w:pos="338"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078"/>
          </w:cols>
          <w:pgMar w:left="382" w:top="1394" w:right="439" w:bottom="1440" w:gutter="0" w:footer="0" w:header="0"/>
        </w:sectPr>
      </w:pPr>
    </w:p>
    <w:bookmarkStart w:id="145" w:name="page146"/>
    <w:bookmarkEnd w:id="145"/>
    <w:p>
      <w:pPr>
        <w:spacing w:after="0" w:line="203" w:lineRule="exact"/>
        <w:rPr>
          <w:sz w:val="20"/>
          <w:szCs w:val="20"/>
          <w:color w:val="auto"/>
        </w:rPr>
      </w:pPr>
    </w:p>
    <w:p>
      <w:pPr>
        <w:ind w:left="698" w:right="960"/>
        <w:spacing w:after="0"/>
        <w:rPr>
          <w:sz w:val="20"/>
          <w:szCs w:val="20"/>
          <w:color w:val="auto"/>
        </w:rPr>
      </w:pPr>
      <w:r>
        <w:rPr>
          <w:rFonts w:ascii="Times New Roman" w:cs="Times New Roman" w:eastAsia="Times New Roman" w:hAnsi="Times New Roman"/>
          <w:sz w:val="20"/>
          <w:szCs w:val="20"/>
          <w:color w:val="auto"/>
        </w:rPr>
        <w:t>Swingline Lender, Swingline Loans in an amount equal to such excess with each such repayment applied ratably to the outstanding Swingline Loans.</w:t>
      </w:r>
    </w:p>
    <w:p>
      <w:pPr>
        <w:spacing w:after="0" w:line="188" w:lineRule="exact"/>
        <w:rPr>
          <w:sz w:val="20"/>
          <w:szCs w:val="20"/>
          <w:color w:val="auto"/>
        </w:rPr>
      </w:pPr>
    </w:p>
    <w:p>
      <w:pPr>
        <w:jc w:val="both"/>
        <w:ind w:left="698" w:firstLine="652"/>
        <w:spacing w:after="0" w:line="216" w:lineRule="auto"/>
        <w:tabs>
          <w:tab w:leader="none" w:pos="1885" w:val="left"/>
        </w:tabs>
        <w:numPr>
          <w:ilvl w:val="1"/>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at any time Letters of Credit outstanding at such time exceed the L/C Sublimit (as a result of currency fluctuations or otherwise), the applicable Borrower or Borrowers agree to Cash Collateralize the amount of such excess (such Cash Collateral to be applied, upon the occurrence and during the continuance of an Event of Default, in accordance with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10.2(b)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any Borrower is required to make a payment of Cash Collateral pursuant to the terms of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2.4(b)(iv)</w:t>
      </w:r>
      <w:r>
        <w:rPr>
          <w:rFonts w:ascii="Times New Roman" w:cs="Times New Roman" w:eastAsia="Times New Roman" w:hAnsi="Times New Roman"/>
          <w:sz w:val="20"/>
          <w:szCs w:val="20"/>
          <w:color w:val="auto"/>
        </w:rPr>
        <w:t xml:space="preserve"> as a result of any such excess, such amount (to the extent not applied in accordance with </w:t>
      </w:r>
      <w:r>
        <w:rPr>
          <w:rFonts w:ascii="Times New Roman" w:cs="Times New Roman" w:eastAsia="Times New Roman" w:hAnsi="Times New Roman"/>
          <w:sz w:val="20"/>
          <w:szCs w:val="20"/>
          <w:u w:val="single" w:color="auto"/>
          <w:color w:val="auto"/>
        </w:rPr>
        <w:t>Section 10.2(b)</w:t>
      </w:r>
      <w:r>
        <w:rPr>
          <w:rFonts w:ascii="Times New Roman" w:cs="Times New Roman" w:eastAsia="Times New Roman" w:hAnsi="Times New Roman"/>
          <w:sz w:val="20"/>
          <w:szCs w:val="20"/>
          <w:color w:val="auto"/>
        </w:rPr>
        <w:t>) shall be returned to such Borrower within three Business Days after such excess ceases to exist.</w:t>
      </w:r>
    </w:p>
    <w:p>
      <w:pPr>
        <w:spacing w:after="0" w:line="189" w:lineRule="exact"/>
        <w:rPr>
          <w:rFonts w:ascii="Times New Roman" w:cs="Times New Roman" w:eastAsia="Times New Roman" w:hAnsi="Times New Roman"/>
          <w:sz w:val="20"/>
          <w:szCs w:val="20"/>
          <w:color w:val="auto"/>
        </w:rPr>
      </w:pPr>
    </w:p>
    <w:p>
      <w:pPr>
        <w:jc w:val="both"/>
        <w:ind w:left="58" w:firstLine="644"/>
        <w:spacing w:after="0" w:line="210" w:lineRule="auto"/>
        <w:tabs>
          <w:tab w:leader="none" w:pos="1234" w:val="left"/>
        </w:tabs>
        <w:numPr>
          <w:ilvl w:val="0"/>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Optional Prepayments</w:t>
      </w:r>
      <w:r>
        <w:rPr>
          <w:rFonts w:ascii="Times New Roman" w:cs="Times New Roman" w:eastAsia="Times New Roman" w:hAnsi="Times New Roman"/>
          <w:sz w:val="20"/>
          <w:szCs w:val="20"/>
          <w:color w:val="auto"/>
        </w:rPr>
        <w:t xml:space="preserve">. The Borrowers may at any time and from time to time prepay Revolving Credit Loans and Swingline Loans, in whole or in part, without premium or penalty, with irrevocable prior written notice to the Administrative Agent substantially in the form attached as </w:t>
      </w:r>
      <w:r>
        <w:rPr>
          <w:rFonts w:ascii="Times New Roman" w:cs="Times New Roman" w:eastAsia="Times New Roman" w:hAnsi="Times New Roman"/>
          <w:sz w:val="20"/>
          <w:szCs w:val="20"/>
          <w:b w:val="1"/>
          <w:bCs w:val="1"/>
          <w:i w:val="1"/>
          <w:iCs w:val="1"/>
          <w:color w:val="auto"/>
        </w:rPr>
        <w:t>Exhibit D</w:t>
      </w:r>
      <w:r>
        <w:rPr>
          <w:rFonts w:ascii="Times New Roman" w:cs="Times New Roman" w:eastAsia="Times New Roman" w:hAnsi="Times New Roman"/>
          <w:sz w:val="20"/>
          <w:szCs w:val="20"/>
          <w:color w:val="auto"/>
        </w:rPr>
        <w:t xml:space="preserve"> (a “</w:t>
      </w:r>
      <w:r>
        <w:rPr>
          <w:rFonts w:ascii="Times New Roman" w:cs="Times New Roman" w:eastAsia="Times New Roman" w:hAnsi="Times New Roman"/>
          <w:sz w:val="20"/>
          <w:szCs w:val="20"/>
          <w:u w:val="single" w:color="auto"/>
          <w:color w:val="auto"/>
        </w:rPr>
        <w:t>Notice of Prepayment</w:t>
      </w:r>
      <w:r>
        <w:rPr>
          <w:rFonts w:ascii="Times New Roman" w:cs="Times New Roman" w:eastAsia="Times New Roman" w:hAnsi="Times New Roman"/>
          <w:sz w:val="20"/>
          <w:szCs w:val="20"/>
          <w:color w:val="auto"/>
        </w:rPr>
        <w:t xml:space="preserve">”) given not later than 11:00 a.m. (i) on the same Business Day as each Base Rate Loan, each Canadian Swingline Loan and each US Swingline Loan, (ii) at least one (1) Business Day before each Canadian Base Rate Loan, (iii) at least three (3) </w:t>
      </w:r>
      <w:r>
        <w:rPr>
          <w:rFonts w:ascii="Times New Roman" w:cs="Times New Roman" w:eastAsia="Times New Roman" w:hAnsi="Times New Roman"/>
          <w:sz w:val="20"/>
          <w:szCs w:val="20"/>
          <w:u w:val="single" w:color="auto"/>
          <w:color w:val="0000FF"/>
        </w:rPr>
        <w:t>US Government Securities</w:t>
      </w:r>
      <w:r>
        <w:rPr>
          <w:rFonts w:ascii="Times New Roman" w:cs="Times New Roman" w:eastAsia="Times New Roman" w:hAnsi="Times New Roman"/>
          <w:sz w:val="20"/>
          <w:szCs w:val="20"/>
          <w:color w:val="auto"/>
        </w:rPr>
        <w:t xml:space="preserve"> Business Days before each </w:t>
      </w:r>
      <w:r>
        <w:rPr>
          <w:rFonts w:ascii="Times New Roman" w:cs="Times New Roman" w:eastAsia="Times New Roman" w:hAnsi="Times New Roman"/>
          <w:sz w:val="20"/>
          <w:szCs w:val="20"/>
          <w:color w:val="FF0000"/>
          <w:strike w:val="1"/>
        </w:rPr>
        <w:t>LIBOR Rate</w:t>
      </w:r>
      <w:r>
        <w:rPr>
          <w:rFonts w:ascii="Times New Roman" w:cs="Times New Roman" w:eastAsia="Times New Roman" w:hAnsi="Times New Roman"/>
          <w:sz w:val="20"/>
          <w:szCs w:val="20"/>
          <w:u w:val="single" w:color="auto"/>
          <w:color w:val="0000FF"/>
        </w:rPr>
        <w:t>SOFR</w:t>
      </w:r>
      <w:r>
        <w:rPr>
          <w:rFonts w:ascii="Times New Roman" w:cs="Times New Roman" w:eastAsia="Times New Roman" w:hAnsi="Times New Roman"/>
          <w:sz w:val="20"/>
          <w:szCs w:val="20"/>
          <w:color w:val="auto"/>
        </w:rPr>
        <w:t xml:space="preserve"> Loan and (iv) at least four (4) Business Days before each CDOR Rate Loan, specifying the date and amount of prepayment and whether the prepayment is of </w:t>
      </w:r>
      <w:r>
        <w:rPr>
          <w:rFonts w:ascii="Times New Roman" w:cs="Times New Roman" w:eastAsia="Times New Roman" w:hAnsi="Times New Roman"/>
          <w:sz w:val="20"/>
          <w:szCs w:val="20"/>
          <w:color w:val="FF0000"/>
          <w:strike w:val="1"/>
        </w:rPr>
        <w:t>LIBOR Rate</w:t>
      </w:r>
      <w:r>
        <w:rPr>
          <w:rFonts w:ascii="Times New Roman" w:cs="Times New Roman" w:eastAsia="Times New Roman" w:hAnsi="Times New Roman"/>
          <w:sz w:val="20"/>
          <w:szCs w:val="20"/>
          <w:u w:val="single" w:color="auto"/>
          <w:color w:val="0000FF"/>
        </w:rPr>
        <w:t>SOFR</w:t>
      </w:r>
      <w:r>
        <w:rPr>
          <w:rFonts w:ascii="Times New Roman" w:cs="Times New Roman" w:eastAsia="Times New Roman" w:hAnsi="Times New Roman"/>
          <w:sz w:val="20"/>
          <w:szCs w:val="20"/>
          <w:color w:val="auto"/>
        </w:rPr>
        <w:t xml:space="preserve"> Loans, Base Rate Loans, Canadian Base Rate Loans, CDOR Rate Loans, US Swingline Loans, Canadian Swingline Loans or a combination thereof, and, if of a combination thereof, the amount allocable to each. Upon receipt of such notice, the Administrative Agent shall promptly notify each Revolving Credit Lender. If any such notice is given, the amount specified in such notice shall be due and payable on the date set forth in such notice. Partial prepayments shall be in an aggregate amount of $1,000,000 (or C$1,000,000) or a whole multiple of $500,000 (or C$500,000) in excess thereof with respect to Base Rate Loans (other than Swingline Loans) and Canadian Revolving Credit Loans, $2,000,000 or a whole multiple of $500,000 in excess thereof with respect to </w:t>
      </w:r>
      <w:r>
        <w:rPr>
          <w:rFonts w:ascii="Times New Roman" w:cs="Times New Roman" w:eastAsia="Times New Roman" w:hAnsi="Times New Roman"/>
          <w:sz w:val="20"/>
          <w:szCs w:val="20"/>
          <w:color w:val="FF0000"/>
          <w:strike w:val="1"/>
        </w:rPr>
        <w:t>LIBOR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FF0000"/>
          <w:strike w:val="1"/>
        </w:rPr>
        <w:t>Rate</w:t>
      </w:r>
      <w:r>
        <w:rPr>
          <w:rFonts w:ascii="Times New Roman" w:cs="Times New Roman" w:eastAsia="Times New Roman" w:hAnsi="Times New Roman"/>
          <w:sz w:val="20"/>
          <w:szCs w:val="20"/>
          <w:u w:val="single" w:color="auto"/>
          <w:color w:val="0000FF"/>
        </w:rPr>
        <w:t>SOFR</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Loans and $100,000 (or C$100,000) or a whole multiple of $100,000 (or C$100,000) in excess thereof with respect to</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 xml:space="preserve">Swingline Loans. A Notice of Prepayment received after 11:00 a.m. shall be deemed received on the next Business Day </w:t>
      </w:r>
      <w:r>
        <w:rPr>
          <w:rFonts w:ascii="Times New Roman" w:cs="Times New Roman" w:eastAsia="Times New Roman" w:hAnsi="Times New Roman"/>
          <w:sz w:val="20"/>
          <w:szCs w:val="20"/>
          <w:u w:val="single" w:color="auto"/>
          <w:color w:val="0000FF"/>
        </w:rPr>
        <w:t>or US</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00FF"/>
        </w:rPr>
        <w:t>Government Securities Business Day, as applicable</w:t>
      </w:r>
      <w:r>
        <w:rPr>
          <w:rFonts w:ascii="Times New Roman" w:cs="Times New Roman" w:eastAsia="Times New Roman" w:hAnsi="Times New Roman"/>
          <w:sz w:val="20"/>
          <w:szCs w:val="20"/>
          <w:color w:val="000000"/>
        </w:rPr>
        <w:t>. Each such repayment shall be accompanied by any amount required to be paid</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 xml:space="preserve">pursuant to </w:t>
      </w:r>
      <w:r>
        <w:rPr>
          <w:rFonts w:ascii="Times New Roman" w:cs="Times New Roman" w:eastAsia="Times New Roman" w:hAnsi="Times New Roman"/>
          <w:sz w:val="20"/>
          <w:szCs w:val="20"/>
          <w:u w:val="single" w:color="auto"/>
          <w:color w:val="000000"/>
        </w:rPr>
        <w:t>Section 5.9</w:t>
      </w:r>
      <w:r>
        <w:rPr>
          <w:rFonts w:ascii="Times New Roman" w:cs="Times New Roman" w:eastAsia="Times New Roman" w:hAnsi="Times New Roman"/>
          <w:sz w:val="20"/>
          <w:szCs w:val="20"/>
          <w:color w:val="000000"/>
        </w:rPr>
        <w:t xml:space="preserve"> hereof. Notwithstanding the foregoing, any Notice of Prepayment delivered in connection with any refinancing of all of the Credit Facility with the proceeds of such refinancing or of any incurrence of Indebtedness, may be, if expressly so stated to be, contingent upon the consummation of such refinancing or incurrence and may be revoked by the Borrowers in the event such refinancing is not consummated (</w:t>
      </w:r>
      <w:r>
        <w:rPr>
          <w:rFonts w:ascii="Times New Roman" w:cs="Times New Roman" w:eastAsia="Times New Roman" w:hAnsi="Times New Roman"/>
          <w:sz w:val="20"/>
          <w:szCs w:val="20"/>
          <w:u w:val="single" w:color="auto"/>
          <w:color w:val="000000"/>
        </w:rPr>
        <w:t>provided</w:t>
      </w:r>
      <w:r>
        <w:rPr>
          <w:rFonts w:ascii="Times New Roman" w:cs="Times New Roman" w:eastAsia="Times New Roman" w:hAnsi="Times New Roman"/>
          <w:sz w:val="20"/>
          <w:szCs w:val="20"/>
          <w:color w:val="000000"/>
        </w:rPr>
        <w:t xml:space="preserve"> that the failure of such contingency shall not relieve any Borrower from its obligations in respect thereof under </w:t>
      </w:r>
      <w:r>
        <w:rPr>
          <w:rFonts w:ascii="Times New Roman" w:cs="Times New Roman" w:eastAsia="Times New Roman" w:hAnsi="Times New Roman"/>
          <w:sz w:val="20"/>
          <w:szCs w:val="20"/>
          <w:u w:val="single" w:color="auto"/>
          <w:color w:val="000000"/>
        </w:rPr>
        <w:t>Section 5.9</w:t>
      </w:r>
      <w:r>
        <w:rPr>
          <w:rFonts w:ascii="Times New Roman" w:cs="Times New Roman" w:eastAsia="Times New Roman" w:hAnsi="Times New Roman"/>
          <w:sz w:val="20"/>
          <w:szCs w:val="20"/>
          <w:color w:val="000000"/>
        </w:rPr>
        <w:t>).</w:t>
      </w:r>
    </w:p>
    <w:p>
      <w:pPr>
        <w:spacing w:after="0" w:line="241" w:lineRule="exact"/>
        <w:rPr>
          <w:rFonts w:ascii="Times New Roman" w:cs="Times New Roman" w:eastAsia="Times New Roman" w:hAnsi="Times New Roman"/>
          <w:sz w:val="20"/>
          <w:szCs w:val="20"/>
          <w:color w:val="auto"/>
        </w:rPr>
      </w:pPr>
    </w:p>
    <w:p>
      <w:pPr>
        <w:jc w:val="both"/>
        <w:ind w:left="58" w:firstLine="644"/>
        <w:spacing w:after="0" w:line="222" w:lineRule="auto"/>
        <w:tabs>
          <w:tab w:leader="none" w:pos="1236" w:val="left"/>
        </w:tabs>
        <w:numPr>
          <w:ilvl w:val="0"/>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Prepayment of Excess Proceeds</w:t>
      </w:r>
      <w:r>
        <w:rPr>
          <w:rFonts w:ascii="Times New Roman" w:cs="Times New Roman" w:eastAsia="Times New Roman" w:hAnsi="Times New Roman"/>
          <w:sz w:val="20"/>
          <w:szCs w:val="20"/>
          <w:color w:val="auto"/>
        </w:rPr>
        <w:t xml:space="preserve">. In the event proceeds remain after the prepayments of Term Loan Facility pursuant to </w:t>
      </w:r>
      <w:r>
        <w:rPr>
          <w:rFonts w:ascii="Times New Roman" w:cs="Times New Roman" w:eastAsia="Times New Roman" w:hAnsi="Times New Roman"/>
          <w:sz w:val="20"/>
          <w:szCs w:val="20"/>
          <w:u w:val="single" w:color="auto"/>
          <w:color w:val="auto"/>
        </w:rPr>
        <w:t>Section 4.4(b)</w:t>
      </w:r>
      <w:r>
        <w:rPr>
          <w:rFonts w:ascii="Times New Roman" w:cs="Times New Roman" w:eastAsia="Times New Roman" w:hAnsi="Times New Roman"/>
          <w:sz w:val="20"/>
          <w:szCs w:val="20"/>
          <w:color w:val="auto"/>
        </w:rPr>
        <w:t xml:space="preserve">, the amount of such excess proceeds shall be used on the date of the required prepayment under </w:t>
      </w:r>
      <w:r>
        <w:rPr>
          <w:rFonts w:ascii="Times New Roman" w:cs="Times New Roman" w:eastAsia="Times New Roman" w:hAnsi="Times New Roman"/>
          <w:sz w:val="20"/>
          <w:szCs w:val="20"/>
          <w:u w:val="single" w:color="auto"/>
          <w:color w:val="auto"/>
        </w:rPr>
        <w:t>Section 4.4(b)</w:t>
      </w:r>
      <w:r>
        <w:rPr>
          <w:rFonts w:ascii="Times New Roman" w:cs="Times New Roman" w:eastAsia="Times New Roman" w:hAnsi="Times New Roman"/>
          <w:sz w:val="20"/>
          <w:szCs w:val="20"/>
          <w:color w:val="auto"/>
        </w:rPr>
        <w:t xml:space="preserve"> to prepay the outstanding principal amount of the Revolving Credit Loans, without a corresponding reduction of the Revolving Credit Commitment, with remaining proceeds, if any, refunded to the Borrowers.</w:t>
      </w:r>
    </w:p>
    <w:p>
      <w:pPr>
        <w:spacing w:after="0" w:line="188" w:lineRule="exact"/>
        <w:rPr>
          <w:rFonts w:ascii="Times New Roman" w:cs="Times New Roman" w:eastAsia="Times New Roman" w:hAnsi="Times New Roman"/>
          <w:sz w:val="20"/>
          <w:szCs w:val="20"/>
          <w:color w:val="auto"/>
        </w:rPr>
      </w:pPr>
    </w:p>
    <w:p>
      <w:pPr>
        <w:jc w:val="both"/>
        <w:ind w:left="58" w:firstLine="644"/>
        <w:spacing w:after="0" w:line="230" w:lineRule="auto"/>
        <w:tabs>
          <w:tab w:leader="none" w:pos="1234" w:val="left"/>
        </w:tabs>
        <w:numPr>
          <w:ilvl w:val="0"/>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Limitation on Prepayment of </w:t>
      </w:r>
      <w:r>
        <w:rPr>
          <w:rFonts w:ascii="Times New Roman" w:cs="Times New Roman" w:eastAsia="Times New Roman" w:hAnsi="Times New Roman"/>
          <w:sz w:val="20"/>
          <w:szCs w:val="20"/>
          <w:color w:val="FF0000"/>
          <w:strike w:val="1"/>
        </w:rPr>
        <w:t>LIBOR Rate</w:t>
      </w:r>
      <w:r>
        <w:rPr>
          <w:rFonts w:ascii="Times New Roman" w:cs="Times New Roman" w:eastAsia="Times New Roman" w:hAnsi="Times New Roman"/>
          <w:sz w:val="20"/>
          <w:szCs w:val="20"/>
          <w:u w:val="single" w:color="auto"/>
          <w:color w:val="0000FF"/>
        </w:rPr>
        <w:t>SOFR</w:t>
      </w:r>
      <w:r>
        <w:rPr>
          <w:rFonts w:ascii="Times New Roman" w:cs="Times New Roman" w:eastAsia="Times New Roman" w:hAnsi="Times New Roman"/>
          <w:sz w:val="20"/>
          <w:szCs w:val="20"/>
          <w:color w:val="auto"/>
        </w:rPr>
        <w:t xml:space="preserve"> Loans. The Borrowers may not prepay any </w:t>
      </w:r>
      <w:r>
        <w:rPr>
          <w:rFonts w:ascii="Times New Roman" w:cs="Times New Roman" w:eastAsia="Times New Roman" w:hAnsi="Times New Roman"/>
          <w:sz w:val="20"/>
          <w:szCs w:val="20"/>
          <w:color w:val="FF0000"/>
          <w:strike w:val="1"/>
        </w:rPr>
        <w:t>LIBOR Rate</w:t>
      </w:r>
      <w:r>
        <w:rPr>
          <w:rFonts w:ascii="Times New Roman" w:cs="Times New Roman" w:eastAsia="Times New Roman" w:hAnsi="Times New Roman"/>
          <w:sz w:val="20"/>
          <w:szCs w:val="20"/>
          <w:u w:val="single" w:color="auto"/>
          <w:color w:val="0000FF"/>
        </w:rPr>
        <w:t>SOFR</w:t>
      </w:r>
      <w:r>
        <w:rPr>
          <w:rFonts w:ascii="Times New Roman" w:cs="Times New Roman" w:eastAsia="Times New Roman" w:hAnsi="Times New Roman"/>
          <w:sz w:val="20"/>
          <w:szCs w:val="20"/>
          <w:color w:val="auto"/>
        </w:rPr>
        <w:t xml:space="preserve"> Loan on any day other than on the last day of the Interest Period applicable thereto unless such prepayment is accompanied by any amount required to be paid pursuant to </w:t>
      </w:r>
      <w:r>
        <w:rPr>
          <w:rFonts w:ascii="Times New Roman" w:cs="Times New Roman" w:eastAsia="Times New Roman" w:hAnsi="Times New Roman"/>
          <w:sz w:val="20"/>
          <w:szCs w:val="20"/>
          <w:u w:val="single" w:color="auto"/>
          <w:color w:val="auto"/>
        </w:rPr>
        <w:t>Section 5.9</w:t>
      </w:r>
      <w:r>
        <w:rPr>
          <w:rFonts w:ascii="Times New Roman" w:cs="Times New Roman" w:eastAsia="Times New Roman" w:hAnsi="Times New Roman"/>
          <w:sz w:val="20"/>
          <w:szCs w:val="20"/>
          <w:color w:val="auto"/>
        </w:rPr>
        <w:t xml:space="preserve"> hereof.</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38"/>
        <w:spacing w:after="0"/>
        <w:rPr>
          <w:sz w:val="20"/>
          <w:szCs w:val="20"/>
          <w:color w:val="auto"/>
        </w:rPr>
      </w:pPr>
      <w:r>
        <w:rPr>
          <w:rFonts w:ascii="Times New Roman" w:cs="Times New Roman" w:eastAsia="Times New Roman" w:hAnsi="Times New Roman"/>
          <w:sz w:val="14"/>
          <w:szCs w:val="14"/>
          <w:color w:val="FF0000"/>
          <w:strike w:val="1"/>
        </w:rPr>
        <w:t>146960219_6</w:t>
      </w:r>
    </w:p>
    <w:p>
      <w:pPr>
        <w:spacing w:after="0" w:line="4" w:lineRule="exact"/>
        <w:rPr>
          <w:sz w:val="20"/>
          <w:szCs w:val="20"/>
          <w:color w:val="auto"/>
        </w:rPr>
      </w:pPr>
    </w:p>
    <w:p>
      <w:pPr>
        <w:ind w:left="338" w:hanging="338"/>
        <w:spacing w:after="0"/>
        <w:tabs>
          <w:tab w:leader="none" w:pos="338"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078"/>
          </w:cols>
          <w:pgMar w:left="382" w:top="1440" w:right="439" w:bottom="1440" w:gutter="0" w:footer="0" w:header="0"/>
        </w:sectPr>
      </w:pPr>
    </w:p>
    <w:bookmarkStart w:id="146" w:name="page147"/>
    <w:bookmarkEnd w:id="146"/>
    <w:p>
      <w:pPr>
        <w:ind w:left="38" w:right="20" w:firstLine="646"/>
        <w:spacing w:after="0" w:line="269" w:lineRule="auto"/>
        <w:tabs>
          <w:tab w:leader="none" w:pos="1243" w:val="left"/>
        </w:tabs>
        <w:numPr>
          <w:ilvl w:val="0"/>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Hedge Agreements</w:t>
      </w:r>
      <w:r>
        <w:rPr>
          <w:rFonts w:ascii="Times New Roman" w:cs="Times New Roman" w:eastAsia="Times New Roman" w:hAnsi="Times New Roman"/>
          <w:sz w:val="20"/>
          <w:szCs w:val="20"/>
          <w:color w:val="auto"/>
        </w:rPr>
        <w:t>. No repayment or prepayment of the Loans pursuant to this Section shall affect any of the Borrowers’ obligations under any Hedge Agreement entered into with respect to the Loans.</w:t>
      </w:r>
    </w:p>
    <w:p>
      <w:pPr>
        <w:spacing w:after="0" w:line="186" w:lineRule="exact"/>
        <w:rPr>
          <w:sz w:val="20"/>
          <w:szCs w:val="20"/>
          <w:color w:val="auto"/>
        </w:rPr>
      </w:pPr>
    </w:p>
    <w:p>
      <w:pPr>
        <w:ind w:left="678"/>
        <w:spacing w:after="0"/>
        <w:tabs>
          <w:tab w:leader="none" w:pos="1998" w:val="left"/>
        </w:tabs>
        <w:rPr>
          <w:sz w:val="20"/>
          <w:szCs w:val="20"/>
          <w:color w:val="auto"/>
        </w:rPr>
      </w:pPr>
      <w:r>
        <w:rPr>
          <w:rFonts w:ascii="Times New Roman" w:cs="Times New Roman" w:eastAsia="Times New Roman" w:hAnsi="Times New Roman"/>
          <w:sz w:val="20"/>
          <w:szCs w:val="20"/>
          <w:color w:val="auto"/>
        </w:rPr>
        <w:t>SECTION 2.5</w:t>
      </w:r>
      <w:r>
        <w:rPr>
          <w:sz w:val="20"/>
          <w:szCs w:val="20"/>
          <w:color w:val="auto"/>
        </w:rPr>
        <w:tab/>
      </w:r>
      <w:r>
        <w:rPr>
          <w:rFonts w:ascii="Times New Roman" w:cs="Times New Roman" w:eastAsia="Times New Roman" w:hAnsi="Times New Roman"/>
          <w:sz w:val="19"/>
          <w:szCs w:val="19"/>
          <w:u w:val="single" w:color="auto"/>
          <w:color w:val="auto"/>
        </w:rPr>
        <w:t>Permanent Reduction of the Revolving Credit Commitment</w:t>
      </w:r>
      <w:r>
        <w:rPr>
          <w:rFonts w:ascii="Times New Roman" w:cs="Times New Roman" w:eastAsia="Times New Roman" w:hAnsi="Times New Roman"/>
          <w:sz w:val="19"/>
          <w:szCs w:val="19"/>
          <w:color w:val="auto"/>
        </w:rPr>
        <w:t>.</w:t>
      </w:r>
    </w:p>
    <w:p>
      <w:pPr>
        <w:spacing w:after="0" w:line="270" w:lineRule="exact"/>
        <w:rPr>
          <w:sz w:val="20"/>
          <w:szCs w:val="20"/>
          <w:color w:val="auto"/>
        </w:rPr>
      </w:pPr>
    </w:p>
    <w:p>
      <w:pPr>
        <w:jc w:val="both"/>
        <w:ind w:left="38" w:firstLine="646"/>
        <w:spacing w:after="0" w:line="212" w:lineRule="auto"/>
        <w:tabs>
          <w:tab w:leader="none" w:pos="1243" w:val="left"/>
        </w:tabs>
        <w:numPr>
          <w:ilvl w:val="0"/>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Voluntary Reduction</w:t>
      </w:r>
      <w:r>
        <w:rPr>
          <w:rFonts w:ascii="Times New Roman" w:cs="Times New Roman" w:eastAsia="Times New Roman" w:hAnsi="Times New Roman"/>
          <w:sz w:val="20"/>
          <w:szCs w:val="20"/>
          <w:color w:val="auto"/>
        </w:rPr>
        <w:t>. The Borrowers shall have the right at any time and from time to time, upon at least five (5) Business Days prior irrevocable written notice to the Administrative Agent, to permanently reduce, without premium or penalty, (i) the entire Revolving Credit Commitment at any time or (ii) portions of the Revolving Credit Commitment, from time to time, in an aggregate principal amount not less than $3,000,000 or any whole multiple of $1,000,000 in excess thereof. Any reduction of the Revolving Credit Commitment shall be applied to the Revolving Credit Commitment of each Revolving Credit Lender according to its Revolving Credit Commitment Percentage. All Commitment Fees accrued until the effective date of any termination of the Revolving Credit Commitment shall be paid on the effective date of such termination. No such reduction in the Revolving Credit Commitments shall reduce the Swingline Commitment or the L/C Sublimit (except as set forth in each respective definition). Notwithstanding the foregoing, any notice to reduce the Revolving Credit Commitment to zero delivered in connection with any refinancing of all of the Credit Facility with the proceeds of such refinancing or of any incurrence of Indebtedness, may be, if expressly so stated to be, contingent upon the consummation of such refinancing or incurrence and may be revoked by any Borrower in the event such refinancing is not consummated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failure of such contingency shall not relieve any Borrower from its obligations in respect thereof under </w:t>
      </w:r>
      <w:r>
        <w:rPr>
          <w:rFonts w:ascii="Times New Roman" w:cs="Times New Roman" w:eastAsia="Times New Roman" w:hAnsi="Times New Roman"/>
          <w:sz w:val="20"/>
          <w:szCs w:val="20"/>
          <w:u w:val="single" w:color="auto"/>
          <w:color w:val="auto"/>
        </w:rPr>
        <w:t>Section 5.9</w:t>
      </w:r>
      <w:r>
        <w:rPr>
          <w:rFonts w:ascii="Times New Roman" w:cs="Times New Roman" w:eastAsia="Times New Roman" w:hAnsi="Times New Roman"/>
          <w:sz w:val="20"/>
          <w:szCs w:val="20"/>
          <w:color w:val="auto"/>
        </w:rPr>
        <w:t>).</w:t>
      </w:r>
    </w:p>
    <w:p>
      <w:pPr>
        <w:spacing w:after="0" w:line="248" w:lineRule="exact"/>
        <w:rPr>
          <w:rFonts w:ascii="Times New Roman" w:cs="Times New Roman" w:eastAsia="Times New Roman" w:hAnsi="Times New Roman"/>
          <w:sz w:val="20"/>
          <w:szCs w:val="20"/>
          <w:color w:val="auto"/>
        </w:rPr>
      </w:pPr>
    </w:p>
    <w:p>
      <w:pPr>
        <w:jc w:val="both"/>
        <w:ind w:left="38" w:firstLine="646"/>
        <w:spacing w:after="0" w:line="212" w:lineRule="auto"/>
        <w:tabs>
          <w:tab w:leader="none" w:pos="1241" w:val="left"/>
        </w:tabs>
        <w:numPr>
          <w:ilvl w:val="0"/>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Corresponding Payment</w:t>
      </w:r>
      <w:r>
        <w:rPr>
          <w:rFonts w:ascii="Times New Roman" w:cs="Times New Roman" w:eastAsia="Times New Roman" w:hAnsi="Times New Roman"/>
          <w:sz w:val="20"/>
          <w:szCs w:val="20"/>
          <w:color w:val="auto"/>
        </w:rPr>
        <w:t xml:space="preserve">. Each permanent reduction permitted pursuant to this Section shall be accompanied by a payment of principal sufficient to reduce the aggregate outstanding Revolving Credit Loans, Swingline Loans and L/C Obligations, as applicable, after such reduction to the Revolving Credit Commitment as so reduced, and if the aggregate amount of all outstanding Letters of Credit exceeds the Revolving Credit Commitment as so reduced, the applicable Borrower shall be required to deposit Cash Collateral in a Cash Collateral account opened by the Administrative Agent in an amount equal to such excess. Such Cash Collateral shall be applied in accordance with </w:t>
      </w:r>
      <w:r>
        <w:rPr>
          <w:rFonts w:ascii="Times New Roman" w:cs="Times New Roman" w:eastAsia="Times New Roman" w:hAnsi="Times New Roman"/>
          <w:sz w:val="20"/>
          <w:szCs w:val="20"/>
          <w:u w:val="single" w:color="auto"/>
          <w:color w:val="auto"/>
        </w:rPr>
        <w:t>Section 10.2(b)</w:t>
      </w:r>
      <w:r>
        <w:rPr>
          <w:rFonts w:ascii="Times New Roman" w:cs="Times New Roman" w:eastAsia="Times New Roman" w:hAnsi="Times New Roman"/>
          <w:sz w:val="20"/>
          <w:szCs w:val="20"/>
          <w:color w:val="auto"/>
        </w:rPr>
        <w:t xml:space="preserve">. Any reduction of the Revolving Credit Commitment to zero shall be accompanied by payment of all outstanding Revolving Credit Loans and Swingline Loans (and furnishing of Cash Collateral satisfactory to the Administrative Agent for all L/C Obligations) and shall result in the termination of the Revolving Credit Commitment and the Swingline Commitment and the Revolving Credit Facility. If the reduction of the Revolving Credit Commitment requires the repayment of any </w:t>
      </w:r>
      <w:r>
        <w:rPr>
          <w:rFonts w:ascii="Times New Roman" w:cs="Times New Roman" w:eastAsia="Times New Roman" w:hAnsi="Times New Roman"/>
          <w:sz w:val="20"/>
          <w:szCs w:val="20"/>
          <w:color w:val="FF0000"/>
          <w:strike w:val="1"/>
        </w:rPr>
        <w:t>LIBOR Rate</w:t>
      </w:r>
      <w:r>
        <w:rPr>
          <w:rFonts w:ascii="Times New Roman" w:cs="Times New Roman" w:eastAsia="Times New Roman" w:hAnsi="Times New Roman"/>
          <w:sz w:val="20"/>
          <w:szCs w:val="20"/>
          <w:u w:val="single" w:color="auto"/>
          <w:color w:val="0000FF"/>
        </w:rPr>
        <w:t>SOFR</w:t>
      </w:r>
      <w:r>
        <w:rPr>
          <w:rFonts w:ascii="Times New Roman" w:cs="Times New Roman" w:eastAsia="Times New Roman" w:hAnsi="Times New Roman"/>
          <w:sz w:val="20"/>
          <w:szCs w:val="20"/>
          <w:color w:val="auto"/>
        </w:rPr>
        <w:t xml:space="preserve"> Loan, such repayment shall be accompanied by any amount required to be paid pursuant to </w:t>
      </w:r>
      <w:r>
        <w:rPr>
          <w:rFonts w:ascii="Times New Roman" w:cs="Times New Roman" w:eastAsia="Times New Roman" w:hAnsi="Times New Roman"/>
          <w:sz w:val="20"/>
          <w:szCs w:val="20"/>
          <w:u w:val="single" w:color="auto"/>
          <w:color w:val="auto"/>
        </w:rPr>
        <w:t>Section 5.9</w:t>
      </w:r>
      <w:r>
        <w:rPr>
          <w:rFonts w:ascii="Times New Roman" w:cs="Times New Roman" w:eastAsia="Times New Roman" w:hAnsi="Times New Roman"/>
          <w:sz w:val="20"/>
          <w:szCs w:val="20"/>
          <w:color w:val="auto"/>
        </w:rPr>
        <w:t xml:space="preserve"> hereof.</w:t>
      </w:r>
    </w:p>
    <w:p>
      <w:pPr>
        <w:spacing w:after="0" w:line="264" w:lineRule="exact"/>
        <w:rPr>
          <w:sz w:val="20"/>
          <w:szCs w:val="20"/>
          <w:color w:val="auto"/>
        </w:rPr>
      </w:pPr>
    </w:p>
    <w:p>
      <w:pPr>
        <w:ind w:left="678"/>
        <w:spacing w:after="0"/>
        <w:tabs>
          <w:tab w:leader="none" w:pos="1998" w:val="left"/>
        </w:tabs>
        <w:rPr>
          <w:sz w:val="20"/>
          <w:szCs w:val="20"/>
          <w:color w:val="auto"/>
        </w:rPr>
      </w:pPr>
      <w:r>
        <w:rPr>
          <w:rFonts w:ascii="Times New Roman" w:cs="Times New Roman" w:eastAsia="Times New Roman" w:hAnsi="Times New Roman"/>
          <w:sz w:val="20"/>
          <w:szCs w:val="20"/>
          <w:color w:val="auto"/>
        </w:rPr>
        <w:t>SECTION 2.6</w:t>
      </w:r>
      <w:r>
        <w:rPr>
          <w:sz w:val="20"/>
          <w:szCs w:val="20"/>
          <w:color w:val="auto"/>
        </w:rPr>
        <w:tab/>
      </w:r>
      <w:r>
        <w:rPr>
          <w:rFonts w:ascii="Times New Roman" w:cs="Times New Roman" w:eastAsia="Times New Roman" w:hAnsi="Times New Roman"/>
          <w:sz w:val="19"/>
          <w:szCs w:val="19"/>
          <w:u w:val="single" w:color="auto"/>
          <w:color w:val="auto"/>
        </w:rPr>
        <w:t>Termination of Revolving Credit Facility</w:t>
      </w:r>
    </w:p>
    <w:p>
      <w:pPr>
        <w:spacing w:after="0" w:line="283" w:lineRule="exact"/>
        <w:rPr>
          <w:sz w:val="20"/>
          <w:szCs w:val="20"/>
          <w:color w:val="auto"/>
        </w:rPr>
      </w:pPr>
    </w:p>
    <w:p>
      <w:pPr>
        <w:ind w:left="38" w:right="540" w:hanging="2"/>
        <w:spacing w:after="0"/>
        <w:tabs>
          <w:tab w:leader="none" w:pos="137" w:val="left"/>
        </w:tabs>
        <w:numPr>
          <w:ilvl w:val="0"/>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Revolving Credit Facility and the Revolving Credit Commitments shall terminate on the Revolving Credit Maturity Date (after giving effect to any Extension).</w:t>
      </w:r>
    </w:p>
    <w:p>
      <w:pPr>
        <w:spacing w:after="0" w:line="188" w:lineRule="exact"/>
        <w:rPr>
          <w:sz w:val="20"/>
          <w:szCs w:val="20"/>
          <w:color w:val="auto"/>
        </w:rPr>
      </w:pPr>
    </w:p>
    <w:p>
      <w:pPr>
        <w:jc w:val="center"/>
        <w:ind w:right="-57"/>
        <w:spacing w:after="0"/>
        <w:rPr>
          <w:sz w:val="20"/>
          <w:szCs w:val="20"/>
          <w:color w:val="auto"/>
        </w:rPr>
      </w:pPr>
      <w:r>
        <w:rPr>
          <w:rFonts w:ascii="Times New Roman" w:cs="Times New Roman" w:eastAsia="Times New Roman" w:hAnsi="Times New Roman"/>
          <w:sz w:val="20"/>
          <w:szCs w:val="20"/>
          <w:color w:val="auto"/>
        </w:rPr>
        <w:t>ARTICLE III</w:t>
      </w:r>
    </w:p>
    <w:p>
      <w:pPr>
        <w:spacing w:after="0" w:line="202" w:lineRule="exact"/>
        <w:rPr>
          <w:sz w:val="20"/>
          <w:szCs w:val="20"/>
          <w:color w:val="auto"/>
        </w:rPr>
      </w:pPr>
    </w:p>
    <w:p>
      <w:pPr>
        <w:jc w:val="center"/>
        <w:ind w:right="-57"/>
        <w:spacing w:after="0"/>
        <w:rPr>
          <w:sz w:val="20"/>
          <w:szCs w:val="20"/>
          <w:color w:val="auto"/>
        </w:rPr>
      </w:pPr>
      <w:r>
        <w:rPr>
          <w:rFonts w:ascii="Times New Roman" w:cs="Times New Roman" w:eastAsia="Times New Roman" w:hAnsi="Times New Roman"/>
          <w:sz w:val="20"/>
          <w:szCs w:val="20"/>
          <w:color w:val="auto"/>
        </w:rPr>
        <w:t>LETTER OF CREDIT FACILITY</w:t>
      </w:r>
    </w:p>
    <w:p>
      <w:pPr>
        <w:spacing w:after="0" w:line="216" w:lineRule="exact"/>
        <w:rPr>
          <w:sz w:val="20"/>
          <w:szCs w:val="20"/>
          <w:color w:val="auto"/>
        </w:rPr>
      </w:pPr>
    </w:p>
    <w:p>
      <w:pPr>
        <w:ind w:left="678"/>
        <w:spacing w:after="0"/>
        <w:tabs>
          <w:tab w:leader="none" w:pos="1998" w:val="left"/>
        </w:tabs>
        <w:rPr>
          <w:sz w:val="20"/>
          <w:szCs w:val="20"/>
          <w:color w:val="auto"/>
        </w:rPr>
      </w:pPr>
      <w:r>
        <w:rPr>
          <w:rFonts w:ascii="Times New Roman" w:cs="Times New Roman" w:eastAsia="Times New Roman" w:hAnsi="Times New Roman"/>
          <w:sz w:val="20"/>
          <w:szCs w:val="20"/>
          <w:color w:val="auto"/>
        </w:rPr>
        <w:t>SECTION 3.1</w:t>
      </w:r>
      <w:r>
        <w:rPr>
          <w:sz w:val="20"/>
          <w:szCs w:val="20"/>
          <w:color w:val="auto"/>
        </w:rPr>
        <w:tab/>
      </w:r>
      <w:r>
        <w:rPr>
          <w:rFonts w:ascii="Times New Roman" w:cs="Times New Roman" w:eastAsia="Times New Roman" w:hAnsi="Times New Roman"/>
          <w:sz w:val="19"/>
          <w:szCs w:val="19"/>
          <w:u w:val="single" w:color="auto"/>
          <w:color w:val="auto"/>
        </w:rPr>
        <w:t>L/C Facility</w:t>
      </w:r>
      <w:r>
        <w:rPr>
          <w:rFonts w:ascii="Times New Roman" w:cs="Times New Roman" w:eastAsia="Times New Roman" w:hAnsi="Times New Roman"/>
          <w:sz w:val="19"/>
          <w:szCs w:val="19"/>
          <w:color w:val="auto"/>
        </w:rPr>
        <w:t>.</w:t>
      </w:r>
    </w:p>
    <w:p>
      <w:pPr>
        <w:spacing w:after="0" w:line="283" w:lineRule="exact"/>
        <w:rPr>
          <w:sz w:val="20"/>
          <w:szCs w:val="20"/>
          <w:color w:val="auto"/>
        </w:rPr>
      </w:pPr>
    </w:p>
    <w:p>
      <w:pPr>
        <w:jc w:val="both"/>
        <w:ind w:left="38" w:firstLine="646"/>
        <w:spacing w:after="0" w:line="226" w:lineRule="auto"/>
        <w:tabs>
          <w:tab w:leader="none" w:pos="1243"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Availability</w:t>
      </w:r>
      <w:r>
        <w:rPr>
          <w:rFonts w:ascii="Times New Roman" w:cs="Times New Roman" w:eastAsia="Times New Roman" w:hAnsi="Times New Roman"/>
          <w:sz w:val="20"/>
          <w:szCs w:val="20"/>
          <w:color w:val="auto"/>
        </w:rPr>
        <w:t xml:space="preserve">. Subject to the terms and conditions hereof, each applicable Issuing Lender, in reliance on the agreements of the Revolving Credit Lenders set forth in </w:t>
      </w:r>
      <w:r>
        <w:rPr>
          <w:rFonts w:ascii="Times New Roman" w:cs="Times New Roman" w:eastAsia="Times New Roman" w:hAnsi="Times New Roman"/>
          <w:sz w:val="20"/>
          <w:szCs w:val="20"/>
          <w:u w:val="single" w:color="auto"/>
          <w:color w:val="auto"/>
        </w:rPr>
        <w:t>Section 3.4(a)</w:t>
      </w:r>
      <w:r>
        <w:rPr>
          <w:rFonts w:ascii="Times New Roman" w:cs="Times New Roman" w:eastAsia="Times New Roman" w:hAnsi="Times New Roman"/>
          <w:sz w:val="20"/>
          <w:szCs w:val="20"/>
          <w:color w:val="auto"/>
        </w:rPr>
        <w:t>, agrees to issue (i) standby or commercial US Letters of Credit in an aggregate amount not to exceed its L/C Commitment for</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38"/>
        <w:spacing w:after="0"/>
        <w:rPr>
          <w:sz w:val="20"/>
          <w:szCs w:val="20"/>
          <w:color w:val="auto"/>
        </w:rPr>
      </w:pPr>
      <w:r>
        <w:rPr>
          <w:rFonts w:ascii="Times New Roman" w:cs="Times New Roman" w:eastAsia="Times New Roman" w:hAnsi="Times New Roman"/>
          <w:sz w:val="14"/>
          <w:szCs w:val="14"/>
          <w:color w:val="FF0000"/>
          <w:strike w:val="1"/>
        </w:rPr>
        <w:t>146960219_6</w:t>
      </w:r>
    </w:p>
    <w:p>
      <w:pPr>
        <w:spacing w:after="0" w:line="4" w:lineRule="exact"/>
        <w:rPr>
          <w:sz w:val="20"/>
          <w:szCs w:val="20"/>
          <w:color w:val="auto"/>
        </w:rPr>
      </w:pPr>
    </w:p>
    <w:p>
      <w:pPr>
        <w:ind w:left="338" w:hanging="338"/>
        <w:spacing w:after="0"/>
        <w:tabs>
          <w:tab w:leader="none" w:pos="338"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078"/>
          </w:cols>
          <w:pgMar w:left="382" w:top="1413" w:right="439" w:bottom="1440" w:gutter="0" w:footer="0" w:header="0"/>
        </w:sectPr>
      </w:pPr>
    </w:p>
    <w:bookmarkStart w:id="147" w:name="page148"/>
    <w:bookmarkEnd w:id="147"/>
    <w:p>
      <w:pPr>
        <w:jc w:val="both"/>
        <w:ind w:left="58"/>
        <w:spacing w:after="0" w:line="239" w:lineRule="auto"/>
        <w:rPr>
          <w:sz w:val="20"/>
          <w:szCs w:val="20"/>
          <w:color w:val="auto"/>
        </w:rPr>
      </w:pPr>
      <w:r>
        <w:rPr>
          <w:rFonts w:ascii="Times New Roman" w:cs="Times New Roman" w:eastAsia="Times New Roman" w:hAnsi="Times New Roman"/>
          <w:sz w:val="20"/>
          <w:szCs w:val="20"/>
          <w:color w:val="auto"/>
        </w:rPr>
        <w:t xml:space="preserve">the account of the US Borrowers or, subject to </w:t>
      </w:r>
      <w:r>
        <w:rPr>
          <w:rFonts w:ascii="Times New Roman" w:cs="Times New Roman" w:eastAsia="Times New Roman" w:hAnsi="Times New Roman"/>
          <w:sz w:val="20"/>
          <w:szCs w:val="20"/>
          <w:u w:val="single" w:color="auto"/>
          <w:color w:val="auto"/>
        </w:rPr>
        <w:t>Section 3.10</w:t>
      </w:r>
      <w:r>
        <w:rPr>
          <w:rFonts w:ascii="Times New Roman" w:cs="Times New Roman" w:eastAsia="Times New Roman" w:hAnsi="Times New Roman"/>
          <w:sz w:val="20"/>
          <w:szCs w:val="20"/>
          <w:color w:val="auto"/>
        </w:rPr>
        <w:t xml:space="preserve">, any US Subsidiary or Affiliate thereof that is organized under the laws of the United States, any State thereof or the District of Columbia and (ii) standby or commercial Canadian Letters of Credit in an aggregate amount not to exceed its L/C Commitment for the account of the Canadian Borrowers or, subject to </w:t>
      </w:r>
      <w:r>
        <w:rPr>
          <w:rFonts w:ascii="Times New Roman" w:cs="Times New Roman" w:eastAsia="Times New Roman" w:hAnsi="Times New Roman"/>
          <w:sz w:val="20"/>
          <w:szCs w:val="20"/>
          <w:u w:val="single" w:color="auto"/>
          <w:color w:val="auto"/>
        </w:rPr>
        <w:t>Section 3.10</w:t>
      </w:r>
      <w:r>
        <w:rPr>
          <w:rFonts w:ascii="Times New Roman" w:cs="Times New Roman" w:eastAsia="Times New Roman" w:hAnsi="Times New Roman"/>
          <w:sz w:val="20"/>
          <w:szCs w:val="20"/>
          <w:color w:val="auto"/>
        </w:rPr>
        <w:t>, any Canadian Subsidiary or Affiliate thereof that is organized under the laws of Canada or any province or territory thereof, in each case, on any Business Day from the Closing Date through but not including the thirtieth (30</w:t>
      </w:r>
      <w:r>
        <w:rPr>
          <w:rFonts w:ascii="Times New Roman" w:cs="Times New Roman" w:eastAsia="Times New Roman" w:hAnsi="Times New Roman"/>
          <w:sz w:val="12"/>
          <w:szCs w:val="12"/>
          <w:color w:val="auto"/>
        </w:rPr>
        <w:t>th</w:t>
      </w:r>
      <w:r>
        <w:rPr>
          <w:rFonts w:ascii="Times New Roman" w:cs="Times New Roman" w:eastAsia="Times New Roman" w:hAnsi="Times New Roman"/>
          <w:sz w:val="20"/>
          <w:szCs w:val="20"/>
          <w:color w:val="auto"/>
        </w:rPr>
        <w:t xml:space="preserve">) Business Day prior to the Revolving Credit Maturity Date in such form as may be approved from time to time by the applicable Issuing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no Issuing Lender shall issue any Letter of Credit if, after giving effect to such issuance, (A) the L/C Obligations would exceed the L/C Sublimit, (B) the Revolving Credit Outstandings would exceed the Revolving Credit Commitment or (C) the L/C Obligations with respect to Letters of Credit issued by such Issuing Lender would exceed such Issuing Lender’s L/C Commitment. Each Letter of Credit (1) (x) to be denominated in Dollars shall, in the case of a commercial US Letter of Credit, be in a minimum amount of $100,000 and, in the case of a standby US Letter of Credit, be in a minimum amount of $100,000 (or such lesser amounts as agreed to by the applicable Issuing Lender and the Administrative Agent), and (y) to be denominated in Canadian Dollars shall, in the case of a commercial Canadian Letter of Credit, be in a minimum amount of C$100,000 and, in the case of a standby Canadian Letter of Credit, be in a minimum amount of C$100,000 (or such lesser amounts as agreed to by the applicable Issuing Lender and the Administrative Agent), (2) except as agreed to by the Administrative Agent and the applicable Issuing Lender with respect to any Existing Letter of Credit, shall expire on a date no more than twelve (12) months after the date of issuance or last renewal of such Letter of Credit (subject to automatic renewal for additional one (1) year periods pursuant to the terms of the Letter of Credit Application or other documentation acceptable to the applicable Issuing Lender), (3) shall expire no later than the fifth (5th) Business Day prior to the Revolving Credit Maturity Date (except that if agreed to by the applicable Issuing Lender and the Administrative Agent, any Existing Letter of Credit may expire after such date so long as such Existing Letter of Credit is Cash Collateralized pursuant to documentation and on terms and conditions acceptable to such Issuing Lender and the Administrative Agent no later than the date that is 91 days prior to the Revolving Credit Maturity Date), (4) with respect to each US Letter of Credit, shall be subject to the Uniform Customs, in the case of a commercial Letter of Credit, or ISP98, in the case of a standby Letter of Credit, in each case, as set forth in the Letter of Credit Application or as determined by the applicable Issuing Lender and, to the extent not inconsistent therewith, the laws of the State of New York and (5) with respect to each Canadian Letter of Credit, shall be subject to the law set forth in the Letter of Credit Application or as agreed by the applicable Issuing Lender and the Canadian Borrowers. No Issuing Lender shall at any time be obligated to issue any Letter of Credit hereunder if (A) any order, judgment or decree of any Governmental Authority or arbitrator shall by its terms purport to enjoin or restrain such Issuing Lender from issuing such Letter of Credit, or any Applicable Law applicable to such Issuing Lender or any request or directive (whether or not having the force of law) from any Governmental Authority with jurisdiction over such Issuing Lender shall prohibit, or request that such Issuing Lender refrain from, the issuance of letters of credit generally or such Letter of Credit in particular or shall impose upon such Issuing Lender with respect to letters of credit generally or such Letter of Credit in particular any restriction or reserve or capital requirement (for which such Issuing Lender is not otherwise compensated) not in effect on the Closing Date, or any unreimbursed loss, cost or expense that was not applicable, in effect as of the Closing Date and that such Issuing Lender in good faith deems material to it,</w:t>
      </w:r>
    </w:p>
    <w:p>
      <w:pPr>
        <w:spacing w:after="0" w:line="24" w:lineRule="exact"/>
        <w:rPr>
          <w:sz w:val="20"/>
          <w:szCs w:val="20"/>
          <w:color w:val="auto"/>
        </w:rPr>
      </w:pPr>
    </w:p>
    <w:p>
      <w:pPr>
        <w:jc w:val="both"/>
        <w:ind w:left="58" w:hanging="4"/>
        <w:spacing w:after="0" w:line="216" w:lineRule="auto"/>
        <w:tabs>
          <w:tab w:leader="none" w:pos="410"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conditions set forth in </w:t>
      </w:r>
      <w:r>
        <w:rPr>
          <w:rFonts w:ascii="Times New Roman" w:cs="Times New Roman" w:eastAsia="Times New Roman" w:hAnsi="Times New Roman"/>
          <w:sz w:val="20"/>
          <w:szCs w:val="20"/>
          <w:u w:val="single" w:color="auto"/>
          <w:color w:val="auto"/>
        </w:rPr>
        <w:t>Section 6.2</w:t>
      </w:r>
      <w:r>
        <w:rPr>
          <w:rFonts w:ascii="Times New Roman" w:cs="Times New Roman" w:eastAsia="Times New Roman" w:hAnsi="Times New Roman"/>
          <w:sz w:val="20"/>
          <w:szCs w:val="20"/>
          <w:color w:val="auto"/>
        </w:rPr>
        <w:t xml:space="preserve"> are not satisfied or (C) the beneficiary of such Letter of Credit is a Sanctioned Person. References herein to “issue” and derivations thereof with respect to Letters of Credit shall also include extensions or modifications of any outstanding Letters of Credit, unless the context otherwise requires. As of the Closing Date, each of the Existing Letters of Credit shall constitute, for all purposes of this Agreement and the other Loan Documents, a Letter of Credit issued and outstanding hereunder.</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338"/>
        <w:spacing w:after="0"/>
        <w:rPr>
          <w:sz w:val="20"/>
          <w:szCs w:val="20"/>
          <w:color w:val="auto"/>
        </w:rPr>
      </w:pPr>
      <w:r>
        <w:rPr>
          <w:rFonts w:ascii="Times New Roman" w:cs="Times New Roman" w:eastAsia="Times New Roman" w:hAnsi="Times New Roman"/>
          <w:sz w:val="14"/>
          <w:szCs w:val="14"/>
          <w:color w:val="FF0000"/>
          <w:strike w:val="1"/>
        </w:rPr>
        <w:t>146960219_6</w:t>
      </w:r>
    </w:p>
    <w:p>
      <w:pPr>
        <w:spacing w:after="0" w:line="4" w:lineRule="exact"/>
        <w:rPr>
          <w:sz w:val="20"/>
          <w:szCs w:val="20"/>
          <w:color w:val="auto"/>
        </w:rPr>
      </w:pPr>
    </w:p>
    <w:p>
      <w:pPr>
        <w:ind w:left="338" w:hanging="338"/>
        <w:spacing w:after="0"/>
        <w:tabs>
          <w:tab w:leader="none" w:pos="338"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078"/>
          </w:cols>
          <w:pgMar w:left="382" w:top="1413" w:right="439" w:bottom="1440" w:gutter="0" w:footer="0" w:header="0"/>
        </w:sectPr>
      </w:pPr>
    </w:p>
    <w:bookmarkStart w:id="148" w:name="page149"/>
    <w:bookmarkEnd w:id="148"/>
    <w:p>
      <w:pPr>
        <w:ind w:left="38" w:right="140" w:firstLine="646"/>
        <w:spacing w:after="0"/>
        <w:tabs>
          <w:tab w:leader="none" w:pos="1241"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Defaulting Lenders</w:t>
      </w:r>
      <w:r>
        <w:rPr>
          <w:rFonts w:ascii="Times New Roman" w:cs="Times New Roman" w:eastAsia="Times New Roman" w:hAnsi="Times New Roman"/>
          <w:sz w:val="20"/>
          <w:szCs w:val="20"/>
          <w:color w:val="auto"/>
        </w:rPr>
        <w:t xml:space="preserve">. Notwithstanding anything to the contrary contained in this Agreement, </w:t>
      </w:r>
      <w:r>
        <w:rPr>
          <w:rFonts w:ascii="Times New Roman" w:cs="Times New Roman" w:eastAsia="Times New Roman" w:hAnsi="Times New Roman"/>
          <w:sz w:val="20"/>
          <w:szCs w:val="20"/>
          <w:u w:val="single" w:color="auto"/>
          <w:color w:val="auto"/>
        </w:rPr>
        <w:t>Article III</w:t>
      </w:r>
      <w:r>
        <w:rPr>
          <w:rFonts w:ascii="Times New Roman" w:cs="Times New Roman" w:eastAsia="Times New Roman" w:hAnsi="Times New Roman"/>
          <w:sz w:val="20"/>
          <w:szCs w:val="20"/>
          <w:color w:val="auto"/>
        </w:rPr>
        <w:t xml:space="preserve"> shall be subject to the terms and conditions of </w:t>
      </w:r>
      <w:r>
        <w:rPr>
          <w:rFonts w:ascii="Times New Roman" w:cs="Times New Roman" w:eastAsia="Times New Roman" w:hAnsi="Times New Roman"/>
          <w:sz w:val="20"/>
          <w:szCs w:val="20"/>
          <w:u w:val="single" w:color="auto"/>
          <w:color w:val="auto"/>
        </w:rPr>
        <w:t>Section 5.14</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5.15</w:t>
      </w:r>
      <w:r>
        <w:rPr>
          <w:rFonts w:ascii="Times New Roman" w:cs="Times New Roman" w:eastAsia="Times New Roman" w:hAnsi="Times New Roman"/>
          <w:sz w:val="20"/>
          <w:szCs w:val="20"/>
          <w:color w:val="auto"/>
        </w:rPr>
        <w:t>.</w:t>
      </w:r>
    </w:p>
    <w:p>
      <w:pPr>
        <w:spacing w:after="0" w:line="256" w:lineRule="exact"/>
        <w:rPr>
          <w:sz w:val="20"/>
          <w:szCs w:val="20"/>
          <w:color w:val="auto"/>
        </w:rPr>
      </w:pPr>
    </w:p>
    <w:p>
      <w:pPr>
        <w:ind w:left="678"/>
        <w:spacing w:after="0"/>
        <w:tabs>
          <w:tab w:leader="none" w:pos="1998" w:val="left"/>
        </w:tabs>
        <w:rPr>
          <w:sz w:val="20"/>
          <w:szCs w:val="20"/>
          <w:color w:val="auto"/>
        </w:rPr>
      </w:pPr>
      <w:r>
        <w:rPr>
          <w:rFonts w:ascii="Times New Roman" w:cs="Times New Roman" w:eastAsia="Times New Roman" w:hAnsi="Times New Roman"/>
          <w:sz w:val="20"/>
          <w:szCs w:val="20"/>
          <w:color w:val="auto"/>
        </w:rPr>
        <w:t>SECTION 3.2</w:t>
      </w:r>
      <w:r>
        <w:rPr>
          <w:sz w:val="20"/>
          <w:szCs w:val="20"/>
          <w:color w:val="auto"/>
        </w:rPr>
        <w:tab/>
      </w:r>
      <w:r>
        <w:rPr>
          <w:rFonts w:ascii="Times New Roman" w:cs="Times New Roman" w:eastAsia="Times New Roman" w:hAnsi="Times New Roman"/>
          <w:sz w:val="19"/>
          <w:szCs w:val="19"/>
          <w:u w:val="single" w:color="auto"/>
          <w:color w:val="auto"/>
        </w:rPr>
        <w:t>Procedure for Issuance of Letters of Credit</w:t>
      </w:r>
    </w:p>
    <w:p>
      <w:pPr>
        <w:spacing w:after="0" w:line="270" w:lineRule="exact"/>
        <w:rPr>
          <w:sz w:val="20"/>
          <w:szCs w:val="20"/>
          <w:color w:val="auto"/>
        </w:rPr>
      </w:pPr>
    </w:p>
    <w:p>
      <w:pPr>
        <w:jc w:val="both"/>
        <w:ind w:left="38" w:hanging="2"/>
        <w:spacing w:after="0" w:line="211" w:lineRule="auto"/>
        <w:tabs>
          <w:tab w:leader="none" w:pos="152"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 US Borrowers may from time to time request that any Issuing Lender issue a US Letter of Credit and (b) Canadian Borrowers may from time to time request that any Issuing Lender issue a Canadian Letter of Credit, in each case, by delivering to such Issuing Lender at its applicable office (with a copy to the Administrative Agent at the Administrative Agent’s Office) a Letter of Credit Application therefor, completed to the satisfaction of such Issuing Lender, and such other certificates, documents and other papers and information as such Issuing Lender or the Administrative Agent may request. Upon receipt of any Letter of Credit Application, the applicable Issuing Lender shall process such Letter of Credit Application and the certificates, documents and other papers and information delivered to it in connection therewith in accordance with its customary procedures and shall, subject to </w:t>
      </w:r>
      <w:r>
        <w:rPr>
          <w:rFonts w:ascii="Times New Roman" w:cs="Times New Roman" w:eastAsia="Times New Roman" w:hAnsi="Times New Roman"/>
          <w:sz w:val="20"/>
          <w:szCs w:val="20"/>
          <w:u w:val="single" w:color="auto"/>
          <w:color w:val="auto"/>
        </w:rPr>
        <w:t>Section 3.1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Article VI</w:t>
      </w:r>
      <w:r>
        <w:rPr>
          <w:rFonts w:ascii="Times New Roman" w:cs="Times New Roman" w:eastAsia="Times New Roman" w:hAnsi="Times New Roman"/>
          <w:sz w:val="20"/>
          <w:szCs w:val="20"/>
          <w:color w:val="auto"/>
        </w:rPr>
        <w:t>, promptly issue the Letter of Credit requested thereby (but in no event shall such Issuing Lender be required to issue any Letter of Credit earlier than three (3) Business Days after its receipt of the Letter of Credit Application therefor and all such other certificates, documents and other papers and information relating thereto) by issuing the original of such Letter of Credit to the beneficiary thereof or as otherwise may be agreed by such Issuing Lender and the applicable Borrower. The applicable Issuing Lender shall promptly furnish to the applicable Borrowers and the Administrative Agent a copy of such Letter of Credit and the Administrative Agent shall promptly notify each Revolving Credit Lender of the issuance and upon request by any Lender, furnish to such Revolving Credit Lender a copy of such Letter of Credit and the amount of such Revolving Credit Lender’s participation therein.</w:t>
      </w:r>
    </w:p>
    <w:p>
      <w:pPr>
        <w:spacing w:after="0" w:line="180" w:lineRule="exact"/>
        <w:rPr>
          <w:sz w:val="20"/>
          <w:szCs w:val="20"/>
          <w:color w:val="auto"/>
        </w:rPr>
      </w:pPr>
    </w:p>
    <w:p>
      <w:pPr>
        <w:ind w:left="678"/>
        <w:spacing w:after="0"/>
        <w:tabs>
          <w:tab w:leader="none" w:pos="1998" w:val="left"/>
        </w:tabs>
        <w:rPr>
          <w:sz w:val="20"/>
          <w:szCs w:val="20"/>
          <w:color w:val="auto"/>
        </w:rPr>
      </w:pPr>
      <w:r>
        <w:rPr>
          <w:rFonts w:ascii="Times New Roman" w:cs="Times New Roman" w:eastAsia="Times New Roman" w:hAnsi="Times New Roman"/>
          <w:sz w:val="20"/>
          <w:szCs w:val="20"/>
          <w:color w:val="auto"/>
        </w:rPr>
        <w:t>SECTION 3.3</w:t>
      </w:r>
      <w:r>
        <w:rPr>
          <w:sz w:val="20"/>
          <w:szCs w:val="20"/>
          <w:color w:val="auto"/>
        </w:rPr>
        <w:tab/>
      </w:r>
      <w:r>
        <w:rPr>
          <w:rFonts w:ascii="Times New Roman" w:cs="Times New Roman" w:eastAsia="Times New Roman" w:hAnsi="Times New Roman"/>
          <w:sz w:val="19"/>
          <w:szCs w:val="19"/>
          <w:u w:val="single" w:color="auto"/>
          <w:color w:val="auto"/>
        </w:rPr>
        <w:t>Commissions and Other Charges</w:t>
      </w:r>
      <w:r>
        <w:rPr>
          <w:rFonts w:ascii="Times New Roman" w:cs="Times New Roman" w:eastAsia="Times New Roman" w:hAnsi="Times New Roman"/>
          <w:sz w:val="19"/>
          <w:szCs w:val="19"/>
          <w:color w:val="auto"/>
        </w:rPr>
        <w:t>.</w:t>
      </w:r>
    </w:p>
    <w:p>
      <w:pPr>
        <w:spacing w:after="0" w:line="283" w:lineRule="exact"/>
        <w:rPr>
          <w:sz w:val="20"/>
          <w:szCs w:val="20"/>
          <w:color w:val="auto"/>
        </w:rPr>
      </w:pPr>
    </w:p>
    <w:p>
      <w:pPr>
        <w:jc w:val="both"/>
        <w:ind w:left="38" w:firstLine="646"/>
        <w:spacing w:after="0" w:line="215" w:lineRule="auto"/>
        <w:tabs>
          <w:tab w:leader="none" w:pos="1243"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Letter of Credit Commissions</w:t>
      </w:r>
      <w:r>
        <w:rPr>
          <w:rFonts w:ascii="Times New Roman" w:cs="Times New Roman" w:eastAsia="Times New Roman" w:hAnsi="Times New Roman"/>
          <w:sz w:val="20"/>
          <w:szCs w:val="20"/>
          <w:color w:val="auto"/>
        </w:rPr>
        <w:t xml:space="preserve">. Subject to </w:t>
      </w:r>
      <w:r>
        <w:rPr>
          <w:rFonts w:ascii="Times New Roman" w:cs="Times New Roman" w:eastAsia="Times New Roman" w:hAnsi="Times New Roman"/>
          <w:sz w:val="20"/>
          <w:szCs w:val="20"/>
          <w:u w:val="single" w:color="auto"/>
          <w:color w:val="auto"/>
        </w:rPr>
        <w:t>Section 5.15(a)(iii)(B)</w:t>
      </w:r>
      <w:r>
        <w:rPr>
          <w:rFonts w:ascii="Times New Roman" w:cs="Times New Roman" w:eastAsia="Times New Roman" w:hAnsi="Times New Roman"/>
          <w:sz w:val="20"/>
          <w:szCs w:val="20"/>
          <w:color w:val="auto"/>
        </w:rPr>
        <w:t xml:space="preserve">, Centuri shall pay to the Administrative Agent, for the account of the applicable Issuing Lender and the L/C Participants, a letter of credit commission with respect to each Letter of Credit in the amount equal to the daily amount available to be drawn under such Letters of Credit times 50% of the Applicable Margin with respect to Revolving Credit Loans that are </w:t>
      </w:r>
      <w:r>
        <w:rPr>
          <w:rFonts w:ascii="Times New Roman" w:cs="Times New Roman" w:eastAsia="Times New Roman" w:hAnsi="Times New Roman"/>
          <w:sz w:val="20"/>
          <w:szCs w:val="20"/>
          <w:color w:val="FF0000"/>
          <w:strike w:val="1"/>
        </w:rPr>
        <w:t>LIBOR Rate</w:t>
      </w:r>
      <w:r>
        <w:rPr>
          <w:rFonts w:ascii="Times New Roman" w:cs="Times New Roman" w:eastAsia="Times New Roman" w:hAnsi="Times New Roman"/>
          <w:sz w:val="20"/>
          <w:szCs w:val="20"/>
          <w:u w:val="single" w:color="auto"/>
          <w:color w:val="0000FF"/>
        </w:rPr>
        <w:t>SOFR</w:t>
      </w:r>
      <w:r>
        <w:rPr>
          <w:rFonts w:ascii="Times New Roman" w:cs="Times New Roman" w:eastAsia="Times New Roman" w:hAnsi="Times New Roman"/>
          <w:sz w:val="20"/>
          <w:szCs w:val="20"/>
          <w:color w:val="auto"/>
        </w:rPr>
        <w:t xml:space="preserve"> Loans (determined, in each case, on a per annum basis). Such commission shall be payable quarterly in arrears on the last Business Day of each calendar quarter, on the Revolving Credit Maturity Date and thereafter on demand of the Administrative Agent. The Administrative Agent shall, promptly following its receipt thereof, distribute to the applicable Issuing Lender and the L/C Participants all commissions received pursuant to this </w:t>
      </w:r>
      <w:r>
        <w:rPr>
          <w:rFonts w:ascii="Times New Roman" w:cs="Times New Roman" w:eastAsia="Times New Roman" w:hAnsi="Times New Roman"/>
          <w:sz w:val="20"/>
          <w:szCs w:val="20"/>
          <w:u w:val="single" w:color="auto"/>
          <w:color w:val="auto"/>
        </w:rPr>
        <w:t>Section 3.3</w:t>
      </w:r>
      <w:r>
        <w:rPr>
          <w:rFonts w:ascii="Times New Roman" w:cs="Times New Roman" w:eastAsia="Times New Roman" w:hAnsi="Times New Roman"/>
          <w:sz w:val="20"/>
          <w:szCs w:val="20"/>
          <w:color w:val="auto"/>
        </w:rPr>
        <w:t xml:space="preserve"> in accordance with their respective Revolving Credit Commitment Percentages.</w:t>
      </w:r>
    </w:p>
    <w:p>
      <w:pPr>
        <w:spacing w:after="0" w:line="187" w:lineRule="exact"/>
        <w:rPr>
          <w:rFonts w:ascii="Times New Roman" w:cs="Times New Roman" w:eastAsia="Times New Roman" w:hAnsi="Times New Roman"/>
          <w:sz w:val="20"/>
          <w:szCs w:val="20"/>
          <w:color w:val="auto"/>
        </w:rPr>
      </w:pPr>
    </w:p>
    <w:p>
      <w:pPr>
        <w:jc w:val="both"/>
        <w:ind w:left="38" w:firstLine="646"/>
        <w:spacing w:after="0" w:line="216" w:lineRule="auto"/>
        <w:tabs>
          <w:tab w:leader="none" w:pos="1241"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Issuance Fee</w:t>
      </w:r>
      <w:r>
        <w:rPr>
          <w:rFonts w:ascii="Times New Roman" w:cs="Times New Roman" w:eastAsia="Times New Roman" w:hAnsi="Times New Roman"/>
          <w:sz w:val="20"/>
          <w:szCs w:val="20"/>
          <w:color w:val="auto"/>
        </w:rPr>
        <w:t>. In addition to the foregoing commission, the applicable Borrower shall pay directly to the applicable Issuing Lender, for its own account, an issuance fee with respect to each Letter of Credit issued by such Issuing Lender as set forth in the applicable Fee Letter executed by such Issuing Lender. Such issuance fee shall be payable quarterly in arrears on the last Business Day of each calendar quarter commencing with the first such date to occur after the issuance of such Letter of Credit, on the Revolving Credit Maturity Date and thereafter on demand of the applicable Issuing Lender. For the avoidance of doubt, such issuance fee shall be applicable to and paid upon each of the Existing Letters of Credit.</w:t>
      </w:r>
    </w:p>
    <w:p>
      <w:pPr>
        <w:spacing w:after="0" w:line="202" w:lineRule="exact"/>
        <w:rPr>
          <w:rFonts w:ascii="Times New Roman" w:cs="Times New Roman" w:eastAsia="Times New Roman" w:hAnsi="Times New Roman"/>
          <w:sz w:val="20"/>
          <w:szCs w:val="20"/>
          <w:color w:val="auto"/>
        </w:rPr>
      </w:pPr>
    </w:p>
    <w:p>
      <w:pPr>
        <w:jc w:val="both"/>
        <w:ind w:left="38" w:firstLine="646"/>
        <w:spacing w:after="0" w:line="254" w:lineRule="auto"/>
        <w:tabs>
          <w:tab w:leader="none" w:pos="1243"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Other Fees, Costs, Charges and Expenses</w:t>
      </w:r>
      <w:r>
        <w:rPr>
          <w:rFonts w:ascii="Times New Roman" w:cs="Times New Roman" w:eastAsia="Times New Roman" w:hAnsi="Times New Roman"/>
          <w:sz w:val="20"/>
          <w:szCs w:val="20"/>
          <w:color w:val="auto"/>
        </w:rPr>
        <w:t>. In addition to the foregoing fees and commissions, the Borrowers shall pay or reimburse each Issuing Lender for such normal and customary fees, costs, charges and expenses as are incurred or charged by such Issuing Lender in issuing, effecting payment under, amending or otherwise administering any Letter of Credit issued by it.</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38"/>
        <w:spacing w:after="0"/>
        <w:rPr>
          <w:sz w:val="20"/>
          <w:szCs w:val="20"/>
          <w:color w:val="auto"/>
        </w:rPr>
      </w:pPr>
      <w:r>
        <w:rPr>
          <w:rFonts w:ascii="Times New Roman" w:cs="Times New Roman" w:eastAsia="Times New Roman" w:hAnsi="Times New Roman"/>
          <w:sz w:val="14"/>
          <w:szCs w:val="14"/>
          <w:color w:val="FF0000"/>
          <w:strike w:val="1"/>
        </w:rPr>
        <w:t>146960219_6</w:t>
      </w:r>
    </w:p>
    <w:p>
      <w:pPr>
        <w:spacing w:after="0" w:line="4" w:lineRule="exact"/>
        <w:rPr>
          <w:sz w:val="20"/>
          <w:szCs w:val="20"/>
          <w:color w:val="auto"/>
        </w:rPr>
      </w:pPr>
    </w:p>
    <w:p>
      <w:pPr>
        <w:ind w:left="338" w:hanging="338"/>
        <w:spacing w:after="0"/>
        <w:tabs>
          <w:tab w:leader="none" w:pos="338"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078"/>
          </w:cols>
          <w:pgMar w:left="382" w:top="1399" w:right="439" w:bottom="1440" w:gutter="0" w:footer="0" w:header="0"/>
        </w:sectPr>
      </w:pPr>
    </w:p>
    <w:bookmarkStart w:id="149" w:name="page150"/>
    <w:bookmarkEnd w:id="149"/>
    <w:p>
      <w:pPr>
        <w:ind w:left="698"/>
        <w:spacing w:after="0"/>
        <w:tabs>
          <w:tab w:leader="none" w:pos="2018" w:val="left"/>
        </w:tabs>
        <w:rPr>
          <w:sz w:val="20"/>
          <w:szCs w:val="20"/>
          <w:color w:val="auto"/>
        </w:rPr>
      </w:pPr>
      <w:r>
        <w:rPr>
          <w:rFonts w:ascii="Times New Roman" w:cs="Times New Roman" w:eastAsia="Times New Roman" w:hAnsi="Times New Roman"/>
          <w:sz w:val="20"/>
          <w:szCs w:val="20"/>
          <w:color w:val="auto"/>
        </w:rPr>
        <w:t>SECTION 3.4</w:t>
      </w:r>
      <w:r>
        <w:rPr>
          <w:sz w:val="20"/>
          <w:szCs w:val="20"/>
          <w:color w:val="auto"/>
        </w:rPr>
        <w:tab/>
      </w:r>
      <w:r>
        <w:rPr>
          <w:rFonts w:ascii="Times New Roman" w:cs="Times New Roman" w:eastAsia="Times New Roman" w:hAnsi="Times New Roman"/>
          <w:sz w:val="19"/>
          <w:szCs w:val="19"/>
          <w:u w:val="single" w:color="auto"/>
          <w:color w:val="auto"/>
        </w:rPr>
        <w:t>L/C Participations</w:t>
      </w:r>
      <w:r>
        <w:rPr>
          <w:rFonts w:ascii="Times New Roman" w:cs="Times New Roman" w:eastAsia="Times New Roman" w:hAnsi="Times New Roman"/>
          <w:sz w:val="19"/>
          <w:szCs w:val="19"/>
          <w:color w:val="auto"/>
        </w:rPr>
        <w:t>.</w:t>
      </w:r>
    </w:p>
    <w:p>
      <w:pPr>
        <w:spacing w:after="0" w:line="283" w:lineRule="exact"/>
        <w:rPr>
          <w:sz w:val="20"/>
          <w:szCs w:val="20"/>
          <w:color w:val="auto"/>
        </w:rPr>
      </w:pPr>
    </w:p>
    <w:p>
      <w:pPr>
        <w:jc w:val="both"/>
        <w:ind w:left="58" w:firstLine="644"/>
        <w:spacing w:after="0" w:line="212" w:lineRule="auto"/>
        <w:tabs>
          <w:tab w:leader="none" w:pos="1237"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Issuing Lender irrevocably agrees to grant and hereby grants to each L/C Participant, and, to induce each Issuing Lender to issue Letters of Credit hereunder, each L/C Participant irrevocably agrees to accept and purchase and hereby accepts and purchases from each Issuing Lender, on the terms and conditions hereinafter stated, for such L/C Participant’s own account and risk an undivided interest equal to such L/C Participant’s Revolving Credit Commitment Percentage in each Issuing Lender’s obligations and rights under and in respect of each Letter of Credit issued by it hereunder and the amount of each draft paid by such Issuing Lender thereunder. Each L/C Participant unconditionally and irrevocably agrees with each Issuing Lender that, if a draft is paid under any Letter of Credit issued by such Issuing Lender for which such Issuing Lender is not reimbursed in full by the Borrowers through a Revolving Credit Loan or otherwise in accordance with the terms of this Agreement, such L/C Participant shall pay to such Issuing Lender upon demand at such Issuing Lender’s address for notices specified herein an amount equal to such L/C Participant’s Revolving Credit Commitment Percentage of the amount of such draft, or any part thereof, which is not so reimbursed.</w:t>
      </w:r>
    </w:p>
    <w:p>
      <w:pPr>
        <w:spacing w:after="0" w:line="196" w:lineRule="exact"/>
        <w:rPr>
          <w:rFonts w:ascii="Times New Roman" w:cs="Times New Roman" w:eastAsia="Times New Roman" w:hAnsi="Times New Roman"/>
          <w:sz w:val="20"/>
          <w:szCs w:val="20"/>
          <w:color w:val="auto"/>
        </w:rPr>
      </w:pPr>
    </w:p>
    <w:p>
      <w:pPr>
        <w:jc w:val="both"/>
        <w:ind w:left="58" w:firstLine="644"/>
        <w:spacing w:after="0" w:line="211" w:lineRule="auto"/>
        <w:tabs>
          <w:tab w:leader="none" w:pos="1235"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Upon becoming aware of any amount required to be paid by any L/C Participant to any Issuing Lender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3.4(a)</w:t>
      </w:r>
      <w:r>
        <w:rPr>
          <w:rFonts w:ascii="Times New Roman" w:cs="Times New Roman" w:eastAsia="Times New Roman" w:hAnsi="Times New Roman"/>
          <w:sz w:val="20"/>
          <w:szCs w:val="20"/>
          <w:color w:val="auto"/>
        </w:rPr>
        <w:t xml:space="preserve"> in respect of any unreimbursed portion of any payment made by such Issuing Lender under any Letter of Credit issued by it, such Issuing Lender shall notify the Administrative Agent of such unreimbursed amount and the Administrative Agent shall notify each L/C Participant (with a copy to the applicable Issuing Lender) of the amount and due date of such required payment and such L/C Participant shall pay to the Administrative Agent (which, in turn shall pay such Issuing Lender) the amount specified on the applicable due date. If any such amount is paid to such Issuing Lender after the date such payment is due, such L/C Participant shall pay to such Issuing Lender on demand, in addition to such amount, the product of (i) such amount, </w:t>
      </w:r>
      <w:r>
        <w:rPr>
          <w:rFonts w:ascii="Times New Roman" w:cs="Times New Roman" w:eastAsia="Times New Roman" w:hAnsi="Times New Roman"/>
          <w:sz w:val="20"/>
          <w:szCs w:val="20"/>
          <w:u w:val="single" w:color="auto"/>
          <w:color w:val="auto"/>
        </w:rPr>
        <w:t>times</w:t>
      </w:r>
      <w:r>
        <w:rPr>
          <w:rFonts w:ascii="Times New Roman" w:cs="Times New Roman" w:eastAsia="Times New Roman" w:hAnsi="Times New Roman"/>
          <w:sz w:val="20"/>
          <w:szCs w:val="20"/>
          <w:color w:val="auto"/>
        </w:rPr>
        <w:t xml:space="preserve"> (ii) the daily average Federal Funds Rate as determined by the Administrative Agent during the period from and including the date such payment is due to the date on which such payment is immediately available to such Issuing Lender, </w:t>
      </w:r>
      <w:r>
        <w:rPr>
          <w:rFonts w:ascii="Times New Roman" w:cs="Times New Roman" w:eastAsia="Times New Roman" w:hAnsi="Times New Roman"/>
          <w:sz w:val="20"/>
          <w:szCs w:val="20"/>
          <w:u w:val="single" w:color="auto"/>
          <w:color w:val="auto"/>
        </w:rPr>
        <w:t>times</w:t>
      </w:r>
      <w:r>
        <w:rPr>
          <w:rFonts w:ascii="Times New Roman" w:cs="Times New Roman" w:eastAsia="Times New Roman" w:hAnsi="Times New Roman"/>
          <w:sz w:val="20"/>
          <w:szCs w:val="20"/>
          <w:color w:val="auto"/>
        </w:rPr>
        <w:t xml:space="preserve"> (iii) a fraction the numerator of which is the number of days that elapse during such period and the denominator of which is 360. A certificate of such Issuing Lender with respect to any amounts owing under this Section shall be conclusive in the absence of manifest error. With respect to payment to such Issuing Lender of the unreimbursed amounts described in this Section, if the L/C Participants receive notice that any such payment is due (A) prior to 1:00 p.m. on any Business Day, such payment shall be due that Business Day, and (B) after 1:00 p.m. on any Business Day, such payment shall be due on the following Business Day.</w:t>
      </w:r>
    </w:p>
    <w:p>
      <w:pPr>
        <w:spacing w:after="0" w:line="193" w:lineRule="exact"/>
        <w:rPr>
          <w:rFonts w:ascii="Times New Roman" w:cs="Times New Roman" w:eastAsia="Times New Roman" w:hAnsi="Times New Roman"/>
          <w:sz w:val="20"/>
          <w:szCs w:val="20"/>
          <w:color w:val="auto"/>
        </w:rPr>
      </w:pPr>
    </w:p>
    <w:p>
      <w:pPr>
        <w:jc w:val="both"/>
        <w:ind w:left="58" w:firstLine="644"/>
        <w:spacing w:after="0" w:line="216" w:lineRule="auto"/>
        <w:tabs>
          <w:tab w:leader="none" w:pos="1237"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Whenever, at any time after any Issuing Lender has made payment under any Letter of Credit issued by it and has received from any L/C Participant its Revolving Credit Commitment Percentage of such payment in accordance with this Section, such Issuing Lender receives any payment related to such Letter of Credit (whether directly from the US Borrowers or otherwise), or any payment of interest on account thereof, such Issuing Lender will distribute to such L/C Participant its </w:t>
      </w:r>
      <w:r>
        <w:rPr>
          <w:rFonts w:ascii="Times New Roman" w:cs="Times New Roman" w:eastAsia="Times New Roman" w:hAnsi="Times New Roman"/>
          <w:sz w:val="20"/>
          <w:szCs w:val="20"/>
          <w:u w:val="single" w:color="auto"/>
          <w:color w:val="auto"/>
        </w:rPr>
        <w:t>pro rata</w:t>
      </w:r>
      <w:r>
        <w:rPr>
          <w:rFonts w:ascii="Times New Roman" w:cs="Times New Roman" w:eastAsia="Times New Roman" w:hAnsi="Times New Roman"/>
          <w:sz w:val="20"/>
          <w:szCs w:val="20"/>
          <w:color w:val="auto"/>
        </w:rPr>
        <w:t xml:space="preserve"> share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in the event that any such payment received by such Issuing Lender shall be required to be returned by such Issuing Lender, such L/C Participant shall return to such Issuing Lender the portion thereof previously distributed by such Issuing Lender to it.</w:t>
      </w:r>
    </w:p>
    <w:p>
      <w:pPr>
        <w:spacing w:after="0" w:line="203" w:lineRule="exact"/>
        <w:rPr>
          <w:sz w:val="20"/>
          <w:szCs w:val="20"/>
          <w:color w:val="auto"/>
        </w:rPr>
      </w:pPr>
    </w:p>
    <w:p>
      <w:pPr>
        <w:ind w:left="698"/>
        <w:spacing w:after="0"/>
        <w:tabs>
          <w:tab w:leader="none" w:pos="2018" w:val="left"/>
        </w:tabs>
        <w:rPr>
          <w:sz w:val="20"/>
          <w:szCs w:val="20"/>
          <w:color w:val="auto"/>
        </w:rPr>
      </w:pPr>
      <w:r>
        <w:rPr>
          <w:rFonts w:ascii="Times New Roman" w:cs="Times New Roman" w:eastAsia="Times New Roman" w:hAnsi="Times New Roman"/>
          <w:sz w:val="20"/>
          <w:szCs w:val="20"/>
          <w:color w:val="auto"/>
        </w:rPr>
        <w:t>SECTION 3.5</w:t>
      </w:r>
      <w:r>
        <w:rPr>
          <w:sz w:val="20"/>
          <w:szCs w:val="20"/>
          <w:color w:val="auto"/>
        </w:rPr>
        <w:tab/>
      </w:r>
      <w:r>
        <w:rPr>
          <w:rFonts w:ascii="Times New Roman" w:cs="Times New Roman" w:eastAsia="Times New Roman" w:hAnsi="Times New Roman"/>
          <w:sz w:val="19"/>
          <w:szCs w:val="19"/>
          <w:u w:val="single" w:color="auto"/>
          <w:color w:val="auto"/>
        </w:rPr>
        <w:t>Reimbursement Obligation of the Borrowers</w:t>
      </w:r>
    </w:p>
    <w:p>
      <w:pPr>
        <w:spacing w:after="0" w:line="270" w:lineRule="exact"/>
        <w:rPr>
          <w:sz w:val="20"/>
          <w:szCs w:val="20"/>
          <w:color w:val="auto"/>
        </w:rPr>
      </w:pPr>
    </w:p>
    <w:p>
      <w:pPr>
        <w:jc w:val="both"/>
        <w:ind w:left="58" w:hanging="4"/>
        <w:spacing w:after="0" w:line="222" w:lineRule="auto"/>
        <w:tabs>
          <w:tab w:leader="none" w:pos="185"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event of any drawing under any Letter of Credit, the applicable Borrower agrees to reimburse (either with the proceeds of a Revolving Credit Loan as provided for in this Section or with funds from other sources), in same day funds, the applicable Issuing Lender on each date on which such Issuing Lender notifies the applicable Borrower of the date and amount of a draft paid by it under any Letter of Credit for the amount of (a) such draft so paid and (b) any amounts referred to in </w:t>
      </w:r>
      <w:r>
        <w:rPr>
          <w:rFonts w:ascii="Times New Roman" w:cs="Times New Roman" w:eastAsia="Times New Roman" w:hAnsi="Times New Roman"/>
          <w:sz w:val="20"/>
          <w:szCs w:val="20"/>
          <w:u w:val="single" w:color="auto"/>
          <w:color w:val="auto"/>
        </w:rPr>
        <w:t>Section 3.3(c)</w:t>
      </w:r>
      <w:r>
        <w:rPr>
          <w:rFonts w:ascii="Times New Roman" w:cs="Times New Roman" w:eastAsia="Times New Roman" w:hAnsi="Times New Roman"/>
          <w:sz w:val="20"/>
          <w:szCs w:val="20"/>
          <w:color w:val="auto"/>
        </w:rPr>
        <w:t xml:space="preserve"> incurred by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38"/>
        <w:spacing w:after="0"/>
        <w:rPr>
          <w:sz w:val="20"/>
          <w:szCs w:val="20"/>
          <w:color w:val="auto"/>
        </w:rPr>
      </w:pPr>
      <w:r>
        <w:rPr>
          <w:rFonts w:ascii="Times New Roman" w:cs="Times New Roman" w:eastAsia="Times New Roman" w:hAnsi="Times New Roman"/>
          <w:sz w:val="14"/>
          <w:szCs w:val="14"/>
          <w:color w:val="FF0000"/>
          <w:strike w:val="1"/>
        </w:rPr>
        <w:t>146960219_6</w:t>
      </w:r>
    </w:p>
    <w:p>
      <w:pPr>
        <w:ind w:left="338" w:hanging="338"/>
        <w:spacing w:after="0" w:line="229" w:lineRule="auto"/>
        <w:tabs>
          <w:tab w:leader="none" w:pos="338"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078"/>
          </w:cols>
          <w:pgMar w:left="382" w:top="1399" w:right="439" w:bottom="1440" w:gutter="0" w:footer="0" w:header="0"/>
        </w:sectPr>
      </w:pPr>
    </w:p>
    <w:bookmarkStart w:id="150" w:name="page151"/>
    <w:bookmarkEnd w:id="150"/>
    <w:p>
      <w:pPr>
        <w:spacing w:after="0" w:line="197" w:lineRule="exact"/>
        <w:rPr>
          <w:sz w:val="20"/>
          <w:szCs w:val="20"/>
          <w:color w:val="auto"/>
        </w:rPr>
      </w:pPr>
    </w:p>
    <w:p>
      <w:pPr>
        <w:ind w:left="58"/>
        <w:spacing w:after="0"/>
        <w:rPr>
          <w:sz w:val="20"/>
          <w:szCs w:val="20"/>
          <w:color w:val="auto"/>
        </w:rPr>
      </w:pPr>
      <w:r>
        <w:rPr>
          <w:rFonts w:ascii="Times New Roman" w:cs="Times New Roman" w:eastAsia="Times New Roman" w:hAnsi="Times New Roman"/>
          <w:sz w:val="20"/>
          <w:szCs w:val="20"/>
          <w:color w:val="auto"/>
        </w:rPr>
        <w:t>Issuing Lender in connection with such payment. Unless the applicable Borrower shall immediately notify such Issuing Lender that such</w:t>
      </w:r>
    </w:p>
    <w:p>
      <w:pPr>
        <w:ind w:left="58"/>
        <w:spacing w:after="0" w:line="215" w:lineRule="auto"/>
        <w:rPr>
          <w:sz w:val="20"/>
          <w:szCs w:val="20"/>
          <w:color w:val="auto"/>
        </w:rPr>
      </w:pPr>
      <w:r>
        <w:rPr>
          <w:rFonts w:ascii="Times New Roman" w:cs="Times New Roman" w:eastAsia="Times New Roman" w:hAnsi="Times New Roman"/>
          <w:sz w:val="19"/>
          <w:szCs w:val="19"/>
          <w:color w:val="auto"/>
        </w:rPr>
        <w:t>Borrower intends to reimburse such Issuing Lender for such drawing from other sources or funds, such Borrower shall be deemed to have timely given a Notice of Borrowing to the Administrative Agent requesting that the Revolving Credit Lenders make a Revolving Credit</w:t>
      </w:r>
    </w:p>
    <w:p>
      <w:pPr>
        <w:ind w:left="58"/>
        <w:spacing w:after="0" w:line="211" w:lineRule="auto"/>
        <w:rPr>
          <w:sz w:val="20"/>
          <w:szCs w:val="20"/>
          <w:color w:val="auto"/>
        </w:rPr>
      </w:pPr>
      <w:r>
        <w:rPr>
          <w:rFonts w:ascii="Times New Roman" w:cs="Times New Roman" w:eastAsia="Times New Roman" w:hAnsi="Times New Roman"/>
          <w:sz w:val="20"/>
          <w:szCs w:val="20"/>
          <w:color w:val="auto"/>
        </w:rPr>
        <w:t>Loan bearing interest at the Base Rate on the applicable repayment date in the amount of (i) such draft so paid and (ii) any amounts</w:t>
      </w:r>
    </w:p>
    <w:p>
      <w:pPr>
        <w:ind w:left="58" w:right="20"/>
        <w:spacing w:after="0" w:line="215" w:lineRule="auto"/>
        <w:rPr>
          <w:sz w:val="20"/>
          <w:szCs w:val="20"/>
          <w:color w:val="auto"/>
        </w:rPr>
      </w:pPr>
      <w:r>
        <w:rPr>
          <w:rFonts w:ascii="Times New Roman" w:cs="Times New Roman" w:eastAsia="Times New Roman" w:hAnsi="Times New Roman"/>
          <w:sz w:val="19"/>
          <w:szCs w:val="19"/>
          <w:color w:val="auto"/>
        </w:rPr>
        <w:t xml:space="preserve">referred to in </w:t>
      </w:r>
      <w:r>
        <w:rPr>
          <w:rFonts w:ascii="Times New Roman" w:cs="Times New Roman" w:eastAsia="Times New Roman" w:hAnsi="Times New Roman"/>
          <w:sz w:val="19"/>
          <w:szCs w:val="19"/>
          <w:u w:val="single" w:color="auto"/>
          <w:color w:val="auto"/>
        </w:rPr>
        <w:t>Section 3.3(c)</w:t>
      </w:r>
      <w:r>
        <w:rPr>
          <w:rFonts w:ascii="Times New Roman" w:cs="Times New Roman" w:eastAsia="Times New Roman" w:hAnsi="Times New Roman"/>
          <w:sz w:val="19"/>
          <w:szCs w:val="19"/>
          <w:color w:val="auto"/>
        </w:rPr>
        <w:t xml:space="preserve"> incurred by such Issuing Lender in connection with such payment, and the Revolving Credit Lenders shall make a Revolving Credit Loan bearing interest at the Base Rate in such amount, the proceeds of which shall be applied to reimburse such</w:t>
      </w:r>
    </w:p>
    <w:p>
      <w:pPr>
        <w:ind w:left="58"/>
        <w:spacing w:after="0" w:line="222" w:lineRule="auto"/>
        <w:rPr>
          <w:sz w:val="20"/>
          <w:szCs w:val="20"/>
          <w:color w:val="auto"/>
        </w:rPr>
      </w:pPr>
      <w:r>
        <w:rPr>
          <w:rFonts w:ascii="Times New Roman" w:cs="Times New Roman" w:eastAsia="Times New Roman" w:hAnsi="Times New Roman"/>
          <w:sz w:val="19"/>
          <w:szCs w:val="19"/>
          <w:color w:val="auto"/>
        </w:rPr>
        <w:t>Issuing Lender for the amount of the related drawing and such fees and expenses. Each Revolving Credit Lender acknowledges and agrees</w:t>
      </w:r>
    </w:p>
    <w:p>
      <w:pPr>
        <w:jc w:val="both"/>
        <w:ind w:left="58" w:right="20"/>
        <w:spacing w:after="0" w:line="204" w:lineRule="auto"/>
        <w:rPr>
          <w:sz w:val="20"/>
          <w:szCs w:val="20"/>
          <w:color w:val="auto"/>
        </w:rPr>
      </w:pPr>
      <w:r>
        <w:rPr>
          <w:rFonts w:ascii="Times New Roman" w:cs="Times New Roman" w:eastAsia="Times New Roman" w:hAnsi="Times New Roman"/>
          <w:sz w:val="20"/>
          <w:szCs w:val="20"/>
          <w:color w:val="auto"/>
        </w:rPr>
        <w:t>that its obligation to fund a Revolving Credit Loan in accordance with this Section to reimburse such Issuing Lender for any draft paid under a Letter of Credit issued by it is absolute and unconditional and shall not be affected by any circumstance whatsoever, including,</w:t>
      </w:r>
    </w:p>
    <w:p>
      <w:pPr>
        <w:ind w:left="58"/>
        <w:spacing w:after="0" w:line="211" w:lineRule="auto"/>
        <w:rPr>
          <w:sz w:val="20"/>
          <w:szCs w:val="20"/>
          <w:color w:val="auto"/>
        </w:rPr>
      </w:pPr>
      <w:r>
        <w:rPr>
          <w:rFonts w:ascii="Times New Roman" w:cs="Times New Roman" w:eastAsia="Times New Roman" w:hAnsi="Times New Roman"/>
          <w:sz w:val="20"/>
          <w:szCs w:val="20"/>
          <w:color w:val="auto"/>
        </w:rPr>
        <w:t xml:space="preserve">without limitation, non-satisfaction of the conditions set forth in </w:t>
      </w:r>
      <w:r>
        <w:rPr>
          <w:rFonts w:ascii="Times New Roman" w:cs="Times New Roman" w:eastAsia="Times New Roman" w:hAnsi="Times New Roman"/>
          <w:sz w:val="20"/>
          <w:szCs w:val="20"/>
          <w:u w:val="single" w:color="auto"/>
          <w:color w:val="auto"/>
        </w:rPr>
        <w:t>Section 2.3(a)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Article VI</w:t>
      </w:r>
      <w:r>
        <w:rPr>
          <w:rFonts w:ascii="Times New Roman" w:cs="Times New Roman" w:eastAsia="Times New Roman" w:hAnsi="Times New Roman"/>
          <w:sz w:val="20"/>
          <w:szCs w:val="20"/>
          <w:color w:val="auto"/>
        </w:rPr>
        <w:t>. If a Borrower has elected to pay the amount</w:t>
      </w:r>
    </w:p>
    <w:p>
      <w:pPr>
        <w:spacing w:after="0" w:line="1" w:lineRule="exact"/>
        <w:rPr>
          <w:sz w:val="20"/>
          <w:szCs w:val="20"/>
          <w:color w:val="auto"/>
        </w:rPr>
      </w:pPr>
    </w:p>
    <w:p>
      <w:pPr>
        <w:ind w:left="58"/>
        <w:spacing w:after="0" w:line="204" w:lineRule="auto"/>
        <w:rPr>
          <w:sz w:val="20"/>
          <w:szCs w:val="20"/>
          <w:color w:val="auto"/>
        </w:rPr>
      </w:pPr>
      <w:r>
        <w:rPr>
          <w:rFonts w:ascii="Times New Roman" w:cs="Times New Roman" w:eastAsia="Times New Roman" w:hAnsi="Times New Roman"/>
          <w:sz w:val="20"/>
          <w:szCs w:val="20"/>
          <w:color w:val="auto"/>
        </w:rPr>
        <w:t>of such drawing with funds from other sources and shall fail to reimburse such Issuing Lender as provided above, the unreimbursed amount of such drawing shall bear interest at the rate which would be payable on any outstanding Base Rate Loans which were then</w:t>
      </w:r>
    </w:p>
    <w:p>
      <w:pPr>
        <w:spacing w:after="0" w:line="1" w:lineRule="exact"/>
        <w:rPr>
          <w:sz w:val="20"/>
          <w:szCs w:val="20"/>
          <w:color w:val="auto"/>
        </w:rPr>
      </w:pPr>
    </w:p>
    <w:p>
      <w:pPr>
        <w:ind w:left="58"/>
        <w:spacing w:after="0"/>
        <w:rPr>
          <w:sz w:val="20"/>
          <w:szCs w:val="20"/>
          <w:color w:val="auto"/>
        </w:rPr>
      </w:pPr>
      <w:r>
        <w:rPr>
          <w:rFonts w:ascii="Times New Roman" w:cs="Times New Roman" w:eastAsia="Times New Roman" w:hAnsi="Times New Roman"/>
          <w:sz w:val="20"/>
          <w:szCs w:val="20"/>
          <w:color w:val="auto"/>
        </w:rPr>
        <w:t>overdue from the date such amounts become payable (whether at stated maturity, by acceleration or otherwise) until payment in full.</w:t>
      </w:r>
    </w:p>
    <w:p>
      <w:pPr>
        <w:spacing w:after="0" w:line="194" w:lineRule="exact"/>
        <w:rPr>
          <w:sz w:val="20"/>
          <w:szCs w:val="20"/>
          <w:color w:val="auto"/>
        </w:rPr>
      </w:pPr>
    </w:p>
    <w:p>
      <w:pPr>
        <w:ind w:left="698"/>
        <w:spacing w:after="0"/>
        <w:tabs>
          <w:tab w:leader="none" w:pos="2018" w:val="left"/>
        </w:tabs>
        <w:rPr>
          <w:sz w:val="20"/>
          <w:szCs w:val="20"/>
          <w:color w:val="auto"/>
        </w:rPr>
      </w:pPr>
      <w:r>
        <w:rPr>
          <w:rFonts w:ascii="Times New Roman" w:cs="Times New Roman" w:eastAsia="Times New Roman" w:hAnsi="Times New Roman"/>
          <w:sz w:val="20"/>
          <w:szCs w:val="20"/>
          <w:color w:val="auto"/>
        </w:rPr>
        <w:t>SECTION 3.6</w:t>
      </w:r>
      <w:r>
        <w:rPr>
          <w:sz w:val="20"/>
          <w:szCs w:val="20"/>
          <w:color w:val="auto"/>
        </w:rPr>
        <w:tab/>
      </w:r>
      <w:r>
        <w:rPr>
          <w:rFonts w:ascii="Times New Roman" w:cs="Times New Roman" w:eastAsia="Times New Roman" w:hAnsi="Times New Roman"/>
          <w:sz w:val="19"/>
          <w:szCs w:val="19"/>
          <w:u w:val="single" w:color="auto"/>
          <w:color w:val="auto"/>
        </w:rPr>
        <w:t>Obligations Absolute</w:t>
      </w:r>
    </w:p>
    <w:p>
      <w:pPr>
        <w:spacing w:after="0" w:line="283" w:lineRule="exact"/>
        <w:rPr>
          <w:sz w:val="20"/>
          <w:szCs w:val="20"/>
          <w:color w:val="auto"/>
        </w:rPr>
      </w:pPr>
    </w:p>
    <w:p>
      <w:pPr>
        <w:jc w:val="both"/>
        <w:ind w:left="58" w:hanging="5"/>
        <w:spacing w:after="0" w:line="209" w:lineRule="auto"/>
        <w:tabs>
          <w:tab w:leader="none" w:pos="173" w:val="left"/>
        </w:tabs>
        <w:numPr>
          <w:ilvl w:val="0"/>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Borrower’s obligations under this </w:t>
      </w:r>
      <w:r>
        <w:rPr>
          <w:rFonts w:ascii="Times New Roman" w:cs="Times New Roman" w:eastAsia="Times New Roman" w:hAnsi="Times New Roman"/>
          <w:sz w:val="20"/>
          <w:szCs w:val="20"/>
          <w:u w:val="single" w:color="auto"/>
          <w:color w:val="auto"/>
        </w:rPr>
        <w:t>Article III</w:t>
      </w:r>
      <w:r>
        <w:rPr>
          <w:rFonts w:ascii="Times New Roman" w:cs="Times New Roman" w:eastAsia="Times New Roman" w:hAnsi="Times New Roman"/>
          <w:sz w:val="20"/>
          <w:szCs w:val="20"/>
          <w:color w:val="auto"/>
        </w:rPr>
        <w:t xml:space="preserve"> (including, without limitation, the Reimbursement Obligation) shall be absolute and unconditional under any and all circumstances and irrespective of any set off, counterclaim or defense to payment such Borrower may have or have had against the applicable Issuing Lender or any beneficiary of a Letter of Credit or any other Person. Each Borrower also agrees that the applicable Issuing Lender and the L/C Participants shall not be responsible for, and such Borrower’s Reimbursement Obligation under </w:t>
      </w:r>
      <w:r>
        <w:rPr>
          <w:rFonts w:ascii="Times New Roman" w:cs="Times New Roman" w:eastAsia="Times New Roman" w:hAnsi="Times New Roman"/>
          <w:sz w:val="20"/>
          <w:szCs w:val="20"/>
          <w:u w:val="single" w:color="auto"/>
          <w:color w:val="auto"/>
        </w:rPr>
        <w:t>Section 3.5</w:t>
      </w:r>
      <w:r>
        <w:rPr>
          <w:rFonts w:ascii="Times New Roman" w:cs="Times New Roman" w:eastAsia="Times New Roman" w:hAnsi="Times New Roman"/>
          <w:sz w:val="20"/>
          <w:szCs w:val="20"/>
          <w:color w:val="auto"/>
        </w:rPr>
        <w:t xml:space="preserve"> shall not be affected by, among other things, the validity or genuineness of documents or of any endorsements thereon, even though such documents shall in fact prove to be invalid, fraudulent or forged, or any dispute between or among such Borrower and any beneficiary of any Letter of Credit or any other party to which such Letter of Credit may be transferred or any claims whatsoever of such Borrower against any beneficiary of such Letter of Credit or any such transferee. No Issuing Lender shall be liable for any error, omission, interruption or delay in transmission, dispatch or delivery of any message or advice, however transmitted, in connection with any Letter of Credit issued by it, except for errors or omissions caused by such Issuing Lender’s gross negligence or willful misconduct, as determined by a court of competent jurisdiction by final nonappealable judgment. Each Borrower agrees that any action taken or omitted by any Issuing Lender under or in connection with any Letter of Credit issued by it or the related drafts or documents, if done in the absence of gross negligence or willful misconduct shall be binding on such Borrower and shall not result in any liability of such Issuing Lender or any L/C Participant to any Borrower. The responsibility of any Issuing Lender to the Borrowers in connection with any draft presented for payment under any Letter of Credit issued to it shall, in addition to any payment obligation expressly provided for in such Letter of Credit, be limited to determining that the documents (including each draft) delivered under such Letter of Credit in connection with such presentment substantially conforms to the requirements under such Letter of Credit.</w:t>
      </w:r>
    </w:p>
    <w:p>
      <w:pPr>
        <w:spacing w:after="0" w:line="213" w:lineRule="exact"/>
        <w:rPr>
          <w:sz w:val="20"/>
          <w:szCs w:val="20"/>
          <w:color w:val="auto"/>
        </w:rPr>
      </w:pPr>
    </w:p>
    <w:p>
      <w:pPr>
        <w:ind w:left="698"/>
        <w:spacing w:after="0"/>
        <w:tabs>
          <w:tab w:leader="none" w:pos="2018" w:val="left"/>
        </w:tabs>
        <w:rPr>
          <w:sz w:val="20"/>
          <w:szCs w:val="20"/>
          <w:color w:val="auto"/>
        </w:rPr>
      </w:pPr>
      <w:r>
        <w:rPr>
          <w:rFonts w:ascii="Times New Roman" w:cs="Times New Roman" w:eastAsia="Times New Roman" w:hAnsi="Times New Roman"/>
          <w:sz w:val="20"/>
          <w:szCs w:val="20"/>
          <w:color w:val="auto"/>
        </w:rPr>
        <w:t>SECTION 3.7</w:t>
      </w:r>
      <w:r>
        <w:rPr>
          <w:sz w:val="20"/>
          <w:szCs w:val="20"/>
          <w:color w:val="auto"/>
        </w:rPr>
        <w:tab/>
      </w:r>
      <w:r>
        <w:rPr>
          <w:rFonts w:ascii="Times New Roman" w:cs="Times New Roman" w:eastAsia="Times New Roman" w:hAnsi="Times New Roman"/>
          <w:sz w:val="19"/>
          <w:szCs w:val="19"/>
          <w:u w:val="single" w:color="auto"/>
          <w:color w:val="auto"/>
        </w:rPr>
        <w:t>Effect of Letter of Credit Application</w:t>
      </w:r>
    </w:p>
    <w:p>
      <w:pPr>
        <w:spacing w:after="0" w:line="270" w:lineRule="exact"/>
        <w:rPr>
          <w:sz w:val="20"/>
          <w:szCs w:val="20"/>
          <w:color w:val="auto"/>
        </w:rPr>
      </w:pPr>
    </w:p>
    <w:p>
      <w:pPr>
        <w:ind w:left="58" w:right="240" w:hanging="4"/>
        <w:spacing w:after="0"/>
        <w:tabs>
          <w:tab w:leader="none" w:pos="157" w:val="left"/>
        </w:tabs>
        <w:numPr>
          <w:ilvl w:val="0"/>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that any provision of any Letter of Credit Application related to any Letter of Credit is inconsistent with the provisions of this Agreement, the provisions of this Agreement shall apply and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38"/>
        <w:spacing w:after="0"/>
        <w:rPr>
          <w:sz w:val="20"/>
          <w:szCs w:val="20"/>
          <w:color w:val="auto"/>
        </w:rPr>
      </w:pPr>
      <w:r>
        <w:rPr>
          <w:rFonts w:ascii="Times New Roman" w:cs="Times New Roman" w:eastAsia="Times New Roman" w:hAnsi="Times New Roman"/>
          <w:sz w:val="14"/>
          <w:szCs w:val="14"/>
          <w:color w:val="FF0000"/>
          <w:strike w:val="1"/>
        </w:rPr>
        <w:t>146960219_6</w:t>
      </w:r>
    </w:p>
    <w:p>
      <w:pPr>
        <w:spacing w:after="0" w:line="4" w:lineRule="exact"/>
        <w:rPr>
          <w:sz w:val="20"/>
          <w:szCs w:val="20"/>
          <w:color w:val="auto"/>
        </w:rPr>
      </w:pPr>
    </w:p>
    <w:p>
      <w:pPr>
        <w:ind w:left="338" w:hanging="338"/>
        <w:spacing w:after="0"/>
        <w:tabs>
          <w:tab w:leader="none" w:pos="338" w:val="left"/>
        </w:tabs>
        <w:numPr>
          <w:ilvl w:val="0"/>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078"/>
          </w:cols>
          <w:pgMar w:left="382" w:top="1440" w:right="439" w:bottom="1440" w:gutter="0" w:footer="0" w:header="0"/>
        </w:sectPr>
      </w:pPr>
    </w:p>
    <w:bookmarkStart w:id="151" w:name="page152"/>
    <w:bookmarkEnd w:id="151"/>
    <w:p>
      <w:pPr>
        <w:spacing w:after="0" w:line="203" w:lineRule="exact"/>
        <w:rPr>
          <w:sz w:val="20"/>
          <w:szCs w:val="20"/>
          <w:color w:val="auto"/>
        </w:rPr>
      </w:pPr>
    </w:p>
    <w:p>
      <w:pPr>
        <w:ind w:left="698"/>
        <w:spacing w:after="0"/>
        <w:tabs>
          <w:tab w:leader="none" w:pos="2018" w:val="left"/>
        </w:tabs>
        <w:rPr>
          <w:sz w:val="20"/>
          <w:szCs w:val="20"/>
          <w:color w:val="auto"/>
        </w:rPr>
      </w:pPr>
      <w:r>
        <w:rPr>
          <w:rFonts w:ascii="Times New Roman" w:cs="Times New Roman" w:eastAsia="Times New Roman" w:hAnsi="Times New Roman"/>
          <w:sz w:val="20"/>
          <w:szCs w:val="20"/>
          <w:color w:val="auto"/>
        </w:rPr>
        <w:t>SECTION 3.8</w:t>
      </w:r>
      <w:r>
        <w:rPr>
          <w:sz w:val="20"/>
          <w:szCs w:val="20"/>
          <w:color w:val="auto"/>
        </w:rPr>
        <w:tab/>
      </w:r>
      <w:r>
        <w:rPr>
          <w:rFonts w:ascii="Times New Roman" w:cs="Times New Roman" w:eastAsia="Times New Roman" w:hAnsi="Times New Roman"/>
          <w:sz w:val="19"/>
          <w:szCs w:val="19"/>
          <w:u w:val="single" w:color="auto"/>
          <w:color w:val="auto"/>
        </w:rPr>
        <w:t>Removal and Resignation of Issuing Lenders</w:t>
      </w:r>
    </w:p>
    <w:p>
      <w:pPr>
        <w:spacing w:after="0" w:line="283" w:lineRule="exact"/>
        <w:rPr>
          <w:sz w:val="20"/>
          <w:szCs w:val="20"/>
          <w:color w:val="auto"/>
        </w:rPr>
      </w:pPr>
    </w:p>
    <w:p>
      <w:pPr>
        <w:ind w:left="58"/>
        <w:spacing w:after="0"/>
        <w:rPr>
          <w:sz w:val="20"/>
          <w:szCs w:val="20"/>
          <w:color w:val="auto"/>
        </w:rPr>
      </w:pPr>
      <w:r>
        <w:rPr>
          <w:rFonts w:ascii="Times New Roman" w:cs="Times New Roman" w:eastAsia="Times New Roman" w:hAnsi="Times New Roman"/>
          <w:sz w:val="20"/>
          <w:szCs w:val="20"/>
          <w:color w:val="auto"/>
        </w:rPr>
        <w:t>.</w:t>
      </w:r>
    </w:p>
    <w:p>
      <w:pPr>
        <w:spacing w:after="0" w:line="210" w:lineRule="exact"/>
        <w:rPr>
          <w:sz w:val="20"/>
          <w:szCs w:val="20"/>
          <w:color w:val="auto"/>
        </w:rPr>
      </w:pPr>
    </w:p>
    <w:p>
      <w:pPr>
        <w:ind w:left="1238" w:hanging="536"/>
        <w:spacing w:after="0"/>
        <w:tabs>
          <w:tab w:leader="none" w:pos="1238" w:val="left"/>
        </w:tabs>
        <w:numPr>
          <w:ilvl w:val="1"/>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Borrowers may at any time remove any Lender from its role as an Issuing Lender hereunder upon not less than thirty</w:t>
      </w:r>
    </w:p>
    <w:p>
      <w:pPr>
        <w:ind w:left="58" w:right="20" w:hanging="4"/>
        <w:spacing w:after="0" w:line="228" w:lineRule="auto"/>
        <w:tabs>
          <w:tab w:leader="none" w:pos="448" w:val="left"/>
        </w:tabs>
        <w:numPr>
          <w:ilvl w:val="0"/>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days prior notice to such Issuing Lender and the Administrative Agent (or such shorter period of time as may be acceptable to such Issuing Lender and the Administrative Agent).</w:t>
      </w:r>
    </w:p>
    <w:p>
      <w:pPr>
        <w:spacing w:after="0" w:line="189" w:lineRule="exact"/>
        <w:rPr>
          <w:rFonts w:ascii="Times New Roman" w:cs="Times New Roman" w:eastAsia="Times New Roman" w:hAnsi="Times New Roman"/>
          <w:sz w:val="20"/>
          <w:szCs w:val="20"/>
          <w:color w:val="auto"/>
        </w:rPr>
      </w:pPr>
    </w:p>
    <w:p>
      <w:pPr>
        <w:jc w:val="both"/>
        <w:ind w:left="58" w:right="20" w:firstLine="644"/>
        <w:spacing w:after="0" w:line="226" w:lineRule="auto"/>
        <w:tabs>
          <w:tab w:leader="none" w:pos="1234" w:val="left"/>
        </w:tabs>
        <w:numPr>
          <w:ilvl w:val="1"/>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Lender may at any time resign from its role as an Issuing Lender hereunder upon not less than thirty (30) days prior notice to Centuri and the Administrative Agent (or such shorter period of time as may be acceptable to Centuri and the Administrative Agent).</w:t>
      </w:r>
    </w:p>
    <w:p>
      <w:pPr>
        <w:spacing w:after="0" w:line="187" w:lineRule="exact"/>
        <w:rPr>
          <w:rFonts w:ascii="Times New Roman" w:cs="Times New Roman" w:eastAsia="Times New Roman" w:hAnsi="Times New Roman"/>
          <w:sz w:val="20"/>
          <w:szCs w:val="20"/>
          <w:color w:val="auto"/>
        </w:rPr>
      </w:pPr>
    </w:p>
    <w:p>
      <w:pPr>
        <w:jc w:val="both"/>
        <w:ind w:left="58" w:firstLine="644"/>
        <w:spacing w:after="0" w:line="234" w:lineRule="auto"/>
        <w:tabs>
          <w:tab w:leader="none" w:pos="1236" w:val="left"/>
        </w:tabs>
        <w:numPr>
          <w:ilvl w:val="1"/>
          <w:numId w:val="1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connection with (i) any Refinancing Revolving Credit Commitments or (ii) any Extension of Revolving Credit Commitments, that has not been consented to by any Issuing Lender, such Issuing Lender may, in connection with such Refinancing Revolving Credit Commitments or Extension resign as an Issuing Lender hereunder upon not less than five (5) Business Days’ prior notice to Centuri and the Administrative Agent (or such shorter period of time as may be acceptable to Centuri and the Administrative Agent).</w:t>
      </w:r>
    </w:p>
    <w:p>
      <w:pPr>
        <w:spacing w:after="0" w:line="187" w:lineRule="exact"/>
        <w:rPr>
          <w:rFonts w:ascii="Times New Roman" w:cs="Times New Roman" w:eastAsia="Times New Roman" w:hAnsi="Times New Roman"/>
          <w:sz w:val="19"/>
          <w:szCs w:val="19"/>
          <w:color w:val="auto"/>
        </w:rPr>
      </w:pPr>
    </w:p>
    <w:p>
      <w:pPr>
        <w:jc w:val="both"/>
        <w:ind w:left="58" w:firstLine="644"/>
        <w:spacing w:after="0" w:line="214" w:lineRule="auto"/>
        <w:tabs>
          <w:tab w:leader="none" w:pos="1235" w:val="left"/>
        </w:tabs>
        <w:numPr>
          <w:ilvl w:val="1"/>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removed or resigning Issuing Lender shall retain all the rights, powers, privileges and duties of an Issuing Lender hereunder with respect to all Letters of Credit issued by it that are outstanding as of the effective date of its removal or resignation as an Issuing Lender and all L/C Obligations with respect thereto (including, without limitation, the right to require the Revolving Credit Lenders to take such actions as are required under </w:t>
      </w:r>
      <w:r>
        <w:rPr>
          <w:rFonts w:ascii="Times New Roman" w:cs="Times New Roman" w:eastAsia="Times New Roman" w:hAnsi="Times New Roman"/>
          <w:sz w:val="20"/>
          <w:szCs w:val="20"/>
          <w:u w:val="single" w:color="auto"/>
          <w:color w:val="auto"/>
        </w:rPr>
        <w:t>Section 3.4</w:t>
      </w:r>
      <w:r>
        <w:rPr>
          <w:rFonts w:ascii="Times New Roman" w:cs="Times New Roman" w:eastAsia="Times New Roman" w:hAnsi="Times New Roman"/>
          <w:sz w:val="20"/>
          <w:szCs w:val="20"/>
          <w:color w:val="auto"/>
        </w:rPr>
        <w:t>). Without limiting the foregoing, upon the removal or resignation of a Lender as an Issuing Lender hereunder, the Borrowers may, or at the request of such removed or resigned Issuing Lender the Borrowers shall, use commercially reasonable efforts to, arrange for one or more of the other Issuing Lenders to issue Letters of Credit hereunder in substitution for the Letters of Credit, if any, issued by such removed or resigned Issuing Lender and outstanding at the time of such removal or resignation, or make other arrangements satisfactory to the removed or resigned Issuing Lender to effectively cause another Issuing Lender to assume the obligations of the removed or resigned Issuing Lender with respect to any such Letters of Credit.</w:t>
      </w:r>
    </w:p>
    <w:p>
      <w:pPr>
        <w:spacing w:after="0" w:line="193" w:lineRule="exact"/>
        <w:rPr>
          <w:sz w:val="20"/>
          <w:szCs w:val="20"/>
          <w:color w:val="auto"/>
        </w:rPr>
      </w:pPr>
    </w:p>
    <w:p>
      <w:pPr>
        <w:ind w:left="698"/>
        <w:spacing w:after="0"/>
        <w:tabs>
          <w:tab w:leader="none" w:pos="2018" w:val="left"/>
        </w:tabs>
        <w:rPr>
          <w:sz w:val="20"/>
          <w:szCs w:val="20"/>
          <w:color w:val="auto"/>
        </w:rPr>
      </w:pPr>
      <w:r>
        <w:rPr>
          <w:rFonts w:ascii="Times New Roman" w:cs="Times New Roman" w:eastAsia="Times New Roman" w:hAnsi="Times New Roman"/>
          <w:sz w:val="20"/>
          <w:szCs w:val="20"/>
          <w:color w:val="auto"/>
        </w:rPr>
        <w:t>SECTION 3.9</w:t>
      </w:r>
      <w:r>
        <w:rPr>
          <w:sz w:val="20"/>
          <w:szCs w:val="20"/>
          <w:color w:val="auto"/>
        </w:rPr>
        <w:tab/>
      </w:r>
      <w:r>
        <w:rPr>
          <w:rFonts w:ascii="Times New Roman" w:cs="Times New Roman" w:eastAsia="Times New Roman" w:hAnsi="Times New Roman"/>
          <w:sz w:val="19"/>
          <w:szCs w:val="19"/>
          <w:u w:val="single" w:color="auto"/>
          <w:color w:val="auto"/>
        </w:rPr>
        <w:t>Reporting of Letter of Credit Information and L/C Commitment</w:t>
      </w:r>
    </w:p>
    <w:p>
      <w:pPr>
        <w:spacing w:after="0" w:line="283" w:lineRule="exact"/>
        <w:rPr>
          <w:sz w:val="20"/>
          <w:szCs w:val="20"/>
          <w:color w:val="auto"/>
        </w:rPr>
      </w:pPr>
    </w:p>
    <w:p>
      <w:pPr>
        <w:jc w:val="both"/>
        <w:ind w:left="58" w:hanging="4"/>
        <w:spacing w:after="0" w:line="211" w:lineRule="auto"/>
        <w:tabs>
          <w:tab w:leader="none" w:pos="172" w:val="left"/>
        </w:tabs>
        <w:numPr>
          <w:ilvl w:val="0"/>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At any time that there is an Issuing Lender that is not also the financial institution acting as Administrative Agent, then (a) on the last Business Day of each calendar month, (b) on each date that a Letter of Credit is amended, terminated or otherwise expires, (c) on each date that a Letter of Credit is issued or the expiry date of a Letter of Credit is extended, and (d) upon the request of the Administrative Agent, each Issuing Lender (or, in the case of clauses (b), (c) or (d) of this Section, the applicable Issuing Lender) shall deliver to the Administrative Agent a report setting forth in form and detail reasonably satisfactory to the Administrative Agent information (including, without limitation, any reimbursement, Cash Collateral, or termination in respect of Letters of Credit issued by such Issuing Lender) with respect to each Letter of Credit issued by such Issuing Lender that is outstanding hereunder. In addition, each Issuing Lender shall provide notice to the Administrative Agent of its L/C Commitment, or any change thereto, promptly upon it becoming an Issuing Lender or making any change to its L/C Commitment. No failure on the part of any Issuing Lender to provide such information pursuant to this </w:t>
      </w:r>
      <w:r>
        <w:rPr>
          <w:rFonts w:ascii="Times New Roman" w:cs="Times New Roman" w:eastAsia="Times New Roman" w:hAnsi="Times New Roman"/>
          <w:sz w:val="20"/>
          <w:szCs w:val="20"/>
          <w:u w:val="single" w:color="auto"/>
          <w:color w:val="auto"/>
        </w:rPr>
        <w:t>Section 3.9</w:t>
      </w:r>
      <w:r>
        <w:rPr>
          <w:rFonts w:ascii="Times New Roman" w:cs="Times New Roman" w:eastAsia="Times New Roman" w:hAnsi="Times New Roman"/>
          <w:sz w:val="20"/>
          <w:szCs w:val="20"/>
          <w:color w:val="auto"/>
        </w:rPr>
        <w:t xml:space="preserve"> shall limit the obligations of the Borrowers or any Revolving Credit Lender hereunder with respect to its reimbursement and participation obligations hereunder.</w:t>
      </w:r>
    </w:p>
    <w:p>
      <w:pPr>
        <w:spacing w:after="0" w:line="192" w:lineRule="exact"/>
        <w:rPr>
          <w:sz w:val="20"/>
          <w:szCs w:val="20"/>
          <w:color w:val="auto"/>
        </w:rPr>
      </w:pPr>
    </w:p>
    <w:p>
      <w:pPr>
        <w:ind w:left="698"/>
        <w:spacing w:after="0"/>
        <w:tabs>
          <w:tab w:leader="none" w:pos="2118" w:val="left"/>
        </w:tabs>
        <w:rPr>
          <w:sz w:val="20"/>
          <w:szCs w:val="20"/>
          <w:color w:val="auto"/>
        </w:rPr>
      </w:pPr>
      <w:r>
        <w:rPr>
          <w:rFonts w:ascii="Times New Roman" w:cs="Times New Roman" w:eastAsia="Times New Roman" w:hAnsi="Times New Roman"/>
          <w:sz w:val="20"/>
          <w:szCs w:val="20"/>
          <w:color w:val="auto"/>
        </w:rPr>
        <w:t>SECTION 3.10</w:t>
      </w:r>
      <w:r>
        <w:rPr>
          <w:sz w:val="20"/>
          <w:szCs w:val="20"/>
          <w:color w:val="auto"/>
        </w:rPr>
        <w:tab/>
      </w:r>
      <w:r>
        <w:rPr>
          <w:rFonts w:ascii="Times New Roman" w:cs="Times New Roman" w:eastAsia="Times New Roman" w:hAnsi="Times New Roman"/>
          <w:sz w:val="19"/>
          <w:szCs w:val="19"/>
          <w:u w:val="single" w:color="auto"/>
          <w:color w:val="auto"/>
        </w:rPr>
        <w:t>Letters of Credit Issued for Subsidiaries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38"/>
        <w:spacing w:after="0"/>
        <w:rPr>
          <w:sz w:val="20"/>
          <w:szCs w:val="20"/>
          <w:color w:val="auto"/>
        </w:rPr>
      </w:pPr>
      <w:r>
        <w:rPr>
          <w:rFonts w:ascii="Times New Roman" w:cs="Times New Roman" w:eastAsia="Times New Roman" w:hAnsi="Times New Roman"/>
          <w:sz w:val="14"/>
          <w:szCs w:val="14"/>
          <w:color w:val="FF0000"/>
          <w:strike w:val="1"/>
        </w:rPr>
        <w:t>146960219_6</w:t>
      </w:r>
    </w:p>
    <w:p>
      <w:pPr>
        <w:ind w:left="338" w:hanging="338"/>
        <w:spacing w:after="0" w:line="229" w:lineRule="auto"/>
        <w:tabs>
          <w:tab w:leader="none" w:pos="338" w:val="left"/>
        </w:tabs>
        <w:numPr>
          <w:ilvl w:val="0"/>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078"/>
          </w:cols>
          <w:pgMar w:left="382" w:top="1440" w:right="439" w:bottom="1440" w:gutter="0" w:footer="0" w:header="0"/>
        </w:sectPr>
      </w:pPr>
    </w:p>
    <w:bookmarkStart w:id="152" w:name="page153"/>
    <w:bookmarkEnd w:id="152"/>
    <w:p>
      <w:pPr>
        <w:jc w:val="both"/>
        <w:ind w:left="76" w:hanging="4"/>
        <w:spacing w:after="0" w:line="215" w:lineRule="auto"/>
        <w:tabs>
          <w:tab w:leader="none" w:pos="194" w:val="left"/>
        </w:tabs>
        <w:numPr>
          <w:ilvl w:val="0"/>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that a Letter of Credit issued or outstanding hereunder is in support of any obligations of, or is for the account of, a Borrower or any Subsidiary or Affiliate thereof described in </w:t>
      </w:r>
      <w:r>
        <w:rPr>
          <w:rFonts w:ascii="Times New Roman" w:cs="Times New Roman" w:eastAsia="Times New Roman" w:hAnsi="Times New Roman"/>
          <w:sz w:val="20"/>
          <w:szCs w:val="20"/>
          <w:u w:val="single" w:color="auto"/>
          <w:color w:val="auto"/>
        </w:rPr>
        <w:t>Section 3.1(a)</w:t>
      </w:r>
      <w:r>
        <w:rPr>
          <w:rFonts w:ascii="Times New Roman" w:cs="Times New Roman" w:eastAsia="Times New Roman" w:hAnsi="Times New Roman"/>
          <w:sz w:val="20"/>
          <w:szCs w:val="20"/>
          <w:color w:val="auto"/>
        </w:rPr>
        <w:t xml:space="preserve">, the applicable Borrower shall be obligated to reimburse, or to cause the applicable Subsidiary or Affiliate to reimburse, the applicable Issuing Lender hereunder for any and all drawings under such Letter of Credit;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aggregate face amount of all Letters of Credit issued for the account of such Affiliates of the Borrowers that are not also Subsidiaries of the Borrowers shall not exceed $25,000,000 at any time outstanding. Each Borrower hereby acknowledges that the issuance of Letters of Credit for the account of any of its Subsidiaries or Affiliates inures to the benefit of such Borrower and that such Borrower’s business derives substantial benefits from the businesses of such Subsidiaries and Affiliates.</w:t>
      </w:r>
    </w:p>
    <w:p>
      <w:pPr>
        <w:spacing w:after="0" w:line="326" w:lineRule="exact"/>
        <w:rPr>
          <w:sz w:val="20"/>
          <w:szCs w:val="20"/>
          <w:color w:val="auto"/>
        </w:rPr>
      </w:pPr>
    </w:p>
    <w:p>
      <w:pPr>
        <w:ind w:left="3636"/>
        <w:spacing w:after="0"/>
        <w:rPr>
          <w:sz w:val="20"/>
          <w:szCs w:val="20"/>
          <w:color w:val="auto"/>
        </w:rPr>
      </w:pPr>
      <w:r>
        <w:rPr>
          <w:rFonts w:ascii="Times New Roman" w:cs="Times New Roman" w:eastAsia="Times New Roman" w:hAnsi="Times New Roman"/>
          <w:sz w:val="20"/>
          <w:szCs w:val="20"/>
          <w:color w:val="auto"/>
        </w:rPr>
        <w:t>ARTICLE IV TERM LOAN FACILITY</w:t>
      </w:r>
    </w:p>
    <w:p>
      <w:pPr>
        <w:spacing w:after="0" w:line="108" w:lineRule="exact"/>
        <w:rPr>
          <w:sz w:val="20"/>
          <w:szCs w:val="20"/>
          <w:color w:val="auto"/>
        </w:rPr>
      </w:pPr>
    </w:p>
    <w:p>
      <w:pPr>
        <w:ind w:left="716"/>
        <w:spacing w:after="0"/>
        <w:tabs>
          <w:tab w:leader="none" w:pos="2036" w:val="left"/>
        </w:tabs>
        <w:rPr>
          <w:sz w:val="20"/>
          <w:szCs w:val="20"/>
          <w:color w:val="auto"/>
        </w:rPr>
      </w:pPr>
      <w:r>
        <w:rPr>
          <w:rFonts w:ascii="Times New Roman" w:cs="Times New Roman" w:eastAsia="Times New Roman" w:hAnsi="Times New Roman"/>
          <w:sz w:val="20"/>
          <w:szCs w:val="20"/>
          <w:color w:val="auto"/>
        </w:rPr>
        <w:t>SECTION 4.1</w:t>
      </w:r>
      <w:r>
        <w:rPr>
          <w:sz w:val="20"/>
          <w:szCs w:val="20"/>
          <w:color w:val="auto"/>
        </w:rPr>
        <w:tab/>
      </w:r>
      <w:r>
        <w:rPr>
          <w:rFonts w:ascii="Times New Roman" w:cs="Times New Roman" w:eastAsia="Times New Roman" w:hAnsi="Times New Roman"/>
          <w:sz w:val="19"/>
          <w:szCs w:val="19"/>
          <w:u w:val="single" w:color="auto"/>
          <w:color w:val="auto"/>
        </w:rPr>
        <w:t>Initial Term Loan</w:t>
      </w:r>
    </w:p>
    <w:p>
      <w:pPr>
        <w:spacing w:after="0" w:line="310" w:lineRule="exact"/>
        <w:rPr>
          <w:sz w:val="20"/>
          <w:szCs w:val="20"/>
          <w:color w:val="auto"/>
        </w:rPr>
      </w:pPr>
    </w:p>
    <w:p>
      <w:pPr>
        <w:jc w:val="both"/>
        <w:ind w:left="76" w:hanging="4"/>
        <w:spacing w:after="0" w:line="249" w:lineRule="auto"/>
        <w:tabs>
          <w:tab w:leader="none" w:pos="203" w:val="left"/>
        </w:tabs>
        <w:numPr>
          <w:ilvl w:val="0"/>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terms and conditions of this Agreement and the other Loan Documents, and in reliance upon the representations and warranties set forth in this Agreement and the other Loan Documents, each Term Loan Lender severally agrees to make the Initial Term Loan to Centuri, on the Closing Date, in a principal amount equal to such Lender’s Term Loan Percentage of the Initial Term Loan as of the Closing Date.</w:t>
      </w:r>
    </w:p>
    <w:p>
      <w:pPr>
        <w:spacing w:after="0" w:line="193" w:lineRule="exact"/>
        <w:rPr>
          <w:sz w:val="20"/>
          <w:szCs w:val="20"/>
          <w:color w:val="auto"/>
        </w:rPr>
      </w:pPr>
    </w:p>
    <w:p>
      <w:pPr>
        <w:ind w:left="716"/>
        <w:spacing w:after="0"/>
        <w:tabs>
          <w:tab w:leader="none" w:pos="2036" w:val="left"/>
        </w:tabs>
        <w:rPr>
          <w:sz w:val="20"/>
          <w:szCs w:val="20"/>
          <w:color w:val="auto"/>
        </w:rPr>
      </w:pPr>
      <w:r>
        <w:rPr>
          <w:rFonts w:ascii="Times New Roman" w:cs="Times New Roman" w:eastAsia="Times New Roman" w:hAnsi="Times New Roman"/>
          <w:sz w:val="20"/>
          <w:szCs w:val="20"/>
          <w:color w:val="auto"/>
        </w:rPr>
        <w:t>SECTION 4.2</w:t>
      </w:r>
      <w:r>
        <w:rPr>
          <w:sz w:val="20"/>
          <w:szCs w:val="20"/>
          <w:color w:val="auto"/>
        </w:rPr>
        <w:tab/>
      </w:r>
      <w:r>
        <w:rPr>
          <w:rFonts w:ascii="Times New Roman" w:cs="Times New Roman" w:eastAsia="Times New Roman" w:hAnsi="Times New Roman"/>
          <w:sz w:val="19"/>
          <w:szCs w:val="19"/>
          <w:u w:val="single" w:color="auto"/>
          <w:color w:val="auto"/>
        </w:rPr>
        <w:t>Procedure for Advance of Initial Term Loan</w:t>
      </w:r>
    </w:p>
    <w:p>
      <w:pPr>
        <w:spacing w:after="0" w:line="283" w:lineRule="exact"/>
        <w:rPr>
          <w:sz w:val="20"/>
          <w:szCs w:val="20"/>
          <w:color w:val="auto"/>
        </w:rPr>
      </w:pPr>
    </w:p>
    <w:p>
      <w:pPr>
        <w:jc w:val="both"/>
        <w:ind w:left="76" w:hanging="5"/>
        <w:spacing w:after="0" w:line="212" w:lineRule="auto"/>
        <w:tabs>
          <w:tab w:leader="none" w:pos="177" w:val="left"/>
        </w:tabs>
        <w:numPr>
          <w:ilvl w:val="0"/>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applicable Borrower shall give the Administrative Agent an irrevocable Notice of Borrowing prior to 11:00 a.m. on the Closing Date requesting that the Term Loan Lenders make the Initial Term Loan as a Base Rate Loan on such date (provided that the Centuri may request, no later than three (3) Business Days prior to the Closing Date, that the Term Loan Lenders make the Initial Term Loan as a LIBOR Rate Loan, as applicable, if Centuri has delivered to the Administrative Agent a letter in form and substance reasonably satisfactory to the Administrative Agent indemnifying the Lenders in the manner set forth in </w:t>
      </w:r>
      <w:r>
        <w:rPr>
          <w:rFonts w:ascii="Times New Roman" w:cs="Times New Roman" w:eastAsia="Times New Roman" w:hAnsi="Times New Roman"/>
          <w:sz w:val="20"/>
          <w:szCs w:val="20"/>
          <w:u w:val="single" w:color="auto"/>
          <w:color w:val="auto"/>
        </w:rPr>
        <w:t>Section 5.9</w:t>
      </w:r>
      <w:r>
        <w:rPr>
          <w:rFonts w:ascii="Times New Roman" w:cs="Times New Roman" w:eastAsia="Times New Roman" w:hAnsi="Times New Roman"/>
          <w:sz w:val="20"/>
          <w:szCs w:val="20"/>
          <w:color w:val="auto"/>
        </w:rPr>
        <w:t xml:space="preserve"> of this Agreement). Upon receipt of such Notice of Borrowing from the applicable Borrower, the Administrative Agent shall promptly notify each Term Loan Lender thereof. Not later than 1:00 p.m. on the Closing Date, with respect to the Initial Term Loan made on the Closing Date, each Term Loan Lender will make available to the Administrative Agent for the account of the applicable Borrower, at the Administrative Agent’s Office in immediately available funds, the amount of such Initial Term Loan to be made by such Term Loan Lender on the Closing Date. The Borrowers hereby irrevocably authorize the Administrative Agent to disburse the proceeds of the Initial Term Loan in immediately available funds by wire transfer to such Person or Persons as may be designated by the applicable Borrower in writing.</w:t>
      </w:r>
    </w:p>
    <w:p>
      <w:pPr>
        <w:spacing w:after="0" w:line="195" w:lineRule="exact"/>
        <w:rPr>
          <w:sz w:val="20"/>
          <w:szCs w:val="20"/>
          <w:color w:val="auto"/>
        </w:rPr>
      </w:pPr>
    </w:p>
    <w:p>
      <w:pPr>
        <w:ind w:left="716"/>
        <w:spacing w:after="0"/>
        <w:tabs>
          <w:tab w:leader="none" w:pos="2036" w:val="left"/>
        </w:tabs>
        <w:rPr>
          <w:sz w:val="20"/>
          <w:szCs w:val="20"/>
          <w:color w:val="auto"/>
        </w:rPr>
      </w:pPr>
      <w:r>
        <w:rPr>
          <w:rFonts w:ascii="Times New Roman" w:cs="Times New Roman" w:eastAsia="Times New Roman" w:hAnsi="Times New Roman"/>
          <w:sz w:val="20"/>
          <w:szCs w:val="20"/>
          <w:color w:val="auto"/>
        </w:rPr>
        <w:t>SECTION 4.3</w:t>
      </w:r>
      <w:r>
        <w:rPr>
          <w:sz w:val="20"/>
          <w:szCs w:val="20"/>
          <w:color w:val="auto"/>
        </w:rPr>
        <w:tab/>
      </w:r>
      <w:r>
        <w:rPr>
          <w:rFonts w:ascii="Times New Roman" w:cs="Times New Roman" w:eastAsia="Times New Roman" w:hAnsi="Times New Roman"/>
          <w:sz w:val="19"/>
          <w:szCs w:val="19"/>
          <w:u w:val="single" w:color="auto"/>
          <w:color w:val="auto"/>
        </w:rPr>
        <w:t>Repayment of Term Loans</w:t>
      </w:r>
      <w:r>
        <w:rPr>
          <w:rFonts w:ascii="Times New Roman" w:cs="Times New Roman" w:eastAsia="Times New Roman" w:hAnsi="Times New Roman"/>
          <w:sz w:val="19"/>
          <w:szCs w:val="19"/>
          <w:color w:val="auto"/>
        </w:rPr>
        <w:t>.</w:t>
      </w:r>
    </w:p>
    <w:p>
      <w:pPr>
        <w:spacing w:after="0" w:line="283" w:lineRule="exact"/>
        <w:rPr>
          <w:sz w:val="20"/>
          <w:szCs w:val="20"/>
          <w:color w:val="auto"/>
        </w:rPr>
      </w:pPr>
    </w:p>
    <w:p>
      <w:pPr>
        <w:jc w:val="both"/>
        <w:ind w:left="76" w:firstLine="644"/>
        <w:spacing w:after="0" w:line="217" w:lineRule="auto"/>
        <w:tabs>
          <w:tab w:leader="none" w:pos="1254" w:val="left"/>
        </w:tabs>
        <w:numPr>
          <w:ilvl w:val="0"/>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Initial Term Loan</w:t>
      </w:r>
      <w:r>
        <w:rPr>
          <w:rFonts w:ascii="Times New Roman" w:cs="Times New Roman" w:eastAsia="Times New Roman" w:hAnsi="Times New Roman"/>
          <w:sz w:val="20"/>
          <w:szCs w:val="20"/>
          <w:color w:val="auto"/>
        </w:rPr>
        <w:t xml:space="preserve">. The Borrowers shall repay the aggregate outstanding principal amount of the Initial Term Loan in consecutive quarterly installments equal to $2,862,500 (as the amounts of individual installments may be adjusted pursuant to </w:t>
      </w:r>
      <w:r>
        <w:rPr>
          <w:rFonts w:ascii="Times New Roman" w:cs="Times New Roman" w:eastAsia="Times New Roman" w:hAnsi="Times New Roman"/>
          <w:sz w:val="20"/>
          <w:szCs w:val="20"/>
          <w:u w:val="single" w:color="auto"/>
          <w:color w:val="auto"/>
        </w:rPr>
        <w:t>Section 4.4</w:t>
      </w:r>
      <w:r>
        <w:rPr>
          <w:rFonts w:ascii="Times New Roman" w:cs="Times New Roman" w:eastAsia="Times New Roman" w:hAnsi="Times New Roman"/>
          <w:sz w:val="20"/>
          <w:szCs w:val="20"/>
          <w:color w:val="auto"/>
        </w:rPr>
        <w:t xml:space="preserve">) on the last Business Day of each of March, June, September and December commencing December 31, 2021;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the final principal repayment installment of the Initial Term Loan shall be repaid on the Term Loan Maturity Date in an amount equal to the aggregate principal amount of all Initial Term Loans outstanding on such date, together with accrued interest thereon.</w:t>
      </w:r>
    </w:p>
    <w:p>
      <w:pPr>
        <w:spacing w:after="0" w:line="188" w:lineRule="exact"/>
        <w:rPr>
          <w:rFonts w:ascii="Times New Roman" w:cs="Times New Roman" w:eastAsia="Times New Roman" w:hAnsi="Times New Roman"/>
          <w:sz w:val="20"/>
          <w:szCs w:val="20"/>
          <w:color w:val="auto"/>
        </w:rPr>
      </w:pPr>
    </w:p>
    <w:p>
      <w:pPr>
        <w:ind w:left="76" w:right="20" w:firstLine="644"/>
        <w:spacing w:after="0"/>
        <w:tabs>
          <w:tab w:leader="none" w:pos="1252" w:val="left"/>
        </w:tabs>
        <w:numPr>
          <w:ilvl w:val="0"/>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Incremental Term Loans</w:t>
      </w:r>
      <w:r>
        <w:rPr>
          <w:rFonts w:ascii="Times New Roman" w:cs="Times New Roman" w:eastAsia="Times New Roman" w:hAnsi="Times New Roman"/>
          <w:sz w:val="20"/>
          <w:szCs w:val="20"/>
          <w:color w:val="auto"/>
        </w:rPr>
        <w:t xml:space="preserve">. The US Borrowers or the Canadian Borrowers, as applicable, shall repay the aggregate outstanding principal amount of each Incremental Term Loan (if any) as determined pursuant to, and in accordance with, </w:t>
      </w:r>
      <w:r>
        <w:rPr>
          <w:rFonts w:ascii="Times New Roman" w:cs="Times New Roman" w:eastAsia="Times New Roman" w:hAnsi="Times New Roman"/>
          <w:sz w:val="20"/>
          <w:szCs w:val="20"/>
          <w:u w:val="single" w:color="auto"/>
          <w:color w:val="auto"/>
        </w:rPr>
        <w:t>Section 5.13</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16"/>
        <w:spacing w:after="0"/>
        <w:rPr>
          <w:sz w:val="20"/>
          <w:szCs w:val="20"/>
          <w:color w:val="auto"/>
        </w:rPr>
      </w:pPr>
      <w:r>
        <w:rPr>
          <w:rFonts w:ascii="Times New Roman" w:cs="Times New Roman" w:eastAsia="Times New Roman" w:hAnsi="Times New Roman"/>
          <w:sz w:val="14"/>
          <w:szCs w:val="14"/>
          <w:color w:val="FF0000"/>
          <w:strike w:val="1"/>
        </w:rPr>
        <w:t>146960219_6</w:t>
      </w:r>
    </w:p>
    <w:p>
      <w:pPr>
        <w:spacing w:after="0" w:line="4" w:lineRule="exact"/>
        <w:rPr>
          <w:sz w:val="20"/>
          <w:szCs w:val="20"/>
          <w:color w:val="auto"/>
        </w:rPr>
      </w:pPr>
    </w:p>
    <w:p>
      <w:pPr>
        <w:ind w:left="316" w:hanging="316"/>
        <w:spacing w:after="0"/>
        <w:tabs>
          <w:tab w:leader="none" w:pos="316" w:val="left"/>
        </w:tabs>
        <w:numPr>
          <w:ilvl w:val="0"/>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096"/>
          </w:cols>
          <w:pgMar w:left="364" w:top="1399" w:right="439" w:bottom="1440" w:gutter="0" w:footer="0" w:header="0"/>
        </w:sectPr>
      </w:pPr>
    </w:p>
    <w:bookmarkStart w:id="153" w:name="page154"/>
    <w:bookmarkEnd w:id="153"/>
    <w:p>
      <w:pPr>
        <w:ind w:left="678"/>
        <w:spacing w:after="0"/>
        <w:tabs>
          <w:tab w:leader="none" w:pos="1998" w:val="left"/>
        </w:tabs>
        <w:rPr>
          <w:sz w:val="20"/>
          <w:szCs w:val="20"/>
          <w:color w:val="auto"/>
        </w:rPr>
      </w:pPr>
      <w:r>
        <w:rPr>
          <w:rFonts w:ascii="Times New Roman" w:cs="Times New Roman" w:eastAsia="Times New Roman" w:hAnsi="Times New Roman"/>
          <w:sz w:val="20"/>
          <w:szCs w:val="20"/>
          <w:color w:val="auto"/>
        </w:rPr>
        <w:t>SECTION 4.4</w:t>
      </w:r>
      <w:r>
        <w:rPr>
          <w:sz w:val="20"/>
          <w:szCs w:val="20"/>
          <w:color w:val="auto"/>
        </w:rPr>
        <w:tab/>
      </w:r>
      <w:r>
        <w:rPr>
          <w:rFonts w:ascii="Times New Roman" w:cs="Times New Roman" w:eastAsia="Times New Roman" w:hAnsi="Times New Roman"/>
          <w:sz w:val="19"/>
          <w:szCs w:val="19"/>
          <w:u w:val="single" w:color="auto"/>
          <w:color w:val="auto"/>
        </w:rPr>
        <w:t>Prepayments of Term Loans</w:t>
      </w:r>
      <w:r>
        <w:rPr>
          <w:rFonts w:ascii="Times New Roman" w:cs="Times New Roman" w:eastAsia="Times New Roman" w:hAnsi="Times New Roman"/>
          <w:sz w:val="19"/>
          <w:szCs w:val="19"/>
          <w:color w:val="auto"/>
        </w:rPr>
        <w:t>.</w:t>
      </w:r>
    </w:p>
    <w:p>
      <w:pPr>
        <w:spacing w:after="0" w:line="283" w:lineRule="exact"/>
        <w:rPr>
          <w:sz w:val="20"/>
          <w:szCs w:val="20"/>
          <w:color w:val="auto"/>
        </w:rPr>
      </w:pPr>
    </w:p>
    <w:p>
      <w:pPr>
        <w:jc w:val="both"/>
        <w:ind w:left="38" w:firstLine="646"/>
        <w:spacing w:after="0" w:line="209" w:lineRule="auto"/>
        <w:tabs>
          <w:tab w:leader="none" w:pos="1243" w:val="left"/>
        </w:tabs>
        <w:numPr>
          <w:ilvl w:val="0"/>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Optional Prepayments</w:t>
      </w:r>
      <w:r>
        <w:rPr>
          <w:rFonts w:ascii="Times New Roman" w:cs="Times New Roman" w:eastAsia="Times New Roman" w:hAnsi="Times New Roman"/>
          <w:sz w:val="20"/>
          <w:szCs w:val="20"/>
          <w:color w:val="auto"/>
        </w:rPr>
        <w:t xml:space="preserve">. Except as provided in </w:t>
      </w:r>
      <w:r>
        <w:rPr>
          <w:rFonts w:ascii="Times New Roman" w:cs="Times New Roman" w:eastAsia="Times New Roman" w:hAnsi="Times New Roman"/>
          <w:sz w:val="20"/>
          <w:szCs w:val="20"/>
          <w:u w:val="single" w:color="auto"/>
          <w:color w:val="auto"/>
        </w:rPr>
        <w:t>Section 4.4(c)</w:t>
      </w:r>
      <w:r>
        <w:rPr>
          <w:rFonts w:ascii="Times New Roman" w:cs="Times New Roman" w:eastAsia="Times New Roman" w:hAnsi="Times New Roman"/>
          <w:sz w:val="20"/>
          <w:szCs w:val="20"/>
          <w:color w:val="auto"/>
        </w:rPr>
        <w:t>, the applicable Borrower shall have the right at any time and from time to time, without premium or penalty, to prepay any of the Term Loans, in whole or in part, upon delivery to the Administrative Agent of a Notice of Prepayment not later than 11:00 a.m. (i) on the same Business Day as each Base Rate Loan, (ii) at least one (1) Business Day before each Canadian Base Rate Loan and (iii) at least three (3) Business Days before each LIBOR Rate Loan or CDOR Rate Loan, as applicable, specifying the date and amount of repayment, whether the repayment is of LIBOR Rate Loans, CDOR Rate Loans, Base Rate Loans or Canadian Base Rate Loans or a combination thereof, and if a combination thereof, the amount allocable to each and whether the repayment is of the Initial Term Loan, an Incremental Term Loan or a combination thereof, and if a combination thereof, the amount allocable to each. Each optional prepayment of the Term Loans hereunder shall be in an aggregate principal amount of at least $5,000,000 (or C$5,000,000) or any whole multiple of</w:t>
      </w:r>
    </w:p>
    <w:p>
      <w:pPr>
        <w:spacing w:after="0" w:line="1" w:lineRule="exact"/>
        <w:rPr>
          <w:rFonts w:ascii="Times New Roman" w:cs="Times New Roman" w:eastAsia="Times New Roman" w:hAnsi="Times New Roman"/>
          <w:sz w:val="20"/>
          <w:szCs w:val="20"/>
          <w:color w:val="auto"/>
        </w:rPr>
      </w:pPr>
    </w:p>
    <w:p>
      <w:pPr>
        <w:jc w:val="both"/>
        <w:ind w:left="38"/>
        <w:spacing w:after="0" w:line="210"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$1,000,000 (C$1,000,000) in excess thereof and shall be applied, on a pro rata basis, to the outstanding principal installments of the Term Loans being so repaid as directed by the applicable Borrowers (or, if not so directed, in direct order of maturity). Each repayment shall be accompanied by any amount required to be paid pursuant to </w:t>
      </w:r>
      <w:r>
        <w:rPr>
          <w:rFonts w:ascii="Times New Roman" w:cs="Times New Roman" w:eastAsia="Times New Roman" w:hAnsi="Times New Roman"/>
          <w:sz w:val="20"/>
          <w:szCs w:val="20"/>
          <w:u w:val="single" w:color="auto"/>
          <w:color w:val="auto"/>
        </w:rPr>
        <w:t>Section 5.9</w:t>
      </w:r>
      <w:r>
        <w:rPr>
          <w:rFonts w:ascii="Times New Roman" w:cs="Times New Roman" w:eastAsia="Times New Roman" w:hAnsi="Times New Roman"/>
          <w:sz w:val="20"/>
          <w:szCs w:val="20"/>
          <w:color w:val="auto"/>
        </w:rPr>
        <w:t xml:space="preserve"> hereof. A Notice of Prepayment received after 11:00 a.m. shall be deemed received on the next Business Day. The Administrative Agent shall promptly notify the applicable Term Loan Lenders of each Notice of Prepayment. Notwithstanding the foregoing, any Notice of Prepayment delivered in connection with any refinancing of all of the Credit Facility with the proceeds of such refinancing or of any other incurrence of Indebtedness may be, if expressly so stated to be, contingent upon the consummation of such refinancing or incurrence and may be revoked by the applicable Borrower in the event such refinancing is not consummated;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delay or failure of such contingency shall not relieve any Borrower from its obligations in respect thereof under </w:t>
      </w:r>
      <w:r>
        <w:rPr>
          <w:rFonts w:ascii="Times New Roman" w:cs="Times New Roman" w:eastAsia="Times New Roman" w:hAnsi="Times New Roman"/>
          <w:sz w:val="20"/>
          <w:szCs w:val="20"/>
          <w:u w:val="single" w:color="auto"/>
          <w:color w:val="auto"/>
        </w:rPr>
        <w:t>Section 5.9</w:t>
      </w:r>
      <w:r>
        <w:rPr>
          <w:rFonts w:ascii="Times New Roman" w:cs="Times New Roman" w:eastAsia="Times New Roman" w:hAnsi="Times New Roman"/>
          <w:sz w:val="20"/>
          <w:szCs w:val="20"/>
          <w:color w:val="auto"/>
        </w:rPr>
        <w:t>.</w:t>
      </w:r>
    </w:p>
    <w:p>
      <w:pPr>
        <w:spacing w:after="0" w:line="259" w:lineRule="exact"/>
        <w:rPr>
          <w:rFonts w:ascii="Times New Roman" w:cs="Times New Roman" w:eastAsia="Times New Roman" w:hAnsi="Times New Roman"/>
          <w:sz w:val="20"/>
          <w:szCs w:val="20"/>
          <w:color w:val="auto"/>
        </w:rPr>
      </w:pPr>
    </w:p>
    <w:p>
      <w:pPr>
        <w:ind w:left="1318" w:hanging="634"/>
        <w:spacing w:after="0"/>
        <w:tabs>
          <w:tab w:leader="none" w:pos="1318" w:val="left"/>
        </w:tabs>
        <w:numPr>
          <w:ilvl w:val="0"/>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Mandatory Prepayments</w:t>
      </w:r>
      <w:r>
        <w:rPr>
          <w:rFonts w:ascii="Times New Roman" w:cs="Times New Roman" w:eastAsia="Times New Roman" w:hAnsi="Times New Roman"/>
          <w:sz w:val="20"/>
          <w:szCs w:val="20"/>
          <w:color w:val="auto"/>
        </w:rPr>
        <w:t>.</w:t>
      </w:r>
    </w:p>
    <w:p>
      <w:pPr>
        <w:spacing w:after="0" w:line="283" w:lineRule="exact"/>
        <w:rPr>
          <w:rFonts w:ascii="Times New Roman" w:cs="Times New Roman" w:eastAsia="Times New Roman" w:hAnsi="Times New Roman"/>
          <w:sz w:val="20"/>
          <w:szCs w:val="20"/>
          <w:color w:val="auto"/>
        </w:rPr>
      </w:pPr>
    </w:p>
    <w:p>
      <w:pPr>
        <w:jc w:val="both"/>
        <w:ind w:left="678" w:right="20" w:firstLine="654"/>
        <w:spacing w:after="0" w:line="222" w:lineRule="auto"/>
        <w:tabs>
          <w:tab w:leader="none" w:pos="1881" w:val="left"/>
        </w:tabs>
        <w:numPr>
          <w:ilvl w:val="1"/>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Debt Issuances</w:t>
      </w:r>
      <w:r>
        <w:rPr>
          <w:rFonts w:ascii="Times New Roman" w:cs="Times New Roman" w:eastAsia="Times New Roman" w:hAnsi="Times New Roman"/>
          <w:sz w:val="20"/>
          <w:szCs w:val="20"/>
          <w:color w:val="auto"/>
        </w:rPr>
        <w:t xml:space="preserve">. The Borrowers shall make mandatory principal prepayments of the Loans in the manner set forth in </w:t>
      </w:r>
      <w:r>
        <w:rPr>
          <w:rFonts w:ascii="Times New Roman" w:cs="Times New Roman" w:eastAsia="Times New Roman" w:hAnsi="Times New Roman"/>
          <w:sz w:val="20"/>
          <w:szCs w:val="20"/>
          <w:u w:val="single" w:color="auto"/>
          <w:color w:val="auto"/>
        </w:rPr>
        <w:t>clause (v)</w:t>
      </w:r>
      <w:r>
        <w:rPr>
          <w:rFonts w:ascii="Times New Roman" w:cs="Times New Roman" w:eastAsia="Times New Roman" w:hAnsi="Times New Roman"/>
          <w:sz w:val="20"/>
          <w:szCs w:val="20"/>
          <w:color w:val="auto"/>
        </w:rPr>
        <w:t xml:space="preserve"> below in an amount equal to one hundred percent (100%) of the aggregate Net Cash Proceeds from any Debt Issuance of Refinancing Debt or any other Debt Issuance not otherwise permitted pursuant to </w:t>
      </w:r>
      <w:r>
        <w:rPr>
          <w:rFonts w:ascii="Times New Roman" w:cs="Times New Roman" w:eastAsia="Times New Roman" w:hAnsi="Times New Roman"/>
          <w:sz w:val="20"/>
          <w:szCs w:val="20"/>
          <w:u w:val="single" w:color="auto"/>
          <w:color w:val="auto"/>
        </w:rPr>
        <w:t>Section 9.1</w:t>
      </w:r>
      <w:r>
        <w:rPr>
          <w:rFonts w:ascii="Times New Roman" w:cs="Times New Roman" w:eastAsia="Times New Roman" w:hAnsi="Times New Roman"/>
          <w:sz w:val="20"/>
          <w:szCs w:val="20"/>
          <w:color w:val="auto"/>
        </w:rPr>
        <w:t>. Such prepayment shall be made within three (3) Business Days after the date of receipt of the Net Cash Proceeds of any such Debt Issuance.</w:t>
      </w:r>
    </w:p>
    <w:p>
      <w:pPr>
        <w:spacing w:after="0" w:line="188" w:lineRule="exact"/>
        <w:rPr>
          <w:rFonts w:ascii="Times New Roman" w:cs="Times New Roman" w:eastAsia="Times New Roman" w:hAnsi="Times New Roman"/>
          <w:sz w:val="20"/>
          <w:szCs w:val="20"/>
          <w:color w:val="auto"/>
        </w:rPr>
      </w:pPr>
    </w:p>
    <w:p>
      <w:pPr>
        <w:jc w:val="both"/>
        <w:ind w:left="678" w:firstLine="654"/>
        <w:spacing w:after="0" w:line="213" w:lineRule="auto"/>
        <w:tabs>
          <w:tab w:leader="none" w:pos="1882" w:val="left"/>
        </w:tabs>
        <w:numPr>
          <w:ilvl w:val="1"/>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Asset Dispositions and Insurance and Condemnation Events</w:t>
      </w:r>
      <w:r>
        <w:rPr>
          <w:rFonts w:ascii="Times New Roman" w:cs="Times New Roman" w:eastAsia="Times New Roman" w:hAnsi="Times New Roman"/>
          <w:sz w:val="20"/>
          <w:szCs w:val="20"/>
          <w:color w:val="auto"/>
        </w:rPr>
        <w:t xml:space="preserve">. The Borrowers shall make mandatory principal prepayments of the Loans in the manner set forth in </w:t>
      </w:r>
      <w:r>
        <w:rPr>
          <w:rFonts w:ascii="Times New Roman" w:cs="Times New Roman" w:eastAsia="Times New Roman" w:hAnsi="Times New Roman"/>
          <w:sz w:val="20"/>
          <w:szCs w:val="20"/>
          <w:u w:val="single" w:color="auto"/>
          <w:color w:val="auto"/>
        </w:rPr>
        <w:t>clause (v)</w:t>
      </w:r>
      <w:r>
        <w:rPr>
          <w:rFonts w:ascii="Times New Roman" w:cs="Times New Roman" w:eastAsia="Times New Roman" w:hAnsi="Times New Roman"/>
          <w:sz w:val="20"/>
          <w:szCs w:val="20"/>
          <w:color w:val="auto"/>
        </w:rPr>
        <w:t xml:space="preserve"> below in amounts equal to one hundred percent (100%) of the aggregate Net Cash Proceeds from (A) any Asset Disposition (other than any Asset Disposition permitted pursuant to, and in accordance with, clauses (a) through (p) of </w:t>
      </w:r>
      <w:r>
        <w:rPr>
          <w:rFonts w:ascii="Times New Roman" w:cs="Times New Roman" w:eastAsia="Times New Roman" w:hAnsi="Times New Roman"/>
          <w:sz w:val="20"/>
          <w:szCs w:val="20"/>
          <w:u w:val="single" w:color="auto"/>
          <w:color w:val="auto"/>
        </w:rPr>
        <w:t>Section 9.5</w:t>
      </w:r>
      <w:r>
        <w:rPr>
          <w:rFonts w:ascii="Times New Roman" w:cs="Times New Roman" w:eastAsia="Times New Roman" w:hAnsi="Times New Roman"/>
          <w:sz w:val="20"/>
          <w:szCs w:val="20"/>
          <w:color w:val="auto"/>
        </w:rPr>
        <w:t xml:space="preserve">) or (B) any Insurance and Condemnation Event, to the extent that the aggregate amount of such Net Cash Proceeds, in the case of each of clauses (A) and (B), respectively, exceed $5,000,000 during any Fiscal Year. Such prepayments shall be made within three (3) Business Days after the date of receipt of the Net Cash Proceeds;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so long as no Default or Event of Default has occurred and is continuing, no prepayment shall be required under this </w:t>
      </w:r>
      <w:r>
        <w:rPr>
          <w:rFonts w:ascii="Times New Roman" w:cs="Times New Roman" w:eastAsia="Times New Roman" w:hAnsi="Times New Roman"/>
          <w:sz w:val="20"/>
          <w:szCs w:val="20"/>
          <w:u w:val="single" w:color="auto"/>
          <w:color w:val="auto"/>
        </w:rPr>
        <w:t>Section 4.4(b)(ii)</w:t>
      </w:r>
      <w:r>
        <w:rPr>
          <w:rFonts w:ascii="Times New Roman" w:cs="Times New Roman" w:eastAsia="Times New Roman" w:hAnsi="Times New Roman"/>
          <w:sz w:val="20"/>
          <w:szCs w:val="20"/>
          <w:color w:val="auto"/>
        </w:rPr>
        <w:t xml:space="preserve"> with respect to such portion of such Net Cash Proceeds that Centuri shall have reinvested, or prior to such date given written notice to the Administrative Agent of its intent to reinvest in accordance with </w:t>
      </w:r>
      <w:r>
        <w:rPr>
          <w:rFonts w:ascii="Times New Roman" w:cs="Times New Roman" w:eastAsia="Times New Roman" w:hAnsi="Times New Roman"/>
          <w:sz w:val="20"/>
          <w:szCs w:val="20"/>
          <w:u w:val="single" w:color="auto"/>
          <w:color w:val="auto"/>
        </w:rPr>
        <w:t>Section 4.4(b)(iii)</w:t>
      </w:r>
      <w:r>
        <w:rPr>
          <w:rFonts w:ascii="Times New Roman" w:cs="Times New Roman" w:eastAsia="Times New Roman" w:hAnsi="Times New Roman"/>
          <w:sz w:val="20"/>
          <w:szCs w:val="20"/>
          <w:color w:val="auto"/>
        </w:rPr>
        <w:t>.</w:t>
      </w:r>
    </w:p>
    <w:p>
      <w:pPr>
        <w:spacing w:after="0" w:line="255" w:lineRule="exact"/>
        <w:rPr>
          <w:rFonts w:ascii="Times New Roman" w:cs="Times New Roman" w:eastAsia="Times New Roman" w:hAnsi="Times New Roman"/>
          <w:sz w:val="20"/>
          <w:szCs w:val="20"/>
          <w:color w:val="auto"/>
        </w:rPr>
      </w:pPr>
    </w:p>
    <w:p>
      <w:pPr>
        <w:jc w:val="both"/>
        <w:ind w:left="678" w:right="20" w:firstLine="654"/>
        <w:spacing w:after="0" w:line="226" w:lineRule="auto"/>
        <w:tabs>
          <w:tab w:leader="none" w:pos="1883" w:val="left"/>
        </w:tabs>
        <w:numPr>
          <w:ilvl w:val="1"/>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Reinvestment Option</w:t>
      </w:r>
      <w:r>
        <w:rPr>
          <w:rFonts w:ascii="Times New Roman" w:cs="Times New Roman" w:eastAsia="Times New Roman" w:hAnsi="Times New Roman"/>
          <w:sz w:val="20"/>
          <w:szCs w:val="20"/>
          <w:color w:val="auto"/>
        </w:rPr>
        <w:t xml:space="preserve">. With respect to any Net Cash Proceeds realized or received with respect to any Asset Disposition or any Insurance and Condemnation Event by any Credit Party of any Subsidiary thereof (in each case, to the extent not excluded pursuant to </w:t>
      </w:r>
      <w:r>
        <w:rPr>
          <w:rFonts w:ascii="Times New Roman" w:cs="Times New Roman" w:eastAsia="Times New Roman" w:hAnsi="Times New Roman"/>
          <w:sz w:val="20"/>
          <w:szCs w:val="20"/>
          <w:u w:val="single" w:color="auto"/>
          <w:color w:val="auto"/>
        </w:rPr>
        <w:t>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338"/>
        <w:spacing w:after="0"/>
        <w:rPr>
          <w:sz w:val="20"/>
          <w:szCs w:val="20"/>
          <w:color w:val="auto"/>
        </w:rPr>
      </w:pPr>
      <w:r>
        <w:rPr>
          <w:rFonts w:ascii="Times New Roman" w:cs="Times New Roman" w:eastAsia="Times New Roman" w:hAnsi="Times New Roman"/>
          <w:sz w:val="14"/>
          <w:szCs w:val="14"/>
          <w:color w:val="FF0000"/>
          <w:strike w:val="1"/>
        </w:rPr>
        <w:t>146960219_6</w:t>
      </w:r>
    </w:p>
    <w:p>
      <w:pPr>
        <w:spacing w:after="0" w:line="4" w:lineRule="exact"/>
        <w:rPr>
          <w:sz w:val="20"/>
          <w:szCs w:val="20"/>
          <w:color w:val="auto"/>
        </w:rPr>
      </w:pPr>
    </w:p>
    <w:p>
      <w:pPr>
        <w:ind w:left="338" w:hanging="338"/>
        <w:spacing w:after="0"/>
        <w:tabs>
          <w:tab w:leader="none" w:pos="338"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078"/>
          </w:cols>
          <w:pgMar w:left="382" w:top="1399" w:right="439" w:bottom="1440" w:gutter="0" w:footer="0" w:header="0"/>
        </w:sectPr>
      </w:pPr>
    </w:p>
    <w:bookmarkStart w:id="154" w:name="page155"/>
    <w:bookmarkEnd w:id="154"/>
    <w:p>
      <w:pPr>
        <w:spacing w:after="0" w:line="197" w:lineRule="exact"/>
        <w:rPr>
          <w:sz w:val="20"/>
          <w:szCs w:val="20"/>
          <w:color w:val="auto"/>
        </w:rPr>
      </w:pPr>
    </w:p>
    <w:p>
      <w:pPr>
        <w:ind w:left="678"/>
        <w:spacing w:after="0"/>
        <w:rPr>
          <w:sz w:val="20"/>
          <w:szCs w:val="20"/>
          <w:color w:val="auto"/>
        </w:rPr>
      </w:pPr>
      <w:r>
        <w:rPr>
          <w:rFonts w:ascii="Times New Roman" w:cs="Times New Roman" w:eastAsia="Times New Roman" w:hAnsi="Times New Roman"/>
          <w:sz w:val="20"/>
          <w:szCs w:val="20"/>
          <w:u w:val="single" w:color="auto"/>
          <w:color w:val="auto"/>
        </w:rPr>
        <w:t>4.4(b)(ii)</w:t>
      </w:r>
      <w:r>
        <w:rPr>
          <w:rFonts w:ascii="Times New Roman" w:cs="Times New Roman" w:eastAsia="Times New Roman" w:hAnsi="Times New Roman"/>
          <w:sz w:val="20"/>
          <w:szCs w:val="20"/>
          <w:color w:val="auto"/>
        </w:rPr>
        <w:t>), at the option of Centuri, the Credit Parties may reinvest all or any portion of such Net Cash Proceeds in assets used or</w:t>
      </w:r>
    </w:p>
    <w:p>
      <w:pPr>
        <w:ind w:left="678"/>
        <w:spacing w:after="0" w:line="204" w:lineRule="auto"/>
        <w:rPr>
          <w:sz w:val="20"/>
          <w:szCs w:val="20"/>
          <w:color w:val="auto"/>
        </w:rPr>
      </w:pPr>
      <w:r>
        <w:rPr>
          <w:rFonts w:ascii="Times New Roman" w:cs="Times New Roman" w:eastAsia="Times New Roman" w:hAnsi="Times New Roman"/>
          <w:sz w:val="20"/>
          <w:szCs w:val="20"/>
          <w:color w:val="auto"/>
        </w:rPr>
        <w:t>useful for the business of the Credit Parties and their Subsidiaries within (x) twelve (12) months following receipt of such Net Cash Proceeds or (y) if such Credit Party enters into a bona fide commitment to reinvest such Net Cash Proceeds within twelve</w:t>
      </w:r>
    </w:p>
    <w:p>
      <w:pPr>
        <w:spacing w:after="0" w:line="1" w:lineRule="exact"/>
        <w:rPr>
          <w:sz w:val="20"/>
          <w:szCs w:val="20"/>
          <w:color w:val="auto"/>
        </w:rPr>
      </w:pPr>
    </w:p>
    <w:p>
      <w:pPr>
        <w:jc w:val="both"/>
        <w:ind w:left="678" w:firstLine="6"/>
        <w:spacing w:after="0" w:line="212" w:lineRule="auto"/>
        <w:tabs>
          <w:tab w:leader="none" w:pos="1063" w:val="left"/>
        </w:tabs>
        <w:numPr>
          <w:ilvl w:val="0"/>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months following receipt thereof, within the later of (A) twelve (12) months following receipt thereof and (B) six (6) months of the date of such commitment;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any Net Cash Proceeds are no longer intended to be or cannot be so reinvested at any time after delivery of a notice of reinvestment election, an amount equal to any such Net Cash Proceeds shall be applied within three (3) Business Days after the applicable Credit Party reasonably determines that such Net Cash Proceeds are no longer intended to be or cannot be so reinvested to the prepayment of the Term Loans as set forth in this </w:t>
      </w:r>
      <w:r>
        <w:rPr>
          <w:rFonts w:ascii="Times New Roman" w:cs="Times New Roman" w:eastAsia="Times New Roman" w:hAnsi="Times New Roman"/>
          <w:sz w:val="20"/>
          <w:szCs w:val="20"/>
          <w:u w:val="single" w:color="auto"/>
          <w:color w:val="auto"/>
        </w:rPr>
        <w:t>Section 4.4(b)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any Net Cash Proceeds relating to Collateral shall be reinvested in assets constituting Collateral. Pending the final application of any such Net Cash Proceeds, the applicable Credit Party may invest an amount equal to such Net Cash Proceeds in any manner that is not prohibited by this Agreement.</w:t>
      </w:r>
    </w:p>
    <w:p>
      <w:pPr>
        <w:spacing w:after="0" w:line="188" w:lineRule="exact"/>
        <w:rPr>
          <w:rFonts w:ascii="Times New Roman" w:cs="Times New Roman" w:eastAsia="Times New Roman" w:hAnsi="Times New Roman"/>
          <w:sz w:val="20"/>
          <w:szCs w:val="20"/>
          <w:color w:val="auto"/>
        </w:rPr>
      </w:pPr>
    </w:p>
    <w:p>
      <w:pPr>
        <w:jc w:val="both"/>
        <w:ind w:left="678" w:firstLine="654"/>
        <w:spacing w:after="0" w:line="210" w:lineRule="auto"/>
        <w:tabs>
          <w:tab w:leader="none" w:pos="1877" w:val="left"/>
        </w:tabs>
        <w:numPr>
          <w:ilvl w:val="1"/>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Excess Cash Flow</w:t>
      </w:r>
      <w:r>
        <w:rPr>
          <w:rFonts w:ascii="Times New Roman" w:cs="Times New Roman" w:eastAsia="Times New Roman" w:hAnsi="Times New Roman"/>
          <w:sz w:val="20"/>
          <w:szCs w:val="20"/>
          <w:color w:val="auto"/>
        </w:rPr>
        <w:t xml:space="preserve">. After the end of each Fiscal Year (commencing with the Fiscal Year ending December 31, 2022), within five (5) Business Days after the earlier to occur of (x) the actual delivery of the financial statements and related Officer’s Compliance Certificate for such Fiscal Year and (y) the date on which the financial statements and the related Officer’s Compliance Certificate for such Fiscal Year are required to be delivered pursuant to </w:t>
      </w:r>
      <w:r>
        <w:rPr>
          <w:rFonts w:ascii="Times New Roman" w:cs="Times New Roman" w:eastAsia="Times New Roman" w:hAnsi="Times New Roman"/>
          <w:sz w:val="20"/>
          <w:szCs w:val="20"/>
          <w:u w:val="single" w:color="auto"/>
          <w:color w:val="auto"/>
        </w:rPr>
        <w:t>Section 8.1(a)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8.2(a)</w:t>
      </w:r>
      <w:r>
        <w:rPr>
          <w:rFonts w:ascii="Times New Roman" w:cs="Times New Roman" w:eastAsia="Times New Roman" w:hAnsi="Times New Roman"/>
          <w:sz w:val="20"/>
          <w:szCs w:val="20"/>
          <w:color w:val="auto"/>
        </w:rPr>
        <w:t xml:space="preserve">, the Borrowers shall make mandatory principal prepayments of the Loans in the manner set forth in </w:t>
      </w:r>
      <w:r>
        <w:rPr>
          <w:rFonts w:ascii="Times New Roman" w:cs="Times New Roman" w:eastAsia="Times New Roman" w:hAnsi="Times New Roman"/>
          <w:sz w:val="20"/>
          <w:szCs w:val="20"/>
          <w:u w:val="single" w:color="auto"/>
          <w:color w:val="auto"/>
        </w:rPr>
        <w:t>clause (v)</w:t>
      </w:r>
      <w:r>
        <w:rPr>
          <w:rFonts w:ascii="Times New Roman" w:cs="Times New Roman" w:eastAsia="Times New Roman" w:hAnsi="Times New Roman"/>
          <w:sz w:val="20"/>
          <w:szCs w:val="20"/>
          <w:color w:val="auto"/>
        </w:rPr>
        <w:t xml:space="preserve"> below in an amount equal to (A) the applicable ECF Percentage for such Fiscal Year </w:t>
      </w:r>
      <w:r>
        <w:rPr>
          <w:rFonts w:ascii="Times New Roman" w:cs="Times New Roman" w:eastAsia="Times New Roman" w:hAnsi="Times New Roman"/>
          <w:sz w:val="20"/>
          <w:szCs w:val="20"/>
          <w:u w:val="single" w:color="auto"/>
          <w:color w:val="auto"/>
        </w:rPr>
        <w:t>times</w:t>
      </w:r>
      <w:r>
        <w:rPr>
          <w:rFonts w:ascii="Times New Roman" w:cs="Times New Roman" w:eastAsia="Times New Roman" w:hAnsi="Times New Roman"/>
          <w:sz w:val="20"/>
          <w:szCs w:val="20"/>
          <w:color w:val="auto"/>
        </w:rPr>
        <w:t xml:space="preserve"> Excess Cash Flow for such Fiscal Year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(B) the aggregate amount of (i) all optional prepayments of Revolving Credit Loans during such Fiscal Year (solely to the extent accompanied by permanent optional reductions in the Revolving Credit Commitment) and (ii) all optional prepayments of any Term Loans during such Fiscal Year, in each case to the extent that such prepayments are not funded with the incurrence of any Indebtedness, any Equity Issuance, any casualty proceeds, any condemnation proceeds or any other proceeds that would not be included in Consolidated EBITDA;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so long as no Event of Default has occurred and is continuing or would result therefrom, no such prepayments shall be required unless Excess Cash Flow for such year equals or exceeds $5,000,000, at which point the Borrowers shall cause to be prepaid an aggregate principal amount of Loans equal to the applicable percentage of Excess Cash Flow as set forth herein from the first dollar.</w:t>
      </w:r>
    </w:p>
    <w:p>
      <w:pPr>
        <w:spacing w:after="0" w:line="193" w:lineRule="exact"/>
        <w:rPr>
          <w:rFonts w:ascii="Times New Roman" w:cs="Times New Roman" w:eastAsia="Times New Roman" w:hAnsi="Times New Roman"/>
          <w:sz w:val="20"/>
          <w:szCs w:val="20"/>
          <w:color w:val="auto"/>
        </w:rPr>
      </w:pPr>
    </w:p>
    <w:p>
      <w:pPr>
        <w:jc w:val="both"/>
        <w:ind w:left="678" w:firstLine="654"/>
        <w:spacing w:after="0" w:line="211" w:lineRule="auto"/>
        <w:tabs>
          <w:tab w:leader="none" w:pos="1878" w:val="left"/>
        </w:tabs>
        <w:numPr>
          <w:ilvl w:val="1"/>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 Manner of Payment</w:t>
      </w:r>
      <w:r>
        <w:rPr>
          <w:rFonts w:ascii="Times New Roman" w:cs="Times New Roman" w:eastAsia="Times New Roman" w:hAnsi="Times New Roman"/>
          <w:sz w:val="20"/>
          <w:szCs w:val="20"/>
          <w:color w:val="auto"/>
        </w:rPr>
        <w:t xml:space="preserve">. Upon the occurrence of any event triggering the prepayment requirement under </w:t>
      </w:r>
      <w:r>
        <w:rPr>
          <w:rFonts w:ascii="Times New Roman" w:cs="Times New Roman" w:eastAsia="Times New Roman" w:hAnsi="Times New Roman"/>
          <w:sz w:val="20"/>
          <w:szCs w:val="20"/>
          <w:u w:val="single" w:color="auto"/>
          <w:color w:val="auto"/>
        </w:rPr>
        <w:t>clauses (i)</w:t>
      </w:r>
      <w:r>
        <w:rPr>
          <w:rFonts w:ascii="Times New Roman" w:cs="Times New Roman" w:eastAsia="Times New Roman" w:hAnsi="Times New Roman"/>
          <w:sz w:val="20"/>
          <w:szCs w:val="20"/>
          <w:color w:val="auto"/>
        </w:rPr>
        <w:t xml:space="preserve"> through and including </w:t>
      </w:r>
      <w:r>
        <w:rPr>
          <w:rFonts w:ascii="Times New Roman" w:cs="Times New Roman" w:eastAsia="Times New Roman" w:hAnsi="Times New Roman"/>
          <w:sz w:val="20"/>
          <w:szCs w:val="20"/>
          <w:u w:val="single" w:color="auto"/>
          <w:color w:val="auto"/>
        </w:rPr>
        <w:t>(iv)</w:t>
      </w:r>
      <w:r>
        <w:rPr>
          <w:rFonts w:ascii="Times New Roman" w:cs="Times New Roman" w:eastAsia="Times New Roman" w:hAnsi="Times New Roman"/>
          <w:sz w:val="20"/>
          <w:szCs w:val="20"/>
          <w:color w:val="auto"/>
        </w:rPr>
        <w:t xml:space="preserve"> above, the applicable Borrower shall promptly deliver a Notice of Prepayment to the Administrative Agent and upon receipt of such notice, the Administrative Agent shall promptly so notify the Lenders. Each prepayment of the Loans under this Section shall be applied as follows: </w:t>
      </w:r>
      <w:r>
        <w:rPr>
          <w:rFonts w:ascii="Times New Roman" w:cs="Times New Roman" w:eastAsia="Times New Roman" w:hAnsi="Times New Roman"/>
          <w:sz w:val="20"/>
          <w:szCs w:val="20"/>
          <w:u w:val="single" w:color="auto"/>
          <w:color w:val="auto"/>
        </w:rPr>
        <w:t>first</w:t>
      </w:r>
      <w:r>
        <w:rPr>
          <w:rFonts w:ascii="Times New Roman" w:cs="Times New Roman" w:eastAsia="Times New Roman" w:hAnsi="Times New Roman"/>
          <w:sz w:val="20"/>
          <w:szCs w:val="20"/>
          <w:color w:val="auto"/>
        </w:rPr>
        <w:t xml:space="preserve">, ratably between the Initial Term Loan and any Incremental Term Loans to reduce on a </w:t>
      </w:r>
      <w:r>
        <w:rPr>
          <w:rFonts w:ascii="Times New Roman" w:cs="Times New Roman" w:eastAsia="Times New Roman" w:hAnsi="Times New Roman"/>
          <w:sz w:val="20"/>
          <w:szCs w:val="20"/>
          <w:u w:val="single" w:color="auto"/>
          <w:color w:val="auto"/>
        </w:rPr>
        <w:t>pro rata</w:t>
      </w:r>
      <w:r>
        <w:rPr>
          <w:rFonts w:ascii="Times New Roman" w:cs="Times New Roman" w:eastAsia="Times New Roman" w:hAnsi="Times New Roman"/>
          <w:sz w:val="20"/>
          <w:szCs w:val="20"/>
          <w:color w:val="auto"/>
        </w:rPr>
        <w:t xml:space="preserve"> basis (applied to reduce the remaining scheduled principal installments of the Initial Term Loan and any Incremental Term Loans on a </w:t>
      </w:r>
      <w:r>
        <w:rPr>
          <w:rFonts w:ascii="Times New Roman" w:cs="Times New Roman" w:eastAsia="Times New Roman" w:hAnsi="Times New Roman"/>
          <w:sz w:val="20"/>
          <w:szCs w:val="20"/>
          <w:u w:val="single" w:color="auto"/>
          <w:color w:val="auto"/>
        </w:rPr>
        <w:t>pro rata</w:t>
      </w:r>
      <w:r>
        <w:rPr>
          <w:rFonts w:ascii="Times New Roman" w:cs="Times New Roman" w:eastAsia="Times New Roman" w:hAnsi="Times New Roman"/>
          <w:sz w:val="20"/>
          <w:szCs w:val="20"/>
          <w:color w:val="auto"/>
        </w:rPr>
        <w:t xml:space="preserve"> basis) and (ii) </w:t>
      </w: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xml:space="preserve">, to the extent of any excess, to repay the Revolving Credit Loans pursuant to </w:t>
      </w:r>
      <w:r>
        <w:rPr>
          <w:rFonts w:ascii="Times New Roman" w:cs="Times New Roman" w:eastAsia="Times New Roman" w:hAnsi="Times New Roman"/>
          <w:sz w:val="20"/>
          <w:szCs w:val="20"/>
          <w:u w:val="single" w:color="auto"/>
          <w:color w:val="auto"/>
        </w:rPr>
        <w:t>Section 2.4(d)</w:t>
      </w:r>
      <w:r>
        <w:rPr>
          <w:rFonts w:ascii="Times New Roman" w:cs="Times New Roman" w:eastAsia="Times New Roman" w:hAnsi="Times New Roman"/>
          <w:sz w:val="20"/>
          <w:szCs w:val="20"/>
          <w:color w:val="auto"/>
        </w:rPr>
        <w:t xml:space="preserve">, without a corresponding reduction in the Revolving Credit Commitment. Proceeds of any Refinancing Debt shall be applied solely to prepay each applicable Class of Term Loans and/or Revolving Credit Loans subject to such Refinance. Notwithstanding the foregoing, with respect to any Net Cash Proceeds from any Asset Disposition or Insurance and Condemnation Event, the applicable Borrower may prepay Term Loans and prepay or purchase any Refinancing Notes or Incremental Equivalent Indebtedness that is secured by the Collateral on a pari passu basis (at a purchase price no greater than par plus accrued and unpaid interest), to the extent required thereby, on a </w:t>
      </w:r>
      <w:r>
        <w:rPr>
          <w:rFonts w:ascii="Times New Roman" w:cs="Times New Roman" w:eastAsia="Times New Roman" w:hAnsi="Times New Roman"/>
          <w:sz w:val="20"/>
          <w:szCs w:val="20"/>
          <w:u w:val="single" w:color="auto"/>
          <w:color w:val="auto"/>
        </w:rPr>
        <w:t>pro rata</w:t>
      </w:r>
      <w:r>
        <w:rPr>
          <w:rFonts w:ascii="Times New Roman" w:cs="Times New Roman" w:eastAsia="Times New Roman" w:hAnsi="Times New Roman"/>
          <w:sz w:val="20"/>
          <w:szCs w:val="20"/>
          <w:color w:val="auto"/>
        </w:rPr>
        <w:t xml:space="preserve"> basis in accordance with the respective outstanding principal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38"/>
        <w:spacing w:after="0"/>
        <w:rPr>
          <w:sz w:val="20"/>
          <w:szCs w:val="20"/>
          <w:color w:val="auto"/>
        </w:rPr>
      </w:pPr>
      <w:r>
        <w:rPr>
          <w:rFonts w:ascii="Times New Roman" w:cs="Times New Roman" w:eastAsia="Times New Roman" w:hAnsi="Times New Roman"/>
          <w:sz w:val="14"/>
          <w:szCs w:val="14"/>
          <w:color w:val="FF0000"/>
          <w:strike w:val="1"/>
        </w:rPr>
        <w:t>146960219_6</w:t>
      </w:r>
    </w:p>
    <w:p>
      <w:pPr>
        <w:ind w:left="338" w:hanging="338"/>
        <w:spacing w:after="0" w:line="229" w:lineRule="auto"/>
        <w:tabs>
          <w:tab w:leader="none" w:pos="338" w:val="left"/>
        </w:tabs>
        <w:numPr>
          <w:ilvl w:val="0"/>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078"/>
          </w:cols>
          <w:pgMar w:left="382" w:top="1440" w:right="439" w:bottom="1440" w:gutter="0" w:footer="0" w:header="0"/>
        </w:sectPr>
      </w:pPr>
    </w:p>
    <w:bookmarkStart w:id="155" w:name="page156"/>
    <w:bookmarkEnd w:id="155"/>
    <w:p>
      <w:pPr>
        <w:spacing w:after="0" w:line="203" w:lineRule="exact"/>
        <w:rPr>
          <w:sz w:val="20"/>
          <w:szCs w:val="20"/>
          <w:color w:val="auto"/>
        </w:rPr>
      </w:pPr>
    </w:p>
    <w:p>
      <w:pPr>
        <w:ind w:left="678" w:right="260"/>
        <w:spacing w:after="0"/>
        <w:rPr>
          <w:sz w:val="20"/>
          <w:szCs w:val="20"/>
          <w:color w:val="auto"/>
        </w:rPr>
      </w:pPr>
      <w:r>
        <w:rPr>
          <w:rFonts w:ascii="Times New Roman" w:cs="Times New Roman" w:eastAsia="Times New Roman" w:hAnsi="Times New Roman"/>
          <w:sz w:val="20"/>
          <w:szCs w:val="20"/>
          <w:color w:val="auto"/>
        </w:rPr>
        <w:t>amounts of the Term Loans and such Refinancing Notes or Incremental Equivalent Indebtedness as of the time of the applicable Asset Disposition or Insurance and Condemnation Event.</w:t>
      </w:r>
    </w:p>
    <w:p>
      <w:pPr>
        <w:spacing w:after="0" w:line="188" w:lineRule="exact"/>
        <w:rPr>
          <w:sz w:val="20"/>
          <w:szCs w:val="20"/>
          <w:color w:val="auto"/>
        </w:rPr>
      </w:pPr>
    </w:p>
    <w:p>
      <w:pPr>
        <w:jc w:val="both"/>
        <w:ind w:left="678" w:firstLine="654"/>
        <w:spacing w:after="0" w:line="213" w:lineRule="auto"/>
        <w:tabs>
          <w:tab w:leader="none" w:pos="1879" w:val="left"/>
        </w:tabs>
        <w:numPr>
          <w:ilvl w:val="1"/>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Rejection Right</w:t>
      </w:r>
      <w:r>
        <w:rPr>
          <w:rFonts w:ascii="Times New Roman" w:cs="Times New Roman" w:eastAsia="Times New Roman" w:hAnsi="Times New Roman"/>
          <w:sz w:val="20"/>
          <w:szCs w:val="20"/>
          <w:color w:val="auto"/>
        </w:rPr>
        <w:t xml:space="preserve">. Each Term Loan Lender may reject all (but not less than all) of its pro rata share of any mandatory prepayment (except in the case of any prepayment of Term Loans in accordance with </w:t>
      </w:r>
      <w:r>
        <w:rPr>
          <w:rFonts w:ascii="Times New Roman" w:cs="Times New Roman" w:eastAsia="Times New Roman" w:hAnsi="Times New Roman"/>
          <w:sz w:val="20"/>
          <w:szCs w:val="20"/>
          <w:u w:val="single" w:color="auto"/>
          <w:color w:val="auto"/>
        </w:rPr>
        <w:t>Section 4.4(b)(i)</w:t>
      </w:r>
      <w:r>
        <w:rPr>
          <w:rFonts w:ascii="Times New Roman" w:cs="Times New Roman" w:eastAsia="Times New Roman" w:hAnsi="Times New Roman"/>
          <w:sz w:val="20"/>
          <w:szCs w:val="20"/>
          <w:color w:val="auto"/>
        </w:rPr>
        <w:t xml:space="preserve"> with the proceeds of Refinancing Debt) (such declined amounts, the “</w:t>
      </w:r>
      <w:r>
        <w:rPr>
          <w:rFonts w:ascii="Times New Roman" w:cs="Times New Roman" w:eastAsia="Times New Roman" w:hAnsi="Times New Roman"/>
          <w:sz w:val="20"/>
          <w:szCs w:val="20"/>
          <w:u w:val="single" w:color="auto"/>
          <w:color w:val="auto"/>
        </w:rPr>
        <w:t>Declined Proceeds</w:t>
      </w:r>
      <w:r>
        <w:rPr>
          <w:rFonts w:ascii="Times New Roman" w:cs="Times New Roman" w:eastAsia="Times New Roman" w:hAnsi="Times New Roman"/>
          <w:sz w:val="20"/>
          <w:szCs w:val="20"/>
          <w:color w:val="auto"/>
        </w:rPr>
        <w:t xml:space="preserve">”) of Term Loans required to be made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4.4(b)</w:t>
      </w:r>
      <w:r>
        <w:rPr>
          <w:rFonts w:ascii="Times New Roman" w:cs="Times New Roman" w:eastAsia="Times New Roman" w:hAnsi="Times New Roman"/>
          <w:sz w:val="20"/>
          <w:szCs w:val="20"/>
          <w:color w:val="auto"/>
        </w:rPr>
        <w:t xml:space="preserve"> by providing written notice to the Administrative Agent no later than 5:00 p.m. one Business Day after the date of such Lender’s receipt of notice from the Administrative Agent regarding such prepayment. If a Lender fails to deliver a notice of rejection to the Administrative Agent within the time frame specified above, any such failure will be deemed an acceptance of the total amount of such mandatory prepayment of Term Loans. Any Declined Proceeds remaining after offering such Declined Proceeds to the Lenders in accordance with the terms hereof shall be retained by the Borrowers and used for any purpose not prohibited by this Agreement.</w:t>
      </w:r>
    </w:p>
    <w:p>
      <w:pPr>
        <w:spacing w:after="0" w:line="188" w:lineRule="exact"/>
        <w:rPr>
          <w:rFonts w:ascii="Times New Roman" w:cs="Times New Roman" w:eastAsia="Times New Roman" w:hAnsi="Times New Roman"/>
          <w:sz w:val="20"/>
          <w:szCs w:val="20"/>
          <w:color w:val="auto"/>
        </w:rPr>
      </w:pPr>
    </w:p>
    <w:p>
      <w:pPr>
        <w:jc w:val="both"/>
        <w:ind w:left="678" w:firstLine="654"/>
        <w:spacing w:after="0" w:line="211" w:lineRule="auto"/>
        <w:tabs>
          <w:tab w:leader="none" w:pos="1882" w:val="left"/>
        </w:tabs>
        <w:numPr>
          <w:ilvl w:val="1"/>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Prepayment of LIBOR Rate </w:t>
      </w:r>
      <w:r>
        <w:rPr>
          <w:rFonts w:ascii="Times New Roman" w:cs="Times New Roman" w:eastAsia="Times New Roman" w:hAnsi="Times New Roman"/>
          <w:sz w:val="20"/>
          <w:szCs w:val="20"/>
          <w:u w:val="single" w:color="auto"/>
          <w:color w:val="0000FF"/>
        </w:rPr>
        <w:t>Loans, SOFR</w:t>
      </w:r>
      <w:r>
        <w:rPr>
          <w:rFonts w:ascii="Times New Roman" w:cs="Times New Roman" w:eastAsia="Times New Roman" w:hAnsi="Times New Roman"/>
          <w:sz w:val="20"/>
          <w:szCs w:val="20"/>
          <w:color w:val="auto"/>
        </w:rPr>
        <w:t xml:space="preserve"> Loans and CDOR Rate Loans. Each prepayment shall be accompanied by any amount required to be paid pursuant to </w:t>
      </w:r>
      <w:r>
        <w:rPr>
          <w:rFonts w:ascii="Times New Roman" w:cs="Times New Roman" w:eastAsia="Times New Roman" w:hAnsi="Times New Roman"/>
          <w:sz w:val="20"/>
          <w:szCs w:val="20"/>
          <w:u w:val="single" w:color="auto"/>
          <w:color w:val="auto"/>
        </w:rPr>
        <w:t>Section 5.9</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so long as no Default or Event of Default shall have occurred and be continuing, if any prepayment of LIBOR Rate Loans</w:t>
      </w:r>
      <w:r>
        <w:rPr>
          <w:rFonts w:ascii="Times New Roman" w:cs="Times New Roman" w:eastAsia="Times New Roman" w:hAnsi="Times New Roman"/>
          <w:sz w:val="20"/>
          <w:szCs w:val="20"/>
          <w:u w:val="single" w:color="auto"/>
          <w:color w:val="0000FF"/>
        </w:rPr>
        <w:t>, SOFR Loans</w:t>
      </w:r>
      <w:r>
        <w:rPr>
          <w:rFonts w:ascii="Times New Roman" w:cs="Times New Roman" w:eastAsia="Times New Roman" w:hAnsi="Times New Roman"/>
          <w:sz w:val="20"/>
          <w:szCs w:val="20"/>
          <w:color w:val="auto"/>
        </w:rPr>
        <w:t xml:space="preserve"> or CDOR Rate Loans is required to be made under this </w:t>
      </w:r>
      <w:r>
        <w:rPr>
          <w:rFonts w:ascii="Times New Roman" w:cs="Times New Roman" w:eastAsia="Times New Roman" w:hAnsi="Times New Roman"/>
          <w:sz w:val="20"/>
          <w:szCs w:val="20"/>
          <w:u w:val="single" w:color="auto"/>
          <w:color w:val="auto"/>
        </w:rPr>
        <w:t>Section 4.4(b)</w:t>
      </w:r>
      <w:r>
        <w:rPr>
          <w:rFonts w:ascii="Times New Roman" w:cs="Times New Roman" w:eastAsia="Times New Roman" w:hAnsi="Times New Roman"/>
          <w:sz w:val="20"/>
          <w:szCs w:val="20"/>
          <w:color w:val="auto"/>
        </w:rPr>
        <w:t xml:space="preserve"> prior to the last day of the Interest Period therefor, in lieu of making any payment pursuant to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4.4(b)</w:t>
      </w:r>
      <w:r>
        <w:rPr>
          <w:rFonts w:ascii="Times New Roman" w:cs="Times New Roman" w:eastAsia="Times New Roman" w:hAnsi="Times New Roman"/>
          <w:sz w:val="20"/>
          <w:szCs w:val="20"/>
          <w:color w:val="auto"/>
        </w:rPr>
        <w:t xml:space="preserve"> in respect of any such LIBOR Rate Loan</w:t>
      </w:r>
      <w:r>
        <w:rPr>
          <w:rFonts w:ascii="Times New Roman" w:cs="Times New Roman" w:eastAsia="Times New Roman" w:hAnsi="Times New Roman"/>
          <w:sz w:val="20"/>
          <w:szCs w:val="20"/>
          <w:u w:val="single" w:color="auto"/>
          <w:color w:val="0000FF"/>
        </w:rPr>
        <w:t>, SOFR Loan</w:t>
      </w:r>
      <w:r>
        <w:rPr>
          <w:rFonts w:ascii="Times New Roman" w:cs="Times New Roman" w:eastAsia="Times New Roman" w:hAnsi="Times New Roman"/>
          <w:sz w:val="20"/>
          <w:szCs w:val="20"/>
          <w:color w:val="auto"/>
        </w:rPr>
        <w:t xml:space="preserve"> or CDOR Rate Loans prior to the last day of the Interest Period therefor, the applicable Borrower may, in its sole discretion, deposit an amount sufficient to make any such prepayment otherwise required to be made thereunder together with accrued interest to the last day of such Interest Period into an account held at, and subject to the sole control of, the Administrative Agent until the last day of such Interest Period, at which time the Administrative Agent shall be authorized (without any further action by or notice to or from the Borrowers or any other Credit Party) to apply such amount to the prepayment of such Term Loans in accordance with this </w:t>
      </w:r>
      <w:r>
        <w:rPr>
          <w:rFonts w:ascii="Times New Roman" w:cs="Times New Roman" w:eastAsia="Times New Roman" w:hAnsi="Times New Roman"/>
          <w:sz w:val="20"/>
          <w:szCs w:val="20"/>
          <w:u w:val="single" w:color="auto"/>
          <w:color w:val="auto"/>
        </w:rPr>
        <w:t>Section 4.4(b)</w:t>
      </w:r>
      <w:r>
        <w:rPr>
          <w:rFonts w:ascii="Times New Roman" w:cs="Times New Roman" w:eastAsia="Times New Roman" w:hAnsi="Times New Roman"/>
          <w:sz w:val="20"/>
          <w:szCs w:val="20"/>
          <w:color w:val="auto"/>
        </w:rPr>
        <w:t xml:space="preserve">. Upon the occurrence and during the continuance of any Default or Event of Default, the Administrative Agent shall also be authorized (without any further action by or notice to or from the Borrowers or any other Credit Party) to apply such amount to the prepayment of the outstanding Term Loans in accordance with the relevant provisions of this </w:t>
      </w:r>
      <w:r>
        <w:rPr>
          <w:rFonts w:ascii="Times New Roman" w:cs="Times New Roman" w:eastAsia="Times New Roman" w:hAnsi="Times New Roman"/>
          <w:sz w:val="20"/>
          <w:szCs w:val="20"/>
          <w:u w:val="single" w:color="auto"/>
          <w:color w:val="auto"/>
        </w:rPr>
        <w:t>Section 4.4(b)</w:t>
      </w:r>
      <w:r>
        <w:rPr>
          <w:rFonts w:ascii="Times New Roman" w:cs="Times New Roman" w:eastAsia="Times New Roman" w:hAnsi="Times New Roman"/>
          <w:sz w:val="20"/>
          <w:szCs w:val="20"/>
          <w:color w:val="auto"/>
        </w:rPr>
        <w:t>.</w:t>
      </w:r>
    </w:p>
    <w:p>
      <w:pPr>
        <w:spacing w:after="0" w:line="274" w:lineRule="exact"/>
        <w:rPr>
          <w:rFonts w:ascii="Times New Roman" w:cs="Times New Roman" w:eastAsia="Times New Roman" w:hAnsi="Times New Roman"/>
          <w:sz w:val="20"/>
          <w:szCs w:val="20"/>
          <w:color w:val="auto"/>
        </w:rPr>
      </w:pPr>
    </w:p>
    <w:p>
      <w:pPr>
        <w:ind w:left="1878" w:hanging="546"/>
        <w:spacing w:after="0"/>
        <w:tabs>
          <w:tab w:leader="none" w:pos="1878" w:val="left"/>
        </w:tabs>
        <w:numPr>
          <w:ilvl w:val="1"/>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Reborrowings</w:t>
      </w:r>
      <w:r>
        <w:rPr>
          <w:rFonts w:ascii="Times New Roman" w:cs="Times New Roman" w:eastAsia="Times New Roman" w:hAnsi="Times New Roman"/>
          <w:sz w:val="20"/>
          <w:szCs w:val="20"/>
          <w:color w:val="auto"/>
        </w:rPr>
        <w:t>. Amounts prepaid under the Term Loan pursuant to this Section may not be reborrowed.</w:t>
      </w:r>
    </w:p>
    <w:p>
      <w:pPr>
        <w:spacing w:after="0" w:line="229" w:lineRule="exact"/>
        <w:rPr>
          <w:rFonts w:ascii="Times New Roman" w:cs="Times New Roman" w:eastAsia="Times New Roman" w:hAnsi="Times New Roman"/>
          <w:sz w:val="20"/>
          <w:szCs w:val="20"/>
          <w:color w:val="auto"/>
        </w:rPr>
      </w:pPr>
    </w:p>
    <w:p>
      <w:pPr>
        <w:jc w:val="both"/>
        <w:ind w:left="38" w:firstLine="646"/>
        <w:spacing w:after="0" w:line="227" w:lineRule="auto"/>
        <w:tabs>
          <w:tab w:leader="none" w:pos="1243" w:val="left"/>
        </w:tabs>
        <w:numPr>
          <w:ilvl w:val="0"/>
          <w:numId w:val="1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Call Premium</w:t>
      </w:r>
      <w:r>
        <w:rPr>
          <w:rFonts w:ascii="Times New Roman" w:cs="Times New Roman" w:eastAsia="Times New Roman" w:hAnsi="Times New Roman"/>
          <w:sz w:val="19"/>
          <w:szCs w:val="19"/>
          <w:color w:val="auto"/>
        </w:rPr>
        <w:t xml:space="preserve">. In connection with any Repricing Transaction that is consummated in respect of all or any portion of the Initial Term Loans, during the six (6) month period following the Closing Date, the Borrower shall pay to the Administrative Agent, for the ratable benefit each Term Loan Lender, a fee equal to 1.0% of the aggregate principal amount of the Initial Term Loans of such Term Loan Lender subject to such Repricing Transaction (it being understood that any such fees under clause (b) of the definition of “Repricing Transaction” shall be paid to each Non-Consenting Lender that is replaced in such Repricing Transaction pursuant to </w:t>
      </w:r>
      <w:r>
        <w:rPr>
          <w:rFonts w:ascii="Times New Roman" w:cs="Times New Roman" w:eastAsia="Times New Roman" w:hAnsi="Times New Roman"/>
          <w:sz w:val="19"/>
          <w:szCs w:val="19"/>
          <w:u w:val="single" w:color="auto"/>
          <w:color w:val="auto"/>
        </w:rPr>
        <w:t>Section 5.12(b)</w:t>
      </w:r>
      <w:r>
        <w:rPr>
          <w:rFonts w:ascii="Times New Roman" w:cs="Times New Roman" w:eastAsia="Times New Roman" w:hAnsi="Times New Roman"/>
          <w:sz w:val="19"/>
          <w:szCs w:val="19"/>
          <w:color w:val="auto"/>
        </w:rPr>
        <w:t>). Such fees shall be due and payable within three (3) Business Days of the date of the effectiveness of such Repricing Transaction.</w:t>
      </w:r>
    </w:p>
    <w:p>
      <w:pPr>
        <w:spacing w:after="0" w:line="326" w:lineRule="exact"/>
        <w:rPr>
          <w:sz w:val="20"/>
          <w:szCs w:val="20"/>
          <w:color w:val="auto"/>
        </w:rPr>
      </w:pPr>
    </w:p>
    <w:p>
      <w:pPr>
        <w:ind w:left="3558"/>
        <w:spacing w:after="0"/>
        <w:rPr>
          <w:sz w:val="20"/>
          <w:szCs w:val="20"/>
          <w:color w:val="auto"/>
        </w:rPr>
      </w:pPr>
      <w:r>
        <w:rPr>
          <w:rFonts w:ascii="Times New Roman" w:cs="Times New Roman" w:eastAsia="Times New Roman" w:hAnsi="Times New Roman"/>
          <w:sz w:val="20"/>
          <w:szCs w:val="20"/>
          <w:color w:val="auto"/>
        </w:rPr>
        <w:t>ARTICLE V</w:t>
      </w:r>
    </w:p>
    <w:p>
      <w:pPr>
        <w:spacing w:after="0" w:line="108" w:lineRule="exact"/>
        <w:rPr>
          <w:sz w:val="20"/>
          <w:szCs w:val="20"/>
          <w:color w:val="auto"/>
        </w:rPr>
      </w:pPr>
    </w:p>
    <w:p>
      <w:pPr>
        <w:ind w:left="2538"/>
        <w:spacing w:after="0"/>
        <w:rPr>
          <w:sz w:val="20"/>
          <w:szCs w:val="20"/>
          <w:color w:val="auto"/>
        </w:rPr>
      </w:pPr>
      <w:r>
        <w:rPr>
          <w:rFonts w:ascii="Times New Roman" w:cs="Times New Roman" w:eastAsia="Times New Roman" w:hAnsi="Times New Roman"/>
          <w:sz w:val="20"/>
          <w:szCs w:val="20"/>
          <w:color w:val="auto"/>
        </w:rPr>
        <w:t>GENERAL LOAN PROVISIONS</w:t>
      </w:r>
    </w:p>
    <w:p>
      <w:pPr>
        <w:spacing w:after="0" w:line="216" w:lineRule="exact"/>
        <w:rPr>
          <w:sz w:val="20"/>
          <w:szCs w:val="20"/>
          <w:color w:val="auto"/>
        </w:rPr>
      </w:pPr>
    </w:p>
    <w:p>
      <w:pPr>
        <w:ind w:left="678"/>
        <w:spacing w:after="0"/>
        <w:tabs>
          <w:tab w:leader="none" w:pos="1998" w:val="left"/>
        </w:tabs>
        <w:rPr>
          <w:sz w:val="20"/>
          <w:szCs w:val="20"/>
          <w:color w:val="auto"/>
        </w:rPr>
      </w:pPr>
      <w:r>
        <w:rPr>
          <w:rFonts w:ascii="Times New Roman" w:cs="Times New Roman" w:eastAsia="Times New Roman" w:hAnsi="Times New Roman"/>
          <w:sz w:val="20"/>
          <w:szCs w:val="20"/>
          <w:color w:val="auto"/>
        </w:rPr>
        <w:t>SECTION 5.1</w:t>
      </w:r>
      <w:r>
        <w:rPr>
          <w:sz w:val="20"/>
          <w:szCs w:val="20"/>
          <w:color w:val="auto"/>
        </w:rPr>
        <w:tab/>
      </w:r>
      <w:r>
        <w:rPr>
          <w:rFonts w:ascii="Times New Roman" w:cs="Times New Roman" w:eastAsia="Times New Roman" w:hAnsi="Times New Roman"/>
          <w:sz w:val="19"/>
          <w:szCs w:val="19"/>
          <w:u w:val="single" w:color="auto"/>
          <w:color w:val="auto"/>
        </w:rPr>
        <w:t>Interest</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38"/>
        <w:spacing w:after="0"/>
        <w:rPr>
          <w:sz w:val="20"/>
          <w:szCs w:val="20"/>
          <w:color w:val="auto"/>
        </w:rPr>
      </w:pPr>
      <w:r>
        <w:rPr>
          <w:rFonts w:ascii="Times New Roman" w:cs="Times New Roman" w:eastAsia="Times New Roman" w:hAnsi="Times New Roman"/>
          <w:sz w:val="14"/>
          <w:szCs w:val="14"/>
          <w:color w:val="FF0000"/>
          <w:strike w:val="1"/>
        </w:rPr>
        <w:t>146960219_6</w:t>
      </w:r>
    </w:p>
    <w:p>
      <w:pPr>
        <w:ind w:left="338" w:hanging="338"/>
        <w:spacing w:after="0" w:line="229" w:lineRule="auto"/>
        <w:tabs>
          <w:tab w:leader="none" w:pos="338" w:val="left"/>
        </w:tabs>
        <w:numPr>
          <w:ilvl w:val="0"/>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078"/>
          </w:cols>
          <w:pgMar w:left="382" w:top="1440" w:right="439" w:bottom="1440" w:gutter="0" w:footer="0" w:header="0"/>
        </w:sectPr>
      </w:pPr>
    </w:p>
    <w:bookmarkStart w:id="156" w:name="page157"/>
    <w:bookmarkEnd w:id="156"/>
    <w:p>
      <w:pPr>
        <w:ind w:left="58" w:right="700" w:firstLine="644"/>
        <w:spacing w:after="0"/>
        <w:tabs>
          <w:tab w:leader="none" w:pos="1236" w:val="left"/>
        </w:tabs>
        <w:numPr>
          <w:ilvl w:val="0"/>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Interest Rate Options</w:t>
      </w:r>
      <w:r>
        <w:rPr>
          <w:rFonts w:ascii="Times New Roman" w:cs="Times New Roman" w:eastAsia="Times New Roman" w:hAnsi="Times New Roman"/>
          <w:sz w:val="20"/>
          <w:szCs w:val="20"/>
          <w:color w:val="auto"/>
        </w:rPr>
        <w:t>. Subject to the provisions of this Section, at the election of the US Borrowers or the Canadian Borrowers, as applicable:</w:t>
      </w:r>
    </w:p>
    <w:p>
      <w:pPr>
        <w:spacing w:after="0" w:line="188" w:lineRule="exact"/>
        <w:rPr>
          <w:rFonts w:ascii="Times New Roman" w:cs="Times New Roman" w:eastAsia="Times New Roman" w:hAnsi="Times New Roman"/>
          <w:sz w:val="20"/>
          <w:szCs w:val="20"/>
          <w:color w:val="auto"/>
        </w:rPr>
      </w:pPr>
    </w:p>
    <w:p>
      <w:pPr>
        <w:jc w:val="both"/>
        <w:ind w:left="698" w:firstLine="652"/>
        <w:spacing w:after="0" w:line="213" w:lineRule="auto"/>
        <w:tabs>
          <w:tab w:leader="none" w:pos="1877" w:val="left"/>
        </w:tabs>
        <w:numPr>
          <w:ilvl w:val="1"/>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0000FF"/>
        </w:rPr>
        <w:t>(A)</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US Revolving Credit</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C000"/>
        </w:rPr>
        <w:t>Loans and</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FF0000"/>
        </w:rPr>
        <w:t>any Term</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Loans denominated in Dollars shall bear interest at (</w:t>
      </w:r>
      <w:r>
        <w:rPr>
          <w:rFonts w:ascii="Times New Roman" w:cs="Times New Roman" w:eastAsia="Times New Roman" w:hAnsi="Times New Roman"/>
          <w:sz w:val="20"/>
          <w:szCs w:val="20"/>
          <w:color w:val="FF0000"/>
          <w:strike w:val="1"/>
        </w:rPr>
        <w:t>A</w:t>
      </w:r>
      <w:r>
        <w:rPr>
          <w:rFonts w:ascii="Times New Roman" w:cs="Times New Roman" w:eastAsia="Times New Roman" w:hAnsi="Times New Roman"/>
          <w:sz w:val="20"/>
          <w:szCs w:val="20"/>
          <w:u w:val="single" w:color="auto"/>
          <w:color w:val="0000FF"/>
        </w:rPr>
        <w:t>1</w:t>
      </w:r>
      <w:r>
        <w:rPr>
          <w:rFonts w:ascii="Times New Roman" w:cs="Times New Roman" w:eastAsia="Times New Roman" w:hAnsi="Times New Roman"/>
          <w:sz w:val="20"/>
          <w:szCs w:val="20"/>
          <w:color w:val="000000"/>
        </w:rPr>
        <w:t>) the Base</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 xml:space="preserve">Rate </w:t>
      </w:r>
      <w:r>
        <w:rPr>
          <w:rFonts w:ascii="Times New Roman" w:cs="Times New Roman" w:eastAsia="Times New Roman" w:hAnsi="Times New Roman"/>
          <w:sz w:val="20"/>
          <w:szCs w:val="20"/>
          <w:u w:val="single" w:color="auto"/>
          <w:color w:val="000000"/>
        </w:rPr>
        <w:t>plus</w:t>
      </w:r>
      <w:r>
        <w:rPr>
          <w:rFonts w:ascii="Times New Roman" w:cs="Times New Roman" w:eastAsia="Times New Roman" w:hAnsi="Times New Roman"/>
          <w:sz w:val="20"/>
          <w:szCs w:val="20"/>
          <w:color w:val="000000"/>
        </w:rPr>
        <w:t xml:space="preserve"> the Applicable Margin or (</w:t>
      </w:r>
      <w:r>
        <w:rPr>
          <w:rFonts w:ascii="Times New Roman" w:cs="Times New Roman" w:eastAsia="Times New Roman" w:hAnsi="Times New Roman"/>
          <w:sz w:val="20"/>
          <w:szCs w:val="20"/>
          <w:color w:val="FF0000"/>
          <w:strike w:val="1"/>
        </w:rPr>
        <w:t>B</w:t>
      </w:r>
      <w:r>
        <w:rPr>
          <w:rFonts w:ascii="Times New Roman" w:cs="Times New Roman" w:eastAsia="Times New Roman" w:hAnsi="Times New Roman"/>
          <w:sz w:val="20"/>
          <w:szCs w:val="20"/>
          <w:u w:val="single" w:color="auto"/>
          <w:color w:val="0000FF"/>
        </w:rPr>
        <w:t>2) Adjusted Term SOFR plus the Applicable Margin (provided that Adjusted Term SOFR</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00FF"/>
        </w:rPr>
        <w:t>shall not be available until three (3) US Government Securities Business Days after the First Amendment Effective Date unless the US Borrowers have delivered to the Administrative Agent a letter in form and substance reasonably satisfactory to the Administrative Agent indemnifying the Lenders in the manner set forth in Section 5.9 of this Agreement) and (B) Term Loans denominated in Dollars shall bear interest at (1) the Base Rate plus the Applicable Margin or (2</w:t>
      </w:r>
      <w:r>
        <w:rPr>
          <w:rFonts w:ascii="Times New Roman" w:cs="Times New Roman" w:eastAsia="Times New Roman" w:hAnsi="Times New Roman"/>
          <w:sz w:val="20"/>
          <w:szCs w:val="20"/>
          <w:color w:val="000000"/>
        </w:rPr>
        <w:t>) the LIBOR Rate</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u w:val="single" w:color="auto"/>
          <w:color w:val="000000"/>
        </w:rPr>
        <w:t>plus</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the</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Applicable Margin (</w:t>
      </w:r>
      <w:r>
        <w:rPr>
          <w:rFonts w:ascii="Times New Roman" w:cs="Times New Roman" w:eastAsia="Times New Roman" w:hAnsi="Times New Roman"/>
          <w:sz w:val="20"/>
          <w:szCs w:val="20"/>
          <w:u w:val="single" w:color="auto"/>
          <w:color w:val="000000"/>
        </w:rPr>
        <w:t>provided</w:t>
      </w:r>
      <w:r>
        <w:rPr>
          <w:rFonts w:ascii="Times New Roman" w:cs="Times New Roman" w:eastAsia="Times New Roman" w:hAnsi="Times New Roman"/>
          <w:sz w:val="20"/>
          <w:szCs w:val="20"/>
          <w:color w:val="000000"/>
        </w:rPr>
        <w:t xml:space="preserve"> that the LIBOR Rate shall not be available until three (3) Business Days after the Closing Date unless the US Borrowers have delivered to the Administrative Agent a letter in form and substance reasonably satisfactory to the Administrative Agent indemnifying the Lenders in the manner set forth in </w:t>
      </w:r>
      <w:r>
        <w:rPr>
          <w:rFonts w:ascii="Times New Roman" w:cs="Times New Roman" w:eastAsia="Times New Roman" w:hAnsi="Times New Roman"/>
          <w:sz w:val="20"/>
          <w:szCs w:val="20"/>
          <w:u w:val="single" w:color="auto"/>
          <w:color w:val="000000"/>
        </w:rPr>
        <w:t>Section 5.9</w:t>
      </w:r>
      <w:r>
        <w:rPr>
          <w:rFonts w:ascii="Times New Roman" w:cs="Times New Roman" w:eastAsia="Times New Roman" w:hAnsi="Times New Roman"/>
          <w:sz w:val="20"/>
          <w:szCs w:val="20"/>
          <w:color w:val="000000"/>
        </w:rPr>
        <w:t xml:space="preserve"> of this Agreement</w:t>
      </w:r>
      <w:r>
        <w:rPr>
          <w:rFonts w:ascii="Times New Roman" w:cs="Times New Roman" w:eastAsia="Times New Roman" w:hAnsi="Times New Roman"/>
          <w:sz w:val="20"/>
          <w:szCs w:val="20"/>
          <w:color w:val="FF0000"/>
        </w:rPr>
        <w:t>)</w:t>
      </w:r>
      <w:r>
        <w:rPr>
          <w:rFonts w:ascii="Times New Roman" w:cs="Times New Roman" w:eastAsia="Times New Roman" w:hAnsi="Times New Roman"/>
          <w:sz w:val="20"/>
          <w:szCs w:val="20"/>
          <w:color w:val="000000"/>
        </w:rPr>
        <w:t>;</w:t>
      </w:r>
    </w:p>
    <w:p>
      <w:pPr>
        <w:spacing w:after="0" w:line="255" w:lineRule="exact"/>
        <w:rPr>
          <w:rFonts w:ascii="Times New Roman" w:cs="Times New Roman" w:eastAsia="Times New Roman" w:hAnsi="Times New Roman"/>
          <w:sz w:val="20"/>
          <w:szCs w:val="20"/>
          <w:color w:val="auto"/>
        </w:rPr>
      </w:pPr>
    </w:p>
    <w:p>
      <w:pPr>
        <w:jc w:val="both"/>
        <w:ind w:left="698" w:firstLine="652"/>
        <w:spacing w:after="0" w:line="220" w:lineRule="auto"/>
        <w:tabs>
          <w:tab w:leader="none" w:pos="1880" w:val="left"/>
        </w:tabs>
        <w:numPr>
          <w:ilvl w:val="1"/>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Canadian Revolving Credit Loans and Term Loans denominated in Canadian Dollars shall bear interest at (A) the Canadian Base Rate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Applicable Margin or (B) the CDOR Rate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Applicable Margin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CDOR Rate shall not be available until four (4) Business Days after the Closing Date unless the Canadian Borrowers have delivered to the Administrative Agent a letter in form and substance reasonably satisfactory to the Administrative Agent indemnifying the Lenders in the manner set forth in </w:t>
      </w:r>
      <w:r>
        <w:rPr>
          <w:rFonts w:ascii="Times New Roman" w:cs="Times New Roman" w:eastAsia="Times New Roman" w:hAnsi="Times New Roman"/>
          <w:sz w:val="20"/>
          <w:szCs w:val="20"/>
          <w:u w:val="single" w:color="auto"/>
          <w:color w:val="auto"/>
        </w:rPr>
        <w:t>Section 5.9</w:t>
      </w:r>
      <w:r>
        <w:rPr>
          <w:rFonts w:ascii="Times New Roman" w:cs="Times New Roman" w:eastAsia="Times New Roman" w:hAnsi="Times New Roman"/>
          <w:sz w:val="20"/>
          <w:szCs w:val="20"/>
          <w:color w:val="auto"/>
        </w:rPr>
        <w:t xml:space="preserve"> of this Agreement);</w:t>
      </w:r>
    </w:p>
    <w:p>
      <w:pPr>
        <w:spacing w:after="0" w:line="255" w:lineRule="exact"/>
        <w:rPr>
          <w:rFonts w:ascii="Times New Roman" w:cs="Times New Roman" w:eastAsia="Times New Roman" w:hAnsi="Times New Roman"/>
          <w:sz w:val="20"/>
          <w:szCs w:val="20"/>
          <w:color w:val="auto"/>
        </w:rPr>
      </w:pPr>
    </w:p>
    <w:p>
      <w:pPr>
        <w:ind w:left="1878" w:hanging="528"/>
        <w:spacing w:after="0"/>
        <w:tabs>
          <w:tab w:leader="none" w:pos="1878" w:val="left"/>
        </w:tabs>
        <w:numPr>
          <w:ilvl w:val="1"/>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US Swingline Loans shall bear interest at the Base Rate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Applicable Margin; and</w:t>
      </w:r>
    </w:p>
    <w:p>
      <w:pPr>
        <w:spacing w:after="0" w:line="242" w:lineRule="exact"/>
        <w:rPr>
          <w:rFonts w:ascii="Times New Roman" w:cs="Times New Roman" w:eastAsia="Times New Roman" w:hAnsi="Times New Roman"/>
          <w:sz w:val="20"/>
          <w:szCs w:val="20"/>
          <w:color w:val="auto"/>
        </w:rPr>
      </w:pPr>
    </w:p>
    <w:p>
      <w:pPr>
        <w:ind w:left="1878" w:hanging="528"/>
        <w:spacing w:after="0"/>
        <w:tabs>
          <w:tab w:leader="none" w:pos="1878" w:val="left"/>
        </w:tabs>
        <w:numPr>
          <w:ilvl w:val="1"/>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Canadian Swingline Loans shall bear interest at the Canadian Base Rate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Applicable Margin.</w:t>
      </w:r>
    </w:p>
    <w:p>
      <w:pPr>
        <w:spacing w:after="0" w:line="216" w:lineRule="exact"/>
        <w:rPr>
          <w:sz w:val="20"/>
          <w:szCs w:val="20"/>
          <w:color w:val="auto"/>
        </w:rPr>
      </w:pPr>
    </w:p>
    <w:p>
      <w:pPr>
        <w:ind w:left="698"/>
        <w:spacing w:after="0"/>
        <w:rPr>
          <w:sz w:val="20"/>
          <w:szCs w:val="20"/>
          <w:color w:val="auto"/>
        </w:rPr>
      </w:pPr>
      <w:r>
        <w:rPr>
          <w:rFonts w:ascii="Times New Roman" w:cs="Times New Roman" w:eastAsia="Times New Roman" w:hAnsi="Times New Roman"/>
          <w:sz w:val="19"/>
          <w:szCs w:val="19"/>
          <w:color w:val="auto"/>
        </w:rPr>
        <w:t>The US Borrowers or the Canadian Borrowers, as applicable, shall select the rate of interest and Interest Period, if any, applicable</w:t>
      </w:r>
    </w:p>
    <w:p>
      <w:pPr>
        <w:spacing w:after="0" w:line="6" w:lineRule="exact"/>
        <w:rPr>
          <w:sz w:val="20"/>
          <w:szCs w:val="20"/>
          <w:color w:val="auto"/>
        </w:rPr>
      </w:pPr>
    </w:p>
    <w:p>
      <w:pPr>
        <w:ind w:left="58"/>
        <w:spacing w:after="0" w:line="215" w:lineRule="auto"/>
        <w:rPr>
          <w:sz w:val="20"/>
          <w:szCs w:val="20"/>
          <w:color w:val="auto"/>
        </w:rPr>
      </w:pPr>
      <w:r>
        <w:rPr>
          <w:rFonts w:ascii="Times New Roman" w:cs="Times New Roman" w:eastAsia="Times New Roman" w:hAnsi="Times New Roman"/>
          <w:sz w:val="19"/>
          <w:szCs w:val="19"/>
          <w:color w:val="auto"/>
        </w:rPr>
        <w:t xml:space="preserve">to any Loan at the time a Notice of Borrowing is given or at the time a Notice of Conversion/Continuation is given pursuant to </w:t>
      </w:r>
      <w:r>
        <w:rPr>
          <w:rFonts w:ascii="Times New Roman" w:cs="Times New Roman" w:eastAsia="Times New Roman" w:hAnsi="Times New Roman"/>
          <w:sz w:val="19"/>
          <w:szCs w:val="19"/>
          <w:u w:val="single" w:color="auto"/>
          <w:color w:val="auto"/>
        </w:rPr>
        <w:t>Section 5.2</w:t>
      </w:r>
      <w:r>
        <w:rPr>
          <w:rFonts w:ascii="Times New Roman" w:cs="Times New Roman" w:eastAsia="Times New Roman" w:hAnsi="Times New Roman"/>
          <w:sz w:val="19"/>
          <w:szCs w:val="19"/>
          <w:color w:val="auto"/>
        </w:rPr>
        <w:t>. Any US Revolving Credit Loan or Term Loan denominated in Dollars or any portion thereof as to which a US Borrower has not duly</w:t>
      </w:r>
    </w:p>
    <w:p>
      <w:pPr>
        <w:ind w:left="58"/>
        <w:spacing w:after="0" w:line="211" w:lineRule="auto"/>
        <w:rPr>
          <w:sz w:val="20"/>
          <w:szCs w:val="20"/>
          <w:color w:val="auto"/>
        </w:rPr>
      </w:pPr>
      <w:r>
        <w:rPr>
          <w:rFonts w:ascii="Times New Roman" w:cs="Times New Roman" w:eastAsia="Times New Roman" w:hAnsi="Times New Roman"/>
          <w:sz w:val="20"/>
          <w:szCs w:val="20"/>
          <w:color w:val="auto"/>
        </w:rPr>
        <w:t>specified an interest rate as provided herein shall be deemed a Base Rate Loan. Any Canadian Revolving Credit Loan or Term Loan</w:t>
      </w:r>
    </w:p>
    <w:p>
      <w:pPr>
        <w:ind w:left="58"/>
        <w:spacing w:after="0" w:line="204" w:lineRule="auto"/>
        <w:rPr>
          <w:sz w:val="20"/>
          <w:szCs w:val="20"/>
          <w:color w:val="auto"/>
        </w:rPr>
      </w:pPr>
      <w:r>
        <w:rPr>
          <w:rFonts w:ascii="Times New Roman" w:cs="Times New Roman" w:eastAsia="Times New Roman" w:hAnsi="Times New Roman"/>
          <w:sz w:val="20"/>
          <w:szCs w:val="20"/>
          <w:color w:val="auto"/>
        </w:rPr>
        <w:t xml:space="preserve">denominated in Canadian Dollars or any portion thereof as to which a Canadian Borrower has not duly specified an interest rate as provided herein shall be deemed a Canadian Base Rate Loan. Subject to </w:t>
      </w:r>
      <w:r>
        <w:rPr>
          <w:rFonts w:ascii="Times New Roman" w:cs="Times New Roman" w:eastAsia="Times New Roman" w:hAnsi="Times New Roman"/>
          <w:sz w:val="20"/>
          <w:szCs w:val="20"/>
          <w:u w:val="single" w:color="auto"/>
          <w:color w:val="auto"/>
        </w:rPr>
        <w:t>Section 5.1(b)</w:t>
      </w:r>
      <w:r>
        <w:rPr>
          <w:rFonts w:ascii="Times New Roman" w:cs="Times New Roman" w:eastAsia="Times New Roman" w:hAnsi="Times New Roman"/>
          <w:sz w:val="20"/>
          <w:szCs w:val="20"/>
          <w:color w:val="auto"/>
        </w:rPr>
        <w:t xml:space="preserve">, any LIBOR Rate </w:t>
      </w:r>
      <w:r>
        <w:rPr>
          <w:rFonts w:ascii="Times New Roman" w:cs="Times New Roman" w:eastAsia="Times New Roman" w:hAnsi="Times New Roman"/>
          <w:sz w:val="20"/>
          <w:szCs w:val="20"/>
          <w:u w:val="single" w:color="auto"/>
          <w:color w:val="0000FF"/>
        </w:rPr>
        <w:t>Loan, SOFR</w:t>
      </w:r>
      <w:r>
        <w:rPr>
          <w:rFonts w:ascii="Times New Roman" w:cs="Times New Roman" w:eastAsia="Times New Roman" w:hAnsi="Times New Roman"/>
          <w:sz w:val="20"/>
          <w:szCs w:val="20"/>
          <w:color w:val="auto"/>
        </w:rPr>
        <w:t xml:space="preserve"> Loan or CDOR</w:t>
      </w:r>
    </w:p>
    <w:p>
      <w:pPr>
        <w:spacing w:after="0" w:line="1" w:lineRule="exact"/>
        <w:rPr>
          <w:sz w:val="20"/>
          <w:szCs w:val="20"/>
          <w:color w:val="auto"/>
        </w:rPr>
      </w:pPr>
    </w:p>
    <w:p>
      <w:pPr>
        <w:ind w:left="58" w:right="20"/>
        <w:spacing w:after="0" w:line="221" w:lineRule="auto"/>
        <w:rPr>
          <w:sz w:val="20"/>
          <w:szCs w:val="20"/>
          <w:color w:val="auto"/>
        </w:rPr>
      </w:pPr>
      <w:r>
        <w:rPr>
          <w:rFonts w:ascii="Times New Roman" w:cs="Times New Roman" w:eastAsia="Times New Roman" w:hAnsi="Times New Roman"/>
          <w:sz w:val="20"/>
          <w:szCs w:val="20"/>
          <w:color w:val="auto"/>
        </w:rPr>
        <w:t>Rate Loan or any portion thereof as to which the applicable Borrower has not duly specified an Interest Period as provided herein shall be deemed a LIBOR Rate Loan</w:t>
      </w:r>
      <w:r>
        <w:rPr>
          <w:rFonts w:ascii="Times New Roman" w:cs="Times New Roman" w:eastAsia="Times New Roman" w:hAnsi="Times New Roman"/>
          <w:sz w:val="20"/>
          <w:szCs w:val="20"/>
          <w:u w:val="single" w:color="auto"/>
          <w:color w:val="0000FF"/>
        </w:rPr>
        <w:t>, SOFR Loan</w:t>
      </w:r>
      <w:r>
        <w:rPr>
          <w:rFonts w:ascii="Times New Roman" w:cs="Times New Roman" w:eastAsia="Times New Roman" w:hAnsi="Times New Roman"/>
          <w:sz w:val="20"/>
          <w:szCs w:val="20"/>
          <w:color w:val="auto"/>
        </w:rPr>
        <w:t xml:space="preserve"> or a CDOR Rate Loan with an Interest Period of one (1) month.</w:t>
      </w:r>
    </w:p>
    <w:p>
      <w:pPr>
        <w:spacing w:after="0" w:line="202" w:lineRule="exact"/>
        <w:rPr>
          <w:sz w:val="20"/>
          <w:szCs w:val="20"/>
          <w:color w:val="auto"/>
        </w:rPr>
      </w:pPr>
    </w:p>
    <w:p>
      <w:pPr>
        <w:jc w:val="both"/>
        <w:ind w:left="58" w:firstLine="644"/>
        <w:spacing w:after="0" w:line="224" w:lineRule="auto"/>
        <w:tabs>
          <w:tab w:leader="none" w:pos="1234" w:val="left"/>
        </w:tabs>
        <w:numPr>
          <w:ilvl w:val="0"/>
          <w:numId w:val="1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Default Rate</w:t>
      </w:r>
      <w:r>
        <w:rPr>
          <w:rFonts w:ascii="Times New Roman" w:cs="Times New Roman" w:eastAsia="Times New Roman" w:hAnsi="Times New Roman"/>
          <w:sz w:val="19"/>
          <w:szCs w:val="19"/>
          <w:color w:val="auto"/>
        </w:rPr>
        <w:t xml:space="preserve">. Subject to </w:t>
      </w:r>
      <w:r>
        <w:rPr>
          <w:rFonts w:ascii="Times New Roman" w:cs="Times New Roman" w:eastAsia="Times New Roman" w:hAnsi="Times New Roman"/>
          <w:sz w:val="19"/>
          <w:szCs w:val="19"/>
          <w:u w:val="single" w:color="auto"/>
          <w:color w:val="auto"/>
        </w:rPr>
        <w:t>Section 10.3</w:t>
      </w:r>
      <w:r>
        <w:rPr>
          <w:rFonts w:ascii="Times New Roman" w:cs="Times New Roman" w:eastAsia="Times New Roman" w:hAnsi="Times New Roman"/>
          <w:sz w:val="19"/>
          <w:szCs w:val="19"/>
          <w:color w:val="auto"/>
        </w:rPr>
        <w:t xml:space="preserve">, (i) immediately upon the occurrence and during the continuance of an Event of Default under </w:t>
      </w:r>
      <w:r>
        <w:rPr>
          <w:rFonts w:ascii="Times New Roman" w:cs="Times New Roman" w:eastAsia="Times New Roman" w:hAnsi="Times New Roman"/>
          <w:sz w:val="19"/>
          <w:szCs w:val="19"/>
          <w:u w:val="single" w:color="auto"/>
          <w:color w:val="auto"/>
        </w:rPr>
        <w:t>Section 10.1(a)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(i)</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(j)</w:t>
      </w:r>
      <w:r>
        <w:rPr>
          <w:rFonts w:ascii="Times New Roman" w:cs="Times New Roman" w:eastAsia="Times New Roman" w:hAnsi="Times New Roman"/>
          <w:sz w:val="19"/>
          <w:szCs w:val="19"/>
          <w:color w:val="auto"/>
        </w:rPr>
        <w:t xml:space="preserve">, or (ii) at the election of the Required Lenders (or the Administrative Agent at the direction of the Required Lenders), upon the occurrence and during the continuance of any other Event of Default, (A) the Borrowers shall no longer have the option to request LIBOR Rate </w:t>
      </w:r>
      <w:r>
        <w:rPr>
          <w:rFonts w:ascii="Times New Roman" w:cs="Times New Roman" w:eastAsia="Times New Roman" w:hAnsi="Times New Roman"/>
          <w:sz w:val="19"/>
          <w:szCs w:val="19"/>
          <w:u w:val="single" w:color="auto"/>
          <w:color w:val="0000FF"/>
        </w:rPr>
        <w:t>Loans, SOFR</w:t>
      </w:r>
      <w:r>
        <w:rPr>
          <w:rFonts w:ascii="Times New Roman" w:cs="Times New Roman" w:eastAsia="Times New Roman" w:hAnsi="Times New Roman"/>
          <w:sz w:val="19"/>
          <w:szCs w:val="19"/>
          <w:color w:val="auto"/>
        </w:rPr>
        <w:t xml:space="preserve"> Loans, CDOR Rate Loans, Swingline Loans or Letters of Credit, (B) all outstanding LIBOR Rate Loans shall bear interest at a rate per annum of two percent (2%) in excess of the rate (including the Applicable Margin) then applicable to LIBOR Rate Loans until the end of the applicable Interest Period and thereafter at a rate equal to two percent (2%) in excess of the rate (including the Applicable Margin) then applicable to Base Rate Loans, (C</w:t>
      </w:r>
      <w:r>
        <w:rPr>
          <w:rFonts w:ascii="Times New Roman" w:cs="Times New Roman" w:eastAsia="Times New Roman" w:hAnsi="Times New Roman"/>
          <w:sz w:val="19"/>
          <w:szCs w:val="19"/>
          <w:u w:val="single" w:color="auto"/>
          <w:color w:val="0000FF"/>
        </w:rPr>
        <w:t>) all outstanding SOFR Loans shall bear interest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38"/>
        <w:spacing w:after="0"/>
        <w:rPr>
          <w:sz w:val="20"/>
          <w:szCs w:val="20"/>
          <w:color w:val="auto"/>
        </w:rPr>
      </w:pPr>
      <w:r>
        <w:rPr>
          <w:rFonts w:ascii="Times New Roman" w:cs="Times New Roman" w:eastAsia="Times New Roman" w:hAnsi="Times New Roman"/>
          <w:sz w:val="14"/>
          <w:szCs w:val="14"/>
          <w:color w:val="FF0000"/>
          <w:strike w:val="1"/>
        </w:rPr>
        <w:t>146960219_6</w:t>
      </w:r>
    </w:p>
    <w:p>
      <w:pPr>
        <w:spacing w:after="0" w:line="4" w:lineRule="exact"/>
        <w:rPr>
          <w:sz w:val="20"/>
          <w:szCs w:val="20"/>
          <w:color w:val="auto"/>
        </w:rPr>
      </w:pPr>
    </w:p>
    <w:p>
      <w:pPr>
        <w:ind w:left="338" w:hanging="338"/>
        <w:spacing w:after="0"/>
        <w:tabs>
          <w:tab w:leader="none" w:pos="338" w:val="left"/>
        </w:tabs>
        <w:numPr>
          <w:ilvl w:val="0"/>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078"/>
          </w:cols>
          <w:pgMar w:left="382" w:top="1399" w:right="439" w:bottom="1440" w:gutter="0" w:footer="0" w:header="0"/>
        </w:sectPr>
      </w:pPr>
    </w:p>
    <w:bookmarkStart w:id="157" w:name="page158"/>
    <w:bookmarkEnd w:id="157"/>
    <w:p>
      <w:pPr>
        <w:ind w:left="38"/>
        <w:spacing w:after="0"/>
        <w:rPr>
          <w:sz w:val="20"/>
          <w:szCs w:val="20"/>
          <w:color w:val="auto"/>
        </w:rPr>
      </w:pPr>
      <w:r>
        <w:rPr>
          <w:rFonts w:ascii="Times New Roman" w:cs="Times New Roman" w:eastAsia="Times New Roman" w:hAnsi="Times New Roman"/>
          <w:sz w:val="20"/>
          <w:szCs w:val="20"/>
          <w:u w:val="single" w:color="auto"/>
          <w:color w:val="0000FF"/>
        </w:rPr>
        <w:t>at a rate per annum of two percent (2%) in excess of the rate (including the Applicable Margin) then applicable to SOFR Loans until the</w:t>
      </w:r>
    </w:p>
    <w:p>
      <w:pPr>
        <w:ind w:left="38"/>
        <w:spacing w:after="0" w:line="204" w:lineRule="auto"/>
        <w:rPr>
          <w:sz w:val="20"/>
          <w:szCs w:val="20"/>
          <w:color w:val="auto"/>
        </w:rPr>
      </w:pPr>
      <w:r>
        <w:rPr>
          <w:rFonts w:ascii="Times New Roman" w:cs="Times New Roman" w:eastAsia="Times New Roman" w:hAnsi="Times New Roman"/>
          <w:sz w:val="20"/>
          <w:szCs w:val="20"/>
          <w:u w:val="single" w:color="auto"/>
          <w:color w:val="0000FF"/>
        </w:rPr>
        <w:t>end of the applicable Interest Period and thereafter at a rate equal to two percent (2%) in excess of the rate (including the Applicable Margin) then applicable to Base Rate Loans, (D</w:t>
      </w:r>
      <w:r>
        <w:rPr>
          <w:rFonts w:ascii="Times New Roman" w:cs="Times New Roman" w:eastAsia="Times New Roman" w:hAnsi="Times New Roman"/>
          <w:sz w:val="20"/>
          <w:szCs w:val="20"/>
          <w:color w:val="000000"/>
        </w:rPr>
        <w:t>) all outstanding CDOR Rate Loans shall bear interest at a rate per annum of two percent</w:t>
      </w:r>
    </w:p>
    <w:p>
      <w:pPr>
        <w:ind w:left="38"/>
        <w:spacing w:after="0" w:line="211" w:lineRule="auto"/>
        <w:rPr>
          <w:sz w:val="20"/>
          <w:szCs w:val="20"/>
          <w:color w:val="auto"/>
        </w:rPr>
      </w:pPr>
      <w:r>
        <w:rPr>
          <w:rFonts w:ascii="Times New Roman" w:cs="Times New Roman" w:eastAsia="Times New Roman" w:hAnsi="Times New Roman"/>
          <w:sz w:val="20"/>
          <w:szCs w:val="20"/>
          <w:color w:val="auto"/>
        </w:rPr>
        <w:t>(2%) in excess of the rate (including the Applicable Margin) then applicable to CDOR Rate Loans until the end of the applicable Interest</w:t>
      </w:r>
    </w:p>
    <w:p>
      <w:pPr>
        <w:spacing w:after="0" w:line="1" w:lineRule="exact"/>
        <w:rPr>
          <w:sz w:val="20"/>
          <w:szCs w:val="20"/>
          <w:color w:val="auto"/>
        </w:rPr>
      </w:pPr>
    </w:p>
    <w:p>
      <w:pPr>
        <w:ind w:left="38"/>
        <w:spacing w:after="0" w:line="204" w:lineRule="auto"/>
        <w:rPr>
          <w:sz w:val="20"/>
          <w:szCs w:val="20"/>
          <w:color w:val="auto"/>
        </w:rPr>
      </w:pPr>
      <w:r>
        <w:rPr>
          <w:rFonts w:ascii="Times New Roman" w:cs="Times New Roman" w:eastAsia="Times New Roman" w:hAnsi="Times New Roman"/>
          <w:sz w:val="20"/>
          <w:szCs w:val="20"/>
          <w:color w:val="auto"/>
        </w:rPr>
        <w:t>Period and thereafter at a rate equal to two percent (2%) in excess of the rate (including the Applicable Margin) then applicable to Canadian Base Rate Loans, (</w:t>
      </w:r>
      <w:r>
        <w:rPr>
          <w:rFonts w:ascii="Times New Roman" w:cs="Times New Roman" w:eastAsia="Times New Roman" w:hAnsi="Times New Roman"/>
          <w:sz w:val="20"/>
          <w:szCs w:val="20"/>
          <w:color w:val="FF0000"/>
          <w:strike w:val="1"/>
        </w:rPr>
        <w:t>D</w:t>
      </w:r>
      <w:r>
        <w:rPr>
          <w:rFonts w:ascii="Times New Roman" w:cs="Times New Roman" w:eastAsia="Times New Roman" w:hAnsi="Times New Roman"/>
          <w:sz w:val="20"/>
          <w:szCs w:val="20"/>
          <w:u w:val="single" w:color="auto"/>
          <w:color w:val="0000FF"/>
        </w:rPr>
        <w:t>E</w:t>
      </w:r>
      <w:r>
        <w:rPr>
          <w:rFonts w:ascii="Times New Roman" w:cs="Times New Roman" w:eastAsia="Times New Roman" w:hAnsi="Times New Roman"/>
          <w:sz w:val="20"/>
          <w:szCs w:val="20"/>
          <w:color w:val="auto"/>
        </w:rPr>
        <w:t>) all outstanding Base Rate Loans and other US Obligations arising hereunder or under any other Loan</w:t>
      </w:r>
    </w:p>
    <w:p>
      <w:pPr>
        <w:ind w:left="38"/>
        <w:spacing w:after="0" w:line="211" w:lineRule="auto"/>
        <w:rPr>
          <w:sz w:val="20"/>
          <w:szCs w:val="20"/>
          <w:color w:val="auto"/>
        </w:rPr>
      </w:pPr>
      <w:r>
        <w:rPr>
          <w:rFonts w:ascii="Times New Roman" w:cs="Times New Roman" w:eastAsia="Times New Roman" w:hAnsi="Times New Roman"/>
          <w:sz w:val="20"/>
          <w:szCs w:val="20"/>
          <w:color w:val="auto"/>
        </w:rPr>
        <w:t>Document shall bear interest at a rate per annum equal to two percent (2%) in excess of the rate (including the Applicable Margin) then</w:t>
      </w:r>
    </w:p>
    <w:p>
      <w:pPr>
        <w:spacing w:after="0" w:line="1" w:lineRule="exact"/>
        <w:rPr>
          <w:sz w:val="20"/>
          <w:szCs w:val="20"/>
          <w:color w:val="auto"/>
        </w:rPr>
      </w:pPr>
    </w:p>
    <w:p>
      <w:pPr>
        <w:ind w:left="38"/>
        <w:spacing w:after="0" w:line="204" w:lineRule="auto"/>
        <w:rPr>
          <w:sz w:val="20"/>
          <w:szCs w:val="20"/>
          <w:color w:val="auto"/>
        </w:rPr>
      </w:pPr>
      <w:r>
        <w:rPr>
          <w:rFonts w:ascii="Times New Roman" w:cs="Times New Roman" w:eastAsia="Times New Roman" w:hAnsi="Times New Roman"/>
          <w:sz w:val="20"/>
          <w:szCs w:val="20"/>
          <w:color w:val="auto"/>
        </w:rPr>
        <w:t>applicable to Base Rate Loans or such other US Obligations arising hereunder or under any other Loan Document, (</w:t>
      </w:r>
      <w:r>
        <w:rPr>
          <w:rFonts w:ascii="Times New Roman" w:cs="Times New Roman" w:eastAsia="Times New Roman" w:hAnsi="Times New Roman"/>
          <w:sz w:val="20"/>
          <w:szCs w:val="20"/>
          <w:color w:val="FF0000"/>
          <w:strike w:val="1"/>
        </w:rPr>
        <w:t>E</w:t>
      </w:r>
      <w:r>
        <w:rPr>
          <w:rFonts w:ascii="Times New Roman" w:cs="Times New Roman" w:eastAsia="Times New Roman" w:hAnsi="Times New Roman"/>
          <w:sz w:val="20"/>
          <w:szCs w:val="20"/>
          <w:u w:val="single" w:color="auto"/>
          <w:color w:val="0000FF"/>
        </w:rPr>
        <w:t>F</w:t>
      </w:r>
      <w:r>
        <w:rPr>
          <w:rFonts w:ascii="Times New Roman" w:cs="Times New Roman" w:eastAsia="Times New Roman" w:hAnsi="Times New Roman"/>
          <w:sz w:val="20"/>
          <w:szCs w:val="20"/>
          <w:color w:val="auto"/>
        </w:rPr>
        <w:t>) all outstanding Canadian Base Rate Loans and other Canadian Obligations arising hereunder or under any other Loan Document shall bear interest at a</w:t>
      </w:r>
    </w:p>
    <w:p>
      <w:pPr>
        <w:ind w:left="38"/>
        <w:spacing w:after="0" w:line="211" w:lineRule="auto"/>
        <w:rPr>
          <w:sz w:val="20"/>
          <w:szCs w:val="20"/>
          <w:color w:val="auto"/>
        </w:rPr>
      </w:pPr>
      <w:r>
        <w:rPr>
          <w:rFonts w:ascii="Times New Roman" w:cs="Times New Roman" w:eastAsia="Times New Roman" w:hAnsi="Times New Roman"/>
          <w:sz w:val="20"/>
          <w:szCs w:val="20"/>
          <w:color w:val="auto"/>
        </w:rPr>
        <w:t>rate per annum equal to two percent (2%) in excess of the rate (including the Applicable Margin) then applicable to Canadian Base Rate</w:t>
      </w:r>
    </w:p>
    <w:p>
      <w:pPr>
        <w:spacing w:after="0" w:line="1" w:lineRule="exact"/>
        <w:rPr>
          <w:sz w:val="20"/>
          <w:szCs w:val="20"/>
          <w:color w:val="auto"/>
        </w:rPr>
      </w:pPr>
    </w:p>
    <w:p>
      <w:pPr>
        <w:ind w:left="38"/>
        <w:spacing w:after="0" w:line="204" w:lineRule="auto"/>
        <w:rPr>
          <w:sz w:val="20"/>
          <w:szCs w:val="20"/>
          <w:color w:val="auto"/>
        </w:rPr>
      </w:pPr>
      <w:r>
        <w:rPr>
          <w:rFonts w:ascii="Times New Roman" w:cs="Times New Roman" w:eastAsia="Times New Roman" w:hAnsi="Times New Roman"/>
          <w:sz w:val="20"/>
          <w:szCs w:val="20"/>
          <w:color w:val="auto"/>
        </w:rPr>
        <w:t>Loans or such other Canadian Obligations arising hereunder or under any other Loan Document, and (</w:t>
      </w:r>
      <w:r>
        <w:rPr>
          <w:rFonts w:ascii="Times New Roman" w:cs="Times New Roman" w:eastAsia="Times New Roman" w:hAnsi="Times New Roman"/>
          <w:sz w:val="20"/>
          <w:szCs w:val="20"/>
          <w:color w:val="FF0000"/>
          <w:strike w:val="1"/>
        </w:rPr>
        <w:t>F</w:t>
      </w:r>
      <w:r>
        <w:rPr>
          <w:rFonts w:ascii="Times New Roman" w:cs="Times New Roman" w:eastAsia="Times New Roman" w:hAnsi="Times New Roman"/>
          <w:sz w:val="20"/>
          <w:szCs w:val="20"/>
          <w:u w:val="single" w:color="auto"/>
          <w:color w:val="0000FF"/>
        </w:rPr>
        <w:t>G</w:t>
      </w:r>
      <w:r>
        <w:rPr>
          <w:rFonts w:ascii="Times New Roman" w:cs="Times New Roman" w:eastAsia="Times New Roman" w:hAnsi="Times New Roman"/>
          <w:sz w:val="20"/>
          <w:szCs w:val="20"/>
          <w:color w:val="auto"/>
        </w:rPr>
        <w:t>) all accrued and unpaid interest shall be due and payable on demand of the Administrative Agent. Interest shall continue to accrue on the Obligations after the filing by or</w:t>
      </w:r>
    </w:p>
    <w:p>
      <w:pPr>
        <w:spacing w:after="0" w:line="1" w:lineRule="exact"/>
        <w:rPr>
          <w:sz w:val="20"/>
          <w:szCs w:val="20"/>
          <w:color w:val="auto"/>
        </w:rPr>
      </w:pPr>
    </w:p>
    <w:p>
      <w:pPr>
        <w:ind w:left="38"/>
        <w:spacing w:after="0"/>
        <w:rPr>
          <w:sz w:val="20"/>
          <w:szCs w:val="20"/>
          <w:color w:val="auto"/>
        </w:rPr>
      </w:pPr>
      <w:r>
        <w:rPr>
          <w:rFonts w:ascii="Times New Roman" w:cs="Times New Roman" w:eastAsia="Times New Roman" w:hAnsi="Times New Roman"/>
          <w:sz w:val="20"/>
          <w:szCs w:val="20"/>
          <w:color w:val="auto"/>
        </w:rPr>
        <w:t>against any Borrower of any petition seeking any relief in bankruptcy or under any Debtor Relief Law.</w:t>
      </w:r>
    </w:p>
    <w:p>
      <w:pPr>
        <w:spacing w:after="0" w:line="194" w:lineRule="exact"/>
        <w:rPr>
          <w:sz w:val="20"/>
          <w:szCs w:val="20"/>
          <w:color w:val="auto"/>
        </w:rPr>
      </w:pPr>
    </w:p>
    <w:p>
      <w:pPr>
        <w:ind w:left="1318" w:hanging="634"/>
        <w:spacing w:after="0"/>
        <w:tabs>
          <w:tab w:leader="none" w:pos="1318" w:val="left"/>
        </w:tabs>
        <w:numPr>
          <w:ilvl w:val="0"/>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Interest Payment and Computation</w:t>
      </w:r>
      <w:r>
        <w:rPr>
          <w:rFonts w:ascii="Times New Roman" w:cs="Times New Roman" w:eastAsia="Times New Roman" w:hAnsi="Times New Roman"/>
          <w:sz w:val="20"/>
          <w:szCs w:val="20"/>
          <w:color w:val="auto"/>
        </w:rPr>
        <w:t>.</w:t>
      </w:r>
    </w:p>
    <w:p>
      <w:pPr>
        <w:spacing w:after="0" w:line="283" w:lineRule="exact"/>
        <w:rPr>
          <w:rFonts w:ascii="Times New Roman" w:cs="Times New Roman" w:eastAsia="Times New Roman" w:hAnsi="Times New Roman"/>
          <w:sz w:val="20"/>
          <w:szCs w:val="20"/>
          <w:color w:val="auto"/>
        </w:rPr>
      </w:pPr>
    </w:p>
    <w:p>
      <w:pPr>
        <w:jc w:val="both"/>
        <w:ind w:left="678" w:firstLine="654"/>
        <w:spacing w:after="0" w:line="211" w:lineRule="auto"/>
        <w:tabs>
          <w:tab w:leader="none" w:pos="1928" w:val="left"/>
        </w:tabs>
        <w:numPr>
          <w:ilvl w:val="1"/>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Interest on (A) each Base Rate Loan and each Canadian Base Rate Loan shall be due and payable in arrears on the last Business Day of each calendar quarter commencing December 31, 2021; (B) each US Swingline Loan and each Canadian Swingline Loan shall be due and payable in arrears on the last Business Day of each calendar quarter commencing December 31, 2021; and (C) each LIBOR Rate </w:t>
      </w:r>
      <w:r>
        <w:rPr>
          <w:rFonts w:ascii="Times New Roman" w:cs="Times New Roman" w:eastAsia="Times New Roman" w:hAnsi="Times New Roman"/>
          <w:sz w:val="20"/>
          <w:szCs w:val="20"/>
          <w:u w:val="single" w:color="auto"/>
          <w:color w:val="0000FF"/>
        </w:rPr>
        <w:t>Loan, SOFR</w:t>
      </w:r>
      <w:r>
        <w:rPr>
          <w:rFonts w:ascii="Times New Roman" w:cs="Times New Roman" w:eastAsia="Times New Roman" w:hAnsi="Times New Roman"/>
          <w:sz w:val="20"/>
          <w:szCs w:val="20"/>
          <w:color w:val="auto"/>
        </w:rPr>
        <w:t xml:space="preserve"> Loan and CDOR Rate Loan shall be due and payable on the last day of each Interest Period applicable thereto, and if such Interest Period extends over three (3) months, at the end of each three (3) month interval during such Interest Period</w:t>
      </w:r>
      <w:r>
        <w:rPr>
          <w:rFonts w:ascii="Times New Roman" w:cs="Times New Roman" w:eastAsia="Times New Roman" w:hAnsi="Times New Roman"/>
          <w:sz w:val="20"/>
          <w:szCs w:val="20"/>
          <w:color w:val="0000FF"/>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provided that (i) in the event of any repayment or prepayment of any SOFR Loan, accrued interest 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the principal amount repaid or prepaid shall be payable on the date of such repayment or prepayment and (ii) in the event of any conversion of any SOFR Loan prior to the end of the Interest Period therefor, accrued interest on such Loan shall be payable on the effective date of such conversion</w:t>
      </w:r>
      <w:r>
        <w:rPr>
          <w:rFonts w:ascii="Times New Roman" w:cs="Times New Roman" w:eastAsia="Times New Roman" w:hAnsi="Times New Roman"/>
          <w:sz w:val="20"/>
          <w:szCs w:val="20"/>
          <w:color w:val="000000"/>
        </w:rPr>
        <w:t>. All computations of interest for Base Rate Loans when the Base Rate is determined by the Prime</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Rate, all computations of interest for Canadian Base Rate Loans and all computations of interest for CDOR Rate Loans shall be made on the basis of a year of 365 or 366 days, as applicable, and actual days elapsed. All other computations of fees and interest provided hereunder shall be made on the basis of a 360-day year and actual days elapsed (which results in more fees or interest, as applicable, being paid than if computed on the basis of a 365/366-day year).</w:t>
      </w:r>
    </w:p>
    <w:p>
      <w:pPr>
        <w:spacing w:after="0" w:line="193" w:lineRule="exact"/>
        <w:rPr>
          <w:rFonts w:ascii="Times New Roman" w:cs="Times New Roman" w:eastAsia="Times New Roman" w:hAnsi="Times New Roman"/>
          <w:sz w:val="20"/>
          <w:szCs w:val="20"/>
          <w:color w:val="auto"/>
        </w:rPr>
      </w:pPr>
    </w:p>
    <w:p>
      <w:pPr>
        <w:jc w:val="both"/>
        <w:ind w:left="678" w:firstLine="654"/>
        <w:spacing w:after="0" w:line="220" w:lineRule="auto"/>
        <w:tabs>
          <w:tab w:leader="none" w:pos="1875" w:val="left"/>
        </w:tabs>
        <w:numPr>
          <w:ilvl w:val="1"/>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Whenever any amount is payable under this Agreement or any other Loan Document by the Canadian Borrowers as interest or as a fee which requires the calculation of an amount using a percentage per annum, each party to this Agreement acknowledges and agrees that such amount shall be calculated as of the date payment is due without application of the “deemed reinvestment principle” or the “effective yield method” (e.g., when interest is calculated and payable monthly, the rate of interest payable per month is 1/12 of the stated rate of interest per annum).</w:t>
      </w:r>
    </w:p>
    <w:p>
      <w:pPr>
        <w:spacing w:after="0" w:line="183" w:lineRule="exact"/>
        <w:rPr>
          <w:rFonts w:ascii="Times New Roman" w:cs="Times New Roman" w:eastAsia="Times New Roman" w:hAnsi="Times New Roman"/>
          <w:sz w:val="20"/>
          <w:szCs w:val="20"/>
          <w:color w:val="auto"/>
        </w:rPr>
      </w:pPr>
    </w:p>
    <w:p>
      <w:pPr>
        <w:jc w:val="both"/>
        <w:ind w:left="678" w:right="20" w:firstLine="653"/>
        <w:spacing w:after="0" w:line="239" w:lineRule="auto"/>
        <w:tabs>
          <w:tab w:leader="none" w:pos="1873" w:val="left"/>
        </w:tabs>
        <w:numPr>
          <w:ilvl w:val="1"/>
          <w:numId w:val="1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For the purposes of the </w:t>
      </w:r>
      <w:r>
        <w:rPr>
          <w:rFonts w:ascii="Times New Roman" w:cs="Times New Roman" w:eastAsia="Times New Roman" w:hAnsi="Times New Roman"/>
          <w:sz w:val="19"/>
          <w:szCs w:val="19"/>
          <w:i w:val="1"/>
          <w:iCs w:val="1"/>
          <w:color w:val="auto"/>
        </w:rPr>
        <w:t>Interest Act</w:t>
      </w:r>
      <w:r>
        <w:rPr>
          <w:rFonts w:ascii="Times New Roman" w:cs="Times New Roman" w:eastAsia="Times New Roman" w:hAnsi="Times New Roman"/>
          <w:sz w:val="19"/>
          <w:szCs w:val="19"/>
          <w:color w:val="auto"/>
        </w:rPr>
        <w:t xml:space="preserve"> (Canada) and disclosure under such Act, whenever interest to be paid under this Agreement or any other Loan Document is to be calculated on the basis of a year of 365 days or any other period of time that is less than a calendar year, the yearly rate of interest to which the rate determined pursuant to such calculation is equivalent is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1123315</wp:posOffset>
            </wp:positionH>
            <wp:positionV relativeFrom="paragraph">
              <wp:posOffset>-2917190</wp:posOffset>
            </wp:positionV>
            <wp:extent cx="3429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3429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38"/>
        <w:spacing w:after="0"/>
        <w:rPr>
          <w:sz w:val="20"/>
          <w:szCs w:val="20"/>
          <w:color w:val="auto"/>
        </w:rPr>
      </w:pPr>
      <w:r>
        <w:rPr>
          <w:rFonts w:ascii="Times New Roman" w:cs="Times New Roman" w:eastAsia="Times New Roman" w:hAnsi="Times New Roman"/>
          <w:sz w:val="14"/>
          <w:szCs w:val="14"/>
          <w:color w:val="FF0000"/>
          <w:strike w:val="1"/>
        </w:rPr>
        <w:t>146960219_6</w:t>
      </w:r>
    </w:p>
    <w:p>
      <w:pPr>
        <w:spacing w:after="0" w:line="4" w:lineRule="exact"/>
        <w:rPr>
          <w:sz w:val="20"/>
          <w:szCs w:val="20"/>
          <w:color w:val="auto"/>
        </w:rPr>
      </w:pPr>
    </w:p>
    <w:p>
      <w:pPr>
        <w:ind w:left="338" w:hanging="338"/>
        <w:spacing w:after="0"/>
        <w:tabs>
          <w:tab w:leader="none" w:pos="338" w:val="left"/>
        </w:tabs>
        <w:numPr>
          <w:ilvl w:val="0"/>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078"/>
          </w:cols>
          <w:pgMar w:left="382" w:top="1394" w:right="439" w:bottom="1440" w:gutter="0" w:footer="0" w:header="0"/>
        </w:sectPr>
      </w:pPr>
    </w:p>
    <w:bookmarkStart w:id="158" w:name="page159"/>
    <w:bookmarkEnd w:id="158"/>
    <w:p>
      <w:pPr>
        <w:spacing w:after="0" w:line="203" w:lineRule="exact"/>
        <w:rPr>
          <w:sz w:val="20"/>
          <w:szCs w:val="20"/>
          <w:color w:val="auto"/>
        </w:rPr>
      </w:pPr>
    </w:p>
    <w:p>
      <w:pPr>
        <w:ind w:left="678" w:right="100"/>
        <w:spacing w:after="0"/>
        <w:rPr>
          <w:sz w:val="20"/>
          <w:szCs w:val="20"/>
          <w:color w:val="auto"/>
        </w:rPr>
      </w:pPr>
      <w:r>
        <w:rPr>
          <w:rFonts w:ascii="Times New Roman" w:cs="Times New Roman" w:eastAsia="Times New Roman" w:hAnsi="Times New Roman"/>
          <w:sz w:val="20"/>
          <w:szCs w:val="20"/>
          <w:color w:val="auto"/>
        </w:rPr>
        <w:t>rate so determined multiplied by the actual number of days in the calendar year in which the same is to be ascertained and divided by either 365 or such other period of time, as the case may be.</w:t>
      </w:r>
    </w:p>
    <w:p>
      <w:pPr>
        <w:spacing w:after="0" w:line="188" w:lineRule="exact"/>
        <w:rPr>
          <w:sz w:val="20"/>
          <w:szCs w:val="20"/>
          <w:color w:val="auto"/>
        </w:rPr>
      </w:pPr>
    </w:p>
    <w:p>
      <w:pPr>
        <w:ind w:left="1318" w:hanging="634"/>
        <w:spacing w:after="0"/>
        <w:tabs>
          <w:tab w:leader="none" w:pos="1318" w:val="left"/>
        </w:tabs>
        <w:numPr>
          <w:ilvl w:val="0"/>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Maximum Rate</w:t>
      </w:r>
      <w:r>
        <w:rPr>
          <w:rFonts w:ascii="Times New Roman" w:cs="Times New Roman" w:eastAsia="Times New Roman" w:hAnsi="Times New Roman"/>
          <w:sz w:val="20"/>
          <w:szCs w:val="20"/>
          <w:color w:val="auto"/>
        </w:rPr>
        <w:t>.</w:t>
      </w:r>
    </w:p>
    <w:p>
      <w:pPr>
        <w:spacing w:after="0" w:line="283" w:lineRule="exact"/>
        <w:rPr>
          <w:rFonts w:ascii="Times New Roman" w:cs="Times New Roman" w:eastAsia="Times New Roman" w:hAnsi="Times New Roman"/>
          <w:sz w:val="20"/>
          <w:szCs w:val="20"/>
          <w:color w:val="auto"/>
        </w:rPr>
      </w:pPr>
    </w:p>
    <w:p>
      <w:pPr>
        <w:jc w:val="both"/>
        <w:ind w:left="678" w:firstLine="654"/>
        <w:spacing w:after="0" w:line="212" w:lineRule="auto"/>
        <w:tabs>
          <w:tab w:leader="none" w:pos="1873" w:val="left"/>
        </w:tabs>
        <w:numPr>
          <w:ilvl w:val="1"/>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no contingency or event whatsoever shall the aggregate of all amounts deemed interest under this Agreement charged or collected pursuant to the terms of this Agreement exceed the highest rate permissible under any Applicable Law which a court of competent jurisdiction shall, in a final determination, deem applicable hereto. In the event that such a court determines that the Lenders have charged or received interest hereunder in excess of the highest applicable rate, the rate in effect hereunder shall automatically be reduced to the maximum rate permitted by Applicable Law and the Lenders shall at the Administrative Agent’s option (A) promptly refund to the applicable Borrowers any interest received by the Lenders in excess of the maximum lawful rate or (B) apply such excess to the principal balance of the US Obligations or the Canadian Obligations, as applicable. It is the intent hereof that the Borrowers not pay or contract to pay, and that neither the Administrative Agent nor any Lender receive or contract to receive, directly or indirectly in any manner whatsoever, interest in excess of that which may be paid by the applicable Borrower under Applicable Law.</w:t>
      </w:r>
    </w:p>
    <w:p>
      <w:pPr>
        <w:spacing w:after="0" w:line="196" w:lineRule="exact"/>
        <w:rPr>
          <w:rFonts w:ascii="Times New Roman" w:cs="Times New Roman" w:eastAsia="Times New Roman" w:hAnsi="Times New Roman"/>
          <w:sz w:val="20"/>
          <w:szCs w:val="20"/>
          <w:color w:val="auto"/>
        </w:rPr>
      </w:pPr>
    </w:p>
    <w:p>
      <w:pPr>
        <w:jc w:val="both"/>
        <w:ind w:left="678" w:firstLine="654"/>
        <w:spacing w:after="0" w:line="210" w:lineRule="auto"/>
        <w:tabs>
          <w:tab w:leader="none" w:pos="1874" w:val="left"/>
        </w:tabs>
        <w:numPr>
          <w:ilvl w:val="1"/>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provision of this Agreement or of any of the other Loan Documents would obligate the Canadian Borrowers or any other Canadian Credit Party to make any payment of interest or other amount payable to any Lender, in an amount or calculated at a rate which would result in a receipt by such Lender of interest at a criminal rate (as such terms are construed under the Criminal Code (Canada)) then, notwithstanding such provisions, such amount or rate shall be deemed to have been adjusted with retroactive effect to the maximum amount or rate of interest, as the case may be, as would not be so prohibited by law or so result in a receipt by such Lender of interest at a criminal rate, such adjustment to be effected, to the extent necessary, as follows:</w:t>
      </w:r>
    </w:p>
    <w:p>
      <w:pPr>
        <w:spacing w:after="0" w:line="2" w:lineRule="exact"/>
        <w:rPr>
          <w:rFonts w:ascii="Times New Roman" w:cs="Times New Roman" w:eastAsia="Times New Roman" w:hAnsi="Times New Roman"/>
          <w:sz w:val="20"/>
          <w:szCs w:val="20"/>
          <w:color w:val="auto"/>
        </w:rPr>
      </w:pPr>
    </w:p>
    <w:p>
      <w:pPr>
        <w:jc w:val="both"/>
        <w:ind w:left="678"/>
        <w:spacing w:after="0" w:line="210"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firstly, by reducing the amount or rate of interest required to be paid to such Lender on Canadian Revolving Credit Loans or Canadian Swingline Loans, as applicable, and (B) thereafter, by reducing any fees, commissions, premiums and other amounts required to be paid to such Lender, which would constitute “interest” for purposes of Section 347 of the Criminal Code (Canada). Any amount or rate of interest referred to in this </w:t>
      </w:r>
      <w:r>
        <w:rPr>
          <w:rFonts w:ascii="Times New Roman" w:cs="Times New Roman" w:eastAsia="Times New Roman" w:hAnsi="Times New Roman"/>
          <w:sz w:val="20"/>
          <w:szCs w:val="20"/>
          <w:u w:val="single" w:color="auto"/>
          <w:color w:val="auto"/>
        </w:rPr>
        <w:t>Section 5.1</w:t>
      </w:r>
      <w:r>
        <w:rPr>
          <w:rFonts w:ascii="Times New Roman" w:cs="Times New Roman" w:eastAsia="Times New Roman" w:hAnsi="Times New Roman"/>
          <w:sz w:val="20"/>
          <w:szCs w:val="20"/>
          <w:color w:val="auto"/>
        </w:rPr>
        <w:t xml:space="preserve"> shall be determined in accordance with generally accepted actuarial practices and principles as an effective annual rate of interest over the term that the applicable Canadian Revolving Credit Loan or Canadian Swingline Loan remains outstanding on the assumption that any charges, fees or expenses that fall within the meaning of “interest” (as defined in the Criminal Code (Canada)) shall, if they relate to a specific period of time, be pro-rated over that period of time and otherwise be pro-rated over the period from the Closing Date to the date set out in clause (a) of the definition of “Revolving Credit Maturity Date” and, in the event of a dispute, a certificate of a Fellow of the Canadian Institute of Actuaries appointed by Administrative Agent shall be conclusive for the purposes of such determination.</w:t>
      </w:r>
    </w:p>
    <w:p>
      <w:pPr>
        <w:spacing w:after="0" w:line="193" w:lineRule="exact"/>
        <w:rPr>
          <w:rFonts w:ascii="Times New Roman" w:cs="Times New Roman" w:eastAsia="Times New Roman" w:hAnsi="Times New Roman"/>
          <w:sz w:val="20"/>
          <w:szCs w:val="20"/>
          <w:color w:val="auto"/>
        </w:rPr>
      </w:pPr>
    </w:p>
    <w:p>
      <w:pPr>
        <w:jc w:val="both"/>
        <w:ind w:left="38" w:firstLine="646"/>
        <w:spacing w:after="0" w:line="216" w:lineRule="auto"/>
        <w:tabs>
          <w:tab w:leader="none" w:pos="1243" w:val="left"/>
        </w:tabs>
        <w:numPr>
          <w:ilvl w:val="0"/>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0000FF"/>
        </w:rPr>
        <w:t>Term SOFR Benchmark Replacement Conforming Changes. In connection with the use or administration of Term SOFR, the Administrative Agent (in consultation with Centuri)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 The Administrative Agent will promptly notify the US Borrower and the Lenders of the effectiveness of any Benchmark Replacement Conforming Changes in connection with the use or administration of Term SOFR.</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38"/>
        <w:spacing w:after="0"/>
        <w:rPr>
          <w:sz w:val="20"/>
          <w:szCs w:val="20"/>
          <w:color w:val="auto"/>
        </w:rPr>
      </w:pPr>
      <w:r>
        <w:rPr>
          <w:rFonts w:ascii="Times New Roman" w:cs="Times New Roman" w:eastAsia="Times New Roman" w:hAnsi="Times New Roman"/>
          <w:sz w:val="14"/>
          <w:szCs w:val="14"/>
          <w:color w:val="FF0000"/>
          <w:strike w:val="1"/>
        </w:rPr>
        <w:t>146960219_6</w:t>
      </w:r>
    </w:p>
    <w:p>
      <w:pPr>
        <w:ind w:left="338" w:hanging="338"/>
        <w:spacing w:after="0" w:line="229" w:lineRule="auto"/>
        <w:tabs>
          <w:tab w:leader="none" w:pos="338"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078"/>
          </w:cols>
          <w:pgMar w:left="382" w:top="1440" w:right="439" w:bottom="1440" w:gutter="0" w:footer="0" w:header="0"/>
        </w:sectPr>
      </w:pPr>
    </w:p>
    <w:bookmarkStart w:id="159" w:name="page160"/>
    <w:bookmarkEnd w:id="159"/>
    <w:p>
      <w:pPr>
        <w:ind w:left="698"/>
        <w:spacing w:after="0"/>
        <w:tabs>
          <w:tab w:leader="none" w:pos="2018" w:val="left"/>
        </w:tabs>
        <w:rPr>
          <w:sz w:val="20"/>
          <w:szCs w:val="20"/>
          <w:color w:val="auto"/>
        </w:rPr>
      </w:pPr>
      <w:r>
        <w:rPr>
          <w:rFonts w:ascii="Times New Roman" w:cs="Times New Roman" w:eastAsia="Times New Roman" w:hAnsi="Times New Roman"/>
          <w:sz w:val="20"/>
          <w:szCs w:val="20"/>
          <w:color w:val="auto"/>
        </w:rPr>
        <w:t>SECTION 5.2</w:t>
      </w:r>
      <w:r>
        <w:rPr>
          <w:sz w:val="20"/>
          <w:szCs w:val="20"/>
          <w:color w:val="auto"/>
        </w:rPr>
        <w:tab/>
      </w:r>
      <w:r>
        <w:rPr>
          <w:rFonts w:ascii="Times New Roman" w:cs="Times New Roman" w:eastAsia="Times New Roman" w:hAnsi="Times New Roman"/>
          <w:sz w:val="19"/>
          <w:szCs w:val="19"/>
          <w:u w:val="single" w:color="auto"/>
          <w:color w:val="auto"/>
        </w:rPr>
        <w:t>Notice and Manner of Conversion or Continuation of Loans</w:t>
      </w:r>
    </w:p>
    <w:p>
      <w:pPr>
        <w:spacing w:after="0" w:line="283" w:lineRule="exact"/>
        <w:rPr>
          <w:sz w:val="20"/>
          <w:szCs w:val="20"/>
          <w:color w:val="auto"/>
        </w:rPr>
      </w:pPr>
    </w:p>
    <w:p>
      <w:pPr>
        <w:ind w:left="158" w:hanging="104"/>
        <w:spacing w:after="0"/>
        <w:tabs>
          <w:tab w:leader="none" w:pos="158" w:val="left"/>
        </w:tabs>
        <w:numPr>
          <w:ilvl w:val="0"/>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Provided that no Default or Event of Default has occurred and is then continuing:</w:t>
      </w:r>
    </w:p>
    <w:p>
      <w:pPr>
        <w:spacing w:after="0" w:line="215" w:lineRule="exact"/>
        <w:rPr>
          <w:rFonts w:ascii="Times New Roman" w:cs="Times New Roman" w:eastAsia="Times New Roman" w:hAnsi="Times New Roman"/>
          <w:sz w:val="20"/>
          <w:szCs w:val="20"/>
          <w:color w:val="auto"/>
        </w:rPr>
      </w:pPr>
    </w:p>
    <w:p>
      <w:pPr>
        <w:jc w:val="both"/>
        <w:ind w:left="58" w:firstLine="644"/>
        <w:spacing w:after="0" w:line="215" w:lineRule="auto"/>
        <w:tabs>
          <w:tab w:leader="none" w:pos="1237" w:val="left"/>
        </w:tabs>
        <w:numPr>
          <w:ilvl w:val="1"/>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US Borrowers shall have the option to (a) convert at any time all or any portion of any outstanding </w:t>
      </w:r>
      <w:r>
        <w:rPr>
          <w:rFonts w:ascii="Times New Roman" w:cs="Times New Roman" w:eastAsia="Times New Roman" w:hAnsi="Times New Roman"/>
          <w:sz w:val="20"/>
          <w:szCs w:val="20"/>
          <w:u w:val="single" w:color="auto"/>
          <w:color w:val="0000FF"/>
        </w:rPr>
        <w:t>Term Loans that are</w:t>
      </w:r>
      <w:r>
        <w:rPr>
          <w:rFonts w:ascii="Times New Roman" w:cs="Times New Roman" w:eastAsia="Times New Roman" w:hAnsi="Times New Roman"/>
          <w:sz w:val="20"/>
          <w:szCs w:val="20"/>
          <w:color w:val="auto"/>
        </w:rPr>
        <w:t xml:space="preserve"> Base Rate Loans </w:t>
      </w:r>
      <w:r>
        <w:rPr>
          <w:rFonts w:ascii="Times New Roman" w:cs="Times New Roman" w:eastAsia="Times New Roman" w:hAnsi="Times New Roman"/>
          <w:sz w:val="20"/>
          <w:szCs w:val="20"/>
          <w:color w:val="00C000"/>
          <w:strike w:val="1"/>
        </w:rPr>
        <w:t>(other than US Swingline Loans)</w:t>
      </w:r>
      <w:r>
        <w:rPr>
          <w:rFonts w:ascii="Times New Roman" w:cs="Times New Roman" w:eastAsia="Times New Roman" w:hAnsi="Times New Roman"/>
          <w:sz w:val="20"/>
          <w:szCs w:val="20"/>
          <w:color w:val="auto"/>
        </w:rPr>
        <w:t xml:space="preserve"> in a principal amount equal to $3,000,000 or any whole multiple of $500,000 in excess thereof into one or more LIBOR Rate Loans</w:t>
      </w:r>
      <w:r>
        <w:rPr>
          <w:rFonts w:ascii="Times New Roman" w:cs="Times New Roman" w:eastAsia="Times New Roman" w:hAnsi="Times New Roman"/>
          <w:sz w:val="20"/>
          <w:szCs w:val="20"/>
          <w:u w:val="single" w:color="auto"/>
          <w:color w:val="0000FF"/>
        </w:rPr>
        <w:t>, (b) convert at any time all or any portion of any outstanding Revolving Credit Loans that are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Base</w:t>
      </w:r>
      <w:r>
        <w:rPr>
          <w:rFonts w:ascii="Times New Roman" w:cs="Times New Roman" w:eastAsia="Times New Roman" w:hAnsi="Times New Roman"/>
          <w:sz w:val="20"/>
          <w:szCs w:val="20"/>
          <w:color w:val="0000FF"/>
        </w:rPr>
        <w:t xml:space="preserve"> Rate Loans </w:t>
      </w:r>
      <w:r>
        <w:rPr>
          <w:rFonts w:ascii="Times New Roman" w:cs="Times New Roman" w:eastAsia="Times New Roman" w:hAnsi="Times New Roman"/>
          <w:sz w:val="20"/>
          <w:szCs w:val="20"/>
          <w:color w:val="00C000"/>
        </w:rPr>
        <w:t>(other than US Swingline Loans)</w:t>
      </w:r>
      <w:r>
        <w:rPr>
          <w:rFonts w:ascii="Times New Roman" w:cs="Times New Roman" w:eastAsia="Times New Roman" w:hAnsi="Times New Roman"/>
          <w:sz w:val="20"/>
          <w:szCs w:val="20"/>
          <w:color w:val="0000FF"/>
        </w:rPr>
        <w:t xml:space="preserve"> in a principal amount equal to $3,000,000 or any whole </w:t>
      </w:r>
      <w:r>
        <w:rPr>
          <w:rFonts w:ascii="Times New Roman" w:cs="Times New Roman" w:eastAsia="Times New Roman" w:hAnsi="Times New Roman"/>
          <w:sz w:val="20"/>
          <w:szCs w:val="20"/>
          <w:u w:val="single" w:color="auto"/>
          <w:color w:val="0000FF"/>
        </w:rPr>
        <w:t>multiple of $500,000 in excess</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u w:val="single" w:color="auto"/>
          <w:color w:val="0000FF"/>
        </w:rPr>
        <w:t>thereof into one or more SOFR Loans,</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and (</w:t>
      </w:r>
      <w:r>
        <w:rPr>
          <w:rFonts w:ascii="Times New Roman" w:cs="Times New Roman" w:eastAsia="Times New Roman" w:hAnsi="Times New Roman"/>
          <w:sz w:val="20"/>
          <w:szCs w:val="20"/>
          <w:color w:val="FF0000"/>
          <w:strike w:val="1"/>
        </w:rPr>
        <w:t>b</w:t>
      </w:r>
      <w:r>
        <w:rPr>
          <w:rFonts w:ascii="Times New Roman" w:cs="Times New Roman" w:eastAsia="Times New Roman" w:hAnsi="Times New Roman"/>
          <w:sz w:val="20"/>
          <w:szCs w:val="20"/>
          <w:u w:val="single" w:color="auto"/>
          <w:color w:val="0000FF"/>
        </w:rPr>
        <w:t>c</w:t>
      </w:r>
      <w:r>
        <w:rPr>
          <w:rFonts w:ascii="Times New Roman" w:cs="Times New Roman" w:eastAsia="Times New Roman" w:hAnsi="Times New Roman"/>
          <w:sz w:val="20"/>
          <w:szCs w:val="20"/>
          <w:color w:val="000000"/>
        </w:rPr>
        <w:t>) upon the expiration of any Interest Period, (i) convert all or any part of its outstanding</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 xml:space="preserve">LIBOR Rate Loans </w:t>
      </w:r>
      <w:r>
        <w:rPr>
          <w:rFonts w:ascii="Times New Roman" w:cs="Times New Roman" w:eastAsia="Times New Roman" w:hAnsi="Times New Roman"/>
          <w:sz w:val="20"/>
          <w:szCs w:val="20"/>
          <w:u w:val="single" w:color="auto"/>
          <w:color w:val="0000FF"/>
        </w:rPr>
        <w:t>or SOFR Loans</w:t>
      </w:r>
      <w:r>
        <w:rPr>
          <w:rFonts w:ascii="Times New Roman" w:cs="Times New Roman" w:eastAsia="Times New Roman" w:hAnsi="Times New Roman"/>
          <w:sz w:val="20"/>
          <w:szCs w:val="20"/>
          <w:color w:val="000000"/>
        </w:rPr>
        <w:t xml:space="preserve"> in a principal amount equal to $1,000,000 or a whole multiple of $100,000 in excess thereof into Base Rate Loans (other than Swingline Loans) </w:t>
      </w:r>
      <w:r>
        <w:rPr>
          <w:rFonts w:ascii="Times New Roman" w:cs="Times New Roman" w:eastAsia="Times New Roman" w:hAnsi="Times New Roman"/>
          <w:sz w:val="20"/>
          <w:szCs w:val="20"/>
          <w:color w:val="FF0000"/>
          <w:strike w:val="1"/>
        </w:rPr>
        <w:t>or</w:t>
      </w:r>
      <w:r>
        <w:rPr>
          <w:rFonts w:ascii="Times New Roman" w:cs="Times New Roman" w:eastAsia="Times New Roman" w:hAnsi="Times New Roman"/>
          <w:sz w:val="20"/>
          <w:szCs w:val="20"/>
          <w:color w:val="0000FF"/>
        </w:rPr>
        <w:t>,</w:t>
      </w:r>
      <w:r>
        <w:rPr>
          <w:rFonts w:ascii="Times New Roman" w:cs="Times New Roman" w:eastAsia="Times New Roman" w:hAnsi="Times New Roman"/>
          <w:sz w:val="20"/>
          <w:szCs w:val="20"/>
          <w:color w:val="000000"/>
        </w:rPr>
        <w:t xml:space="preserve"> (ii) continue such LIBOR Rate Loans as LIBOR Rate Loans </w:t>
      </w:r>
      <w:r>
        <w:rPr>
          <w:rFonts w:ascii="Times New Roman" w:cs="Times New Roman" w:eastAsia="Times New Roman" w:hAnsi="Times New Roman"/>
          <w:sz w:val="20"/>
          <w:szCs w:val="20"/>
          <w:u w:val="single" w:color="auto"/>
          <w:color w:val="0000FF"/>
        </w:rPr>
        <w:t>or (iii) continue such SOFR</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00FF"/>
        </w:rPr>
        <w:t>Loans as SOFR Loans</w:t>
      </w:r>
      <w:r>
        <w:rPr>
          <w:rFonts w:ascii="Times New Roman" w:cs="Times New Roman" w:eastAsia="Times New Roman" w:hAnsi="Times New Roman"/>
          <w:sz w:val="20"/>
          <w:szCs w:val="20"/>
          <w:color w:val="000000"/>
        </w:rPr>
        <w:t>; and</w:t>
      </w:r>
    </w:p>
    <w:p>
      <w:pPr>
        <w:spacing w:after="0" w:line="255" w:lineRule="exact"/>
        <w:rPr>
          <w:rFonts w:ascii="Times New Roman" w:cs="Times New Roman" w:eastAsia="Times New Roman" w:hAnsi="Times New Roman"/>
          <w:sz w:val="20"/>
          <w:szCs w:val="20"/>
          <w:color w:val="auto"/>
        </w:rPr>
      </w:pPr>
    </w:p>
    <w:p>
      <w:pPr>
        <w:jc w:val="both"/>
        <w:ind w:left="58" w:firstLine="644"/>
        <w:spacing w:after="0" w:line="210" w:lineRule="auto"/>
        <w:tabs>
          <w:tab w:leader="none" w:pos="1235" w:val="left"/>
        </w:tabs>
        <w:numPr>
          <w:ilvl w:val="1"/>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Canadian Borrowers shall have the option to (a) convert at any time all or any portion of any outstanding Canadian Base Rate Loans (other than Canadian Swingline Loans) in a principal amount equal to C$1,000,000 or any whole multiple of C$100,000 in excess thereof into one or more CDOR Rate Loans and (b) upon the expiration of any Interest Period for such CDOR Rate Loans, (i) convert all or any part of its outstanding CDOR Rate Loans in a principal amount equal to C$1,000,000 or a whole multiple of C$100,000 in excess thereof into Canadian Base Rate Loans (other than Canadian Swingline Loans) or</w:t>
      </w:r>
    </w:p>
    <w:p>
      <w:pPr>
        <w:spacing w:after="0" w:line="1" w:lineRule="exact"/>
        <w:rPr>
          <w:rFonts w:ascii="Times New Roman" w:cs="Times New Roman" w:eastAsia="Times New Roman" w:hAnsi="Times New Roman"/>
          <w:sz w:val="20"/>
          <w:szCs w:val="20"/>
          <w:color w:val="auto"/>
        </w:rPr>
      </w:pPr>
    </w:p>
    <w:p>
      <w:pPr>
        <w:ind w:left="58"/>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(ii) continue such CDOR Rate Loans as CDOR Rate Loans.</w:t>
      </w:r>
    </w:p>
    <w:p>
      <w:pPr>
        <w:spacing w:after="0" w:line="194" w:lineRule="exact"/>
        <w:rPr>
          <w:sz w:val="20"/>
          <w:szCs w:val="20"/>
          <w:color w:val="auto"/>
        </w:rPr>
      </w:pPr>
    </w:p>
    <w:p>
      <w:pPr>
        <w:ind w:left="58" w:right="20"/>
        <w:spacing w:after="0" w:line="222" w:lineRule="auto"/>
        <w:rPr>
          <w:sz w:val="20"/>
          <w:szCs w:val="20"/>
          <w:color w:val="auto"/>
        </w:rPr>
      </w:pPr>
      <w:r>
        <w:rPr>
          <w:rFonts w:ascii="Times New Roman" w:cs="Times New Roman" w:eastAsia="Times New Roman" w:hAnsi="Times New Roman"/>
          <w:sz w:val="20"/>
          <w:szCs w:val="20"/>
          <w:color w:val="auto"/>
        </w:rPr>
        <w:t xml:space="preserve">Whenever any Borrower desires to convert or continue Loans as provided above, such Borrower shall give the Administrative Agent irrevocable prior written notice in the form attached as </w:t>
      </w:r>
      <w:r>
        <w:rPr>
          <w:rFonts w:ascii="Times New Roman" w:cs="Times New Roman" w:eastAsia="Times New Roman" w:hAnsi="Times New Roman"/>
          <w:sz w:val="20"/>
          <w:szCs w:val="20"/>
          <w:b w:val="1"/>
          <w:bCs w:val="1"/>
          <w:i w:val="1"/>
          <w:iCs w:val="1"/>
          <w:color w:val="auto"/>
        </w:rPr>
        <w:t>Exhibit E</w:t>
      </w:r>
      <w:r>
        <w:rPr>
          <w:rFonts w:ascii="Times New Roman" w:cs="Times New Roman" w:eastAsia="Times New Roman" w:hAnsi="Times New Roman"/>
          <w:sz w:val="20"/>
          <w:szCs w:val="20"/>
          <w:color w:val="auto"/>
        </w:rPr>
        <w:t xml:space="preserve"> (a “</w:t>
      </w:r>
      <w:r>
        <w:rPr>
          <w:rFonts w:ascii="Times New Roman" w:cs="Times New Roman" w:eastAsia="Times New Roman" w:hAnsi="Times New Roman"/>
          <w:sz w:val="20"/>
          <w:szCs w:val="20"/>
          <w:u w:val="single" w:color="auto"/>
          <w:color w:val="auto"/>
        </w:rPr>
        <w:t>Notice of Conversion/Continuation</w:t>
      </w:r>
      <w:r>
        <w:rPr>
          <w:rFonts w:ascii="Times New Roman" w:cs="Times New Roman" w:eastAsia="Times New Roman" w:hAnsi="Times New Roman"/>
          <w:sz w:val="20"/>
          <w:szCs w:val="20"/>
          <w:color w:val="auto"/>
        </w:rPr>
        <w:t>”) not later than 11:00 a.m. three</w:t>
      </w:r>
    </w:p>
    <w:p>
      <w:pPr>
        <w:spacing w:after="0" w:line="2" w:lineRule="exact"/>
        <w:rPr>
          <w:sz w:val="20"/>
          <w:szCs w:val="20"/>
          <w:color w:val="auto"/>
        </w:rPr>
      </w:pPr>
    </w:p>
    <w:p>
      <w:pPr>
        <w:jc w:val="both"/>
        <w:ind w:left="58" w:hanging="5"/>
        <w:spacing w:after="0" w:line="206" w:lineRule="auto"/>
        <w:tabs>
          <w:tab w:leader="none" w:pos="386" w:val="left"/>
        </w:tabs>
        <w:numPr>
          <w:ilvl w:val="0"/>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Business Days before (</w:t>
      </w:r>
      <w:r>
        <w:rPr>
          <w:rFonts w:ascii="Times New Roman" w:cs="Times New Roman" w:eastAsia="Times New Roman" w:hAnsi="Times New Roman"/>
          <w:sz w:val="20"/>
          <w:szCs w:val="20"/>
          <w:u w:val="single" w:color="auto"/>
          <w:color w:val="0000FF"/>
        </w:rPr>
        <w:t>or three (3) US Government Securities Business Days before the day of a proposed conversion to or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continuation of SOFR Loans</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or four (4) Business Days before the day of a proposed conversion to or continuation of CDOR Rate Loans)</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the day on which a proposed conversion or continuation of such Loan is to be effective specifying</w:t>
      </w:r>
    </w:p>
    <w:p>
      <w:pPr>
        <w:spacing w:after="0" w:line="1" w:lineRule="exact"/>
        <w:rPr>
          <w:rFonts w:ascii="Times New Roman" w:cs="Times New Roman" w:eastAsia="Times New Roman" w:hAnsi="Times New Roman"/>
          <w:sz w:val="20"/>
          <w:szCs w:val="20"/>
          <w:color w:val="auto"/>
        </w:rPr>
      </w:pPr>
    </w:p>
    <w:p>
      <w:pPr>
        <w:jc w:val="both"/>
        <w:ind w:left="58" w:hanging="4"/>
        <w:spacing w:after="0" w:line="209" w:lineRule="auto"/>
        <w:tabs>
          <w:tab w:leader="none" w:pos="643" w:val="left"/>
        </w:tabs>
        <w:numPr>
          <w:ilvl w:val="1"/>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Loans to be converted or continued, and, in the case of any LIBOR Rate Loan</w:t>
      </w:r>
      <w:r>
        <w:rPr>
          <w:rFonts w:ascii="Times New Roman" w:cs="Times New Roman" w:eastAsia="Times New Roman" w:hAnsi="Times New Roman"/>
          <w:sz w:val="20"/>
          <w:szCs w:val="20"/>
          <w:u w:val="single" w:color="auto"/>
          <w:color w:val="0000FF"/>
        </w:rPr>
        <w:t>, SOFR Loan</w:t>
      </w:r>
      <w:r>
        <w:rPr>
          <w:rFonts w:ascii="Times New Roman" w:cs="Times New Roman" w:eastAsia="Times New Roman" w:hAnsi="Times New Roman"/>
          <w:sz w:val="20"/>
          <w:szCs w:val="20"/>
          <w:color w:val="auto"/>
        </w:rPr>
        <w:t xml:space="preserve"> or CDOR Rate Loan to be converted or continued, the last day of the Interest Period therefor, (B) the effective date of such conversion or continuation (which shall be a Business Day), (C) the principal amount of such Loans to be converted or continued, and (D) the Interest Period to be applicable to such converted or continued LIBOR Rate Loan</w:t>
      </w:r>
      <w:r>
        <w:rPr>
          <w:rFonts w:ascii="Times New Roman" w:cs="Times New Roman" w:eastAsia="Times New Roman" w:hAnsi="Times New Roman"/>
          <w:sz w:val="20"/>
          <w:szCs w:val="20"/>
          <w:u w:val="single" w:color="auto"/>
          <w:color w:val="0000FF"/>
        </w:rPr>
        <w:t>, SOFR Loan</w:t>
      </w:r>
      <w:r>
        <w:rPr>
          <w:rFonts w:ascii="Times New Roman" w:cs="Times New Roman" w:eastAsia="Times New Roman" w:hAnsi="Times New Roman"/>
          <w:sz w:val="20"/>
          <w:szCs w:val="20"/>
          <w:color w:val="auto"/>
        </w:rPr>
        <w:t xml:space="preserve"> or CDOR Rate Loan. If the applicable Borrower fails to give a timely Notice of Conversion/Continuation prior to the end of the Interest Period for any LIBOR Rate Loan</w:t>
      </w:r>
      <w:r>
        <w:rPr>
          <w:rFonts w:ascii="Times New Roman" w:cs="Times New Roman" w:eastAsia="Times New Roman" w:hAnsi="Times New Roman"/>
          <w:sz w:val="20"/>
          <w:szCs w:val="20"/>
          <w:color w:val="0000FF"/>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SOFR Loan</w:t>
      </w:r>
      <w:r>
        <w:rPr>
          <w:rFonts w:ascii="Times New Roman" w:cs="Times New Roman" w:eastAsia="Times New Roman" w:hAnsi="Times New Roman"/>
          <w:sz w:val="20"/>
          <w:szCs w:val="20"/>
          <w:color w:val="auto"/>
        </w:rPr>
        <w:t xml:space="preserve"> or CDOR Rate Loan, then the applicable LIBOR Rate Loan</w:t>
      </w:r>
      <w:r>
        <w:rPr>
          <w:rFonts w:ascii="Times New Roman" w:cs="Times New Roman" w:eastAsia="Times New Roman" w:hAnsi="Times New Roman"/>
          <w:sz w:val="20"/>
          <w:szCs w:val="20"/>
          <w:u w:val="single" w:color="auto"/>
          <w:color w:val="0000FF"/>
        </w:rPr>
        <w:t>, SOFR Loan</w:t>
      </w:r>
      <w:r>
        <w:rPr>
          <w:rFonts w:ascii="Times New Roman" w:cs="Times New Roman" w:eastAsia="Times New Roman" w:hAnsi="Times New Roman"/>
          <w:sz w:val="20"/>
          <w:szCs w:val="20"/>
          <w:color w:val="auto"/>
        </w:rPr>
        <w:t xml:space="preserve"> or CDOR Rate Loan shall automatically continue as a LIBOR Rate Loan</w:t>
      </w:r>
      <w:r>
        <w:rPr>
          <w:rFonts w:ascii="Times New Roman" w:cs="Times New Roman" w:eastAsia="Times New Roman" w:hAnsi="Times New Roman"/>
          <w:sz w:val="20"/>
          <w:szCs w:val="20"/>
          <w:u w:val="single" w:color="auto"/>
          <w:color w:val="0000FF"/>
        </w:rPr>
        <w:t>, SOFR Loan</w:t>
      </w:r>
      <w:r>
        <w:rPr>
          <w:rFonts w:ascii="Times New Roman" w:cs="Times New Roman" w:eastAsia="Times New Roman" w:hAnsi="Times New Roman"/>
          <w:sz w:val="20"/>
          <w:szCs w:val="20"/>
          <w:color w:val="auto"/>
        </w:rPr>
        <w:t xml:space="preserve"> or CDOR Rate Loan (in each case having the same Interest Period as the then expiring Interest Period), as applicable. Any such automatic continuation shall be effective as of the last day of the Interest Period then in effect with respect to the applicable LIBOR Rate Loan</w:t>
      </w:r>
      <w:r>
        <w:rPr>
          <w:rFonts w:ascii="Times New Roman" w:cs="Times New Roman" w:eastAsia="Times New Roman" w:hAnsi="Times New Roman"/>
          <w:sz w:val="20"/>
          <w:szCs w:val="20"/>
          <w:u w:val="single" w:color="auto"/>
          <w:color w:val="0000FF"/>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SOFR Loan</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or CDOR Rate Loan. If the applicable Borrower requests a conversion to, or continuation of, LIBOR Rate Loans</w:t>
      </w:r>
      <w:r>
        <w:rPr>
          <w:rFonts w:ascii="Times New Roman" w:cs="Times New Roman" w:eastAsia="Times New Roman" w:hAnsi="Times New Roman"/>
          <w:sz w:val="20"/>
          <w:szCs w:val="20"/>
          <w:u w:val="single" w:color="auto"/>
          <w:color w:val="0000FF"/>
        </w:rPr>
        <w:t>, SOFR</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u w:val="single" w:color="auto"/>
          <w:color w:val="0000FF"/>
        </w:rPr>
        <w:t>Loans</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or CDOR Rate Loans, but fails to specify an Interest Period, it will be deemed to have specified an Interest Period of one month in</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the case of a conversion and an Interest Period that is the same as the then expiring Interest Period in the case of a continuation. Notwithstanding anything to the contrary herein, a Swingline Loan may not be converted to a LIBOR Rate Loan</w:t>
      </w:r>
      <w:r>
        <w:rPr>
          <w:rFonts w:ascii="Times New Roman" w:cs="Times New Roman" w:eastAsia="Times New Roman" w:hAnsi="Times New Roman"/>
          <w:sz w:val="20"/>
          <w:szCs w:val="20"/>
          <w:u w:val="single" w:color="auto"/>
          <w:color w:val="0000FF"/>
        </w:rPr>
        <w:t>, SOFR Loan</w:t>
      </w:r>
      <w:r>
        <w:rPr>
          <w:rFonts w:ascii="Times New Roman" w:cs="Times New Roman" w:eastAsia="Times New Roman" w:hAnsi="Times New Roman"/>
          <w:sz w:val="20"/>
          <w:szCs w:val="20"/>
          <w:color w:val="000000"/>
        </w:rPr>
        <w:t xml:space="preserve"> or CDOR Rate Loan. The Administrative Agent shall promptly notify the affected Lenders of such Notice of Conversion/Continuation.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-1591945</wp:posOffset>
            </wp:positionV>
            <wp:extent cx="3429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3429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38"/>
        <w:spacing w:after="0"/>
        <w:rPr>
          <w:sz w:val="20"/>
          <w:szCs w:val="20"/>
          <w:color w:val="auto"/>
        </w:rPr>
      </w:pPr>
      <w:r>
        <w:rPr>
          <w:rFonts w:ascii="Times New Roman" w:cs="Times New Roman" w:eastAsia="Times New Roman" w:hAnsi="Times New Roman"/>
          <w:sz w:val="14"/>
          <w:szCs w:val="14"/>
          <w:color w:val="FF0000"/>
          <w:strike w:val="1"/>
        </w:rPr>
        <w:t>146960219_6</w:t>
      </w:r>
    </w:p>
    <w:p>
      <w:pPr>
        <w:spacing w:after="0" w:line="4" w:lineRule="exact"/>
        <w:rPr>
          <w:sz w:val="20"/>
          <w:szCs w:val="20"/>
          <w:color w:val="auto"/>
        </w:rPr>
      </w:pPr>
    </w:p>
    <w:p>
      <w:pPr>
        <w:ind w:left="338" w:hanging="338"/>
        <w:spacing w:after="0"/>
        <w:tabs>
          <w:tab w:leader="none" w:pos="338"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078"/>
          </w:cols>
          <w:pgMar w:left="382" w:top="1399" w:right="439" w:bottom="1440" w:gutter="0" w:footer="0" w:header="0"/>
        </w:sectPr>
      </w:pPr>
    </w:p>
    <w:bookmarkStart w:id="160" w:name="page161"/>
    <w:bookmarkEnd w:id="160"/>
    <w:p>
      <w:pPr>
        <w:spacing w:after="0" w:line="203" w:lineRule="exact"/>
        <w:rPr>
          <w:sz w:val="20"/>
          <w:szCs w:val="20"/>
          <w:color w:val="auto"/>
        </w:rPr>
      </w:pPr>
    </w:p>
    <w:p>
      <w:pPr>
        <w:ind w:left="698"/>
        <w:spacing w:after="0"/>
        <w:tabs>
          <w:tab w:leader="none" w:pos="2018" w:val="left"/>
        </w:tabs>
        <w:rPr>
          <w:sz w:val="20"/>
          <w:szCs w:val="20"/>
          <w:color w:val="auto"/>
        </w:rPr>
      </w:pPr>
      <w:r>
        <w:rPr>
          <w:rFonts w:ascii="Times New Roman" w:cs="Times New Roman" w:eastAsia="Times New Roman" w:hAnsi="Times New Roman"/>
          <w:sz w:val="20"/>
          <w:szCs w:val="20"/>
          <w:color w:val="auto"/>
        </w:rPr>
        <w:t>SECTION 5.3</w:t>
      </w:r>
      <w:r>
        <w:rPr>
          <w:sz w:val="20"/>
          <w:szCs w:val="20"/>
          <w:color w:val="auto"/>
        </w:rPr>
        <w:tab/>
      </w:r>
      <w:r>
        <w:rPr>
          <w:rFonts w:ascii="Times New Roman" w:cs="Times New Roman" w:eastAsia="Times New Roman" w:hAnsi="Times New Roman"/>
          <w:sz w:val="19"/>
          <w:szCs w:val="19"/>
          <w:u w:val="single" w:color="auto"/>
          <w:color w:val="auto"/>
        </w:rPr>
        <w:t>Fees</w:t>
      </w:r>
      <w:r>
        <w:rPr>
          <w:rFonts w:ascii="Times New Roman" w:cs="Times New Roman" w:eastAsia="Times New Roman" w:hAnsi="Times New Roman"/>
          <w:sz w:val="19"/>
          <w:szCs w:val="19"/>
          <w:color w:val="auto"/>
        </w:rPr>
        <w:t>.</w:t>
      </w:r>
    </w:p>
    <w:p>
      <w:pPr>
        <w:spacing w:after="0" w:line="283" w:lineRule="exact"/>
        <w:rPr>
          <w:sz w:val="20"/>
          <w:szCs w:val="20"/>
          <w:color w:val="auto"/>
        </w:rPr>
      </w:pPr>
    </w:p>
    <w:p>
      <w:pPr>
        <w:jc w:val="both"/>
        <w:ind w:left="58" w:firstLine="644"/>
        <w:spacing w:after="0" w:line="211" w:lineRule="auto"/>
        <w:tabs>
          <w:tab w:leader="none" w:pos="1236" w:val="left"/>
        </w:tabs>
        <w:numPr>
          <w:ilvl w:val="0"/>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Commitment Fee</w:t>
      </w:r>
      <w:r>
        <w:rPr>
          <w:rFonts w:ascii="Times New Roman" w:cs="Times New Roman" w:eastAsia="Times New Roman" w:hAnsi="Times New Roman"/>
          <w:sz w:val="20"/>
          <w:szCs w:val="20"/>
          <w:color w:val="auto"/>
        </w:rPr>
        <w:t xml:space="preserve">. Commencing on the Closing Date, subject to </w:t>
      </w:r>
      <w:r>
        <w:rPr>
          <w:rFonts w:ascii="Times New Roman" w:cs="Times New Roman" w:eastAsia="Times New Roman" w:hAnsi="Times New Roman"/>
          <w:sz w:val="20"/>
          <w:szCs w:val="20"/>
          <w:u w:val="single" w:color="auto"/>
          <w:color w:val="auto"/>
        </w:rPr>
        <w:t>Section 5.15(a)(iii)(A)</w:t>
      </w:r>
      <w:r>
        <w:rPr>
          <w:rFonts w:ascii="Times New Roman" w:cs="Times New Roman" w:eastAsia="Times New Roman" w:hAnsi="Times New Roman"/>
          <w:sz w:val="20"/>
          <w:szCs w:val="20"/>
          <w:color w:val="auto"/>
        </w:rPr>
        <w:t>, the US Borrowers shall pay to the Administrative Agent, for the account of the Revolving Credit Lenders, a non-refundable commitment fee (the “</w:t>
      </w:r>
      <w:r>
        <w:rPr>
          <w:rFonts w:ascii="Times New Roman" w:cs="Times New Roman" w:eastAsia="Times New Roman" w:hAnsi="Times New Roman"/>
          <w:sz w:val="20"/>
          <w:szCs w:val="20"/>
          <w:u w:val="single" w:color="auto"/>
          <w:color w:val="auto"/>
        </w:rPr>
        <w:t>Commitment Fee</w:t>
      </w:r>
      <w:r>
        <w:rPr>
          <w:rFonts w:ascii="Times New Roman" w:cs="Times New Roman" w:eastAsia="Times New Roman" w:hAnsi="Times New Roman"/>
          <w:sz w:val="20"/>
          <w:szCs w:val="20"/>
          <w:color w:val="auto"/>
        </w:rPr>
        <w:t xml:space="preserve">”) at a rate per annum equal to the Applicable Margin on the average daily unused portion of the Revolving Credit Commitment of the Revolving Credit Lenders (other than the Defaulting Lenders, if any);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amount of outstanding Swingline Loans shall not be considered usage of the Revolving Credit Commitment for the purpose of calculating the Commitment Fee. The Commitment Fee shall be payable in arrears on the last Business Day of each calendar quarter during the term of this Agreement commencing December 31, 2021 and ending on the date upon which all Obligations (other than contingent indemnification obligations not then due) arising under the Revolving Credit Facility shall have been indefeasibly and irrevocably paid and satisfied in full, all Letters of Credit have been terminated or expired (or been Cash Collateralized) and the Revolving Credit Commitment has been terminated. The Commitment Fee shall be distributed by the Administrative Agent to the Revolving Credit Lenders (other than any Defaulting Lender) </w:t>
      </w:r>
      <w:r>
        <w:rPr>
          <w:rFonts w:ascii="Times New Roman" w:cs="Times New Roman" w:eastAsia="Times New Roman" w:hAnsi="Times New Roman"/>
          <w:sz w:val="20"/>
          <w:szCs w:val="20"/>
          <w:u w:val="single" w:color="auto"/>
          <w:color w:val="auto"/>
        </w:rPr>
        <w:t>pro rata</w:t>
      </w:r>
      <w:r>
        <w:rPr>
          <w:rFonts w:ascii="Times New Roman" w:cs="Times New Roman" w:eastAsia="Times New Roman" w:hAnsi="Times New Roman"/>
          <w:sz w:val="20"/>
          <w:szCs w:val="20"/>
          <w:color w:val="auto"/>
        </w:rPr>
        <w:t xml:space="preserve"> in accordance with such Revolving Credit Lenders’ respective Revolving Credit Commitment Percentages.</w:t>
      </w:r>
    </w:p>
    <w:p>
      <w:pPr>
        <w:spacing w:after="0" w:line="192" w:lineRule="exact"/>
        <w:rPr>
          <w:sz w:val="20"/>
          <w:szCs w:val="20"/>
          <w:color w:val="auto"/>
        </w:rPr>
      </w:pPr>
    </w:p>
    <w:p>
      <w:pPr>
        <w:jc w:val="both"/>
        <w:ind w:left="58" w:firstLine="644"/>
        <w:spacing w:after="0" w:line="230" w:lineRule="auto"/>
        <w:tabs>
          <w:tab w:leader="none" w:pos="1244" w:val="left"/>
        </w:tabs>
        <w:numPr>
          <w:ilvl w:val="0"/>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Other Fees</w:t>
      </w:r>
      <w:r>
        <w:rPr>
          <w:rFonts w:ascii="Times New Roman" w:cs="Times New Roman" w:eastAsia="Times New Roman" w:hAnsi="Times New Roman"/>
          <w:sz w:val="20"/>
          <w:szCs w:val="20"/>
          <w:color w:val="auto"/>
        </w:rPr>
        <w:t>. The Borrowers shall pay to the Arrangers and the Administrative Agent for their own respective accounts fees in the amounts and at the times specified in any Fee Letter as applicable. The Borrowers shall pay to the Lenders such fees as shall have been separately agreed upon in writing in the amounts and at the times so specified.</w:t>
      </w:r>
    </w:p>
    <w:p>
      <w:pPr>
        <w:spacing w:after="0" w:line="176" w:lineRule="exact"/>
        <w:rPr>
          <w:sz w:val="20"/>
          <w:szCs w:val="20"/>
          <w:color w:val="auto"/>
        </w:rPr>
      </w:pPr>
    </w:p>
    <w:p>
      <w:pPr>
        <w:ind w:left="698"/>
        <w:spacing w:after="0"/>
        <w:tabs>
          <w:tab w:leader="none" w:pos="2018" w:val="left"/>
        </w:tabs>
        <w:rPr>
          <w:sz w:val="20"/>
          <w:szCs w:val="20"/>
          <w:color w:val="auto"/>
        </w:rPr>
      </w:pPr>
      <w:r>
        <w:rPr>
          <w:rFonts w:ascii="Times New Roman" w:cs="Times New Roman" w:eastAsia="Times New Roman" w:hAnsi="Times New Roman"/>
          <w:sz w:val="20"/>
          <w:szCs w:val="20"/>
          <w:color w:val="auto"/>
        </w:rPr>
        <w:t>SECTION 5.4</w:t>
      </w:r>
      <w:r>
        <w:rPr>
          <w:sz w:val="20"/>
          <w:szCs w:val="20"/>
          <w:color w:val="auto"/>
        </w:rPr>
        <w:tab/>
      </w:r>
      <w:r>
        <w:rPr>
          <w:rFonts w:ascii="Times New Roman" w:cs="Times New Roman" w:eastAsia="Times New Roman" w:hAnsi="Times New Roman"/>
          <w:sz w:val="19"/>
          <w:szCs w:val="19"/>
          <w:u w:val="single" w:color="auto"/>
          <w:color w:val="auto"/>
        </w:rPr>
        <w:t>Manner of Payment</w:t>
      </w:r>
    </w:p>
    <w:p>
      <w:pPr>
        <w:spacing w:after="0" w:line="283" w:lineRule="exact"/>
        <w:rPr>
          <w:sz w:val="20"/>
          <w:szCs w:val="20"/>
          <w:color w:val="auto"/>
        </w:rPr>
      </w:pPr>
    </w:p>
    <w:p>
      <w:pPr>
        <w:ind w:left="58"/>
        <w:spacing w:after="0"/>
        <w:rPr>
          <w:sz w:val="20"/>
          <w:szCs w:val="20"/>
          <w:color w:val="auto"/>
        </w:rPr>
      </w:pP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left="58" w:firstLine="644"/>
        <w:spacing w:after="0" w:line="209" w:lineRule="auto"/>
        <w:tabs>
          <w:tab w:leader="none" w:pos="1236" w:val="left"/>
        </w:tabs>
        <w:numPr>
          <w:ilvl w:val="0"/>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Payments made by the Borrowers</w:t>
      </w:r>
      <w:r>
        <w:rPr>
          <w:rFonts w:ascii="Times New Roman" w:cs="Times New Roman" w:eastAsia="Times New Roman" w:hAnsi="Times New Roman"/>
          <w:sz w:val="20"/>
          <w:szCs w:val="20"/>
          <w:color w:val="auto"/>
        </w:rPr>
        <w:t xml:space="preserve">. Each payment by a Borrower on account of the principal of or interest on the Loans or of any fee, commission or other amounts (including the Reimbursement Obligations) payable to the Lenders under this Agreement shall be made not later than 1:00 p.m. on the date specified for payment under this Agreement to the Administrative Agent at the Administrative Agent’s Office for the account of the Lenders entitled to such payment, in immediately available funds and shall be made without any set off, counterclaim or deduction whatsoever. Any payment received after such time but before 2:00 p.m. on such day shall be deemed a payment on such date for the purposes of </w:t>
      </w:r>
      <w:r>
        <w:rPr>
          <w:rFonts w:ascii="Times New Roman" w:cs="Times New Roman" w:eastAsia="Times New Roman" w:hAnsi="Times New Roman"/>
          <w:sz w:val="20"/>
          <w:szCs w:val="20"/>
          <w:u w:val="single" w:color="auto"/>
          <w:color w:val="auto"/>
        </w:rPr>
        <w:t>Section 10.1</w:t>
      </w:r>
      <w:r>
        <w:rPr>
          <w:rFonts w:ascii="Times New Roman" w:cs="Times New Roman" w:eastAsia="Times New Roman" w:hAnsi="Times New Roman"/>
          <w:sz w:val="20"/>
          <w:szCs w:val="20"/>
          <w:color w:val="auto"/>
        </w:rPr>
        <w:t xml:space="preserve">, but for all other purposes shall be deemed to have been made on the next succeeding Business Day. Any payment received after 2:00 p.m. shall be deemed to have been made on the next succeeding Business Day for all purposes. Upon receipt by the Administrative Agent of each such payment, the Administrative Agent shall distribute to each such Lender at its address for notices set forth herein its Commitment Percentage in respect of the relevant Credit Facility (or other applicable share as provided herein) of such payment and shall wire advice of the amount of such credit to each Lender. Each payment to the Administrative Agent on account of the principal of or interest on the Swingline Loans or of any fee, commission or other amounts payable to the applicable Swingline Lender shall be made in like manner, but for the account of the applicable Swingline Lender. Each payment to the Administrative Agent of any Issuing Lender’s fees or L/C Participants’ commissions shall be made in like manner, but for the account of such Issuing Lender or the L/C Participants, as the case may be. Each payment to the Administrative Agent of Administrative Agent’s fees or expenses shall be made for the account of the Administrative Agent and any amount payable to any Lender under </w:t>
      </w:r>
      <w:r>
        <w:rPr>
          <w:rFonts w:ascii="Times New Roman" w:cs="Times New Roman" w:eastAsia="Times New Roman" w:hAnsi="Times New Roman"/>
          <w:sz w:val="20"/>
          <w:szCs w:val="20"/>
          <w:u w:val="single" w:color="auto"/>
          <w:color w:val="auto"/>
        </w:rPr>
        <w:t>Sections 5.9</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5.10</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5.11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12.3</w:t>
      </w:r>
      <w:r>
        <w:rPr>
          <w:rFonts w:ascii="Times New Roman" w:cs="Times New Roman" w:eastAsia="Times New Roman" w:hAnsi="Times New Roman"/>
          <w:sz w:val="20"/>
          <w:szCs w:val="20"/>
          <w:color w:val="auto"/>
        </w:rPr>
        <w:t xml:space="preserve"> shall be paid to the Administrative Agent for the account of the applicable Lender. Subject to the definition of Interest Period, if any payment under this Agreement shall be specified to be made upon a day which is not a Business Day, it shall be made on the next succeeding day which is a Business Day and such extension of time shall in such case be included in computing any interest if payable along with such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338"/>
        <w:spacing w:after="0"/>
        <w:rPr>
          <w:sz w:val="20"/>
          <w:szCs w:val="20"/>
          <w:color w:val="auto"/>
        </w:rPr>
      </w:pPr>
      <w:r>
        <w:rPr>
          <w:rFonts w:ascii="Times New Roman" w:cs="Times New Roman" w:eastAsia="Times New Roman" w:hAnsi="Times New Roman"/>
          <w:sz w:val="14"/>
          <w:szCs w:val="14"/>
          <w:color w:val="FF0000"/>
          <w:strike w:val="1"/>
        </w:rPr>
        <w:t>146960219_6</w:t>
      </w:r>
    </w:p>
    <w:p>
      <w:pPr>
        <w:ind w:left="338" w:hanging="338"/>
        <w:spacing w:after="0" w:line="229" w:lineRule="auto"/>
        <w:tabs>
          <w:tab w:leader="none" w:pos="338" w:val="left"/>
        </w:tabs>
        <w:numPr>
          <w:ilvl w:val="0"/>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078"/>
          </w:cols>
          <w:pgMar w:left="382" w:top="1440" w:right="439" w:bottom="1440" w:gutter="0" w:footer="0" w:header="0"/>
        </w:sectPr>
      </w:pPr>
    </w:p>
    <w:bookmarkStart w:id="161" w:name="page162"/>
    <w:bookmarkEnd w:id="161"/>
    <w:p>
      <w:pPr>
        <w:spacing w:after="0" w:line="216" w:lineRule="exact"/>
        <w:rPr>
          <w:sz w:val="20"/>
          <w:szCs w:val="20"/>
          <w:color w:val="auto"/>
        </w:rPr>
      </w:pPr>
    </w:p>
    <w:p>
      <w:pPr>
        <w:ind w:left="58" w:right="20" w:firstLine="644"/>
        <w:spacing w:after="0" w:line="269" w:lineRule="auto"/>
        <w:tabs>
          <w:tab w:leader="none" w:pos="1234" w:val="left"/>
        </w:tabs>
        <w:numPr>
          <w:ilvl w:val="0"/>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Defaulting Lenders</w:t>
      </w:r>
      <w:r>
        <w:rPr>
          <w:rFonts w:ascii="Times New Roman" w:cs="Times New Roman" w:eastAsia="Times New Roman" w:hAnsi="Times New Roman"/>
          <w:sz w:val="20"/>
          <w:szCs w:val="20"/>
          <w:color w:val="auto"/>
        </w:rPr>
        <w:t xml:space="preserve">. Notwithstanding the foregoing, if there exists a Defaulting Lender each payment by any Borrower to such Defaulting Lender hereunder shall be applied in accordance with </w:t>
      </w:r>
      <w:r>
        <w:rPr>
          <w:rFonts w:ascii="Times New Roman" w:cs="Times New Roman" w:eastAsia="Times New Roman" w:hAnsi="Times New Roman"/>
          <w:sz w:val="20"/>
          <w:szCs w:val="20"/>
          <w:u w:val="single" w:color="auto"/>
          <w:color w:val="auto"/>
        </w:rPr>
        <w:t>Section 5.15(a)(ii)</w:t>
      </w:r>
      <w:r>
        <w:rPr>
          <w:rFonts w:ascii="Times New Roman" w:cs="Times New Roman" w:eastAsia="Times New Roman" w:hAnsi="Times New Roman"/>
          <w:sz w:val="20"/>
          <w:szCs w:val="20"/>
          <w:color w:val="auto"/>
        </w:rPr>
        <w:t>.</w:t>
      </w:r>
    </w:p>
    <w:p>
      <w:pPr>
        <w:spacing w:after="0" w:line="240" w:lineRule="exact"/>
        <w:rPr>
          <w:sz w:val="20"/>
          <w:szCs w:val="20"/>
          <w:color w:val="auto"/>
        </w:rPr>
      </w:pPr>
    </w:p>
    <w:p>
      <w:pPr>
        <w:ind w:left="698"/>
        <w:spacing w:after="0"/>
        <w:tabs>
          <w:tab w:leader="none" w:pos="2018" w:val="left"/>
        </w:tabs>
        <w:rPr>
          <w:sz w:val="20"/>
          <w:szCs w:val="20"/>
          <w:color w:val="auto"/>
        </w:rPr>
      </w:pPr>
      <w:r>
        <w:rPr>
          <w:rFonts w:ascii="Times New Roman" w:cs="Times New Roman" w:eastAsia="Times New Roman" w:hAnsi="Times New Roman"/>
          <w:sz w:val="20"/>
          <w:szCs w:val="20"/>
          <w:color w:val="auto"/>
        </w:rPr>
        <w:t>SECTION 5.5</w:t>
      </w:r>
      <w:r>
        <w:rPr>
          <w:sz w:val="20"/>
          <w:szCs w:val="20"/>
          <w:color w:val="auto"/>
        </w:rPr>
        <w:tab/>
      </w:r>
      <w:r>
        <w:rPr>
          <w:rFonts w:ascii="Times New Roman" w:cs="Times New Roman" w:eastAsia="Times New Roman" w:hAnsi="Times New Roman"/>
          <w:sz w:val="19"/>
          <w:szCs w:val="19"/>
          <w:u w:val="single" w:color="auto"/>
          <w:color w:val="auto"/>
        </w:rPr>
        <w:t>Evidence of Indebtedness</w:t>
      </w:r>
      <w:r>
        <w:rPr>
          <w:rFonts w:ascii="Times New Roman" w:cs="Times New Roman" w:eastAsia="Times New Roman" w:hAnsi="Times New Roman"/>
          <w:sz w:val="19"/>
          <w:szCs w:val="19"/>
          <w:color w:val="auto"/>
        </w:rPr>
        <w:t>.</w:t>
      </w:r>
    </w:p>
    <w:p>
      <w:pPr>
        <w:spacing w:after="0" w:line="283" w:lineRule="exact"/>
        <w:rPr>
          <w:sz w:val="20"/>
          <w:szCs w:val="20"/>
          <w:color w:val="auto"/>
        </w:rPr>
      </w:pPr>
    </w:p>
    <w:p>
      <w:pPr>
        <w:jc w:val="both"/>
        <w:ind w:left="58" w:firstLine="644"/>
        <w:spacing w:after="0" w:line="210" w:lineRule="auto"/>
        <w:tabs>
          <w:tab w:leader="none" w:pos="1236" w:val="left"/>
        </w:tabs>
        <w:numPr>
          <w:ilvl w:val="0"/>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Extensions of Credit</w:t>
      </w:r>
      <w:r>
        <w:rPr>
          <w:rFonts w:ascii="Times New Roman" w:cs="Times New Roman" w:eastAsia="Times New Roman" w:hAnsi="Times New Roman"/>
          <w:sz w:val="20"/>
          <w:szCs w:val="20"/>
          <w:color w:val="auto"/>
        </w:rPr>
        <w:t>. The Extensions of Credit made by each Lender and each Issuing Lender shall be evidenced by one or more accounts or records maintained by such Lender or such Issuing Lender and by the Administrative Agent in the ordinary course of business. The accounts or records maintained by the Administrative Agent and each Lender or the applicable Issuing Lender shall be conclusive absent manifest error of the amount of the Extensions of Credit made by the Lenders or such Issuing Lender to the applicable Borrowers and their applicable respective Subsidiaries and the interest and payments thereon. Any failure to so record or any error in doing so shall not, however, limit or otherwise affect the obligation of the Borrowers hereunder to pay any amount owing with respect to the Obligations. In the event of any conflict between the accounts and records maintained by any Lender or any Issuing Lender and the accounts and records of the Administrative Agent in respect of such matters, the accounts and records of the Administrative Agent shall control in the absence of manifest error. Upon the request of any Lender made through the Administrative Agent, the applicable Borrower shall execute and deliver to such Lender (through the Administrative Agent) a US Revolving Credit Note, Canadian Revolving Credit Note, a US Term Loan Note, a Canadian Term Loan Note, US Swingline Note and/or Canadian Swingline Note, as applicable, which shall evidence such Lender’s Revolving Credit Loans, Term Loans and/or Swingline Loans, as applicable, in addition to such accounts or records. Each Lender may attach schedules to its Notes and endorse thereon the date, amount and maturity of its Loans and payments with respect thereto.</w:t>
      </w:r>
    </w:p>
    <w:p>
      <w:pPr>
        <w:spacing w:after="0" w:line="206" w:lineRule="exact"/>
        <w:rPr>
          <w:rFonts w:ascii="Times New Roman" w:cs="Times New Roman" w:eastAsia="Times New Roman" w:hAnsi="Times New Roman"/>
          <w:sz w:val="20"/>
          <w:szCs w:val="20"/>
          <w:color w:val="auto"/>
        </w:rPr>
      </w:pPr>
    </w:p>
    <w:p>
      <w:pPr>
        <w:jc w:val="both"/>
        <w:ind w:left="58" w:firstLine="644"/>
        <w:spacing w:after="0" w:line="217" w:lineRule="auto"/>
        <w:tabs>
          <w:tab w:leader="none" w:pos="1234" w:val="left"/>
        </w:tabs>
        <w:numPr>
          <w:ilvl w:val="0"/>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Participations</w:t>
      </w:r>
      <w:r>
        <w:rPr>
          <w:rFonts w:ascii="Times New Roman" w:cs="Times New Roman" w:eastAsia="Times New Roman" w:hAnsi="Times New Roman"/>
          <w:sz w:val="20"/>
          <w:szCs w:val="20"/>
          <w:color w:val="auto"/>
        </w:rPr>
        <w:t>. In addition to the accounts and records referred to in subsection (a), each Revolving Credit Lender and the Administrative Agent shall maintain in accordance with its usual practice accounts or records evidencing the purchases and sales by such Revolving Credit Lender of participations in Letters of Credit and Swingline Loans. In the event of any conflict between the accounts and records maintained by the Administrative Agent and the accounts and records of any Revolving Credit Lender in respect of such matters, the accounts and records of the Administrative Agent shall control in the absence of manifest error.</w:t>
      </w:r>
    </w:p>
    <w:p>
      <w:pPr>
        <w:spacing w:after="0" w:line="189" w:lineRule="exact"/>
        <w:rPr>
          <w:sz w:val="20"/>
          <w:szCs w:val="20"/>
          <w:color w:val="auto"/>
        </w:rPr>
      </w:pPr>
    </w:p>
    <w:p>
      <w:pPr>
        <w:ind w:left="698"/>
        <w:spacing w:after="0"/>
        <w:tabs>
          <w:tab w:leader="none" w:pos="2018" w:val="left"/>
        </w:tabs>
        <w:rPr>
          <w:sz w:val="20"/>
          <w:szCs w:val="20"/>
          <w:color w:val="auto"/>
        </w:rPr>
      </w:pPr>
      <w:r>
        <w:rPr>
          <w:rFonts w:ascii="Times New Roman" w:cs="Times New Roman" w:eastAsia="Times New Roman" w:hAnsi="Times New Roman"/>
          <w:sz w:val="20"/>
          <w:szCs w:val="20"/>
          <w:color w:val="auto"/>
        </w:rPr>
        <w:t>SECTION 5.6</w:t>
      </w:r>
      <w:r>
        <w:rPr>
          <w:sz w:val="20"/>
          <w:szCs w:val="20"/>
          <w:color w:val="auto"/>
        </w:rPr>
        <w:tab/>
      </w:r>
      <w:r>
        <w:rPr>
          <w:rFonts w:ascii="Times New Roman" w:cs="Times New Roman" w:eastAsia="Times New Roman" w:hAnsi="Times New Roman"/>
          <w:sz w:val="19"/>
          <w:szCs w:val="19"/>
          <w:u w:val="single" w:color="auto"/>
          <w:color w:val="auto"/>
        </w:rPr>
        <w:t>Sharing of Payments by Lenders</w:t>
      </w:r>
    </w:p>
    <w:p>
      <w:pPr>
        <w:spacing w:after="0" w:line="270" w:lineRule="exact"/>
        <w:rPr>
          <w:sz w:val="20"/>
          <w:szCs w:val="20"/>
          <w:color w:val="auto"/>
        </w:rPr>
      </w:pPr>
    </w:p>
    <w:p>
      <w:pPr>
        <w:jc w:val="both"/>
        <w:ind w:left="58" w:hanging="4"/>
        <w:spacing w:after="0" w:line="215" w:lineRule="auto"/>
        <w:tabs>
          <w:tab w:leader="none" w:pos="183" w:val="left"/>
        </w:tabs>
        <w:numPr>
          <w:ilvl w:val="0"/>
          <w:numId w:val="2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Lender shall, by exercising any right of setoff or counterclaim or otherwise, obtain payment in respect of any principal of or interest on any of its Loans or other obligations hereunder resulting in such Lender’s receiving payment of a proportion of the aggregate amount of its Loans and accrued interest thereon or other such obligations (other than pursuant to </w:t>
      </w:r>
      <w:r>
        <w:rPr>
          <w:rFonts w:ascii="Times New Roman" w:cs="Times New Roman" w:eastAsia="Times New Roman" w:hAnsi="Times New Roman"/>
          <w:sz w:val="20"/>
          <w:szCs w:val="20"/>
          <w:u w:val="single" w:color="auto"/>
          <w:color w:val="auto"/>
        </w:rPr>
        <w:t>Sections 5.9</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5.10</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5.11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12.3</w:t>
      </w:r>
      <w:r>
        <w:rPr>
          <w:rFonts w:ascii="Times New Roman" w:cs="Times New Roman" w:eastAsia="Times New Roman" w:hAnsi="Times New Roman"/>
          <w:sz w:val="20"/>
          <w:szCs w:val="20"/>
          <w:color w:val="auto"/>
        </w:rPr>
        <w:t xml:space="preserve">) greater than its </w:t>
      </w:r>
      <w:r>
        <w:rPr>
          <w:rFonts w:ascii="Times New Roman" w:cs="Times New Roman" w:eastAsia="Times New Roman" w:hAnsi="Times New Roman"/>
          <w:sz w:val="20"/>
          <w:szCs w:val="20"/>
          <w:u w:val="single" w:color="auto"/>
          <w:color w:val="auto"/>
        </w:rPr>
        <w:t>pro rata</w:t>
      </w:r>
      <w:r>
        <w:rPr>
          <w:rFonts w:ascii="Times New Roman" w:cs="Times New Roman" w:eastAsia="Times New Roman" w:hAnsi="Times New Roman"/>
          <w:sz w:val="20"/>
          <w:szCs w:val="20"/>
          <w:color w:val="auto"/>
        </w:rPr>
        <w:t xml:space="preserve"> share thereof as provided herein, then the Lender receiving such greater proportion shall (a) notify the Administrative Agent of such fact, and (b) purchase (for cash at face value) participations in the Loans and such other obligations of the other Lenders, or make such other adjustments as shall be equitable, so that the benefit of all such payments shall be shared by the Lenders ratably in accordance with the aggregate amount of principal of and accrued interest on their respective Loans and other amounts owing them;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w:t>
      </w:r>
    </w:p>
    <w:p>
      <w:pPr>
        <w:spacing w:after="0" w:line="255" w:lineRule="exact"/>
        <w:rPr>
          <w:rFonts w:ascii="Times New Roman" w:cs="Times New Roman" w:eastAsia="Times New Roman" w:hAnsi="Times New Roman"/>
          <w:sz w:val="20"/>
          <w:szCs w:val="20"/>
          <w:color w:val="auto"/>
        </w:rPr>
      </w:pPr>
    </w:p>
    <w:p>
      <w:pPr>
        <w:ind w:left="698" w:right="20" w:firstLine="652"/>
        <w:spacing w:after="0" w:line="233" w:lineRule="auto"/>
        <w:tabs>
          <w:tab w:leader="none" w:pos="1881" w:val="left"/>
        </w:tabs>
        <w:numPr>
          <w:ilvl w:val="1"/>
          <w:numId w:val="2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such participations are purchased and all or any portion of the payment giving rise thereto is recovered, such participations shall be rescinded and the purchase price restored to the extent of such recovery, without interest, and</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38"/>
        <w:spacing w:after="0"/>
        <w:rPr>
          <w:sz w:val="20"/>
          <w:szCs w:val="20"/>
          <w:color w:val="auto"/>
        </w:rPr>
      </w:pPr>
      <w:r>
        <w:rPr>
          <w:rFonts w:ascii="Times New Roman" w:cs="Times New Roman" w:eastAsia="Times New Roman" w:hAnsi="Times New Roman"/>
          <w:sz w:val="14"/>
          <w:szCs w:val="14"/>
          <w:color w:val="FF0000"/>
          <w:strike w:val="1"/>
        </w:rPr>
        <w:t>146960219_6</w:t>
      </w:r>
    </w:p>
    <w:p>
      <w:pPr>
        <w:ind w:left="338" w:hanging="338"/>
        <w:spacing w:after="0" w:line="229" w:lineRule="auto"/>
        <w:tabs>
          <w:tab w:leader="none" w:pos="338" w:val="left"/>
        </w:tabs>
        <w:numPr>
          <w:ilvl w:val="0"/>
          <w:numId w:val="210"/>
        </w:numPr>
        <w:rPr>
          <w:rFonts w:ascii="Times New Roman" w:cs="Times New Roman" w:eastAsia="Times New Roman" w:hAnsi="Times New Roman"/>
          <w:sz w:val="20"/>
          <w:szCs w:val="20"/>
          <w:color w:val="auto"/>
        </w:rPr>
      </w:pP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078"/>
          </w:cols>
          <w:pgMar w:left="382" w:top="1440" w:right="439" w:bottom="1440" w:gutter="0" w:footer="0" w:header="0"/>
        </w:sectPr>
      </w:pPr>
    </w:p>
    <w:bookmarkStart w:id="162" w:name="page163"/>
    <w:bookmarkEnd w:id="162"/>
    <w:p>
      <w:pPr>
        <w:jc w:val="both"/>
        <w:ind w:left="716" w:firstLine="652"/>
        <w:spacing w:after="0" w:line="216" w:lineRule="auto"/>
        <w:tabs>
          <w:tab w:leader="none" w:pos="1900" w:val="left"/>
        </w:tabs>
        <w:numPr>
          <w:ilvl w:val="0"/>
          <w:numId w:val="2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provisions of this paragraph shall not be construed to apply to (A) any payment made by the Borrowers pursuant to and in accordance with the express terms of this Agreement (including the application of funds arising from the existence of a Defaulting Lender), (B) the application of Cash Collateral provided for in </w:t>
      </w:r>
      <w:r>
        <w:rPr>
          <w:rFonts w:ascii="Times New Roman" w:cs="Times New Roman" w:eastAsia="Times New Roman" w:hAnsi="Times New Roman"/>
          <w:sz w:val="20"/>
          <w:szCs w:val="20"/>
          <w:u w:val="single" w:color="auto"/>
          <w:color w:val="auto"/>
        </w:rPr>
        <w:t>Section 5.14</w:t>
      </w:r>
      <w:r>
        <w:rPr>
          <w:rFonts w:ascii="Times New Roman" w:cs="Times New Roman" w:eastAsia="Times New Roman" w:hAnsi="Times New Roman"/>
          <w:sz w:val="20"/>
          <w:szCs w:val="20"/>
          <w:color w:val="auto"/>
        </w:rPr>
        <w:t xml:space="preserve"> or (C) any payment obtained by a Lender as consideration for the assignment of or sale of a participation in any of its Loans or participations in Swingline Loans and Letters of Credit to any assignee or participant, other than to any of the Consolidated Companies or their Affiliates (as to which this </w:t>
      </w:r>
      <w:r>
        <w:rPr>
          <w:rFonts w:ascii="Times New Roman" w:cs="Times New Roman" w:eastAsia="Times New Roman" w:hAnsi="Times New Roman"/>
          <w:sz w:val="20"/>
          <w:szCs w:val="20"/>
          <w:u w:val="single" w:color="auto"/>
          <w:color w:val="auto"/>
        </w:rPr>
        <w:t>Section 5.6</w:t>
      </w:r>
      <w:r>
        <w:rPr>
          <w:rFonts w:ascii="Times New Roman" w:cs="Times New Roman" w:eastAsia="Times New Roman" w:hAnsi="Times New Roman"/>
          <w:sz w:val="20"/>
          <w:szCs w:val="20"/>
          <w:color w:val="auto"/>
        </w:rPr>
        <w:t xml:space="preserve"> shall apply).</w:t>
      </w:r>
    </w:p>
    <w:p>
      <w:pPr>
        <w:spacing w:after="0" w:line="251" w:lineRule="exact"/>
        <w:rPr>
          <w:sz w:val="20"/>
          <w:szCs w:val="20"/>
          <w:color w:val="auto"/>
        </w:rPr>
      </w:pPr>
    </w:p>
    <w:p>
      <w:pPr>
        <w:ind w:left="76"/>
        <w:spacing w:after="0"/>
        <w:rPr>
          <w:sz w:val="20"/>
          <w:szCs w:val="20"/>
          <w:color w:val="auto"/>
        </w:rPr>
      </w:pPr>
      <w:r>
        <w:rPr>
          <w:rFonts w:ascii="Times New Roman" w:cs="Times New Roman" w:eastAsia="Times New Roman" w:hAnsi="Times New Roman"/>
          <w:sz w:val="20"/>
          <w:szCs w:val="20"/>
          <w:color w:val="auto"/>
        </w:rPr>
        <w:t>Each Credit Party consents to the foregoing and agrees, to the extent it may effectively do so under Applicable Law, that any Lender</w:t>
      </w:r>
    </w:p>
    <w:p>
      <w:pPr>
        <w:ind w:left="76"/>
        <w:spacing w:after="0" w:line="233" w:lineRule="auto"/>
        <w:rPr>
          <w:sz w:val="20"/>
          <w:szCs w:val="20"/>
          <w:color w:val="auto"/>
        </w:rPr>
      </w:pPr>
      <w:r>
        <w:rPr>
          <w:rFonts w:ascii="Times New Roman" w:cs="Times New Roman" w:eastAsia="Times New Roman" w:hAnsi="Times New Roman"/>
          <w:sz w:val="19"/>
          <w:szCs w:val="19"/>
          <w:color w:val="auto"/>
        </w:rPr>
        <w:t>acquiring a participation pursuant to the foregoing arrangements may exercise against each Credit Party rights of setoff and counterclaim with respect to such participation as fully as if such Lender were a direct creditor of each Credit Party in the amount of such participation.</w:t>
      </w:r>
    </w:p>
    <w:p>
      <w:pPr>
        <w:spacing w:after="0" w:line="202" w:lineRule="exact"/>
        <w:rPr>
          <w:sz w:val="20"/>
          <w:szCs w:val="20"/>
          <w:color w:val="auto"/>
        </w:rPr>
      </w:pPr>
    </w:p>
    <w:p>
      <w:pPr>
        <w:ind w:left="716"/>
        <w:spacing w:after="0"/>
        <w:tabs>
          <w:tab w:leader="none" w:pos="2036" w:val="left"/>
        </w:tabs>
        <w:rPr>
          <w:sz w:val="20"/>
          <w:szCs w:val="20"/>
          <w:color w:val="auto"/>
        </w:rPr>
      </w:pPr>
      <w:r>
        <w:rPr>
          <w:rFonts w:ascii="Times New Roman" w:cs="Times New Roman" w:eastAsia="Times New Roman" w:hAnsi="Times New Roman"/>
          <w:sz w:val="20"/>
          <w:szCs w:val="20"/>
          <w:color w:val="auto"/>
        </w:rPr>
        <w:t>SECTION 5.7</w:t>
      </w:r>
      <w:r>
        <w:rPr>
          <w:sz w:val="20"/>
          <w:szCs w:val="20"/>
          <w:color w:val="auto"/>
        </w:rPr>
        <w:tab/>
      </w:r>
      <w:r>
        <w:rPr>
          <w:rFonts w:ascii="Times New Roman" w:cs="Times New Roman" w:eastAsia="Times New Roman" w:hAnsi="Times New Roman"/>
          <w:sz w:val="19"/>
          <w:szCs w:val="19"/>
          <w:u w:val="single" w:color="auto"/>
          <w:color w:val="auto"/>
        </w:rPr>
        <w:t>Administrative Agent’s Clawback</w:t>
      </w:r>
      <w:r>
        <w:rPr>
          <w:rFonts w:ascii="Times New Roman" w:cs="Times New Roman" w:eastAsia="Times New Roman" w:hAnsi="Times New Roman"/>
          <w:sz w:val="19"/>
          <w:szCs w:val="19"/>
          <w:color w:val="auto"/>
        </w:rPr>
        <w:t>.</w:t>
      </w:r>
    </w:p>
    <w:p>
      <w:pPr>
        <w:spacing w:after="0" w:line="283" w:lineRule="exact"/>
        <w:rPr>
          <w:sz w:val="20"/>
          <w:szCs w:val="20"/>
          <w:color w:val="auto"/>
        </w:rPr>
      </w:pPr>
    </w:p>
    <w:p>
      <w:pPr>
        <w:jc w:val="both"/>
        <w:ind w:left="76" w:firstLine="644"/>
        <w:spacing w:after="0" w:line="208" w:lineRule="auto"/>
        <w:tabs>
          <w:tab w:leader="none" w:pos="1254" w:val="left"/>
        </w:tabs>
        <w:numPr>
          <w:ilvl w:val="0"/>
          <w:numId w:val="2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Funding by Lenders; Presumption by Administrative Agent</w:t>
      </w:r>
      <w:r>
        <w:rPr>
          <w:rFonts w:ascii="Times New Roman" w:cs="Times New Roman" w:eastAsia="Times New Roman" w:hAnsi="Times New Roman"/>
          <w:sz w:val="20"/>
          <w:szCs w:val="20"/>
          <w:color w:val="auto"/>
        </w:rPr>
        <w:t xml:space="preserve">. Unless the Administrative Agent shall have received notice from a Lender (i) in the case of Base Rate Loans, not later than 12:00 noon on the date of any proposed borrowing, (ii) in the case of Canadian Revolving Credit Loans, not later than 12:00 noon one (1) Business Day before the date of any proposed borrowing and (iii) otherwise, prior to the proposed date of any borrowing that such Lender will not make available to the Administrative Agent such Lender’s share of such borrowing, the Administrative Agent may assume that such Lender has made such share available on such date in accordance with </w:t>
      </w:r>
      <w:r>
        <w:rPr>
          <w:rFonts w:ascii="Times New Roman" w:cs="Times New Roman" w:eastAsia="Times New Roman" w:hAnsi="Times New Roman"/>
          <w:sz w:val="20"/>
          <w:szCs w:val="20"/>
          <w:u w:val="single" w:color="auto"/>
          <w:color w:val="auto"/>
        </w:rPr>
        <w:t>Sections 2.3(b)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4.2</w:t>
      </w:r>
      <w:r>
        <w:rPr>
          <w:rFonts w:ascii="Times New Roman" w:cs="Times New Roman" w:eastAsia="Times New Roman" w:hAnsi="Times New Roman"/>
          <w:sz w:val="20"/>
          <w:szCs w:val="20"/>
          <w:color w:val="auto"/>
        </w:rPr>
        <w:t xml:space="preserve"> and may, in reliance upon such assumption, make available to the applicable Borrower a corresponding amount. In such event, if a Lender has not in fact made its share of the applicable borrowing available to the Administrative Agent, then the applicable Lender and the applicable Borrower severally agree to pay to the Administrative Agent forthwith on demand such corresponding amount with interest thereon, for each day from and including the date such amount is made available to the applicable Borrower to but excluding the date of payment to the Administrative Agent, (A) in the case of a payment to be made by such Lender, (1) with respect to any Loan denominated in Dollars, at the greater of (x) the daily average Federal Funds Rate and (y) a rate determined by the Administrative Agent in accordance with banking industry rules on interbank compensation and (2) with respect to any Loan denominated in Canadian Dollars, at the greater of (x) a rate equal to the Administrative Agent’s aggregate marginal cost (including the cost of maintaining any required reserves or deposit insurance and of any fees, penalties, overdraft charges or other costs or expenses incurred by the Administrative Agent as a result of the failure to deliver funds hereunder) of carrying such amount and (y) a rate determined by the Administrative Agent in accordance with banking industry rules on interbank compensation and (B) in the case of a payment to be made by such Borrower, (1) with respect to any Loan denominated in Dollars, the Base Rate and (2) with respect to any Loan denominated in Canadian Dollars, the Canadian Base Rate. If the applicable Borrower and such Lender shall pay such interest to the Administrative Agent for the same or an overlapping period, the Administrative Agent shall promptly remit to such Borrower the amount of such interest paid by such Borrower for such period. If such Lender pays its share of the applicable borrowing to the Administrative Agent, then the amount so paid shall constitute such Lender’s Loan included in such borrowing. Any payment by any Borrower shall be without prejudice to any claim such Borrower may have against a Lender that shall have failed to make such payment to the Administrative Agent.</w:t>
      </w:r>
    </w:p>
    <w:p>
      <w:pPr>
        <w:spacing w:after="0" w:line="208" w:lineRule="exact"/>
        <w:rPr>
          <w:rFonts w:ascii="Times New Roman" w:cs="Times New Roman" w:eastAsia="Times New Roman" w:hAnsi="Times New Roman"/>
          <w:sz w:val="20"/>
          <w:szCs w:val="20"/>
          <w:color w:val="auto"/>
        </w:rPr>
      </w:pPr>
    </w:p>
    <w:p>
      <w:pPr>
        <w:jc w:val="both"/>
        <w:ind w:left="76" w:firstLine="644"/>
        <w:spacing w:after="0" w:line="222" w:lineRule="auto"/>
        <w:tabs>
          <w:tab w:leader="none" w:pos="1252" w:val="left"/>
        </w:tabs>
        <w:numPr>
          <w:ilvl w:val="0"/>
          <w:numId w:val="2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Payments by the Borrowers; Presumptions by Administrative Agent</w:t>
      </w:r>
      <w:r>
        <w:rPr>
          <w:rFonts w:ascii="Times New Roman" w:cs="Times New Roman" w:eastAsia="Times New Roman" w:hAnsi="Times New Roman"/>
          <w:sz w:val="20"/>
          <w:szCs w:val="20"/>
          <w:color w:val="auto"/>
        </w:rPr>
        <w:t>. Unless the Administrative Agent shall have received notice from the applicable Borrower prior to the date on which any payment is due to the Administrative Agent for the account of the Lenders, any Issuing Lender or any Swingline Lender hereunder that the applicable Borrower will not make such payment, the Administrative Agent may assume that such Borrower has made such payment on such date in accordance herewith and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16"/>
        <w:spacing w:after="0"/>
        <w:rPr>
          <w:sz w:val="20"/>
          <w:szCs w:val="20"/>
          <w:color w:val="auto"/>
        </w:rPr>
      </w:pPr>
      <w:r>
        <w:rPr>
          <w:rFonts w:ascii="Times New Roman" w:cs="Times New Roman" w:eastAsia="Times New Roman" w:hAnsi="Times New Roman"/>
          <w:sz w:val="14"/>
          <w:szCs w:val="14"/>
          <w:color w:val="FF0000"/>
          <w:strike w:val="1"/>
        </w:rPr>
        <w:t>146960219_6</w:t>
      </w:r>
    </w:p>
    <w:p>
      <w:pPr>
        <w:ind w:left="316" w:hanging="316"/>
        <w:spacing w:after="0" w:line="229" w:lineRule="auto"/>
        <w:tabs>
          <w:tab w:leader="none" w:pos="316" w:val="left"/>
        </w:tabs>
        <w:numPr>
          <w:ilvl w:val="0"/>
          <w:numId w:val="213"/>
        </w:numPr>
        <w:rPr>
          <w:rFonts w:ascii="Times New Roman" w:cs="Times New Roman" w:eastAsia="Times New Roman" w:hAnsi="Times New Roman"/>
          <w:sz w:val="20"/>
          <w:szCs w:val="20"/>
          <w:color w:val="auto"/>
        </w:rPr>
      </w:pP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096"/>
          </w:cols>
          <w:pgMar w:left="364" w:top="1399" w:right="439" w:bottom="1440" w:gutter="0" w:footer="0" w:header="0"/>
        </w:sectPr>
      </w:pPr>
    </w:p>
    <w:bookmarkStart w:id="163" w:name="page164"/>
    <w:bookmarkEnd w:id="163"/>
    <w:p>
      <w:pPr>
        <w:ind w:left="38"/>
        <w:spacing w:after="0"/>
        <w:rPr>
          <w:sz w:val="20"/>
          <w:szCs w:val="20"/>
          <w:color w:val="auto"/>
        </w:rPr>
      </w:pPr>
      <w:r>
        <w:rPr>
          <w:rFonts w:ascii="Times New Roman" w:cs="Times New Roman" w:eastAsia="Times New Roman" w:hAnsi="Times New Roman"/>
          <w:sz w:val="20"/>
          <w:szCs w:val="20"/>
          <w:color w:val="auto"/>
        </w:rPr>
        <w:t>may, in reliance upon such assumption, distribute to the Lenders, such Issuing Lender or such Swingline Lender, as the case may be, the</w:t>
      </w:r>
    </w:p>
    <w:p>
      <w:pPr>
        <w:ind w:left="38" w:right="20"/>
        <w:spacing w:after="0" w:line="204" w:lineRule="auto"/>
        <w:rPr>
          <w:sz w:val="20"/>
          <w:szCs w:val="20"/>
          <w:color w:val="auto"/>
        </w:rPr>
      </w:pPr>
      <w:r>
        <w:rPr>
          <w:rFonts w:ascii="Times New Roman" w:cs="Times New Roman" w:eastAsia="Times New Roman" w:hAnsi="Times New Roman"/>
          <w:sz w:val="20"/>
          <w:szCs w:val="20"/>
          <w:color w:val="auto"/>
        </w:rPr>
        <w:t>amount due. In such event, if the applicable Borrower has not in fact made such payment, then each of the Lenders, each Issuing Lender or each Swingline Lender, as the case maybe, severally agrees to repay to the Administrative Agent forthwith on demand the amount so</w:t>
      </w:r>
    </w:p>
    <w:p>
      <w:pPr>
        <w:spacing w:after="0" w:line="1" w:lineRule="exact"/>
        <w:rPr>
          <w:sz w:val="20"/>
          <w:szCs w:val="20"/>
          <w:color w:val="auto"/>
        </w:rPr>
      </w:pPr>
    </w:p>
    <w:p>
      <w:pPr>
        <w:ind w:left="38" w:right="20"/>
        <w:spacing w:after="0" w:line="204" w:lineRule="auto"/>
        <w:rPr>
          <w:sz w:val="20"/>
          <w:szCs w:val="20"/>
          <w:color w:val="auto"/>
        </w:rPr>
      </w:pPr>
      <w:r>
        <w:rPr>
          <w:rFonts w:ascii="Times New Roman" w:cs="Times New Roman" w:eastAsia="Times New Roman" w:hAnsi="Times New Roman"/>
          <w:sz w:val="20"/>
          <w:szCs w:val="20"/>
          <w:color w:val="auto"/>
        </w:rPr>
        <w:t>distributed to such Lender, Issuing Lender or Swingline Lender, with interest thereon, for each day from and including the date such amount is distributed to it to but excluding the date of payment to the Administrative Agent,</w:t>
      </w:r>
    </w:p>
    <w:p>
      <w:pPr>
        <w:spacing w:after="0" w:line="1" w:lineRule="exact"/>
        <w:rPr>
          <w:sz w:val="20"/>
          <w:szCs w:val="20"/>
          <w:color w:val="auto"/>
        </w:rPr>
      </w:pPr>
    </w:p>
    <w:p>
      <w:pPr>
        <w:jc w:val="both"/>
        <w:ind w:left="38" w:hanging="2"/>
        <w:spacing w:after="0" w:line="212" w:lineRule="auto"/>
        <w:tabs>
          <w:tab w:leader="none" w:pos="294" w:val="left"/>
        </w:tabs>
        <w:numPr>
          <w:ilvl w:val="0"/>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Extension of Credit (other than any Canadian Revolving Credit Loan, any Canadian Swingline Loan and, to the extent applicable, any Incremental Term Loan made to the Canadian Borrowers), at the greater of the Federal Funds Rate and a rate determined by the Administrative Agent in accordance with banking industry rules on interbank compensation and (ii) with respect to any Canadian Revolving Credit Loan, any Canadian Swingline Loan and, to the extent applicable, any Incremental Term Loan made to the Canadian Borrowers, at a rate equal to the Administrative Agent’s aggregate marginal cost (including the cost of maintaining any required reserves or deposit insurance and of any fees, penalties, overdraft charges or other costs or expenses incurred by the Administrative Agent as a result of the failure to deliver funds hereunder) of carrying such amount.</w:t>
      </w:r>
    </w:p>
    <w:p>
      <w:pPr>
        <w:spacing w:after="0" w:line="189" w:lineRule="exact"/>
        <w:rPr>
          <w:rFonts w:ascii="Times New Roman" w:cs="Times New Roman" w:eastAsia="Times New Roman" w:hAnsi="Times New Roman"/>
          <w:sz w:val="20"/>
          <w:szCs w:val="20"/>
          <w:color w:val="auto"/>
        </w:rPr>
      </w:pPr>
    </w:p>
    <w:p>
      <w:pPr>
        <w:jc w:val="both"/>
        <w:ind w:left="38" w:firstLine="646"/>
        <w:spacing w:after="0" w:line="218" w:lineRule="auto"/>
        <w:tabs>
          <w:tab w:leader="none" w:pos="1243" w:val="left"/>
        </w:tabs>
        <w:numPr>
          <w:ilvl w:val="1"/>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Nature of Obligations of Lenders Regarding Extensions of Credit</w:t>
      </w:r>
      <w:r>
        <w:rPr>
          <w:rFonts w:ascii="Times New Roman" w:cs="Times New Roman" w:eastAsia="Times New Roman" w:hAnsi="Times New Roman"/>
          <w:sz w:val="20"/>
          <w:szCs w:val="20"/>
          <w:color w:val="auto"/>
        </w:rPr>
        <w:t xml:space="preserve">. The obligations of the Lenders under this Agreement to make the Loans and issue or participate in Letters of Credit and to make payments under this Section, </w:t>
      </w:r>
      <w:r>
        <w:rPr>
          <w:rFonts w:ascii="Times New Roman" w:cs="Times New Roman" w:eastAsia="Times New Roman" w:hAnsi="Times New Roman"/>
          <w:sz w:val="20"/>
          <w:szCs w:val="20"/>
          <w:u w:val="single" w:color="auto"/>
          <w:color w:val="auto"/>
        </w:rPr>
        <w:t>Section 5.11(e)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11.11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12.3(c)</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12.7</w:t>
      </w:r>
      <w:r>
        <w:rPr>
          <w:rFonts w:ascii="Times New Roman" w:cs="Times New Roman" w:eastAsia="Times New Roman" w:hAnsi="Times New Roman"/>
          <w:sz w:val="20"/>
          <w:szCs w:val="20"/>
          <w:color w:val="auto"/>
        </w:rPr>
        <w:t>, as applicable, are several and are not joint or joint and several. The failure of any Lender to make available its Commitment Percentage of any Loan requested by any Borrower shall not relieve it or any other Lender of its obligation, if any, hereunder to make its Commitment Percentage of such Loan available on the borrowing date, but no Lender shall be responsible for the failure of any other Lender to make its Commitment Percentage of such Loan available on the borrowing date.</w:t>
      </w:r>
    </w:p>
    <w:p>
      <w:pPr>
        <w:spacing w:after="0" w:line="191" w:lineRule="exact"/>
        <w:rPr>
          <w:sz w:val="20"/>
          <w:szCs w:val="20"/>
          <w:color w:val="auto"/>
        </w:rPr>
      </w:pPr>
    </w:p>
    <w:p>
      <w:pPr>
        <w:ind w:left="678"/>
        <w:spacing w:after="0"/>
        <w:tabs>
          <w:tab w:leader="none" w:pos="1998" w:val="left"/>
        </w:tabs>
        <w:rPr>
          <w:sz w:val="20"/>
          <w:szCs w:val="20"/>
          <w:color w:val="auto"/>
        </w:rPr>
      </w:pPr>
      <w:r>
        <w:rPr>
          <w:rFonts w:ascii="Times New Roman" w:cs="Times New Roman" w:eastAsia="Times New Roman" w:hAnsi="Times New Roman"/>
          <w:sz w:val="20"/>
          <w:szCs w:val="20"/>
          <w:color w:val="auto"/>
        </w:rPr>
        <w:t>SECTION 5.8</w:t>
      </w:r>
      <w:r>
        <w:rPr>
          <w:sz w:val="20"/>
          <w:szCs w:val="20"/>
          <w:color w:val="auto"/>
        </w:rPr>
        <w:tab/>
      </w:r>
      <w:r>
        <w:rPr>
          <w:rFonts w:ascii="Times New Roman" w:cs="Times New Roman" w:eastAsia="Times New Roman" w:hAnsi="Times New Roman"/>
          <w:sz w:val="19"/>
          <w:szCs w:val="19"/>
          <w:u w:val="single" w:color="auto"/>
          <w:color w:val="auto"/>
        </w:rPr>
        <w:t>Changed Circumstances</w:t>
      </w:r>
      <w:r>
        <w:rPr>
          <w:rFonts w:ascii="Times New Roman" w:cs="Times New Roman" w:eastAsia="Times New Roman" w:hAnsi="Times New Roman"/>
          <w:sz w:val="19"/>
          <w:szCs w:val="19"/>
          <w:color w:val="auto"/>
        </w:rPr>
        <w:t>.</w:t>
      </w:r>
    </w:p>
    <w:p>
      <w:pPr>
        <w:spacing w:after="0" w:line="283" w:lineRule="exact"/>
        <w:rPr>
          <w:sz w:val="20"/>
          <w:szCs w:val="20"/>
          <w:color w:val="auto"/>
        </w:rPr>
      </w:pPr>
    </w:p>
    <w:p>
      <w:pPr>
        <w:jc w:val="both"/>
        <w:ind w:left="38" w:firstLine="646"/>
        <w:spacing w:after="0" w:line="217" w:lineRule="auto"/>
        <w:tabs>
          <w:tab w:leader="none" w:pos="1243" w:val="left"/>
        </w:tabs>
        <w:numPr>
          <w:ilvl w:val="0"/>
          <w:numId w:val="2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Circumstances Affecting LIBOR Rate</w:t>
      </w:r>
      <w:r>
        <w:rPr>
          <w:rFonts w:ascii="Times New Roman" w:cs="Times New Roman" w:eastAsia="Times New Roman" w:hAnsi="Times New Roman"/>
          <w:sz w:val="20"/>
          <w:szCs w:val="20"/>
          <w:u w:val="single" w:color="auto"/>
          <w:color w:val="0000FF"/>
        </w:rPr>
        <w:t>, SOFR</w:t>
      </w:r>
      <w:r>
        <w:rPr>
          <w:rFonts w:ascii="Times New Roman" w:cs="Times New Roman" w:eastAsia="Times New Roman" w:hAnsi="Times New Roman"/>
          <w:sz w:val="20"/>
          <w:szCs w:val="20"/>
          <w:color w:val="auto"/>
        </w:rPr>
        <w:t xml:space="preserve"> or CDOR Rate Availability. Subject to clause (c) below, in connection with any request for (x) a LIBOR Rate Loan (or a Base Rate Loan as to which the interest rate is determined with reference to LIBOR</w:t>
      </w:r>
      <w:r>
        <w:rPr>
          <w:rFonts w:ascii="Times New Roman" w:cs="Times New Roman" w:eastAsia="Times New Roman" w:hAnsi="Times New Roman"/>
          <w:sz w:val="20"/>
          <w:szCs w:val="20"/>
          <w:color w:val="0000FF"/>
        </w:rPr>
        <w:t>)</w:t>
      </w:r>
      <w:r>
        <w:rPr>
          <w:rFonts w:ascii="Times New Roman" w:cs="Times New Roman" w:eastAsia="Times New Roman" w:hAnsi="Times New Roman"/>
          <w:sz w:val="20"/>
          <w:szCs w:val="20"/>
          <w:color w:val="auto"/>
        </w:rPr>
        <w:t xml:space="preserve"> or a conversion to or continuation thereof</w:t>
      </w:r>
      <w:r>
        <w:rPr>
          <w:rFonts w:ascii="Times New Roman" w:cs="Times New Roman" w:eastAsia="Times New Roman" w:hAnsi="Times New Roman"/>
          <w:sz w:val="20"/>
          <w:szCs w:val="20"/>
          <w:color w:val="FF0000"/>
        </w:rPr>
        <w:t>)</w:t>
      </w:r>
      <w:r>
        <w:rPr>
          <w:rFonts w:ascii="Times New Roman" w:cs="Times New Roman" w:eastAsia="Times New Roman" w:hAnsi="Times New Roman"/>
          <w:sz w:val="20"/>
          <w:szCs w:val="20"/>
          <w:color w:val="0000FF"/>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(y) a SOFR Loan (or a Base Rate Loan as to which the interest rate is determined with reference to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Adjusted Term SOFR) or a conversion to or continuation thereof</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or (</w:t>
      </w:r>
      <w:r>
        <w:rPr>
          <w:rFonts w:ascii="Times New Roman" w:cs="Times New Roman" w:eastAsia="Times New Roman" w:hAnsi="Times New Roman"/>
          <w:sz w:val="20"/>
          <w:szCs w:val="20"/>
          <w:color w:val="FF0000"/>
          <w:strike w:val="1"/>
        </w:rPr>
        <w:t>y</w:t>
      </w:r>
      <w:r>
        <w:rPr>
          <w:rFonts w:ascii="Times New Roman" w:cs="Times New Roman" w:eastAsia="Times New Roman" w:hAnsi="Times New Roman"/>
          <w:sz w:val="20"/>
          <w:szCs w:val="20"/>
          <w:u w:val="single" w:color="auto"/>
          <w:color w:val="0000FF"/>
        </w:rPr>
        <w:t>z</w:t>
      </w:r>
      <w:r>
        <w:rPr>
          <w:rFonts w:ascii="Times New Roman" w:cs="Times New Roman" w:eastAsia="Times New Roman" w:hAnsi="Times New Roman"/>
          <w:sz w:val="20"/>
          <w:szCs w:val="20"/>
          <w:color w:val="000000"/>
        </w:rPr>
        <w:t>) a CDOR Rate Loan (or a Canadian Base Rate Loan as to which</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the interest rate is determined with reference to the CDOR Rate or a conversion thereof) or otherwise, if for any reason</w:t>
      </w:r>
    </w:p>
    <w:p>
      <w:pPr>
        <w:spacing w:after="0" w:line="202" w:lineRule="exact"/>
        <w:rPr>
          <w:rFonts w:ascii="Times New Roman" w:cs="Times New Roman" w:eastAsia="Times New Roman" w:hAnsi="Times New Roman"/>
          <w:sz w:val="20"/>
          <w:szCs w:val="20"/>
          <w:color w:val="auto"/>
        </w:rPr>
      </w:pPr>
    </w:p>
    <w:p>
      <w:pPr>
        <w:jc w:val="both"/>
        <w:ind w:left="678" w:firstLine="654"/>
        <w:spacing w:after="0" w:line="226" w:lineRule="auto"/>
        <w:tabs>
          <w:tab w:leader="none" w:pos="1878" w:val="left"/>
        </w:tabs>
        <w:numPr>
          <w:ilvl w:val="1"/>
          <w:numId w:val="2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 proposed LIBOR Rate Loan, the Administrative Agent shall determine (which determination shall be conclusive and binding absent manifest error) that Dollar deposits are not being offered to banks in the London interbank Eurodollar market for the applicable amount and Interest Period of such Loan,</w:t>
      </w:r>
    </w:p>
    <w:p>
      <w:pPr>
        <w:spacing w:after="0" w:line="187" w:lineRule="exact"/>
        <w:rPr>
          <w:rFonts w:ascii="Times New Roman" w:cs="Times New Roman" w:eastAsia="Times New Roman" w:hAnsi="Times New Roman"/>
          <w:sz w:val="20"/>
          <w:szCs w:val="20"/>
          <w:color w:val="auto"/>
        </w:rPr>
      </w:pPr>
    </w:p>
    <w:p>
      <w:pPr>
        <w:ind w:left="678" w:firstLine="654"/>
        <w:spacing w:after="0" w:line="215" w:lineRule="auto"/>
        <w:tabs>
          <w:tab w:leader="none" w:pos="1877" w:val="left"/>
        </w:tabs>
        <w:numPr>
          <w:ilvl w:val="1"/>
          <w:numId w:val="2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determine (which determination shall be conclusive and binding absent manifest error) that reasonable and adequate means do not exist for ascertaining</w:t>
      </w:r>
    </w:p>
    <w:p>
      <w:pPr>
        <w:spacing w:after="0" w:line="1" w:lineRule="exact"/>
        <w:rPr>
          <w:sz w:val="20"/>
          <w:szCs w:val="20"/>
          <w:color w:val="auto"/>
        </w:rPr>
      </w:pPr>
    </w:p>
    <w:p>
      <w:pPr>
        <w:jc w:val="both"/>
        <w:ind w:left="678" w:firstLine="5"/>
        <w:spacing w:after="0" w:line="215" w:lineRule="auto"/>
        <w:tabs>
          <w:tab w:leader="none" w:pos="1236" w:val="left"/>
        </w:tabs>
        <w:numPr>
          <w:ilvl w:val="0"/>
          <w:numId w:val="2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LIBOR Rate for such Interest Period with respect to a proposed LIBOR Rate Loan (or any Base Rate Loan as to which the interest rate is determined with reference to LIBOR)</w:t>
      </w:r>
      <w:r>
        <w:rPr>
          <w:rFonts w:ascii="Times New Roman" w:cs="Times New Roman" w:eastAsia="Times New Roman" w:hAnsi="Times New Roman"/>
          <w:sz w:val="20"/>
          <w:szCs w:val="20"/>
          <w:u w:val="single" w:color="auto"/>
          <w:color w:val="0000FF"/>
        </w:rPr>
        <w:t>, (B) Adjusted Term SOFR for the applicable Interest Period with respect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to a proposed SOFR Loan on or prior to the first date of such Interest Period</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or (</w:t>
      </w:r>
      <w:r>
        <w:rPr>
          <w:rFonts w:ascii="Times New Roman" w:cs="Times New Roman" w:eastAsia="Times New Roman" w:hAnsi="Times New Roman"/>
          <w:sz w:val="20"/>
          <w:szCs w:val="20"/>
          <w:color w:val="FF0000"/>
          <w:strike w:val="1"/>
        </w:rPr>
        <w:t>B</w:t>
      </w:r>
      <w:r>
        <w:rPr>
          <w:rFonts w:ascii="Times New Roman" w:cs="Times New Roman" w:eastAsia="Times New Roman" w:hAnsi="Times New Roman"/>
          <w:sz w:val="20"/>
          <w:szCs w:val="20"/>
          <w:u w:val="single" w:color="auto"/>
          <w:color w:val="0000FF"/>
        </w:rPr>
        <w:t>C</w:t>
      </w:r>
      <w:r>
        <w:rPr>
          <w:rFonts w:ascii="Times New Roman" w:cs="Times New Roman" w:eastAsia="Times New Roman" w:hAnsi="Times New Roman"/>
          <w:sz w:val="20"/>
          <w:szCs w:val="20"/>
          <w:color w:val="000000"/>
        </w:rPr>
        <w:t>) the CDOR Rate for such Interest Period with</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respect to a proposed CDOR Rate Loan (or any Canadian Base Rate Loan as to which the interest rate is determined with reference to the CDOR Rate),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38"/>
        <w:spacing w:after="0"/>
        <w:rPr>
          <w:sz w:val="20"/>
          <w:szCs w:val="20"/>
          <w:color w:val="auto"/>
        </w:rPr>
      </w:pPr>
      <w:r>
        <w:rPr>
          <w:rFonts w:ascii="Times New Roman" w:cs="Times New Roman" w:eastAsia="Times New Roman" w:hAnsi="Times New Roman"/>
          <w:sz w:val="14"/>
          <w:szCs w:val="14"/>
          <w:color w:val="FF0000"/>
          <w:strike w:val="1"/>
        </w:rPr>
        <w:t>146960219_6</w:t>
      </w:r>
    </w:p>
    <w:p>
      <w:pPr>
        <w:spacing w:after="0" w:line="4" w:lineRule="exact"/>
        <w:rPr>
          <w:sz w:val="20"/>
          <w:szCs w:val="20"/>
          <w:color w:val="auto"/>
        </w:rPr>
      </w:pPr>
    </w:p>
    <w:p>
      <w:pPr>
        <w:ind w:left="338" w:hanging="338"/>
        <w:spacing w:after="0"/>
        <w:tabs>
          <w:tab w:leader="none" w:pos="338" w:val="left"/>
        </w:tabs>
        <w:numPr>
          <w:ilvl w:val="0"/>
          <w:numId w:val="217"/>
        </w:numPr>
        <w:rPr>
          <w:rFonts w:ascii="Times New Roman" w:cs="Times New Roman" w:eastAsia="Times New Roman" w:hAnsi="Times New Roman"/>
          <w:sz w:val="20"/>
          <w:szCs w:val="20"/>
          <w:color w:val="auto"/>
        </w:rPr>
      </w:pP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078"/>
          </w:cols>
          <w:pgMar w:left="382" w:top="1394" w:right="439" w:bottom="1440" w:gutter="0" w:footer="0" w:header="0"/>
        </w:sectPr>
      </w:pPr>
    </w:p>
    <w:bookmarkStart w:id="164" w:name="page165"/>
    <w:bookmarkEnd w:id="164"/>
    <w:p>
      <w:pPr>
        <w:spacing w:after="0" w:line="203" w:lineRule="exact"/>
        <w:rPr>
          <w:sz w:val="20"/>
          <w:szCs w:val="20"/>
          <w:color w:val="auto"/>
        </w:rPr>
      </w:pPr>
    </w:p>
    <w:p>
      <w:pPr>
        <w:jc w:val="both"/>
        <w:ind w:left="678" w:firstLine="654"/>
        <w:spacing w:after="0" w:line="226" w:lineRule="auto"/>
        <w:tabs>
          <w:tab w:leader="none" w:pos="1878" w:val="left"/>
        </w:tabs>
        <w:numPr>
          <w:ilvl w:val="0"/>
          <w:numId w:val="2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Required Lenders shall determine (which determination shall be conclusive and binding absent manifest error) that the LIBOR Rate</w:t>
      </w:r>
      <w:r>
        <w:rPr>
          <w:rFonts w:ascii="Times New Roman" w:cs="Times New Roman" w:eastAsia="Times New Roman" w:hAnsi="Times New Roman"/>
          <w:sz w:val="20"/>
          <w:szCs w:val="20"/>
          <w:u w:val="single" w:color="auto"/>
          <w:color w:val="0000FF"/>
        </w:rPr>
        <w:t>, Adjusted Term SOFR</w:t>
      </w:r>
      <w:r>
        <w:rPr>
          <w:rFonts w:ascii="Times New Roman" w:cs="Times New Roman" w:eastAsia="Times New Roman" w:hAnsi="Times New Roman"/>
          <w:sz w:val="20"/>
          <w:szCs w:val="20"/>
          <w:color w:val="auto"/>
        </w:rPr>
        <w:t xml:space="preserve"> or CDOR Rate, as applicable, does not adequately and fairly reflect the cost to such Lenders of making or maintaining such Loans during such Interest Period,</w:t>
      </w:r>
    </w:p>
    <w:p>
      <w:pPr>
        <w:spacing w:after="0" w:line="201" w:lineRule="exact"/>
        <w:rPr>
          <w:sz w:val="20"/>
          <w:szCs w:val="20"/>
          <w:color w:val="auto"/>
        </w:rPr>
      </w:pPr>
    </w:p>
    <w:p>
      <w:pPr>
        <w:ind w:left="38"/>
        <w:spacing w:after="0" w:line="215" w:lineRule="auto"/>
        <w:rPr>
          <w:sz w:val="20"/>
          <w:szCs w:val="20"/>
          <w:color w:val="auto"/>
        </w:rPr>
      </w:pPr>
      <w:r>
        <w:rPr>
          <w:rFonts w:ascii="Times New Roman" w:cs="Times New Roman" w:eastAsia="Times New Roman" w:hAnsi="Times New Roman"/>
          <w:sz w:val="20"/>
          <w:szCs w:val="20"/>
          <w:color w:val="auto"/>
        </w:rPr>
        <w:t>then</w:t>
      </w:r>
      <w:r>
        <w:rPr>
          <w:rFonts w:ascii="Times New Roman" w:cs="Times New Roman" w:eastAsia="Times New Roman" w:hAnsi="Times New Roman"/>
          <w:sz w:val="20"/>
          <w:szCs w:val="20"/>
          <w:u w:val="single" w:color="auto"/>
          <w:color w:val="0000FF"/>
        </w:rPr>
        <w:t>, in each case,</w:t>
      </w:r>
      <w:r>
        <w:rPr>
          <w:rFonts w:ascii="Times New Roman" w:cs="Times New Roman" w:eastAsia="Times New Roman" w:hAnsi="Times New Roman"/>
          <w:sz w:val="20"/>
          <w:szCs w:val="20"/>
          <w:color w:val="auto"/>
        </w:rPr>
        <w:t xml:space="preserve"> the Administrative Agent shall promptly give notice thereof to Centuri. Thereafter, until the Administrative Agent notifies Centuri that such circumstances no longer exist, the obligation of the Lenders to make LIBOR Rate Loans (or Base Rate Loans as</w:t>
      </w:r>
    </w:p>
    <w:p>
      <w:pPr>
        <w:ind w:left="38"/>
        <w:spacing w:after="0" w:line="224" w:lineRule="auto"/>
        <w:rPr>
          <w:sz w:val="20"/>
          <w:szCs w:val="20"/>
          <w:color w:val="auto"/>
        </w:rPr>
      </w:pPr>
      <w:r>
        <w:rPr>
          <w:rFonts w:ascii="Times New Roman" w:cs="Times New Roman" w:eastAsia="Times New Roman" w:hAnsi="Times New Roman"/>
          <w:sz w:val="19"/>
          <w:szCs w:val="19"/>
          <w:color w:val="auto"/>
        </w:rPr>
        <w:t>to which the interest rate is determined with reference to LIBOR)</w:t>
      </w:r>
      <w:r>
        <w:rPr>
          <w:rFonts w:ascii="Times New Roman" w:cs="Times New Roman" w:eastAsia="Times New Roman" w:hAnsi="Times New Roman"/>
          <w:sz w:val="19"/>
          <w:szCs w:val="19"/>
          <w:u w:val="single" w:color="auto"/>
          <w:color w:val="0000FF"/>
        </w:rPr>
        <w:t>, SOFR Loans</w:t>
      </w:r>
      <w:r>
        <w:rPr>
          <w:rFonts w:ascii="Times New Roman" w:cs="Times New Roman" w:eastAsia="Times New Roman" w:hAnsi="Times New Roman"/>
          <w:sz w:val="19"/>
          <w:szCs w:val="19"/>
          <w:color w:val="auto"/>
        </w:rPr>
        <w:t xml:space="preserve"> or CDOR Rate Loans (or Canadian Base Rate Loans as to</w:t>
      </w:r>
    </w:p>
    <w:p>
      <w:pPr>
        <w:jc w:val="both"/>
        <w:ind w:left="38"/>
        <w:spacing w:after="0" w:line="204" w:lineRule="auto"/>
        <w:rPr>
          <w:sz w:val="20"/>
          <w:szCs w:val="20"/>
          <w:color w:val="auto"/>
        </w:rPr>
      </w:pPr>
      <w:r>
        <w:rPr>
          <w:rFonts w:ascii="Times New Roman" w:cs="Times New Roman" w:eastAsia="Times New Roman" w:hAnsi="Times New Roman"/>
          <w:sz w:val="20"/>
          <w:szCs w:val="20"/>
          <w:color w:val="auto"/>
        </w:rPr>
        <w:t>which the interest rate is determined with reference to CDOR), as applicable, and the right of any Borrower to convert any Loan to or continue any Loan as a LIBOR Rate Loan (or a Base Rate Loan as to which the interest rate is determined with reference to LIBOR)</w:t>
      </w:r>
      <w:r>
        <w:rPr>
          <w:rFonts w:ascii="Times New Roman" w:cs="Times New Roman" w:eastAsia="Times New Roman" w:hAnsi="Times New Roman"/>
          <w:sz w:val="20"/>
          <w:szCs w:val="20"/>
          <w:u w:val="single" w:color="auto"/>
          <w:color w:val="0000FF"/>
        </w:rPr>
        <w:t>,</w:t>
      </w:r>
    </w:p>
    <w:p>
      <w:pPr>
        <w:ind w:left="38"/>
        <w:spacing w:after="0" w:line="211" w:lineRule="auto"/>
        <w:rPr>
          <w:sz w:val="20"/>
          <w:szCs w:val="20"/>
          <w:color w:val="auto"/>
        </w:rPr>
      </w:pPr>
      <w:r>
        <w:rPr>
          <w:rFonts w:ascii="Times New Roman" w:cs="Times New Roman" w:eastAsia="Times New Roman" w:hAnsi="Times New Roman"/>
          <w:sz w:val="20"/>
          <w:szCs w:val="20"/>
          <w:u w:val="single" w:color="auto"/>
          <w:color w:val="0000FF"/>
        </w:rPr>
        <w:t>SOFR Loan (or a Base Rate Loan as to which the interest rate is determined with reference to Adjusted Term SOFR)</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or a CDOR Rate</w:t>
      </w:r>
    </w:p>
    <w:p>
      <w:pPr>
        <w:spacing w:after="0" w:line="1" w:lineRule="exact"/>
        <w:rPr>
          <w:sz w:val="20"/>
          <w:szCs w:val="20"/>
          <w:color w:val="auto"/>
        </w:rPr>
      </w:pPr>
    </w:p>
    <w:p>
      <w:pPr>
        <w:ind w:left="38"/>
        <w:spacing w:after="0" w:line="204" w:lineRule="auto"/>
        <w:rPr>
          <w:sz w:val="20"/>
          <w:szCs w:val="20"/>
          <w:color w:val="auto"/>
        </w:rPr>
      </w:pPr>
      <w:r>
        <w:rPr>
          <w:rFonts w:ascii="Times New Roman" w:cs="Times New Roman" w:eastAsia="Times New Roman" w:hAnsi="Times New Roman"/>
          <w:sz w:val="20"/>
          <w:szCs w:val="20"/>
          <w:color w:val="auto"/>
        </w:rPr>
        <w:t>Loan (or Canadian Base Rate Loan as to which the interest rate is determined with reference to CDOR), as applicable, shall be suspended, and</w:t>
      </w:r>
    </w:p>
    <w:p>
      <w:pPr>
        <w:spacing w:after="0" w:line="1" w:lineRule="exact"/>
        <w:rPr>
          <w:sz w:val="20"/>
          <w:szCs w:val="20"/>
          <w:color w:val="auto"/>
        </w:rPr>
      </w:pPr>
    </w:p>
    <w:p>
      <w:pPr>
        <w:jc w:val="both"/>
        <w:ind w:left="38" w:hanging="2"/>
        <w:spacing w:after="0" w:line="208" w:lineRule="auto"/>
        <w:tabs>
          <w:tab w:leader="none" w:pos="589" w:val="left"/>
        </w:tabs>
        <w:numPr>
          <w:ilvl w:val="0"/>
          <w:numId w:val="2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LIBOR Rate Loans, the applicable Borrower shall either (A) repay in full (or cause to be repaid in full) the then outstanding principal amount of each such LIBOR Rate Loan made to it together with accrued interest thereon (subject to </w:t>
      </w:r>
      <w:r>
        <w:rPr>
          <w:rFonts w:ascii="Times New Roman" w:cs="Times New Roman" w:eastAsia="Times New Roman" w:hAnsi="Times New Roman"/>
          <w:sz w:val="20"/>
          <w:szCs w:val="20"/>
          <w:u w:val="single" w:color="auto"/>
          <w:color w:val="auto"/>
        </w:rPr>
        <w:t>Section 5.1(d)</w:t>
      </w:r>
      <w:r>
        <w:rPr>
          <w:rFonts w:ascii="Times New Roman" w:cs="Times New Roman" w:eastAsia="Times New Roman" w:hAnsi="Times New Roman"/>
          <w:sz w:val="20"/>
          <w:szCs w:val="20"/>
          <w:color w:val="auto"/>
        </w:rPr>
        <w:t>), on the last day of the then current Interest Period applicable to such LIBOR Rate Loan; or (B) convert the then outstanding principal amount of each such LIBOR Rate Loan made to it to a Base Rate Loan as to which the interest rate is not determined by reference to LIBOR as of the last day of such Interest Period; (ii</w:t>
      </w:r>
      <w:r>
        <w:rPr>
          <w:rFonts w:ascii="Times New Roman" w:cs="Times New Roman" w:eastAsia="Times New Roman" w:hAnsi="Times New Roman"/>
          <w:sz w:val="20"/>
          <w:szCs w:val="20"/>
          <w:u w:val="single" w:color="auto"/>
          <w:color w:val="0000FF"/>
        </w:rPr>
        <w:t>) in the case of SOFR Loans, the applicable Borrower shall either (A) repay in full (or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cause to be repaid in full) the then outstanding principal amount of each such SOFR Loan made to it together with accrued interest thereon (subject to Section 5.1(d)), on the last day of the then current Interest Period applicable to such SOFR Loan; or (B) convert the then outstanding principal amount of each such SOFR Loan made to it to a Base Rate Loan as to which the interest rate is not determined by reference to Adjusted Term SOFR as of the last day of such Interest Period; (iii</w:t>
      </w:r>
      <w:r>
        <w:rPr>
          <w:rFonts w:ascii="Times New Roman" w:cs="Times New Roman" w:eastAsia="Times New Roman" w:hAnsi="Times New Roman"/>
          <w:sz w:val="20"/>
          <w:szCs w:val="20"/>
          <w:color w:val="000000"/>
        </w:rPr>
        <w:t>) in the case of Base Rate Loans as to which the interest rate</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 xml:space="preserve">is determined by reference to LIBOR </w:t>
      </w:r>
      <w:r>
        <w:rPr>
          <w:rFonts w:ascii="Times New Roman" w:cs="Times New Roman" w:eastAsia="Times New Roman" w:hAnsi="Times New Roman"/>
          <w:sz w:val="20"/>
          <w:szCs w:val="20"/>
          <w:u w:val="single" w:color="auto"/>
          <w:color w:val="0000FF"/>
        </w:rPr>
        <w:t>or Adjusted Term SOFR (as applicable)</w:t>
      </w:r>
      <w:r>
        <w:rPr>
          <w:rFonts w:ascii="Times New Roman" w:cs="Times New Roman" w:eastAsia="Times New Roman" w:hAnsi="Times New Roman"/>
          <w:sz w:val="20"/>
          <w:szCs w:val="20"/>
          <w:color w:val="000000"/>
        </w:rPr>
        <w:t xml:space="preserve">, the US Borrowers shall convert the then outstanding principal amount of each such Loan to a Base Rate Loan as to which the interest rate is not determined by reference to LIBOR </w:t>
      </w:r>
      <w:r>
        <w:rPr>
          <w:rFonts w:ascii="Times New Roman" w:cs="Times New Roman" w:eastAsia="Times New Roman" w:hAnsi="Times New Roman"/>
          <w:sz w:val="20"/>
          <w:szCs w:val="20"/>
          <w:u w:val="single" w:color="auto"/>
          <w:color w:val="0000FF"/>
        </w:rPr>
        <w:t>or Adjusted</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00FF"/>
        </w:rPr>
        <w:t>Term SOFR (as applicable)</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as of the last day of such Interest Period; or (</w:t>
      </w:r>
      <w:r>
        <w:rPr>
          <w:rFonts w:ascii="Times New Roman" w:cs="Times New Roman" w:eastAsia="Times New Roman" w:hAnsi="Times New Roman"/>
          <w:sz w:val="20"/>
          <w:szCs w:val="20"/>
          <w:color w:val="FF0000"/>
          <w:strike w:val="1"/>
        </w:rPr>
        <w:t>iii</w:t>
      </w:r>
      <w:r>
        <w:rPr>
          <w:rFonts w:ascii="Times New Roman" w:cs="Times New Roman" w:eastAsia="Times New Roman" w:hAnsi="Times New Roman"/>
          <w:sz w:val="20"/>
          <w:szCs w:val="20"/>
          <w:u w:val="single" w:color="auto"/>
          <w:color w:val="0000FF"/>
        </w:rPr>
        <w:t>iv</w:t>
      </w:r>
      <w:r>
        <w:rPr>
          <w:rFonts w:ascii="Times New Roman" w:cs="Times New Roman" w:eastAsia="Times New Roman" w:hAnsi="Times New Roman"/>
          <w:sz w:val="20"/>
          <w:szCs w:val="20"/>
          <w:color w:val="000000"/>
        </w:rPr>
        <w:t>) in the case of CDOR Rate Loans (or Canadian Base Rate</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Loans as to which the interest rate is determined by reference to the CDOR Rate), the Canadian Borrowers shall convert the then outstanding principal amount of each such Loan to a Canadian Base Rate Loan as to which the interest rate is not determined by reference to the CDOR Rate.</w:t>
      </w:r>
    </w:p>
    <w:p>
      <w:pPr>
        <w:spacing w:after="0" w:line="201" w:lineRule="exact"/>
        <w:rPr>
          <w:rFonts w:ascii="Times New Roman" w:cs="Times New Roman" w:eastAsia="Times New Roman" w:hAnsi="Times New Roman"/>
          <w:sz w:val="20"/>
          <w:szCs w:val="20"/>
          <w:color w:val="auto"/>
        </w:rPr>
      </w:pPr>
    </w:p>
    <w:p>
      <w:pPr>
        <w:jc w:val="both"/>
        <w:ind w:left="38" w:firstLine="646"/>
        <w:spacing w:after="0" w:line="212" w:lineRule="auto"/>
        <w:tabs>
          <w:tab w:leader="none" w:pos="1241" w:val="left"/>
        </w:tabs>
        <w:numPr>
          <w:ilvl w:val="1"/>
          <w:numId w:val="2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Laws Affecting LIBOR Rate</w:t>
      </w:r>
      <w:r>
        <w:rPr>
          <w:rFonts w:ascii="Times New Roman" w:cs="Times New Roman" w:eastAsia="Times New Roman" w:hAnsi="Times New Roman"/>
          <w:sz w:val="20"/>
          <w:szCs w:val="20"/>
          <w:u w:val="single" w:color="auto"/>
          <w:color w:val="0000FF"/>
        </w:rPr>
        <w:t>, SOFR</w:t>
      </w:r>
      <w:r>
        <w:rPr>
          <w:rFonts w:ascii="Times New Roman" w:cs="Times New Roman" w:eastAsia="Times New Roman" w:hAnsi="Times New Roman"/>
          <w:sz w:val="20"/>
          <w:szCs w:val="20"/>
          <w:color w:val="auto"/>
        </w:rPr>
        <w:t xml:space="preserve"> or CDOR Rate Availability. If, after the date hereof, the introduction of, or any change in, any Applicable Law or any change in the interpretation or administration thereof by any Governmental Authority, central bank or comparable agency charged with the interpretation or administration thereof, or compliance by any of the Lenders (or any of their respective Lending Offices) with any request or directive (whether or not having the force of law) of any such Governmental Authority, central bank or comparable agency, shall make it unlawful or impossible for any of the Lenders (or any of their respective Lending Offices) to honor its obligations hereunder to make or maintain (x) any LIBOR Rate Loan (or any Base Rate Loan as to which the interest rate is determined by reference to LIBOR)</w:t>
      </w:r>
      <w:r>
        <w:rPr>
          <w:rFonts w:ascii="Times New Roman" w:cs="Times New Roman" w:eastAsia="Times New Roman" w:hAnsi="Times New Roman"/>
          <w:sz w:val="20"/>
          <w:szCs w:val="20"/>
          <w:u w:val="single" w:color="auto"/>
          <w:color w:val="0000FF"/>
        </w:rPr>
        <w:t>, (y) any SOFR Loan or to determine or charge interest based upon SOFR, the Term SOFR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Reference Rate, Adjusted Term SOFR or Term SOFR</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or (</w:t>
      </w:r>
      <w:r>
        <w:rPr>
          <w:rFonts w:ascii="Times New Roman" w:cs="Times New Roman" w:eastAsia="Times New Roman" w:hAnsi="Times New Roman"/>
          <w:sz w:val="20"/>
          <w:szCs w:val="20"/>
          <w:color w:val="FF0000"/>
          <w:strike w:val="1"/>
        </w:rPr>
        <w:t>y</w:t>
      </w:r>
      <w:r>
        <w:rPr>
          <w:rFonts w:ascii="Times New Roman" w:cs="Times New Roman" w:eastAsia="Times New Roman" w:hAnsi="Times New Roman"/>
          <w:sz w:val="20"/>
          <w:szCs w:val="20"/>
          <w:u w:val="single" w:color="auto"/>
          <w:color w:val="0000FF"/>
        </w:rPr>
        <w:t>z</w:t>
      </w:r>
      <w:r>
        <w:rPr>
          <w:rFonts w:ascii="Times New Roman" w:cs="Times New Roman" w:eastAsia="Times New Roman" w:hAnsi="Times New Roman"/>
          <w:sz w:val="20"/>
          <w:szCs w:val="20"/>
          <w:color w:val="000000"/>
        </w:rPr>
        <w:t>) any CDOR Rate Loan (or any Canadian Base Rate Loan as to which the</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interest rate is determined by reference to the CDOR Rate), such Lender shall promptly give notice thereof to the Administrative Agent and the Administrative Agent shall promptly give notice to Centuri and the other Lenders. Thereafter, until the Administrative Agent notifies Centuri that such circumstances no longer exist: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38"/>
        <w:spacing w:after="0"/>
        <w:rPr>
          <w:sz w:val="20"/>
          <w:szCs w:val="20"/>
          <w:color w:val="auto"/>
        </w:rPr>
      </w:pPr>
      <w:r>
        <w:rPr>
          <w:rFonts w:ascii="Times New Roman" w:cs="Times New Roman" w:eastAsia="Times New Roman" w:hAnsi="Times New Roman"/>
          <w:sz w:val="14"/>
          <w:szCs w:val="14"/>
          <w:color w:val="FF0000"/>
          <w:strike w:val="1"/>
        </w:rPr>
        <w:t>146960219_6</w:t>
      </w:r>
    </w:p>
    <w:p>
      <w:pPr>
        <w:spacing w:after="0" w:line="4" w:lineRule="exact"/>
        <w:rPr>
          <w:sz w:val="20"/>
          <w:szCs w:val="20"/>
          <w:color w:val="auto"/>
        </w:rPr>
      </w:pPr>
    </w:p>
    <w:p>
      <w:pPr>
        <w:ind w:left="338" w:hanging="338"/>
        <w:spacing w:after="0"/>
        <w:tabs>
          <w:tab w:leader="none" w:pos="338" w:val="left"/>
        </w:tabs>
        <w:numPr>
          <w:ilvl w:val="0"/>
          <w:numId w:val="220"/>
        </w:numPr>
        <w:rPr>
          <w:rFonts w:ascii="Times New Roman" w:cs="Times New Roman" w:eastAsia="Times New Roman" w:hAnsi="Times New Roman"/>
          <w:sz w:val="20"/>
          <w:szCs w:val="20"/>
          <w:color w:val="auto"/>
        </w:rPr>
      </w:pP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078"/>
          </w:cols>
          <w:pgMar w:left="382" w:top="1440" w:right="439" w:bottom="1440" w:gutter="0" w:footer="0" w:header="0"/>
        </w:sectPr>
      </w:pPr>
    </w:p>
    <w:bookmarkStart w:id="165" w:name="page166"/>
    <w:bookmarkEnd w:id="165"/>
    <w:p>
      <w:pPr>
        <w:spacing w:after="0" w:line="203" w:lineRule="exact"/>
        <w:rPr>
          <w:sz w:val="20"/>
          <w:szCs w:val="20"/>
          <w:color w:val="auto"/>
        </w:rPr>
      </w:pPr>
    </w:p>
    <w:p>
      <w:pPr>
        <w:jc w:val="both"/>
        <w:ind w:left="678" w:firstLine="654"/>
        <w:spacing w:after="0" w:line="214" w:lineRule="auto"/>
        <w:tabs>
          <w:tab w:leader="none" w:pos="1933" w:val="left"/>
        </w:tabs>
        <w:numPr>
          <w:ilvl w:val="1"/>
          <w:numId w:val="2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obligations of the Lenders to make LIBOR Rate Loans (or Base Rate Loans as to which the interest rate is determined by reference to LIBOR)</w:t>
      </w:r>
      <w:r>
        <w:rPr>
          <w:rFonts w:ascii="Times New Roman" w:cs="Times New Roman" w:eastAsia="Times New Roman" w:hAnsi="Times New Roman"/>
          <w:sz w:val="20"/>
          <w:szCs w:val="20"/>
          <w:u w:val="single" w:color="auto"/>
          <w:color w:val="0000FF"/>
        </w:rPr>
        <w:t>, SOFR Loans</w:t>
      </w:r>
      <w:r>
        <w:rPr>
          <w:rFonts w:ascii="Times New Roman" w:cs="Times New Roman" w:eastAsia="Times New Roman" w:hAnsi="Times New Roman"/>
          <w:sz w:val="20"/>
          <w:szCs w:val="20"/>
          <w:color w:val="auto"/>
        </w:rPr>
        <w:t xml:space="preserve"> or CDOR Rate Loans (or Canadian Base Rate Loans as to which the interest rate is determined by reference to the CDOR Rate), as applicable, and the right of the Borrowers to convert any Loan to a LIBOR Rate Loan </w:t>
      </w:r>
      <w:r>
        <w:rPr>
          <w:rFonts w:ascii="Times New Roman" w:cs="Times New Roman" w:eastAsia="Times New Roman" w:hAnsi="Times New Roman"/>
          <w:sz w:val="20"/>
          <w:szCs w:val="20"/>
          <w:u w:val="single" w:color="auto"/>
          <w:color w:val="0000FF"/>
        </w:rPr>
        <w:t>or SOFR Loan (as applicable)</w:t>
      </w:r>
      <w:r>
        <w:rPr>
          <w:rFonts w:ascii="Times New Roman" w:cs="Times New Roman" w:eastAsia="Times New Roman" w:hAnsi="Times New Roman"/>
          <w:sz w:val="20"/>
          <w:szCs w:val="20"/>
          <w:color w:val="auto"/>
        </w:rPr>
        <w:t xml:space="preserve"> or continue any Loan as a LIBOR Rate Loan (or a Base Rate Loan as to which the interest rate is determined by reference to LIBOR) </w:t>
      </w:r>
      <w:r>
        <w:rPr>
          <w:rFonts w:ascii="Times New Roman" w:cs="Times New Roman" w:eastAsia="Times New Roman" w:hAnsi="Times New Roman"/>
          <w:sz w:val="20"/>
          <w:szCs w:val="20"/>
          <w:u w:val="single" w:color="auto"/>
          <w:color w:val="0000FF"/>
        </w:rPr>
        <w:t>or SOFR Loan (or a Base Rate Loan as to which the interest rate is determined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with reference to Adjusted Term SOFR) (as applicable)</w:t>
      </w:r>
      <w:r>
        <w:rPr>
          <w:rFonts w:ascii="Times New Roman" w:cs="Times New Roman" w:eastAsia="Times New Roman" w:hAnsi="Times New Roman"/>
          <w:sz w:val="20"/>
          <w:szCs w:val="20"/>
          <w:color w:val="000000"/>
        </w:rPr>
        <w:t>, or to convert any Loan to a CDOR Rate Loan (or any Canadian Base Rate</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Loan as to which the interest rate is determined by reference to the CDOR Rate), shall be suspended and thereafter the applicable Borrower may select only Base Rate Loans and Canadian Base Rate Loans, as applicable, as to which the interest rate is not determined by reference to LIBOR</w:t>
      </w:r>
      <w:r>
        <w:rPr>
          <w:rFonts w:ascii="Times New Roman" w:cs="Times New Roman" w:eastAsia="Times New Roman" w:hAnsi="Times New Roman"/>
          <w:sz w:val="20"/>
          <w:szCs w:val="20"/>
          <w:color w:val="0000FF"/>
        </w:rPr>
        <w:t>,</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00FF"/>
        </w:rPr>
        <w:t>Adjusted Term SOFR</w:t>
      </w:r>
      <w:r>
        <w:rPr>
          <w:rFonts w:ascii="Times New Roman" w:cs="Times New Roman" w:eastAsia="Times New Roman" w:hAnsi="Times New Roman"/>
          <w:sz w:val="20"/>
          <w:szCs w:val="20"/>
          <w:color w:val="000000"/>
        </w:rPr>
        <w:t xml:space="preserve"> or CDOR hereunder,</w:t>
      </w:r>
    </w:p>
    <w:p>
      <w:pPr>
        <w:spacing w:after="0" w:line="260" w:lineRule="exact"/>
        <w:rPr>
          <w:rFonts w:ascii="Times New Roman" w:cs="Times New Roman" w:eastAsia="Times New Roman" w:hAnsi="Times New Roman"/>
          <w:sz w:val="20"/>
          <w:szCs w:val="20"/>
          <w:color w:val="auto"/>
        </w:rPr>
      </w:pPr>
    </w:p>
    <w:p>
      <w:pPr>
        <w:ind w:left="678" w:firstLine="654"/>
        <w:spacing w:after="0" w:line="269" w:lineRule="auto"/>
        <w:tabs>
          <w:tab w:leader="none" w:pos="2527" w:val="left"/>
        </w:tabs>
        <w:numPr>
          <w:ilvl w:val="1"/>
          <w:numId w:val="2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Base Rate Loans shall cease to be determined by reference to LIBOR </w:t>
      </w:r>
      <w:r>
        <w:rPr>
          <w:rFonts w:ascii="Times New Roman" w:cs="Times New Roman" w:eastAsia="Times New Roman" w:hAnsi="Times New Roman"/>
          <w:sz w:val="20"/>
          <w:szCs w:val="20"/>
          <w:u w:val="single" w:color="auto"/>
          <w:color w:val="0000FF"/>
        </w:rPr>
        <w:t>or Adjusted Term SOFR, as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applicable,</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and/or all Canadian Base Rate Loans shall cease to be determined by reference to CDOR, as applicable, and</w:t>
      </w:r>
    </w:p>
    <w:p>
      <w:pPr>
        <w:spacing w:after="0" w:line="186" w:lineRule="exact"/>
        <w:rPr>
          <w:rFonts w:ascii="Times New Roman" w:cs="Times New Roman" w:eastAsia="Times New Roman" w:hAnsi="Times New Roman"/>
          <w:sz w:val="20"/>
          <w:szCs w:val="20"/>
          <w:color w:val="auto"/>
        </w:rPr>
      </w:pPr>
    </w:p>
    <w:p>
      <w:pPr>
        <w:jc w:val="both"/>
        <w:ind w:left="678" w:firstLine="654"/>
        <w:spacing w:after="0" w:line="213" w:lineRule="auto"/>
        <w:tabs>
          <w:tab w:leader="none" w:pos="1877" w:val="left"/>
        </w:tabs>
        <w:numPr>
          <w:ilvl w:val="1"/>
          <w:numId w:val="2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of the Lenders may not lawfully continue to maintain a LIBOR Rate Loan </w:t>
      </w:r>
      <w:r>
        <w:rPr>
          <w:rFonts w:ascii="Times New Roman" w:cs="Times New Roman" w:eastAsia="Times New Roman" w:hAnsi="Times New Roman"/>
          <w:sz w:val="20"/>
          <w:szCs w:val="20"/>
          <w:u w:val="single" w:color="auto"/>
          <w:color w:val="0000FF"/>
        </w:rPr>
        <w:t>or SOFR Loan, as applicable,</w:t>
      </w:r>
      <w:r>
        <w:rPr>
          <w:rFonts w:ascii="Times New Roman" w:cs="Times New Roman" w:eastAsia="Times New Roman" w:hAnsi="Times New Roman"/>
          <w:sz w:val="20"/>
          <w:szCs w:val="20"/>
          <w:color w:val="auto"/>
        </w:rPr>
        <w:t xml:space="preserve"> to the end of the then current Interest Period applicable thereto, the applicable Loan shall immediately be converted to a Base Rate Loan as to which the interest rate is not determined by reference to LIBOR </w:t>
      </w:r>
      <w:r>
        <w:rPr>
          <w:rFonts w:ascii="Times New Roman" w:cs="Times New Roman" w:eastAsia="Times New Roman" w:hAnsi="Times New Roman"/>
          <w:sz w:val="20"/>
          <w:szCs w:val="20"/>
          <w:u w:val="single" w:color="auto"/>
          <w:color w:val="0000FF"/>
        </w:rPr>
        <w:t>or Adjusted Term SOFR, as applicable,</w:t>
      </w:r>
      <w:r>
        <w:rPr>
          <w:rFonts w:ascii="Times New Roman" w:cs="Times New Roman" w:eastAsia="Times New Roman" w:hAnsi="Times New Roman"/>
          <w:sz w:val="20"/>
          <w:szCs w:val="20"/>
          <w:color w:val="auto"/>
        </w:rPr>
        <w:t xml:space="preserve"> for the remainder of such Interest Period. Each Lender agrees to designate a different Lending Office or assign its rights and obligations hereunder to another of its officers, branches or affiliates if such designation or assignment will avoid the need for such notice and will not, in the good faith judgment of such Lender, otherwise be materially disadvantageous to such Lender. Each Borrower hereby agrees to pay all reasonable costs and expenses incurred by such Lender in connection with any such designation or assignment.</w:t>
      </w:r>
    </w:p>
    <w:p>
      <w:pPr>
        <w:spacing w:after="0" w:line="203" w:lineRule="exact"/>
        <w:rPr>
          <w:rFonts w:ascii="Times New Roman" w:cs="Times New Roman" w:eastAsia="Times New Roman" w:hAnsi="Times New Roman"/>
          <w:sz w:val="20"/>
          <w:szCs w:val="20"/>
          <w:color w:val="auto"/>
        </w:rPr>
      </w:pPr>
    </w:p>
    <w:p>
      <w:pPr>
        <w:ind w:left="1318" w:hanging="634"/>
        <w:spacing w:after="0"/>
        <w:tabs>
          <w:tab w:leader="none" w:pos="1318" w:val="left"/>
        </w:tabs>
        <w:numPr>
          <w:ilvl w:val="0"/>
          <w:numId w:val="2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Benchmark Replacement Setting</w:t>
      </w:r>
      <w:r>
        <w:rPr>
          <w:rFonts w:ascii="Times New Roman" w:cs="Times New Roman" w:eastAsia="Times New Roman" w:hAnsi="Times New Roman"/>
          <w:sz w:val="20"/>
          <w:szCs w:val="20"/>
          <w:color w:val="auto"/>
        </w:rPr>
        <w:t>.</w:t>
      </w:r>
    </w:p>
    <w:p>
      <w:pPr>
        <w:spacing w:after="0" w:line="283" w:lineRule="exact"/>
        <w:rPr>
          <w:rFonts w:ascii="Times New Roman" w:cs="Times New Roman" w:eastAsia="Times New Roman" w:hAnsi="Times New Roman"/>
          <w:sz w:val="20"/>
          <w:szCs w:val="20"/>
          <w:color w:val="auto"/>
        </w:rPr>
      </w:pPr>
    </w:p>
    <w:p>
      <w:pPr>
        <w:jc w:val="both"/>
        <w:ind w:left="1338" w:hanging="6"/>
        <w:spacing w:after="0" w:line="241" w:lineRule="auto"/>
        <w:tabs>
          <w:tab w:leader="none" w:pos="1889" w:val="left"/>
        </w:tabs>
        <w:numPr>
          <w:ilvl w:val="1"/>
          <w:numId w:val="2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Benchmark Replacement </w:t>
      </w:r>
      <w:r>
        <w:rPr>
          <w:rFonts w:ascii="Times New Roman" w:cs="Times New Roman" w:eastAsia="Times New Roman" w:hAnsi="Times New Roman"/>
          <w:sz w:val="20"/>
          <w:szCs w:val="20"/>
          <w:u w:val="single" w:color="auto"/>
          <w:color w:val="0000FF"/>
        </w:rPr>
        <w:t>(LIBOR)</w:t>
      </w:r>
      <w:r>
        <w:rPr>
          <w:rFonts w:ascii="Times New Roman" w:cs="Times New Roman" w:eastAsia="Times New Roman" w:hAnsi="Times New Roman"/>
          <w:sz w:val="20"/>
          <w:szCs w:val="20"/>
          <w:color w:val="auto"/>
        </w:rPr>
        <w:t xml:space="preserve">. Notwithstanding anything to the contrary herein or in any other Loan Document (and any Hedge Agreement shall be deemed not to be a “Loan Document” for purposes of this </w:t>
      </w:r>
      <w:r>
        <w:rPr>
          <w:rFonts w:ascii="Times New Roman" w:cs="Times New Roman" w:eastAsia="Times New Roman" w:hAnsi="Times New Roman"/>
          <w:sz w:val="20"/>
          <w:szCs w:val="20"/>
          <w:u w:val="single" w:color="auto"/>
          <w:color w:val="auto"/>
        </w:rPr>
        <w:t>Section 5.8(c)</w:t>
      </w:r>
      <w:r>
        <w:rPr>
          <w:rFonts w:ascii="Times New Roman" w:cs="Times New Roman" w:eastAsia="Times New Roman" w:hAnsi="Times New Roman"/>
          <w:sz w:val="20"/>
          <w:szCs w:val="20"/>
          <w:color w:val="auto"/>
        </w:rPr>
        <w:t xml:space="preserve">) if a Benchmark Transition Event </w:t>
      </w:r>
      <w:r>
        <w:rPr>
          <w:rFonts w:ascii="Times New Roman" w:cs="Times New Roman" w:eastAsia="Times New Roman" w:hAnsi="Times New Roman"/>
          <w:sz w:val="20"/>
          <w:szCs w:val="20"/>
          <w:u w:val="single" w:color="auto"/>
          <w:color w:val="0000FF"/>
        </w:rPr>
        <w:t>(LIBOR)</w:t>
      </w:r>
      <w:r>
        <w:rPr>
          <w:rFonts w:ascii="Times New Roman" w:cs="Times New Roman" w:eastAsia="Times New Roman" w:hAnsi="Times New Roman"/>
          <w:sz w:val="20"/>
          <w:szCs w:val="20"/>
          <w:color w:val="auto"/>
        </w:rPr>
        <w:t xml:space="preserve"> or an Early Opt-in Election, as applicable, and its related Benchmark Replacement Date </w:t>
      </w:r>
      <w:r>
        <w:rPr>
          <w:rFonts w:ascii="Times New Roman" w:cs="Times New Roman" w:eastAsia="Times New Roman" w:hAnsi="Times New Roman"/>
          <w:sz w:val="20"/>
          <w:szCs w:val="20"/>
          <w:u w:val="single" w:color="auto"/>
          <w:color w:val="0000FF"/>
        </w:rPr>
        <w:t>(LIBOR)</w:t>
      </w:r>
      <w:r>
        <w:rPr>
          <w:rFonts w:ascii="Times New Roman" w:cs="Times New Roman" w:eastAsia="Times New Roman" w:hAnsi="Times New Roman"/>
          <w:sz w:val="20"/>
          <w:szCs w:val="20"/>
          <w:color w:val="auto"/>
        </w:rPr>
        <w:t xml:space="preserve"> have occurred prior to the Reference Time in respect of any setting of the then-current Benchmark, then (x) if a Benchmark Replacement is determined in accordance with clause (a)(1) or (a)(2) of the definition of “Benchmark Replacement </w:t>
      </w:r>
      <w:r>
        <w:rPr>
          <w:rFonts w:ascii="Times New Roman" w:cs="Times New Roman" w:eastAsia="Times New Roman" w:hAnsi="Times New Roman"/>
          <w:sz w:val="20"/>
          <w:szCs w:val="20"/>
          <w:u w:val="single" w:color="auto"/>
          <w:color w:val="0000FF"/>
        </w:rPr>
        <w:t>(LIBOR)</w:t>
      </w:r>
      <w:r>
        <w:rPr>
          <w:rFonts w:ascii="Times New Roman" w:cs="Times New Roman" w:eastAsia="Times New Roman" w:hAnsi="Times New Roman"/>
          <w:sz w:val="20"/>
          <w:szCs w:val="20"/>
          <w:color w:val="auto"/>
        </w:rPr>
        <w:t xml:space="preserve">” for such Benchmark Replacement Date </w:t>
      </w:r>
      <w:r>
        <w:rPr>
          <w:rFonts w:ascii="Times New Roman" w:cs="Times New Roman" w:eastAsia="Times New Roman" w:hAnsi="Times New Roman"/>
          <w:sz w:val="20"/>
          <w:szCs w:val="20"/>
          <w:u w:val="single" w:color="auto"/>
          <w:color w:val="0000FF"/>
        </w:rPr>
        <w:t>(LIBOR)</w:t>
      </w:r>
      <w:r>
        <w:rPr>
          <w:rFonts w:ascii="Times New Roman" w:cs="Times New Roman" w:eastAsia="Times New Roman" w:hAnsi="Times New Roman"/>
          <w:sz w:val="20"/>
          <w:szCs w:val="20"/>
          <w:color w:val="auto"/>
        </w:rPr>
        <w:t xml:space="preserv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(a)(3) of the definition of “Benchmark Replacement </w:t>
      </w:r>
      <w:r>
        <w:rPr>
          <w:rFonts w:ascii="Times New Roman" w:cs="Times New Roman" w:eastAsia="Times New Roman" w:hAnsi="Times New Roman"/>
          <w:sz w:val="20"/>
          <w:szCs w:val="20"/>
          <w:u w:val="single" w:color="auto"/>
          <w:color w:val="0000FF"/>
        </w:rPr>
        <w:t>(LIBOR)</w:t>
      </w:r>
      <w:r>
        <w:rPr>
          <w:rFonts w:ascii="Times New Roman" w:cs="Times New Roman" w:eastAsia="Times New Roman" w:hAnsi="Times New Roman"/>
          <w:sz w:val="20"/>
          <w:szCs w:val="20"/>
          <w:color w:val="auto"/>
        </w:rPr>
        <w:t xml:space="preserve">” for such Benchmark Replacement Date </w:t>
      </w:r>
      <w:r>
        <w:rPr>
          <w:rFonts w:ascii="Times New Roman" w:cs="Times New Roman" w:eastAsia="Times New Roman" w:hAnsi="Times New Roman"/>
          <w:sz w:val="20"/>
          <w:szCs w:val="20"/>
          <w:u w:val="single" w:color="auto"/>
          <w:color w:val="0000FF"/>
        </w:rPr>
        <w:t>(LIBOR)</w:t>
      </w:r>
      <w:r>
        <w:rPr>
          <w:rFonts w:ascii="Times New Roman" w:cs="Times New Roman" w:eastAsia="Times New Roman" w:hAnsi="Times New Roman"/>
          <w:sz w:val="20"/>
          <w:szCs w:val="20"/>
          <w:color w:val="auto"/>
        </w:rPr>
        <w:t>, such Benchmark Replacement will replace such Benchmark for all purposes hereunder and under any Loan Document in respect of any Benchmark setting at or after 5:00 p.m. (New York City time) on the fifth (5</w:t>
      </w:r>
      <w:r>
        <w:rPr>
          <w:rFonts w:ascii="Times New Roman" w:cs="Times New Roman" w:eastAsia="Times New Roman" w:hAnsi="Times New Roman"/>
          <w:sz w:val="12"/>
          <w:szCs w:val="12"/>
          <w:color w:val="auto"/>
        </w:rPr>
        <w:t>th</w:t>
      </w:r>
      <w:r>
        <w:rPr>
          <w:rFonts w:ascii="Times New Roman" w:cs="Times New Roman" w:eastAsia="Times New Roman" w:hAnsi="Times New Roman"/>
          <w:sz w:val="20"/>
          <w:szCs w:val="20"/>
          <w:color w:val="auto"/>
        </w:rPr>
        <w:t>)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1191895</wp:posOffset>
            </wp:positionH>
            <wp:positionV relativeFrom="paragraph">
              <wp:posOffset>-5399405</wp:posOffset>
            </wp:positionV>
            <wp:extent cx="3429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3429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38"/>
        <w:spacing w:after="0"/>
        <w:rPr>
          <w:sz w:val="20"/>
          <w:szCs w:val="20"/>
          <w:color w:val="auto"/>
        </w:rPr>
      </w:pPr>
      <w:r>
        <w:rPr>
          <w:rFonts w:ascii="Times New Roman" w:cs="Times New Roman" w:eastAsia="Times New Roman" w:hAnsi="Times New Roman"/>
          <w:sz w:val="14"/>
          <w:szCs w:val="14"/>
          <w:color w:val="FF0000"/>
          <w:strike w:val="1"/>
        </w:rPr>
        <w:t>146960219_6</w:t>
      </w:r>
    </w:p>
    <w:p>
      <w:pPr>
        <w:spacing w:after="0" w:line="4" w:lineRule="exact"/>
        <w:rPr>
          <w:sz w:val="20"/>
          <w:szCs w:val="20"/>
          <w:color w:val="auto"/>
        </w:rPr>
      </w:pPr>
    </w:p>
    <w:p>
      <w:pPr>
        <w:ind w:left="338" w:hanging="338"/>
        <w:spacing w:after="0"/>
        <w:tabs>
          <w:tab w:leader="none" w:pos="338" w:val="left"/>
        </w:tabs>
        <w:numPr>
          <w:ilvl w:val="0"/>
          <w:numId w:val="223"/>
        </w:numPr>
        <w:rPr>
          <w:rFonts w:ascii="Times New Roman" w:cs="Times New Roman" w:eastAsia="Times New Roman" w:hAnsi="Times New Roman"/>
          <w:sz w:val="20"/>
          <w:szCs w:val="20"/>
          <w:color w:val="auto"/>
        </w:rPr>
      </w:pP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078"/>
          </w:cols>
          <w:pgMar w:left="382" w:top="1440" w:right="439" w:bottom="1440" w:gutter="0" w:footer="0" w:header="0"/>
        </w:sectPr>
      </w:pPr>
    </w:p>
    <w:bookmarkStart w:id="166" w:name="page167"/>
    <w:bookmarkEnd w:id="166"/>
    <w:p>
      <w:pPr>
        <w:spacing w:after="0" w:line="216" w:lineRule="exact"/>
        <w:rPr>
          <w:sz w:val="20"/>
          <w:szCs w:val="20"/>
          <w:color w:val="auto"/>
        </w:rPr>
      </w:pPr>
    </w:p>
    <w:p>
      <w:pPr>
        <w:ind w:left="1338"/>
        <w:spacing w:after="0" w:line="269" w:lineRule="auto"/>
        <w:rPr>
          <w:sz w:val="20"/>
          <w:szCs w:val="20"/>
          <w:color w:val="auto"/>
        </w:rPr>
      </w:pPr>
      <w:r>
        <w:rPr>
          <w:rFonts w:ascii="Times New Roman" w:cs="Times New Roman" w:eastAsia="Times New Roman" w:hAnsi="Times New Roman"/>
          <w:sz w:val="20"/>
          <w:szCs w:val="20"/>
          <w:color w:val="auto"/>
        </w:rPr>
        <w:t>Replacement from Lenders comprising the Required Lenders. If an Unadjusted Benchmark Replacement is Daily Simple SOFR, all interest payments will be payable on a monthly basis.</w:t>
      </w:r>
    </w:p>
    <w:p>
      <w:pPr>
        <w:spacing w:after="0" w:line="186" w:lineRule="exact"/>
        <w:rPr>
          <w:sz w:val="20"/>
          <w:szCs w:val="20"/>
          <w:color w:val="auto"/>
        </w:rPr>
      </w:pPr>
    </w:p>
    <w:p>
      <w:pPr>
        <w:jc w:val="both"/>
        <w:ind w:left="1338" w:firstLine="641"/>
        <w:spacing w:after="0" w:line="243" w:lineRule="auto"/>
        <w:tabs>
          <w:tab w:leader="none" w:pos="2627" w:val="left"/>
        </w:tabs>
        <w:numPr>
          <w:ilvl w:val="1"/>
          <w:numId w:val="2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0000FF"/>
        </w:rPr>
        <w:t>Benchmark Replacement (Non-LIBOR). Notwithstanding anything to the contrary herein or in any other Loan Document (and any Hedge Agreement shall be deemed not to be a “Loan Document” for purposes of this Section 5.8(c)), upon the occurrence of a Benchmark Transition Event (Non-LIBOR), the Administrative Agent and the Borrowers may amend this Agreement to replace the then-current Benchmark with a Benchmark Replacement. Any such amendment with respect to a Benchmark Transition Event (Non- LIBOR) will become effective at 5:00 p.m. on the fifth (5</w:t>
      </w:r>
      <w:r>
        <w:rPr>
          <w:rFonts w:ascii="Times New Roman" w:cs="Times New Roman" w:eastAsia="Times New Roman" w:hAnsi="Times New Roman"/>
          <w:sz w:val="12"/>
          <w:szCs w:val="12"/>
          <w:color w:val="0000FF"/>
        </w:rPr>
        <w:t>th</w:t>
      </w:r>
      <w:r>
        <w:rPr>
          <w:rFonts w:ascii="Times New Roman" w:cs="Times New Roman" w:eastAsia="Times New Roman" w:hAnsi="Times New Roman"/>
          <w:sz w:val="20"/>
          <w:szCs w:val="20"/>
          <w:u w:val="single" w:color="auto"/>
          <w:color w:val="0000FF"/>
        </w:rPr>
        <w:t>) Business</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u w:val="single" w:color="auto"/>
          <w:color w:val="0000FF"/>
        </w:rPr>
        <w:t>Day after the Administrative Agent has posted such proposed amendment to all affected Lenders and the Borrowers so long as the Administrative Agent has not received, by such time, written notice of objection to such amendment from Lenders comprising the Required Lenders. No replacement of a Benchmark with a Benchmark Replacement pursuant to this Section 5.8(c)(i)(B) will occur prior to the applicable Benchmark Transition Start Date.</w:t>
      </w:r>
    </w:p>
    <w:p>
      <w:pPr>
        <w:spacing w:after="0" w:line="266" w:lineRule="exact"/>
        <w:rPr>
          <w:rFonts w:ascii="Times New Roman" w:cs="Times New Roman" w:eastAsia="Times New Roman" w:hAnsi="Times New Roman"/>
          <w:sz w:val="20"/>
          <w:szCs w:val="20"/>
          <w:color w:val="auto"/>
        </w:rPr>
      </w:pPr>
    </w:p>
    <w:p>
      <w:pPr>
        <w:jc w:val="both"/>
        <w:ind w:left="1338" w:firstLine="642"/>
        <w:spacing w:after="0" w:line="214" w:lineRule="auto"/>
        <w:tabs>
          <w:tab w:leader="none" w:pos="2533" w:val="left"/>
        </w:tabs>
        <w:numPr>
          <w:ilvl w:val="1"/>
          <w:numId w:val="2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FF0000"/>
          <w:strike w:val="1"/>
        </w:rPr>
        <w:t>(B)</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Notwithstanding anything to the contrary herein or in any other Loan Document, if a Term SOFR</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 xml:space="preserve">Transition Event and its related Benchmark Replacement Date </w:t>
      </w:r>
      <w:r>
        <w:rPr>
          <w:rFonts w:ascii="Times New Roman" w:cs="Times New Roman" w:eastAsia="Times New Roman" w:hAnsi="Times New Roman"/>
          <w:sz w:val="20"/>
          <w:szCs w:val="20"/>
          <w:u w:val="single" w:color="auto"/>
          <w:color w:val="0000FF"/>
        </w:rPr>
        <w:t>(LIBOR)</w:t>
      </w:r>
      <w:r>
        <w:rPr>
          <w:rFonts w:ascii="Times New Roman" w:cs="Times New Roman" w:eastAsia="Times New Roman" w:hAnsi="Times New Roman"/>
          <w:sz w:val="20"/>
          <w:szCs w:val="20"/>
          <w:color w:val="000000"/>
        </w:rPr>
        <w:t xml:space="preserve"> have occurred prior to the Reference Time in respect of any setting of the then- current Benchmark, then the applicable Benchmark Replacement will replace the then-current Benchmark for all purposes hereunder or under any Loan Document in respect of such Benchmark setting and subsequent Benchmark settings, without any amendment to, or further action or consent of any other party to, this Agreement or any other Loan Document; </w:t>
      </w:r>
      <w:r>
        <w:rPr>
          <w:rFonts w:ascii="Times New Roman" w:cs="Times New Roman" w:eastAsia="Times New Roman" w:hAnsi="Times New Roman"/>
          <w:sz w:val="20"/>
          <w:szCs w:val="20"/>
          <w:u w:val="single" w:color="auto"/>
          <w:color w:val="000000"/>
        </w:rPr>
        <w:t>provided</w:t>
      </w:r>
      <w:r>
        <w:rPr>
          <w:rFonts w:ascii="Times New Roman" w:cs="Times New Roman" w:eastAsia="Times New Roman" w:hAnsi="Times New Roman"/>
          <w:sz w:val="20"/>
          <w:szCs w:val="20"/>
          <w:color w:val="000000"/>
        </w:rPr>
        <w:t xml:space="preserve"> that this clause (B) shall not be effective unless the Administrative Agent has delivered to the Lenders and the Borrower a Term SOFR Notice. For the avoidance of doubt, the Administrative Agent shall not be required to deliver a Term SOFR Notice after a Term SOFR Transition Event and may elect or not elect to do so in its sole discretion.</w:t>
      </w:r>
    </w:p>
    <w:p>
      <w:pPr>
        <w:spacing w:after="0" w:line="192" w:lineRule="exact"/>
        <w:rPr>
          <w:rFonts w:ascii="Times New Roman" w:cs="Times New Roman" w:eastAsia="Times New Roman" w:hAnsi="Times New Roman"/>
          <w:sz w:val="20"/>
          <w:szCs w:val="20"/>
          <w:color w:val="auto"/>
        </w:rPr>
      </w:pPr>
    </w:p>
    <w:p>
      <w:pPr>
        <w:jc w:val="both"/>
        <w:ind w:left="678" w:firstLine="654"/>
        <w:spacing w:after="0" w:line="217" w:lineRule="auto"/>
        <w:tabs>
          <w:tab w:leader="none" w:pos="1877" w:val="left"/>
        </w:tabs>
        <w:numPr>
          <w:ilvl w:val="0"/>
          <w:numId w:val="2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Benchmark Replacement Conforming Changes</w:t>
      </w:r>
      <w:r>
        <w:rPr>
          <w:rFonts w:ascii="Times New Roman" w:cs="Times New Roman" w:eastAsia="Times New Roman" w:hAnsi="Times New Roman"/>
          <w:sz w:val="20"/>
          <w:szCs w:val="20"/>
          <w:color w:val="auto"/>
        </w:rPr>
        <w:t xml:space="preserve">. In connection with the </w:t>
      </w:r>
      <w:r>
        <w:rPr>
          <w:rFonts w:ascii="Times New Roman" w:cs="Times New Roman" w:eastAsia="Times New Roman" w:hAnsi="Times New Roman"/>
          <w:sz w:val="20"/>
          <w:szCs w:val="20"/>
          <w:u w:val="single" w:color="auto"/>
          <w:color w:val="0000FF"/>
        </w:rPr>
        <w:t>use, administration, adoption or</w:t>
      </w:r>
      <w:r>
        <w:rPr>
          <w:rFonts w:ascii="Times New Roman" w:cs="Times New Roman" w:eastAsia="Times New Roman" w:hAnsi="Times New Roman"/>
          <w:sz w:val="20"/>
          <w:szCs w:val="20"/>
          <w:color w:val="auto"/>
        </w:rPr>
        <w:t xml:space="preserve"> implementation of a Benchmark Replacement,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w:t>
      </w:r>
    </w:p>
    <w:p>
      <w:pPr>
        <w:spacing w:after="0" w:line="202" w:lineRule="exact"/>
        <w:rPr>
          <w:rFonts w:ascii="Times New Roman" w:cs="Times New Roman" w:eastAsia="Times New Roman" w:hAnsi="Times New Roman"/>
          <w:sz w:val="20"/>
          <w:szCs w:val="20"/>
          <w:color w:val="auto"/>
        </w:rPr>
      </w:pPr>
    </w:p>
    <w:p>
      <w:pPr>
        <w:jc w:val="both"/>
        <w:ind w:left="678" w:firstLine="654"/>
        <w:spacing w:after="0" w:line="213" w:lineRule="auto"/>
        <w:tabs>
          <w:tab w:leader="none" w:pos="1879" w:val="left"/>
        </w:tabs>
        <w:numPr>
          <w:ilvl w:val="0"/>
          <w:numId w:val="2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 Standards for Decisions and Determinations</w:t>
      </w:r>
      <w:r>
        <w:rPr>
          <w:rFonts w:ascii="Times New Roman" w:cs="Times New Roman" w:eastAsia="Times New Roman" w:hAnsi="Times New Roman"/>
          <w:sz w:val="20"/>
          <w:szCs w:val="20"/>
          <w:color w:val="auto"/>
        </w:rPr>
        <w:t xml:space="preserve">. The Administrative Agent will promptly notify the Borrower and the Lenders of (A) any occurrence of a Benchmark Transition Event </w:t>
      </w:r>
      <w:r>
        <w:rPr>
          <w:rFonts w:ascii="Times New Roman" w:cs="Times New Roman" w:eastAsia="Times New Roman" w:hAnsi="Times New Roman"/>
          <w:sz w:val="20"/>
          <w:szCs w:val="20"/>
          <w:u w:val="single" w:color="auto"/>
          <w:color w:val="0000FF"/>
        </w:rPr>
        <w:t>(LIBOR)</w:t>
      </w:r>
      <w:r>
        <w:rPr>
          <w:rFonts w:ascii="Times New Roman" w:cs="Times New Roman" w:eastAsia="Times New Roman" w:hAnsi="Times New Roman"/>
          <w:sz w:val="20"/>
          <w:szCs w:val="20"/>
          <w:color w:val="auto"/>
        </w:rPr>
        <w:t xml:space="preserve">, a Term SOFR Transition Event or an Early Opt-in Election, as applicable, and its related Benchmark Replacement Date </w:t>
      </w:r>
      <w:r>
        <w:rPr>
          <w:rFonts w:ascii="Times New Roman" w:cs="Times New Roman" w:eastAsia="Times New Roman" w:hAnsi="Times New Roman"/>
          <w:sz w:val="20"/>
          <w:szCs w:val="20"/>
          <w:u w:val="single" w:color="auto"/>
          <w:color w:val="0000FF"/>
        </w:rPr>
        <w:t>(LIBOR)</w:t>
      </w:r>
      <w:r>
        <w:rPr>
          <w:rFonts w:ascii="Times New Roman" w:cs="Times New Roman" w:eastAsia="Times New Roman" w:hAnsi="Times New Roman"/>
          <w:sz w:val="20"/>
          <w:szCs w:val="20"/>
          <w:color w:val="auto"/>
        </w:rPr>
        <w:t xml:space="preserve">, (B) the implementation of any Benchmark Replacement, (C) the effectiveness of any Benchmark Replacement Conforming Changes, (D) the removal or reinstatement of any tenor of a Benchmark pursuant to </w:t>
      </w:r>
      <w:r>
        <w:rPr>
          <w:rFonts w:ascii="Times New Roman" w:cs="Times New Roman" w:eastAsia="Times New Roman" w:hAnsi="Times New Roman"/>
          <w:sz w:val="20"/>
          <w:szCs w:val="20"/>
          <w:u w:val="single" w:color="auto"/>
          <w:color w:val="auto"/>
        </w:rPr>
        <w:t>Section 5.8(c)(iv)</w:t>
      </w:r>
      <w:r>
        <w:rPr>
          <w:rFonts w:ascii="Times New Roman" w:cs="Times New Roman" w:eastAsia="Times New Roman" w:hAnsi="Times New Roman"/>
          <w:sz w:val="20"/>
          <w:szCs w:val="20"/>
          <w:color w:val="auto"/>
        </w:rPr>
        <w:t xml:space="preserve"> below and (E) the commencement or conclusion of any Benchmark Unavailability Period. Any determination, decision or election that may be made by the Administrative Agent or, if applicable, any Lender (or group of Lenders) pursuant to this </w:t>
      </w:r>
      <w:r>
        <w:rPr>
          <w:rFonts w:ascii="Times New Roman" w:cs="Times New Roman" w:eastAsia="Times New Roman" w:hAnsi="Times New Roman"/>
          <w:sz w:val="20"/>
          <w:szCs w:val="20"/>
          <w:u w:val="single" w:color="auto"/>
          <w:color w:val="auto"/>
        </w:rPr>
        <w:t>Section 5.8(c)</w:t>
      </w:r>
      <w:r>
        <w:rPr>
          <w:rFonts w:ascii="Times New Roman" w:cs="Times New Roman" w:eastAsia="Times New Roman" w:hAnsi="Times New Roman"/>
          <w:sz w:val="20"/>
          <w:szCs w:val="20"/>
          <w:color w:val="auto"/>
        </w:rPr>
        <w:t>,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1423035</wp:posOffset>
            </wp:positionH>
            <wp:positionV relativeFrom="paragraph">
              <wp:posOffset>-4665980</wp:posOffset>
            </wp:positionV>
            <wp:extent cx="5969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5969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38"/>
        <w:spacing w:after="0"/>
        <w:rPr>
          <w:sz w:val="20"/>
          <w:szCs w:val="20"/>
          <w:color w:val="auto"/>
        </w:rPr>
      </w:pPr>
      <w:r>
        <w:rPr>
          <w:rFonts w:ascii="Times New Roman" w:cs="Times New Roman" w:eastAsia="Times New Roman" w:hAnsi="Times New Roman"/>
          <w:sz w:val="14"/>
          <w:szCs w:val="14"/>
          <w:color w:val="FF0000"/>
          <w:strike w:val="1"/>
        </w:rPr>
        <w:t>146960219_6</w:t>
      </w:r>
    </w:p>
    <w:p>
      <w:pPr>
        <w:spacing w:after="0" w:line="4" w:lineRule="exact"/>
        <w:rPr>
          <w:sz w:val="20"/>
          <w:szCs w:val="20"/>
          <w:color w:val="auto"/>
        </w:rPr>
      </w:pPr>
    </w:p>
    <w:p>
      <w:pPr>
        <w:ind w:left="338" w:hanging="338"/>
        <w:spacing w:after="0"/>
        <w:tabs>
          <w:tab w:leader="none" w:pos="338" w:val="left"/>
        </w:tabs>
        <w:numPr>
          <w:ilvl w:val="0"/>
          <w:numId w:val="226"/>
        </w:numPr>
        <w:rPr>
          <w:rFonts w:ascii="Times New Roman" w:cs="Times New Roman" w:eastAsia="Times New Roman" w:hAnsi="Times New Roman"/>
          <w:sz w:val="20"/>
          <w:szCs w:val="20"/>
          <w:color w:val="auto"/>
        </w:rPr>
      </w:pP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078"/>
          </w:cols>
          <w:pgMar w:left="382" w:top="1440" w:right="439" w:bottom="1440" w:gutter="0" w:footer="0" w:header="0"/>
        </w:sectPr>
      </w:pPr>
    </w:p>
    <w:bookmarkStart w:id="167" w:name="page168"/>
    <w:bookmarkEnd w:id="167"/>
    <w:p>
      <w:pPr>
        <w:spacing w:after="0" w:line="203" w:lineRule="exact"/>
        <w:rPr>
          <w:sz w:val="20"/>
          <w:szCs w:val="20"/>
          <w:color w:val="auto"/>
        </w:rPr>
      </w:pPr>
    </w:p>
    <w:p>
      <w:pPr>
        <w:ind w:left="678"/>
        <w:spacing w:after="0"/>
        <w:rPr>
          <w:sz w:val="20"/>
          <w:szCs w:val="20"/>
          <w:color w:val="auto"/>
        </w:rPr>
      </w:pPr>
      <w:r>
        <w:rPr>
          <w:rFonts w:ascii="Times New Roman" w:cs="Times New Roman" w:eastAsia="Times New Roman" w:hAnsi="Times New Roman"/>
          <w:sz w:val="19"/>
          <w:szCs w:val="19"/>
          <w:color w:val="auto"/>
        </w:rPr>
        <w:t>discretion (and made in a manner substantially consistent with determinations being made for similarly situated customers of such</w:t>
      </w:r>
    </w:p>
    <w:p>
      <w:pPr>
        <w:spacing w:after="0" w:line="6" w:lineRule="exact"/>
        <w:rPr>
          <w:sz w:val="20"/>
          <w:szCs w:val="20"/>
          <w:color w:val="auto"/>
        </w:rPr>
      </w:pPr>
    </w:p>
    <w:p>
      <w:pPr>
        <w:ind w:left="678"/>
        <w:spacing w:after="0" w:line="221" w:lineRule="auto"/>
        <w:rPr>
          <w:sz w:val="20"/>
          <w:szCs w:val="20"/>
          <w:color w:val="auto"/>
        </w:rPr>
      </w:pPr>
      <w:r>
        <w:rPr>
          <w:rFonts w:ascii="Times New Roman" w:cs="Times New Roman" w:eastAsia="Times New Roman" w:hAnsi="Times New Roman"/>
          <w:sz w:val="20"/>
          <w:szCs w:val="20"/>
          <w:color w:val="auto"/>
        </w:rPr>
        <w:t xml:space="preserve">Administrative Agent under agreements having provisions similar to this </w:t>
      </w:r>
      <w:r>
        <w:rPr>
          <w:rFonts w:ascii="Times New Roman" w:cs="Times New Roman" w:eastAsia="Times New Roman" w:hAnsi="Times New Roman"/>
          <w:sz w:val="20"/>
          <w:szCs w:val="20"/>
          <w:u w:val="single" w:color="auto"/>
          <w:color w:val="auto"/>
        </w:rPr>
        <w:t>Section 5.8(c)</w:t>
      </w:r>
      <w:r>
        <w:rPr>
          <w:rFonts w:ascii="Times New Roman" w:cs="Times New Roman" w:eastAsia="Times New Roman" w:hAnsi="Times New Roman"/>
          <w:sz w:val="20"/>
          <w:szCs w:val="20"/>
          <w:color w:val="auto"/>
        </w:rPr>
        <w:t xml:space="preserve">) and without consent from any other party to this Agreement or any other Loan Document, except, in each case, as expressly required pursuant to this </w:t>
      </w:r>
      <w:r>
        <w:rPr>
          <w:rFonts w:ascii="Times New Roman" w:cs="Times New Roman" w:eastAsia="Times New Roman" w:hAnsi="Times New Roman"/>
          <w:sz w:val="20"/>
          <w:szCs w:val="20"/>
          <w:u w:val="single" w:color="auto"/>
          <w:color w:val="auto"/>
        </w:rPr>
        <w:t>Section 5.8(c)</w:t>
      </w:r>
      <w:r>
        <w:rPr>
          <w:rFonts w:ascii="Times New Roman" w:cs="Times New Roman" w:eastAsia="Times New Roman" w:hAnsi="Times New Roman"/>
          <w:sz w:val="20"/>
          <w:szCs w:val="20"/>
          <w:color w:val="auto"/>
        </w:rPr>
        <w:t>.</w:t>
      </w:r>
    </w:p>
    <w:p>
      <w:pPr>
        <w:spacing w:after="0" w:line="256" w:lineRule="exact"/>
        <w:rPr>
          <w:sz w:val="20"/>
          <w:szCs w:val="20"/>
          <w:color w:val="auto"/>
        </w:rPr>
      </w:pPr>
    </w:p>
    <w:p>
      <w:pPr>
        <w:jc w:val="both"/>
        <w:ind w:left="678" w:firstLine="654"/>
        <w:spacing w:after="0" w:line="221" w:lineRule="auto"/>
        <w:tabs>
          <w:tab w:leader="none" w:pos="2528" w:val="left"/>
        </w:tabs>
        <w:numPr>
          <w:ilvl w:val="1"/>
          <w:numId w:val="2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Unavailability of Tenor of Benchmark</w:t>
      </w:r>
      <w:r>
        <w:rPr>
          <w:rFonts w:ascii="Times New Roman" w:cs="Times New Roman" w:eastAsia="Times New Roman" w:hAnsi="Times New Roman"/>
          <w:sz w:val="19"/>
          <w:szCs w:val="19"/>
          <w:color w:val="auto"/>
        </w:rPr>
        <w:t xml:space="preserve">. Notwithstanding anything to the contrary herein or in any other Loan Document, at any time (including in connection with the implementation of a Benchmark Replacement), (A) if the then-current Benchmark is a term rate (including </w:t>
      </w:r>
      <w:r>
        <w:rPr>
          <w:rFonts w:ascii="Times New Roman" w:cs="Times New Roman" w:eastAsia="Times New Roman" w:hAnsi="Times New Roman"/>
          <w:sz w:val="19"/>
          <w:szCs w:val="19"/>
          <w:u w:val="single" w:color="auto"/>
          <w:color w:val="0000FF"/>
        </w:rPr>
        <w:t>the</w:t>
      </w:r>
      <w:r>
        <w:rPr>
          <w:rFonts w:ascii="Times New Roman" w:cs="Times New Roman" w:eastAsia="Times New Roman" w:hAnsi="Times New Roman"/>
          <w:sz w:val="19"/>
          <w:szCs w:val="19"/>
          <w:color w:val="auto"/>
        </w:rPr>
        <w:t xml:space="preserve"> Term SOFR </w:t>
      </w:r>
      <w:r>
        <w:rPr>
          <w:rFonts w:ascii="Times New Roman" w:cs="Times New Roman" w:eastAsia="Times New Roman" w:hAnsi="Times New Roman"/>
          <w:sz w:val="19"/>
          <w:szCs w:val="19"/>
          <w:u w:val="single" w:color="auto"/>
          <w:color w:val="0000FF"/>
        </w:rPr>
        <w:t>Reference Rate</w:t>
      </w:r>
      <w:r>
        <w:rPr>
          <w:rFonts w:ascii="Times New Roman" w:cs="Times New Roman" w:eastAsia="Times New Roman" w:hAnsi="Times New Roman"/>
          <w:sz w:val="19"/>
          <w:szCs w:val="19"/>
          <w:color w:val="auto"/>
        </w:rPr>
        <w:t xml:space="preserve"> or USD LIBOR) and either (1) any tenor for such Benchmark is not displayed on a screen or other information service that publishes such rate from time to time as selected by the Administrative Agent in its reasonable discretion (and made in a manner substantially consistent with determinations being made for similarly situated customers of such Administrative Agent under agreements having provisions similar to this </w:t>
      </w:r>
      <w:r>
        <w:rPr>
          <w:rFonts w:ascii="Times New Roman" w:cs="Times New Roman" w:eastAsia="Times New Roman" w:hAnsi="Times New Roman"/>
          <w:sz w:val="19"/>
          <w:szCs w:val="19"/>
          <w:u w:val="single" w:color="auto"/>
          <w:color w:val="auto"/>
        </w:rPr>
        <w:t>Section 5.8(c)</w:t>
      </w:r>
      <w:r>
        <w:rPr>
          <w:rFonts w:ascii="Times New Roman" w:cs="Times New Roman" w:eastAsia="Times New Roman" w:hAnsi="Times New Roman"/>
          <w:sz w:val="19"/>
          <w:szCs w:val="19"/>
          <w:color w:val="auto"/>
        </w:rPr>
        <w:t>) or</w:t>
      </w:r>
    </w:p>
    <w:p>
      <w:pPr>
        <w:spacing w:after="0" w:line="2" w:lineRule="exact"/>
        <w:rPr>
          <w:rFonts w:ascii="Times New Roman" w:cs="Times New Roman" w:eastAsia="Times New Roman" w:hAnsi="Times New Roman"/>
          <w:sz w:val="19"/>
          <w:szCs w:val="19"/>
          <w:color w:val="auto"/>
        </w:rPr>
      </w:pPr>
    </w:p>
    <w:p>
      <w:pPr>
        <w:jc w:val="both"/>
        <w:ind w:left="678" w:firstLine="6"/>
        <w:spacing w:after="0" w:line="212" w:lineRule="auto"/>
        <w:tabs>
          <w:tab w:leader="none" w:pos="1014" w:val="left"/>
        </w:tabs>
        <w:numPr>
          <w:ilvl w:val="0"/>
          <w:numId w:val="2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(B) if a tenor that was removed pursuant to clause (A) above either (1) is subsequently displayed on a screen or information service for a Benchmark (including a Benchmark Replacement) or (2) is not, or is no longer, subject to an announcement that it is or will </w:t>
      </w:r>
      <w:r>
        <w:rPr>
          <w:rFonts w:ascii="Times New Roman" w:cs="Times New Roman" w:eastAsia="Times New Roman" w:hAnsi="Times New Roman"/>
          <w:sz w:val="20"/>
          <w:szCs w:val="20"/>
          <w:u w:val="single" w:color="auto"/>
          <w:color w:val="0000FF"/>
        </w:rPr>
        <w:t>be</w:t>
      </w:r>
      <w:r>
        <w:rPr>
          <w:rFonts w:ascii="Times New Roman" w:cs="Times New Roman" w:eastAsia="Times New Roman" w:hAnsi="Times New Roman"/>
          <w:sz w:val="20"/>
          <w:szCs w:val="20"/>
          <w:color w:val="auto"/>
        </w:rPr>
        <w:t xml:space="preserve"> no longer </w:t>
      </w:r>
      <w:r>
        <w:rPr>
          <w:rFonts w:ascii="Times New Roman" w:cs="Times New Roman" w:eastAsia="Times New Roman" w:hAnsi="Times New Roman"/>
          <w:sz w:val="20"/>
          <w:szCs w:val="20"/>
          <w:color w:val="FF0000"/>
          <w:strike w:val="1"/>
        </w:rPr>
        <w:t>be</w:t>
      </w:r>
      <w:r>
        <w:rPr>
          <w:rFonts w:ascii="Times New Roman" w:cs="Times New Roman" w:eastAsia="Times New Roman" w:hAnsi="Times New Roman"/>
          <w:sz w:val="20"/>
          <w:szCs w:val="20"/>
          <w:color w:val="auto"/>
        </w:rPr>
        <w:t xml:space="preserve"> representative for a Benchmark (including a Benchmark Replacement), then the Administrative Agent may modify the definition of “Interest Period” for all Benchmark settings at or after such time to reinstate such previously removed tenor.</w:t>
      </w:r>
    </w:p>
    <w:p>
      <w:pPr>
        <w:spacing w:after="0" w:line="188" w:lineRule="exact"/>
        <w:rPr>
          <w:rFonts w:ascii="Times New Roman" w:cs="Times New Roman" w:eastAsia="Times New Roman" w:hAnsi="Times New Roman"/>
          <w:sz w:val="20"/>
          <w:szCs w:val="20"/>
          <w:color w:val="auto"/>
        </w:rPr>
      </w:pPr>
    </w:p>
    <w:p>
      <w:pPr>
        <w:jc w:val="both"/>
        <w:ind w:left="678" w:firstLine="654"/>
        <w:spacing w:after="0" w:line="215" w:lineRule="auto"/>
        <w:tabs>
          <w:tab w:leader="none" w:pos="2530" w:val="left"/>
        </w:tabs>
        <w:numPr>
          <w:ilvl w:val="1"/>
          <w:numId w:val="2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Benchmark Unavailability Period</w:t>
      </w:r>
      <w:r>
        <w:rPr>
          <w:rFonts w:ascii="Times New Roman" w:cs="Times New Roman" w:eastAsia="Times New Roman" w:hAnsi="Times New Roman"/>
          <w:sz w:val="20"/>
          <w:szCs w:val="20"/>
          <w:color w:val="auto"/>
        </w:rPr>
        <w:t xml:space="preserve">. Upon Centuri’s receipt of notice of the commencement of a Benchmark Unavailability Period, the applicable Borrower may revoke any request for a borrowing of, conversion to or continuation of LIBOR Rate Loans </w:t>
      </w:r>
      <w:r>
        <w:rPr>
          <w:rFonts w:ascii="Times New Roman" w:cs="Times New Roman" w:eastAsia="Times New Roman" w:hAnsi="Times New Roman"/>
          <w:sz w:val="20"/>
          <w:szCs w:val="20"/>
          <w:u w:val="single" w:color="auto"/>
          <w:color w:val="0000FF"/>
        </w:rPr>
        <w:t>or SOFR Loans (as applicable)</w:t>
      </w:r>
      <w:r>
        <w:rPr>
          <w:rFonts w:ascii="Times New Roman" w:cs="Times New Roman" w:eastAsia="Times New Roman" w:hAnsi="Times New Roman"/>
          <w:sz w:val="20"/>
          <w:szCs w:val="20"/>
          <w:color w:val="auto"/>
        </w:rPr>
        <w:t xml:space="preserve"> to be made, converted or continued during any Benchmark Unavailability Period and, failing that, the applicable Borrower will be deemed to have converted any such request into a request for a borrowing of or conversion to Base Rate Loans. During any Benchmark Unavailability Period or at any time that a tenor for the then-current Benchmark is not an Available Tenor, the component of the Base Rate based upon the then-current Benchmark or such tenor for such Benchmark, as applicable, will not be used in any determination of the Base Rate.</w:t>
      </w:r>
    </w:p>
    <w:p>
      <w:pPr>
        <w:spacing w:after="0" w:line="191" w:lineRule="exact"/>
        <w:rPr>
          <w:rFonts w:ascii="Times New Roman" w:cs="Times New Roman" w:eastAsia="Times New Roman" w:hAnsi="Times New Roman"/>
          <w:sz w:val="20"/>
          <w:szCs w:val="20"/>
          <w:color w:val="auto"/>
        </w:rPr>
      </w:pPr>
    </w:p>
    <w:p>
      <w:pPr>
        <w:jc w:val="both"/>
        <w:ind w:left="678" w:firstLine="654"/>
        <w:spacing w:after="0" w:line="213" w:lineRule="auto"/>
        <w:tabs>
          <w:tab w:leader="none" w:pos="1881" w:val="left"/>
        </w:tabs>
        <w:numPr>
          <w:ilvl w:val="1"/>
          <w:numId w:val="2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London Interbank Offered Rate Benchmark Transition Event</w:t>
      </w:r>
      <w:r>
        <w:rPr>
          <w:rFonts w:ascii="Times New Roman" w:cs="Times New Roman" w:eastAsia="Times New Roman" w:hAnsi="Times New Roman"/>
          <w:sz w:val="20"/>
          <w:szCs w:val="20"/>
          <w:color w:val="auto"/>
        </w:rPr>
        <w:t xml:space="preserve">. On March 5, 2021, the IBA, the administrator of the London interbank offered rate, and the FCA, the regulatory supervisor of the IBA, made the Announcements that the final publication or representativeness date for Dollars for (I) 1-week and 2-month London interbank offered rate tenor settings will be December 31, 2021 and (II) overnight, 1-month, 3-month, 6-month and 12-month London interbank offered rate tenor settings will be June 30, 2023. No successor administrator for the IBA was identified in such Announcements. The parties hereto agree and acknowledge that the Announcements resulted in the occurrence of a Benchmark Transition Event </w:t>
      </w:r>
      <w:r>
        <w:rPr>
          <w:rFonts w:ascii="Times New Roman" w:cs="Times New Roman" w:eastAsia="Times New Roman" w:hAnsi="Times New Roman"/>
          <w:sz w:val="20"/>
          <w:szCs w:val="20"/>
          <w:u w:val="single" w:color="auto"/>
          <w:color w:val="0000FF"/>
        </w:rPr>
        <w:t>(LIBOR)</w:t>
      </w:r>
      <w:r>
        <w:rPr>
          <w:rFonts w:ascii="Times New Roman" w:cs="Times New Roman" w:eastAsia="Times New Roman" w:hAnsi="Times New Roman"/>
          <w:sz w:val="20"/>
          <w:szCs w:val="20"/>
          <w:color w:val="auto"/>
        </w:rPr>
        <w:t xml:space="preserve"> with respect to the London interbank offered rate pursuant to the terms of this Agreement and that any obligation of the Administrative Agent to notify any parties of such Benchmark Transition Event </w:t>
      </w:r>
      <w:r>
        <w:rPr>
          <w:rFonts w:ascii="Times New Roman" w:cs="Times New Roman" w:eastAsia="Times New Roman" w:hAnsi="Times New Roman"/>
          <w:sz w:val="20"/>
          <w:szCs w:val="20"/>
          <w:u w:val="single" w:color="auto"/>
          <w:color w:val="0000FF"/>
        </w:rPr>
        <w:t>(LIBOR)</w:t>
      </w:r>
      <w:r>
        <w:rPr>
          <w:rFonts w:ascii="Times New Roman" w:cs="Times New Roman" w:eastAsia="Times New Roman" w:hAnsi="Times New Roman"/>
          <w:sz w:val="20"/>
          <w:szCs w:val="20"/>
          <w:color w:val="auto"/>
        </w:rPr>
        <w:t xml:space="preserve"> pursuant to clause (iii) of this </w:t>
      </w:r>
      <w:r>
        <w:rPr>
          <w:rFonts w:ascii="Times New Roman" w:cs="Times New Roman" w:eastAsia="Times New Roman" w:hAnsi="Times New Roman"/>
          <w:sz w:val="20"/>
          <w:szCs w:val="20"/>
          <w:u w:val="single" w:color="auto"/>
          <w:color w:val="auto"/>
        </w:rPr>
        <w:t>Section 5.8(c)</w:t>
      </w:r>
      <w:r>
        <w:rPr>
          <w:rFonts w:ascii="Times New Roman" w:cs="Times New Roman" w:eastAsia="Times New Roman" w:hAnsi="Times New Roman"/>
          <w:sz w:val="20"/>
          <w:szCs w:val="20"/>
          <w:color w:val="auto"/>
        </w:rPr>
        <w:t xml:space="preserve"> shall be deemed satisfied.</w:t>
      </w:r>
    </w:p>
    <w:p>
      <w:pPr>
        <w:spacing w:after="0" w:line="256" w:lineRule="exact"/>
        <w:rPr>
          <w:sz w:val="20"/>
          <w:szCs w:val="20"/>
          <w:color w:val="auto"/>
        </w:rPr>
      </w:pPr>
    </w:p>
    <w:p>
      <w:pPr>
        <w:jc w:val="both"/>
        <w:ind w:left="38" w:firstLine="646"/>
        <w:spacing w:after="0" w:line="222" w:lineRule="auto"/>
        <w:tabs>
          <w:tab w:leader="none" w:pos="1241" w:val="left"/>
        </w:tabs>
        <w:numPr>
          <w:ilvl w:val="0"/>
          <w:numId w:val="2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Illegality</w:t>
      </w:r>
      <w:r>
        <w:rPr>
          <w:rFonts w:ascii="Times New Roman" w:cs="Times New Roman" w:eastAsia="Times New Roman" w:hAnsi="Times New Roman"/>
          <w:sz w:val="20"/>
          <w:szCs w:val="20"/>
          <w:color w:val="auto"/>
        </w:rPr>
        <w:t xml:space="preserve">. Subject to </w:t>
      </w:r>
      <w:r>
        <w:rPr>
          <w:rFonts w:ascii="Times New Roman" w:cs="Times New Roman" w:eastAsia="Times New Roman" w:hAnsi="Times New Roman"/>
          <w:sz w:val="20"/>
          <w:szCs w:val="20"/>
          <w:u w:val="single" w:color="auto"/>
          <w:color w:val="auto"/>
        </w:rPr>
        <w:t>Section 5.12</w:t>
      </w:r>
      <w:r>
        <w:rPr>
          <w:rFonts w:ascii="Times New Roman" w:cs="Times New Roman" w:eastAsia="Times New Roman" w:hAnsi="Times New Roman"/>
          <w:sz w:val="20"/>
          <w:szCs w:val="20"/>
          <w:color w:val="auto"/>
        </w:rPr>
        <w:t>, if, in any applicable jurisdiction, the Administrative Agent, any Issuing Lender or any Lender or its Applicable Designee determines that any Applicable Law has made it unlawful, or that any Governmental Authority has asserted that it is unlawful, for the Administrative Agent, any Issuing Lender, any Lender or any Applicable Designee to (i) perform any of its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38"/>
        <w:spacing w:after="0"/>
        <w:rPr>
          <w:sz w:val="20"/>
          <w:szCs w:val="20"/>
          <w:color w:val="auto"/>
        </w:rPr>
      </w:pPr>
      <w:r>
        <w:rPr>
          <w:rFonts w:ascii="Times New Roman" w:cs="Times New Roman" w:eastAsia="Times New Roman" w:hAnsi="Times New Roman"/>
          <w:sz w:val="14"/>
          <w:szCs w:val="14"/>
          <w:color w:val="FF0000"/>
          <w:strike w:val="1"/>
        </w:rPr>
        <w:t>146960219_6</w:t>
      </w:r>
    </w:p>
    <w:p>
      <w:pPr>
        <w:spacing w:after="0" w:line="4" w:lineRule="exact"/>
        <w:rPr>
          <w:sz w:val="20"/>
          <w:szCs w:val="20"/>
          <w:color w:val="auto"/>
        </w:rPr>
      </w:pPr>
    </w:p>
    <w:p>
      <w:pPr>
        <w:ind w:left="338" w:hanging="338"/>
        <w:spacing w:after="0"/>
        <w:tabs>
          <w:tab w:leader="none" w:pos="338" w:val="left"/>
        </w:tabs>
        <w:numPr>
          <w:ilvl w:val="0"/>
          <w:numId w:val="230"/>
        </w:numPr>
        <w:rPr>
          <w:rFonts w:ascii="Times New Roman" w:cs="Times New Roman" w:eastAsia="Times New Roman" w:hAnsi="Times New Roman"/>
          <w:sz w:val="20"/>
          <w:szCs w:val="20"/>
          <w:color w:val="auto"/>
        </w:rPr>
      </w:pP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078"/>
          </w:cols>
          <w:pgMar w:left="382" w:top="1440" w:right="439" w:bottom="1440" w:gutter="0" w:footer="0" w:header="0"/>
        </w:sectPr>
      </w:pPr>
    </w:p>
    <w:bookmarkStart w:id="168" w:name="page169"/>
    <w:bookmarkEnd w:id="168"/>
    <w:p>
      <w:pPr>
        <w:ind w:left="58"/>
        <w:spacing w:after="0"/>
        <w:rPr>
          <w:sz w:val="20"/>
          <w:szCs w:val="20"/>
          <w:color w:val="auto"/>
        </w:rPr>
      </w:pPr>
      <w:r>
        <w:rPr>
          <w:rFonts w:ascii="Times New Roman" w:cs="Times New Roman" w:eastAsia="Times New Roman" w:hAnsi="Times New Roman"/>
          <w:sz w:val="20"/>
          <w:szCs w:val="20"/>
          <w:color w:val="auto"/>
        </w:rPr>
        <w:t>obligations hereunder or under any other Loan Document, (ii) to fund or maintain its participation in any Loan or (iii) issue, make,</w:t>
      </w:r>
    </w:p>
    <w:p>
      <w:pPr>
        <w:ind w:left="58"/>
        <w:spacing w:after="0" w:line="204" w:lineRule="auto"/>
        <w:rPr>
          <w:sz w:val="20"/>
          <w:szCs w:val="20"/>
          <w:color w:val="auto"/>
        </w:rPr>
      </w:pPr>
      <w:r>
        <w:rPr>
          <w:rFonts w:ascii="Times New Roman" w:cs="Times New Roman" w:eastAsia="Times New Roman" w:hAnsi="Times New Roman"/>
          <w:sz w:val="20"/>
          <w:szCs w:val="20"/>
          <w:color w:val="auto"/>
        </w:rPr>
        <w:t>maintain, fund or charge interest or fees with respect to any Extension of Credit to any Borrower that is a Foreign Subsidiary such Person shall promptly notify the Administrative Agent, then, upon the Administrative Agent notifying Centuri, and until such notice by such</w:t>
      </w:r>
    </w:p>
    <w:p>
      <w:pPr>
        <w:ind w:left="58"/>
        <w:spacing w:after="0" w:line="211" w:lineRule="auto"/>
        <w:rPr>
          <w:sz w:val="20"/>
          <w:szCs w:val="20"/>
          <w:color w:val="auto"/>
        </w:rPr>
      </w:pPr>
      <w:r>
        <w:rPr>
          <w:rFonts w:ascii="Times New Roman" w:cs="Times New Roman" w:eastAsia="Times New Roman" w:hAnsi="Times New Roman"/>
          <w:sz w:val="20"/>
          <w:szCs w:val="20"/>
          <w:color w:val="auto"/>
        </w:rPr>
        <w:t>Person is revoked, any obligation of such Person to issue, make, maintain, fund or charge interest or fees with respect to any such</w:t>
      </w:r>
    </w:p>
    <w:p>
      <w:pPr>
        <w:spacing w:after="0" w:line="1" w:lineRule="exact"/>
        <w:rPr>
          <w:sz w:val="20"/>
          <w:szCs w:val="20"/>
          <w:color w:val="auto"/>
        </w:rPr>
      </w:pPr>
    </w:p>
    <w:p>
      <w:pPr>
        <w:ind w:left="58"/>
        <w:spacing w:after="0" w:line="204" w:lineRule="auto"/>
        <w:rPr>
          <w:sz w:val="20"/>
          <w:szCs w:val="20"/>
          <w:color w:val="auto"/>
        </w:rPr>
      </w:pPr>
      <w:r>
        <w:rPr>
          <w:rFonts w:ascii="Times New Roman" w:cs="Times New Roman" w:eastAsia="Times New Roman" w:hAnsi="Times New Roman"/>
          <w:sz w:val="20"/>
          <w:szCs w:val="20"/>
          <w:color w:val="auto"/>
        </w:rPr>
        <w:t>Extension of Credit shall be suspended, and to the extent required by Applicable Law, cancelled. Upon receipt of such notice, the Credit Parties shall, (A) repay that Person’s participation in the Loans or other applicable Obligations on the last day of the Interest Period for</w:t>
      </w:r>
    </w:p>
    <w:p>
      <w:pPr>
        <w:ind w:left="58"/>
        <w:spacing w:after="0" w:line="223" w:lineRule="auto"/>
        <w:rPr>
          <w:sz w:val="20"/>
          <w:szCs w:val="20"/>
          <w:color w:val="auto"/>
        </w:rPr>
      </w:pPr>
      <w:r>
        <w:rPr>
          <w:rFonts w:ascii="Times New Roman" w:cs="Times New Roman" w:eastAsia="Times New Roman" w:hAnsi="Times New Roman"/>
          <w:sz w:val="19"/>
          <w:szCs w:val="19"/>
          <w:color w:val="auto"/>
        </w:rPr>
        <w:t>each Loan or other Obligation occurring after the Administrative Agent has notified Centuri or, if earlier, the date specified by such Person</w:t>
      </w:r>
    </w:p>
    <w:p>
      <w:pPr>
        <w:ind w:left="58"/>
        <w:spacing w:after="0" w:line="221" w:lineRule="auto"/>
        <w:rPr>
          <w:sz w:val="20"/>
          <w:szCs w:val="20"/>
          <w:color w:val="auto"/>
        </w:rPr>
      </w:pPr>
      <w:r>
        <w:rPr>
          <w:rFonts w:ascii="Times New Roman" w:cs="Times New Roman" w:eastAsia="Times New Roman" w:hAnsi="Times New Roman"/>
          <w:sz w:val="20"/>
          <w:szCs w:val="20"/>
          <w:color w:val="auto"/>
        </w:rPr>
        <w:t>in the notice delivered to the Administrative Agent (being no earlier than the last day of any applicable grace period permitted by Applicable Law) and (B) take all reasonable actions requested by such Person to mitigate or avoid such illegality.</w:t>
      </w:r>
    </w:p>
    <w:p>
      <w:pPr>
        <w:spacing w:after="0" w:line="189" w:lineRule="exact"/>
        <w:rPr>
          <w:sz w:val="20"/>
          <w:szCs w:val="20"/>
          <w:color w:val="auto"/>
        </w:rPr>
      </w:pPr>
    </w:p>
    <w:p>
      <w:pPr>
        <w:ind w:left="698"/>
        <w:spacing w:after="0"/>
        <w:tabs>
          <w:tab w:leader="none" w:pos="2018" w:val="left"/>
        </w:tabs>
        <w:rPr>
          <w:sz w:val="20"/>
          <w:szCs w:val="20"/>
          <w:color w:val="auto"/>
        </w:rPr>
      </w:pPr>
      <w:r>
        <w:rPr>
          <w:rFonts w:ascii="Times New Roman" w:cs="Times New Roman" w:eastAsia="Times New Roman" w:hAnsi="Times New Roman"/>
          <w:sz w:val="20"/>
          <w:szCs w:val="20"/>
          <w:color w:val="auto"/>
        </w:rPr>
        <w:t>SECTION 5.9</w:t>
      </w:r>
      <w:r>
        <w:rPr>
          <w:sz w:val="20"/>
          <w:szCs w:val="20"/>
          <w:color w:val="auto"/>
        </w:rPr>
        <w:tab/>
      </w:r>
      <w:r>
        <w:rPr>
          <w:rFonts w:ascii="Times New Roman" w:cs="Times New Roman" w:eastAsia="Times New Roman" w:hAnsi="Times New Roman"/>
          <w:sz w:val="19"/>
          <w:szCs w:val="19"/>
          <w:u w:val="single" w:color="auto"/>
          <w:color w:val="auto"/>
        </w:rPr>
        <w:t>Indemnity</w:t>
      </w:r>
    </w:p>
    <w:p>
      <w:pPr>
        <w:spacing w:after="0" w:line="283" w:lineRule="exact"/>
        <w:rPr>
          <w:sz w:val="20"/>
          <w:szCs w:val="20"/>
          <w:color w:val="auto"/>
        </w:rPr>
      </w:pPr>
    </w:p>
    <w:p>
      <w:pPr>
        <w:jc w:val="both"/>
        <w:ind w:left="58" w:firstLine="50"/>
        <w:spacing w:after="0" w:line="210" w:lineRule="auto"/>
        <w:tabs>
          <w:tab w:leader="none" w:pos="236" w:val="left"/>
        </w:tabs>
        <w:numPr>
          <w:ilvl w:val="0"/>
          <w:numId w:val="2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Borrower hereby indemnifies each of the Lenders against any loss or expense (including any loss or expense arising from the liquidation or reemployment of funds obtained by it to maintain a LIBOR Rate </w:t>
      </w:r>
      <w:r>
        <w:rPr>
          <w:rFonts w:ascii="Times New Roman" w:cs="Times New Roman" w:eastAsia="Times New Roman" w:hAnsi="Times New Roman"/>
          <w:sz w:val="20"/>
          <w:szCs w:val="20"/>
          <w:u w:val="single" w:color="auto"/>
          <w:color w:val="0000FF"/>
        </w:rPr>
        <w:t>Loan, a SOFR</w:t>
      </w:r>
      <w:r>
        <w:rPr>
          <w:rFonts w:ascii="Times New Roman" w:cs="Times New Roman" w:eastAsia="Times New Roman" w:hAnsi="Times New Roman"/>
          <w:sz w:val="20"/>
          <w:szCs w:val="20"/>
          <w:color w:val="auto"/>
        </w:rPr>
        <w:t xml:space="preserve"> Loan or a CDOR Rate Loan or from fees payable to terminate the deposits from which such funds were obtained) which may arise or be attributable to each Lender’s obtaining, liquidating or employing deposits or other funds acquired to effect, fund or maintain any Loan (a) as a consequence of any failure by such Borrower to make any payment when due of any amount due hereunder in connection with a LIBOR Rate Loan</w:t>
      </w:r>
      <w:r>
        <w:rPr>
          <w:rFonts w:ascii="Times New Roman" w:cs="Times New Roman" w:eastAsia="Times New Roman" w:hAnsi="Times New Roman"/>
          <w:sz w:val="20"/>
          <w:szCs w:val="20"/>
          <w:u w:val="single" w:color="auto"/>
          <w:color w:val="0000FF"/>
        </w:rPr>
        <w:t>, a SOFR Loan</w:t>
      </w:r>
      <w:r>
        <w:rPr>
          <w:rFonts w:ascii="Times New Roman" w:cs="Times New Roman" w:eastAsia="Times New Roman" w:hAnsi="Times New Roman"/>
          <w:sz w:val="20"/>
          <w:szCs w:val="20"/>
          <w:color w:val="auto"/>
        </w:rPr>
        <w:t xml:space="preserve"> or a CDOR Rate Loan, (b) due to any failure of such Borrower to borrow, continue or convert on a date specified therefor in a Notice of Borrowing or Notice of Conversion/Continuation or (c) due to any payment, prepayment or conversion of any LIBOR Rate Loan</w:t>
      </w:r>
      <w:r>
        <w:rPr>
          <w:rFonts w:ascii="Times New Roman" w:cs="Times New Roman" w:eastAsia="Times New Roman" w:hAnsi="Times New Roman"/>
          <w:sz w:val="20"/>
          <w:szCs w:val="20"/>
          <w:color w:val="0000FF"/>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any SOFR Loan</w:t>
      </w:r>
      <w:r>
        <w:rPr>
          <w:rFonts w:ascii="Times New Roman" w:cs="Times New Roman" w:eastAsia="Times New Roman" w:hAnsi="Times New Roman"/>
          <w:sz w:val="20"/>
          <w:szCs w:val="20"/>
          <w:color w:val="auto"/>
        </w:rPr>
        <w:t xml:space="preserve"> or any CDOR Rate Loan on a date other than the last day of the Interest Period therefor. The amount of such loss or expense shall be determined, in the applicable Lender’s sole discretion, based upon the assumption that such Lender funded its Commitment Percentage of the LIBOR Rate Loans </w:t>
      </w:r>
      <w:r>
        <w:rPr>
          <w:rFonts w:ascii="Times New Roman" w:cs="Times New Roman" w:eastAsia="Times New Roman" w:hAnsi="Times New Roman"/>
          <w:sz w:val="20"/>
          <w:szCs w:val="20"/>
          <w:color w:val="FF0000"/>
          <w:strike w:val="1"/>
        </w:rPr>
        <w:t>in the London interbank market</w:t>
      </w:r>
      <w:r>
        <w:rPr>
          <w:rFonts w:ascii="Times New Roman" w:cs="Times New Roman" w:eastAsia="Times New Roman" w:hAnsi="Times New Roman"/>
          <w:sz w:val="20"/>
          <w:szCs w:val="20"/>
          <w:u w:val="single" w:color="auto"/>
          <w:color w:val="0000FF"/>
        </w:rPr>
        <w:t>, SOFR Loans</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color w:val="FF0000"/>
          <w:strike w:val="1"/>
        </w:rPr>
        <w:t>the</w:t>
      </w:r>
      <w:r>
        <w:rPr>
          <w:rFonts w:ascii="Times New Roman" w:cs="Times New Roman" w:eastAsia="Times New Roman" w:hAnsi="Times New Roman"/>
          <w:sz w:val="20"/>
          <w:szCs w:val="20"/>
          <w:color w:val="auto"/>
        </w:rPr>
        <w:t xml:space="preserve"> CDOR Rate Loans </w:t>
      </w:r>
      <w:r>
        <w:rPr>
          <w:rFonts w:ascii="Times New Roman" w:cs="Times New Roman" w:eastAsia="Times New Roman" w:hAnsi="Times New Roman"/>
          <w:sz w:val="20"/>
          <w:szCs w:val="20"/>
          <w:color w:val="FF0000"/>
          <w:strike w:val="1"/>
        </w:rPr>
        <w:t>in the Canadian bankers’ acceptance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FF0000"/>
          <w:strike w:val="1"/>
        </w:rPr>
        <w:t>market</w:t>
      </w:r>
      <w:r>
        <w:rPr>
          <w:rFonts w:ascii="Times New Roman" w:cs="Times New Roman" w:eastAsia="Times New Roman" w:hAnsi="Times New Roman"/>
          <w:sz w:val="20"/>
          <w:szCs w:val="20"/>
          <w:color w:val="000000"/>
        </w:rPr>
        <w:t>, as applicable, and using any reasonable attribution or averaging methods which such Lender deems appropriate and practical. A</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certificate of such Lender setting forth the basis for determining such amount or amounts necessary to compensate such Lender shall be forwarded to the applicable Borrower through the Administrative Agent and shall be conclusively presumed to be correct save for manifest error. The applicable Borrower shall pay such Lender the amount shown as due on any such certificate within ten (10) days after receipt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-1841500</wp:posOffset>
            </wp:positionV>
            <wp:extent cx="3429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34290" cy="17145"/>
                    </a:xfrm>
                    <a:prstGeom prst="rect">
                      <a:avLst/>
                    </a:prstGeom>
                    <a:noFill/>
                  </pic:spPr>
                </pic:pic>
              </a:graphicData>
            </a:graphic>
          </wp:anchor>
        </w:drawing>
      </w:r>
    </w:p>
    <w:p>
      <w:pPr>
        <w:spacing w:after="0" w:line="175" w:lineRule="exact"/>
        <w:rPr>
          <w:sz w:val="20"/>
          <w:szCs w:val="20"/>
          <w:color w:val="auto"/>
        </w:rPr>
      </w:pPr>
    </w:p>
    <w:p>
      <w:pPr>
        <w:ind w:left="698"/>
        <w:spacing w:after="0"/>
        <w:tabs>
          <w:tab w:leader="none" w:pos="2118" w:val="left"/>
        </w:tabs>
        <w:rPr>
          <w:sz w:val="20"/>
          <w:szCs w:val="20"/>
          <w:color w:val="auto"/>
        </w:rPr>
      </w:pPr>
      <w:r>
        <w:rPr>
          <w:rFonts w:ascii="Times New Roman" w:cs="Times New Roman" w:eastAsia="Times New Roman" w:hAnsi="Times New Roman"/>
          <w:sz w:val="20"/>
          <w:szCs w:val="20"/>
          <w:color w:val="auto"/>
        </w:rPr>
        <w:t>SECTION 5.10</w:t>
      </w:r>
      <w:r>
        <w:rPr>
          <w:sz w:val="20"/>
          <w:szCs w:val="20"/>
          <w:color w:val="auto"/>
        </w:rPr>
        <w:tab/>
      </w:r>
      <w:r>
        <w:rPr>
          <w:rFonts w:ascii="Times New Roman" w:cs="Times New Roman" w:eastAsia="Times New Roman" w:hAnsi="Times New Roman"/>
          <w:sz w:val="19"/>
          <w:szCs w:val="19"/>
          <w:u w:val="single" w:color="auto"/>
          <w:color w:val="auto"/>
        </w:rPr>
        <w:t>Increased Costs</w:t>
      </w:r>
      <w:r>
        <w:rPr>
          <w:rFonts w:ascii="Times New Roman" w:cs="Times New Roman" w:eastAsia="Times New Roman" w:hAnsi="Times New Roman"/>
          <w:sz w:val="19"/>
          <w:szCs w:val="19"/>
          <w:color w:val="auto"/>
        </w:rPr>
        <w:t>.</w:t>
      </w:r>
    </w:p>
    <w:p>
      <w:pPr>
        <w:spacing w:after="0" w:line="283" w:lineRule="exact"/>
        <w:rPr>
          <w:sz w:val="20"/>
          <w:szCs w:val="20"/>
          <w:color w:val="auto"/>
        </w:rPr>
      </w:pPr>
    </w:p>
    <w:p>
      <w:pPr>
        <w:ind w:left="1238" w:hanging="536"/>
        <w:spacing w:after="0"/>
        <w:tabs>
          <w:tab w:leader="none" w:pos="1238" w:val="left"/>
        </w:tabs>
        <w:numPr>
          <w:ilvl w:val="0"/>
          <w:numId w:val="2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Increased Costs Generally</w:t>
      </w:r>
      <w:r>
        <w:rPr>
          <w:rFonts w:ascii="Times New Roman" w:cs="Times New Roman" w:eastAsia="Times New Roman" w:hAnsi="Times New Roman"/>
          <w:sz w:val="20"/>
          <w:szCs w:val="20"/>
          <w:color w:val="auto"/>
        </w:rPr>
        <w:t>. If any Change in Law shall:</w:t>
      </w:r>
    </w:p>
    <w:p>
      <w:pPr>
        <w:spacing w:after="0" w:line="283" w:lineRule="exact"/>
        <w:rPr>
          <w:rFonts w:ascii="Times New Roman" w:cs="Times New Roman" w:eastAsia="Times New Roman" w:hAnsi="Times New Roman"/>
          <w:sz w:val="20"/>
          <w:szCs w:val="20"/>
          <w:color w:val="auto"/>
        </w:rPr>
      </w:pPr>
    </w:p>
    <w:p>
      <w:pPr>
        <w:jc w:val="both"/>
        <w:ind w:left="698" w:firstLine="652"/>
        <w:spacing w:after="0" w:line="226" w:lineRule="auto"/>
        <w:tabs>
          <w:tab w:leader="none" w:pos="2523" w:val="left"/>
        </w:tabs>
        <w:numPr>
          <w:ilvl w:val="1"/>
          <w:numId w:val="2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impose, modify or deem applicable any reserve, special deposit, compulsory loan, insurance charge or similar requirement against assets of, deposits with or for the account of, or advances, loans or other credit extended or participated in by, any Lender (except any reserve requirement reflected in the LIBOR Rate) or any Issuing Lender;</w:t>
      </w:r>
    </w:p>
    <w:p>
      <w:pPr>
        <w:spacing w:after="0" w:line="214" w:lineRule="exact"/>
        <w:rPr>
          <w:rFonts w:ascii="Times New Roman" w:cs="Times New Roman" w:eastAsia="Times New Roman" w:hAnsi="Times New Roman"/>
          <w:sz w:val="20"/>
          <w:szCs w:val="20"/>
          <w:color w:val="auto"/>
        </w:rPr>
      </w:pPr>
    </w:p>
    <w:p>
      <w:pPr>
        <w:jc w:val="both"/>
        <w:ind w:left="698" w:firstLine="652"/>
        <w:spacing w:after="0" w:line="254" w:lineRule="auto"/>
        <w:tabs>
          <w:tab w:leader="none" w:pos="2524" w:val="left"/>
        </w:tabs>
        <w:numPr>
          <w:ilvl w:val="1"/>
          <w:numId w:val="2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any Recipient to any Taxes (other than (A) Indemnified Taxes, (B) Taxes described in clauses (b) through (e) of the definition of Excluded Taxes and (C) Connection Income Taxes) on its loans, loan principal, letters of credit, commitments, or other obligations, or its deposits, reserves, other liabilities or capital attributable thereto;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38"/>
        <w:spacing w:after="0"/>
        <w:rPr>
          <w:sz w:val="20"/>
          <w:szCs w:val="20"/>
          <w:color w:val="auto"/>
        </w:rPr>
      </w:pPr>
      <w:r>
        <w:rPr>
          <w:rFonts w:ascii="Times New Roman" w:cs="Times New Roman" w:eastAsia="Times New Roman" w:hAnsi="Times New Roman"/>
          <w:sz w:val="14"/>
          <w:szCs w:val="14"/>
          <w:color w:val="FF0000"/>
          <w:strike w:val="1"/>
        </w:rPr>
        <w:t>146960219_6</w:t>
      </w:r>
    </w:p>
    <w:p>
      <w:pPr>
        <w:spacing w:after="0" w:line="4" w:lineRule="exact"/>
        <w:rPr>
          <w:sz w:val="20"/>
          <w:szCs w:val="20"/>
          <w:color w:val="auto"/>
        </w:rPr>
      </w:pPr>
    </w:p>
    <w:p>
      <w:pPr>
        <w:ind w:left="338" w:hanging="338"/>
        <w:spacing w:after="0"/>
        <w:tabs>
          <w:tab w:leader="none" w:pos="338" w:val="left"/>
        </w:tabs>
        <w:numPr>
          <w:ilvl w:val="0"/>
          <w:numId w:val="233"/>
        </w:numPr>
        <w:rPr>
          <w:rFonts w:ascii="Times New Roman" w:cs="Times New Roman" w:eastAsia="Times New Roman" w:hAnsi="Times New Roman"/>
          <w:sz w:val="20"/>
          <w:szCs w:val="20"/>
          <w:color w:val="auto"/>
        </w:rPr>
      </w:pP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078"/>
          </w:cols>
          <w:pgMar w:left="382" w:top="1394" w:right="439" w:bottom="1440" w:gutter="0" w:footer="0" w:header="0"/>
        </w:sectPr>
      </w:pPr>
    </w:p>
    <w:bookmarkStart w:id="169" w:name="page170"/>
    <w:bookmarkEnd w:id="169"/>
    <w:p>
      <w:pPr>
        <w:spacing w:after="0" w:line="216" w:lineRule="exact"/>
        <w:rPr>
          <w:sz w:val="20"/>
          <w:szCs w:val="20"/>
          <w:color w:val="auto"/>
        </w:rPr>
      </w:pPr>
    </w:p>
    <w:p>
      <w:pPr>
        <w:ind w:left="698" w:right="20" w:firstLine="652"/>
        <w:spacing w:after="0" w:line="269" w:lineRule="auto"/>
        <w:tabs>
          <w:tab w:leader="none" w:pos="1885" w:val="left"/>
        </w:tabs>
        <w:numPr>
          <w:ilvl w:val="0"/>
          <w:numId w:val="2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impose on any Lender or any Issuing Lender or the London interbank market any other condition, cost or expense (other than Taxes) affecting this Agreement or Loans made by such Lender or any Letter of Credit or participation therein;</w:t>
      </w:r>
    </w:p>
    <w:p>
      <w:pPr>
        <w:spacing w:after="0" w:line="173" w:lineRule="exact"/>
        <w:rPr>
          <w:sz w:val="20"/>
          <w:szCs w:val="20"/>
          <w:color w:val="auto"/>
        </w:rPr>
      </w:pPr>
    </w:p>
    <w:p>
      <w:pPr>
        <w:ind w:left="58"/>
        <w:spacing w:after="0" w:line="234" w:lineRule="auto"/>
        <w:rPr>
          <w:sz w:val="20"/>
          <w:szCs w:val="20"/>
          <w:color w:val="auto"/>
        </w:rPr>
      </w:pPr>
      <w:r>
        <w:rPr>
          <w:rFonts w:ascii="Times New Roman" w:cs="Times New Roman" w:eastAsia="Times New Roman" w:hAnsi="Times New Roman"/>
          <w:sz w:val="19"/>
          <w:szCs w:val="19"/>
          <w:color w:val="auto"/>
        </w:rPr>
        <w:t>and the result of any of the foregoing shall be to increase the cost to such Lender, the Issuing Lender or such other Recipient of making, converting to, continuing or maintaining any Loan (or of maintaining its obligation to make any such Loan), or to increase the cost to such</w:t>
      </w:r>
    </w:p>
    <w:p>
      <w:pPr>
        <w:spacing w:after="0" w:line="1" w:lineRule="exact"/>
        <w:rPr>
          <w:sz w:val="20"/>
          <w:szCs w:val="20"/>
          <w:color w:val="auto"/>
        </w:rPr>
      </w:pPr>
    </w:p>
    <w:p>
      <w:pPr>
        <w:jc w:val="both"/>
        <w:ind w:left="58"/>
        <w:spacing w:after="0" w:line="204" w:lineRule="auto"/>
        <w:rPr>
          <w:sz w:val="20"/>
          <w:szCs w:val="20"/>
          <w:color w:val="auto"/>
        </w:rPr>
      </w:pPr>
      <w:r>
        <w:rPr>
          <w:rFonts w:ascii="Times New Roman" w:cs="Times New Roman" w:eastAsia="Times New Roman" w:hAnsi="Times New Roman"/>
          <w:sz w:val="20"/>
          <w:szCs w:val="20"/>
          <w:color w:val="auto"/>
        </w:rPr>
        <w:t>Lender, such Issuing Lender or such other Recipient of participating in, issuing or maintaining any Letter of Credit (or of maintaining its obligation to participate in or to issue any Letter of Credit), or to reduce the amount of any sum received or receivable by such Lender,</w:t>
      </w:r>
    </w:p>
    <w:p>
      <w:pPr>
        <w:ind w:left="58"/>
        <w:spacing w:after="0" w:line="211" w:lineRule="auto"/>
        <w:rPr>
          <w:sz w:val="20"/>
          <w:szCs w:val="20"/>
          <w:color w:val="auto"/>
        </w:rPr>
      </w:pPr>
      <w:r>
        <w:rPr>
          <w:rFonts w:ascii="Times New Roman" w:cs="Times New Roman" w:eastAsia="Times New Roman" w:hAnsi="Times New Roman"/>
          <w:sz w:val="20"/>
          <w:szCs w:val="20"/>
          <w:color w:val="auto"/>
        </w:rPr>
        <w:t>such Issuing Lender or such other Recipient hereunder (whether of principal, interest or any other amount) then, upon written request of</w:t>
      </w:r>
    </w:p>
    <w:p>
      <w:pPr>
        <w:spacing w:after="0" w:line="1" w:lineRule="exact"/>
        <w:rPr>
          <w:sz w:val="20"/>
          <w:szCs w:val="20"/>
          <w:color w:val="auto"/>
        </w:rPr>
      </w:pPr>
    </w:p>
    <w:p>
      <w:pPr>
        <w:jc w:val="both"/>
        <w:ind w:left="58" w:right="20"/>
        <w:spacing w:after="0" w:line="215" w:lineRule="auto"/>
        <w:rPr>
          <w:sz w:val="20"/>
          <w:szCs w:val="20"/>
          <w:color w:val="auto"/>
        </w:rPr>
      </w:pPr>
      <w:r>
        <w:rPr>
          <w:rFonts w:ascii="Times New Roman" w:cs="Times New Roman" w:eastAsia="Times New Roman" w:hAnsi="Times New Roman"/>
          <w:sz w:val="19"/>
          <w:szCs w:val="19"/>
          <w:color w:val="auto"/>
        </w:rPr>
        <w:t>such Lender, such Issuing Lender or other Recipient, the Borrowers shall promptly pay to any such Lender, such Issuing Lender or other Recipient, as the case may be, such additional amount or amounts as will compensate such Lender, such Issuing Lender or other Recipient,</w:t>
      </w:r>
    </w:p>
    <w:p>
      <w:pPr>
        <w:ind w:left="58"/>
        <w:spacing w:after="0"/>
        <w:rPr>
          <w:sz w:val="20"/>
          <w:szCs w:val="20"/>
          <w:color w:val="auto"/>
        </w:rPr>
      </w:pPr>
      <w:r>
        <w:rPr>
          <w:rFonts w:ascii="Times New Roman" w:cs="Times New Roman" w:eastAsia="Times New Roman" w:hAnsi="Times New Roman"/>
          <w:sz w:val="20"/>
          <w:szCs w:val="20"/>
          <w:color w:val="auto"/>
        </w:rPr>
        <w:t>as the case may be, for such additional costs incurred or reduction suffered.</w:t>
      </w:r>
    </w:p>
    <w:p>
      <w:pPr>
        <w:spacing w:after="0" w:line="194" w:lineRule="exact"/>
        <w:rPr>
          <w:sz w:val="20"/>
          <w:szCs w:val="20"/>
          <w:color w:val="auto"/>
        </w:rPr>
      </w:pPr>
    </w:p>
    <w:p>
      <w:pPr>
        <w:jc w:val="both"/>
        <w:ind w:left="58" w:firstLine="644"/>
        <w:spacing w:after="0" w:line="212" w:lineRule="auto"/>
        <w:tabs>
          <w:tab w:leader="none" w:pos="1234" w:val="left"/>
        </w:tabs>
        <w:numPr>
          <w:ilvl w:val="0"/>
          <w:numId w:val="2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Capital Requirements</w:t>
      </w:r>
      <w:r>
        <w:rPr>
          <w:rFonts w:ascii="Times New Roman" w:cs="Times New Roman" w:eastAsia="Times New Roman" w:hAnsi="Times New Roman"/>
          <w:sz w:val="20"/>
          <w:szCs w:val="20"/>
          <w:color w:val="auto"/>
        </w:rPr>
        <w:t>. If any Lender or any Issuing Lender determines that any Change in Law affecting such Lender or such Issuing Lender or any Lending Office of such Lender or such Lender’s or such Issuing Lender’s holding company, if any, regarding capital or liquidity requirements, has or would have the effect of reducing the rate of return on such Lender’s or such Issuing Lender’s capital or on the capital of such Lender’s or such Issuing Lender’s holding company, if any, as a consequence of this Agreement, the Revolving Credit Commitment of such Lender or the Loans made by, or participations in Letters of Credit or Swingline Loans held by, such Lender, or the Letters of Credit issued by such Issuing Lender, to a level below that which such Lender or such Issuing Lender or such Lender’s or such Issuing Lender’s holding company could have achieved but for such Change in Law (taking into consideration such Lender’s or such Issuing Lender’s policies and the policies of such Lender’s or such Issuing Lender’s holding company with respect to capital adequacy or liquidity), then from time to time upon written request of such Lender or such Issuing Lender the Borrowers shall promptly pay to such Lender or such Issuing Lender, as the case may be, such additional amount or amounts as will compensate such Lender or such Issuing Lender or such Lender’s or such Issuing Lender’s holding company for any such reduction suffered.</w:t>
      </w:r>
    </w:p>
    <w:p>
      <w:pPr>
        <w:spacing w:after="0" w:line="195" w:lineRule="exact"/>
        <w:rPr>
          <w:rFonts w:ascii="Times New Roman" w:cs="Times New Roman" w:eastAsia="Times New Roman" w:hAnsi="Times New Roman"/>
          <w:sz w:val="20"/>
          <w:szCs w:val="20"/>
          <w:color w:val="auto"/>
        </w:rPr>
      </w:pPr>
    </w:p>
    <w:p>
      <w:pPr>
        <w:jc w:val="both"/>
        <w:ind w:left="58" w:firstLine="644"/>
        <w:spacing w:after="0" w:line="217" w:lineRule="auto"/>
        <w:tabs>
          <w:tab w:leader="none" w:pos="1236" w:val="left"/>
        </w:tabs>
        <w:numPr>
          <w:ilvl w:val="0"/>
          <w:numId w:val="2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Certificates for Reimbursement</w:t>
      </w:r>
      <w:r>
        <w:rPr>
          <w:rFonts w:ascii="Times New Roman" w:cs="Times New Roman" w:eastAsia="Times New Roman" w:hAnsi="Times New Roman"/>
          <w:sz w:val="20"/>
          <w:szCs w:val="20"/>
          <w:color w:val="auto"/>
        </w:rPr>
        <w:t>. A certificate of a Lender, or an Issuing Lender or such other Recipient setting forth the amount or amounts necessary to compensate such Lender or such Issuing Lender, such other Recipient or any of their respective holding companies, as the case may be, as specified in paragraph (a) or (b) of this Section and delivered to the Borrowers, shall be conclusive absent manifest error. The Borrowers shall pay such Lender or such Issuing Lender or such other Recipient, as the case may be, the amount shown as due on any such certificate within ten (10) days after receipt thereof.</w:t>
      </w:r>
    </w:p>
    <w:p>
      <w:pPr>
        <w:spacing w:after="0" w:line="188" w:lineRule="exact"/>
        <w:rPr>
          <w:rFonts w:ascii="Times New Roman" w:cs="Times New Roman" w:eastAsia="Times New Roman" w:hAnsi="Times New Roman"/>
          <w:sz w:val="20"/>
          <w:szCs w:val="20"/>
          <w:color w:val="auto"/>
        </w:rPr>
      </w:pPr>
    </w:p>
    <w:p>
      <w:pPr>
        <w:jc w:val="both"/>
        <w:ind w:left="58" w:firstLine="644"/>
        <w:spacing w:after="0" w:line="215" w:lineRule="auto"/>
        <w:tabs>
          <w:tab w:leader="none" w:pos="1234" w:val="left"/>
        </w:tabs>
        <w:numPr>
          <w:ilvl w:val="0"/>
          <w:numId w:val="2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Delay in Requests</w:t>
      </w:r>
      <w:r>
        <w:rPr>
          <w:rFonts w:ascii="Times New Roman" w:cs="Times New Roman" w:eastAsia="Times New Roman" w:hAnsi="Times New Roman"/>
          <w:sz w:val="20"/>
          <w:szCs w:val="20"/>
          <w:color w:val="auto"/>
        </w:rPr>
        <w:t xml:space="preserve">. Failure or delay on the part of any Lender or any Issuing Lender or such other Recipient to demand compensation pursuant to this Section shall not constitute a waiver of such Lender’s or such Issuing Lender’s or such other Recipient’s right to demand such compensation;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Borrowers shall not be required to compensate any Lender or an Issuing Lender or any other Recipient pursuant to this Section for any increased costs incurred or reductions suffered more than six (6) months prior to the date that such Lender or such Issuing Lender or such other Recipient, as the case may be, notifies the Borrowers of the Change in Law giving rise to such increased costs or reductions, and of such Lender’s or such Issuing Lender’s or such other Recipient’s intention to claim compensation therefor (except that if the Change in Law giving rise to such increased costs or reductions is retroactive, then the nine-month period referred to above shall be extended to include the period of retroactive effect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38"/>
        <w:spacing w:after="0"/>
        <w:rPr>
          <w:sz w:val="20"/>
          <w:szCs w:val="20"/>
          <w:color w:val="auto"/>
        </w:rPr>
      </w:pPr>
      <w:r>
        <w:rPr>
          <w:rFonts w:ascii="Times New Roman" w:cs="Times New Roman" w:eastAsia="Times New Roman" w:hAnsi="Times New Roman"/>
          <w:sz w:val="14"/>
          <w:szCs w:val="14"/>
          <w:color w:val="FF0000"/>
          <w:strike w:val="1"/>
        </w:rPr>
        <w:t>146960219_6</w:t>
      </w:r>
    </w:p>
    <w:p>
      <w:pPr>
        <w:spacing w:after="0" w:line="4" w:lineRule="exact"/>
        <w:rPr>
          <w:sz w:val="20"/>
          <w:szCs w:val="20"/>
          <w:color w:val="auto"/>
        </w:rPr>
      </w:pPr>
    </w:p>
    <w:p>
      <w:pPr>
        <w:ind w:left="338" w:hanging="338"/>
        <w:spacing w:after="0"/>
        <w:tabs>
          <w:tab w:leader="none" w:pos="338" w:val="left"/>
        </w:tabs>
        <w:numPr>
          <w:ilvl w:val="0"/>
          <w:numId w:val="236"/>
        </w:numPr>
        <w:rPr>
          <w:rFonts w:ascii="Times New Roman" w:cs="Times New Roman" w:eastAsia="Times New Roman" w:hAnsi="Times New Roman"/>
          <w:sz w:val="20"/>
          <w:szCs w:val="20"/>
          <w:color w:val="auto"/>
        </w:rPr>
      </w:pP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078"/>
          </w:cols>
          <w:pgMar w:left="382" w:top="1440" w:right="439" w:bottom="1440" w:gutter="0" w:footer="0" w:header="0"/>
        </w:sectPr>
      </w:pPr>
    </w:p>
    <w:bookmarkStart w:id="170" w:name="page171"/>
    <w:bookmarkEnd w:id="170"/>
    <w:p>
      <w:pPr>
        <w:spacing w:after="0" w:line="203" w:lineRule="exact"/>
        <w:rPr>
          <w:sz w:val="20"/>
          <w:szCs w:val="20"/>
          <w:color w:val="auto"/>
        </w:rPr>
      </w:pPr>
    </w:p>
    <w:p>
      <w:pPr>
        <w:ind w:left="698"/>
        <w:spacing w:after="0"/>
        <w:tabs>
          <w:tab w:leader="none" w:pos="2098" w:val="left"/>
        </w:tabs>
        <w:rPr>
          <w:sz w:val="20"/>
          <w:szCs w:val="20"/>
          <w:color w:val="auto"/>
        </w:rPr>
      </w:pPr>
      <w:r>
        <w:rPr>
          <w:rFonts w:ascii="Times New Roman" w:cs="Times New Roman" w:eastAsia="Times New Roman" w:hAnsi="Times New Roman"/>
          <w:sz w:val="20"/>
          <w:szCs w:val="20"/>
          <w:color w:val="auto"/>
        </w:rPr>
        <w:t>SECTION 5.11</w:t>
      </w:r>
      <w:r>
        <w:rPr>
          <w:sz w:val="20"/>
          <w:szCs w:val="20"/>
          <w:color w:val="auto"/>
        </w:rPr>
        <w:tab/>
      </w:r>
      <w:r>
        <w:rPr>
          <w:rFonts w:ascii="Times New Roman" w:cs="Times New Roman" w:eastAsia="Times New Roman" w:hAnsi="Times New Roman"/>
          <w:sz w:val="19"/>
          <w:szCs w:val="19"/>
          <w:u w:val="single" w:color="auto"/>
          <w:color w:val="auto"/>
        </w:rPr>
        <w:t>Taxes</w:t>
      </w:r>
      <w:r>
        <w:rPr>
          <w:rFonts w:ascii="Times New Roman" w:cs="Times New Roman" w:eastAsia="Times New Roman" w:hAnsi="Times New Roman"/>
          <w:sz w:val="19"/>
          <w:szCs w:val="19"/>
          <w:color w:val="auto"/>
        </w:rPr>
        <w:t>.</w:t>
      </w:r>
    </w:p>
    <w:p>
      <w:pPr>
        <w:spacing w:after="0" w:line="297" w:lineRule="exact"/>
        <w:rPr>
          <w:sz w:val="20"/>
          <w:szCs w:val="20"/>
          <w:color w:val="auto"/>
        </w:rPr>
      </w:pPr>
    </w:p>
    <w:p>
      <w:pPr>
        <w:ind w:left="58" w:firstLine="644"/>
        <w:spacing w:after="0" w:line="269" w:lineRule="auto"/>
        <w:tabs>
          <w:tab w:leader="none" w:pos="1236" w:val="left"/>
        </w:tabs>
        <w:numPr>
          <w:ilvl w:val="0"/>
          <w:numId w:val="2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Defined Terms</w:t>
      </w:r>
      <w:r>
        <w:rPr>
          <w:rFonts w:ascii="Times New Roman" w:cs="Times New Roman" w:eastAsia="Times New Roman" w:hAnsi="Times New Roman"/>
          <w:sz w:val="20"/>
          <w:szCs w:val="20"/>
          <w:color w:val="auto"/>
        </w:rPr>
        <w:t xml:space="preserve">. For purposes of this </w:t>
      </w:r>
      <w:r>
        <w:rPr>
          <w:rFonts w:ascii="Times New Roman" w:cs="Times New Roman" w:eastAsia="Times New Roman" w:hAnsi="Times New Roman"/>
          <w:sz w:val="20"/>
          <w:szCs w:val="20"/>
          <w:u w:val="single" w:color="auto"/>
          <w:color w:val="auto"/>
        </w:rPr>
        <w:t>Section 5.11</w:t>
      </w:r>
      <w:r>
        <w:rPr>
          <w:rFonts w:ascii="Times New Roman" w:cs="Times New Roman" w:eastAsia="Times New Roman" w:hAnsi="Times New Roman"/>
          <w:sz w:val="20"/>
          <w:szCs w:val="20"/>
          <w:color w:val="auto"/>
        </w:rPr>
        <w:t>, the term “Lender” includes any Issuing Lender and the term “Applicable Law” includes FATCA.</w:t>
      </w:r>
    </w:p>
    <w:p>
      <w:pPr>
        <w:spacing w:after="0" w:line="172" w:lineRule="exact"/>
        <w:rPr>
          <w:rFonts w:ascii="Times New Roman" w:cs="Times New Roman" w:eastAsia="Times New Roman" w:hAnsi="Times New Roman"/>
          <w:sz w:val="20"/>
          <w:szCs w:val="20"/>
          <w:color w:val="auto"/>
        </w:rPr>
      </w:pPr>
    </w:p>
    <w:p>
      <w:pPr>
        <w:jc w:val="both"/>
        <w:ind w:left="58" w:firstLine="644"/>
        <w:spacing w:after="0" w:line="214" w:lineRule="auto"/>
        <w:tabs>
          <w:tab w:leader="none" w:pos="1234" w:val="left"/>
        </w:tabs>
        <w:numPr>
          <w:ilvl w:val="0"/>
          <w:numId w:val="2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Payments Free of Taxes</w:t>
      </w:r>
      <w:r>
        <w:rPr>
          <w:rFonts w:ascii="Times New Roman" w:cs="Times New Roman" w:eastAsia="Times New Roman" w:hAnsi="Times New Roman"/>
          <w:sz w:val="20"/>
          <w:szCs w:val="20"/>
          <w:color w:val="auto"/>
        </w:rPr>
        <w:t>. Any and all payments by or on account of any obligation of any Credit Party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Credit Party shall be increased as necessary so that, after such deduction or withholding has been made (including such deductions and withholdings applicable to additional sums payable under this Section), the applicable Recipient receives an amount equal to the sum it would have received had no such deduction or withholding been made.</w:t>
      </w:r>
    </w:p>
    <w:p>
      <w:pPr>
        <w:spacing w:after="0" w:line="206" w:lineRule="exact"/>
        <w:rPr>
          <w:rFonts w:ascii="Times New Roman" w:cs="Times New Roman" w:eastAsia="Times New Roman" w:hAnsi="Times New Roman"/>
          <w:sz w:val="20"/>
          <w:szCs w:val="20"/>
          <w:color w:val="auto"/>
        </w:rPr>
      </w:pPr>
    </w:p>
    <w:p>
      <w:pPr>
        <w:ind w:left="58" w:right="20" w:firstLine="644"/>
        <w:spacing w:after="0" w:line="295" w:lineRule="auto"/>
        <w:tabs>
          <w:tab w:leader="none" w:pos="1236" w:val="left"/>
        </w:tabs>
        <w:numPr>
          <w:ilvl w:val="0"/>
          <w:numId w:val="2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Payment of Other Taxes by the Credit Parties</w:t>
      </w:r>
      <w:r>
        <w:rPr>
          <w:rFonts w:ascii="Times New Roman" w:cs="Times New Roman" w:eastAsia="Times New Roman" w:hAnsi="Times New Roman"/>
          <w:sz w:val="19"/>
          <w:szCs w:val="19"/>
          <w:color w:val="auto"/>
        </w:rPr>
        <w:t>. The Credit Parties shall timely pay to the relevant Governmental Authority in accordance with Applicable Law, or at the option of the Administrative Agent timely reimburse it for the payment of, any Other Taxes.</w:t>
      </w:r>
    </w:p>
    <w:p>
      <w:pPr>
        <w:spacing w:after="0" w:line="151" w:lineRule="exact"/>
        <w:rPr>
          <w:rFonts w:ascii="Times New Roman" w:cs="Times New Roman" w:eastAsia="Times New Roman" w:hAnsi="Times New Roman"/>
          <w:sz w:val="19"/>
          <w:szCs w:val="19"/>
          <w:color w:val="auto"/>
        </w:rPr>
      </w:pPr>
    </w:p>
    <w:p>
      <w:pPr>
        <w:jc w:val="both"/>
        <w:ind w:left="58" w:firstLine="644"/>
        <w:spacing w:after="0" w:line="211" w:lineRule="auto"/>
        <w:tabs>
          <w:tab w:leader="none" w:pos="1234" w:val="left"/>
        </w:tabs>
        <w:numPr>
          <w:ilvl w:val="0"/>
          <w:numId w:val="2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Indemnification by the Credit Parties</w:t>
      </w:r>
      <w:r>
        <w:rPr>
          <w:rFonts w:ascii="Times New Roman" w:cs="Times New Roman" w:eastAsia="Times New Roman" w:hAnsi="Times New Roman"/>
          <w:sz w:val="20"/>
          <w:szCs w:val="20"/>
          <w:color w:val="auto"/>
        </w:rPr>
        <w:t>. With respect to any Indemnified Taxes arising from US Obligations, the US Credit Parties shall jointly and severally indemnify each Recipient, within ten (10) days after written demand therefor, for the full amount of any such Indemnified Taxes (including Indemnified Taxes imposed or asserted on or attributable to amounts payable under this Section)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With respect to any Indemnified Taxes arising from Canadian Obligations, the Credit Parties shall jointly and severally indemnify each Recipient, within ten (10) days after written demand therefor, for the full amount of any such Indemnified Taxes (including Indemnified Taxes imposed on or asserted on or attributable to amounts payable under this Section)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Borrowers by a Recipient (with a copy to the Administrative Agent), or by the Administrative Agent on its own behalf or on behalf of a Recipient, shall be conclusive absent manifest error.</w:t>
      </w:r>
    </w:p>
    <w:p>
      <w:pPr>
        <w:spacing w:after="0" w:line="193" w:lineRule="exact"/>
        <w:rPr>
          <w:rFonts w:ascii="Times New Roman" w:cs="Times New Roman" w:eastAsia="Times New Roman" w:hAnsi="Times New Roman"/>
          <w:sz w:val="20"/>
          <w:szCs w:val="20"/>
          <w:color w:val="auto"/>
        </w:rPr>
      </w:pPr>
    </w:p>
    <w:p>
      <w:pPr>
        <w:jc w:val="both"/>
        <w:ind w:left="58" w:firstLine="644"/>
        <w:spacing w:after="0" w:line="212" w:lineRule="auto"/>
        <w:tabs>
          <w:tab w:leader="none" w:pos="1236" w:val="left"/>
        </w:tabs>
        <w:numPr>
          <w:ilvl w:val="0"/>
          <w:numId w:val="2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Indemnification by the Lenders</w:t>
      </w:r>
      <w:r>
        <w:rPr>
          <w:rFonts w:ascii="Times New Roman" w:cs="Times New Roman" w:eastAsia="Times New Roman" w:hAnsi="Times New Roman"/>
          <w:sz w:val="20"/>
          <w:szCs w:val="20"/>
          <w:color w:val="auto"/>
        </w:rPr>
        <w:t xml:space="preserve">. Each Lender shall severally indemnify the Administrative Agent, within ten (10) days after demand therefor, for (i) any Indemnified Taxes attributable to such Lender (but only to the extent that any Credit Party has not already indemnified the Administrative Agent for such Indemnified Taxes and without limiting the obligation of the Credit Parties to do so), (ii) any Taxes attributable to such Lender’s failure to comply with the provisions of </w:t>
      </w:r>
      <w:r>
        <w:rPr>
          <w:rFonts w:ascii="Times New Roman" w:cs="Times New Roman" w:eastAsia="Times New Roman" w:hAnsi="Times New Roman"/>
          <w:sz w:val="20"/>
          <w:szCs w:val="20"/>
          <w:u w:val="single" w:color="auto"/>
          <w:color w:val="auto"/>
        </w:rPr>
        <w:t>Section 12.9(d)</w:t>
      </w:r>
      <w:r>
        <w:rPr>
          <w:rFonts w:ascii="Times New Roman" w:cs="Times New Roman" w:eastAsia="Times New Roman" w:hAnsi="Times New Roman"/>
          <w:sz w:val="20"/>
          <w:szCs w:val="20"/>
          <w:color w:val="auto"/>
        </w:rPr>
        <w:t xml:space="preserve">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338"/>
        <w:spacing w:after="0"/>
        <w:rPr>
          <w:sz w:val="20"/>
          <w:szCs w:val="20"/>
          <w:color w:val="auto"/>
        </w:rPr>
      </w:pPr>
      <w:r>
        <w:rPr>
          <w:rFonts w:ascii="Times New Roman" w:cs="Times New Roman" w:eastAsia="Times New Roman" w:hAnsi="Times New Roman"/>
          <w:sz w:val="14"/>
          <w:szCs w:val="14"/>
          <w:color w:val="FF0000"/>
          <w:strike w:val="1"/>
        </w:rPr>
        <w:t>146960219_6</w:t>
      </w:r>
    </w:p>
    <w:p>
      <w:pPr>
        <w:ind w:left="338" w:hanging="338"/>
        <w:spacing w:after="0" w:line="229" w:lineRule="auto"/>
        <w:tabs>
          <w:tab w:leader="none" w:pos="338" w:val="left"/>
        </w:tabs>
        <w:numPr>
          <w:ilvl w:val="0"/>
          <w:numId w:val="238"/>
        </w:numPr>
        <w:rPr>
          <w:rFonts w:ascii="Times New Roman" w:cs="Times New Roman" w:eastAsia="Times New Roman" w:hAnsi="Times New Roman"/>
          <w:sz w:val="20"/>
          <w:szCs w:val="20"/>
          <w:color w:val="auto"/>
        </w:rPr>
      </w:pP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078"/>
          </w:cols>
          <w:pgMar w:left="382" w:top="1440" w:right="439" w:bottom="1440" w:gutter="0" w:footer="0" w:header="0"/>
        </w:sectPr>
      </w:pPr>
    </w:p>
    <w:bookmarkStart w:id="171" w:name="page172"/>
    <w:bookmarkEnd w:id="171"/>
    <w:p>
      <w:pPr>
        <w:spacing w:after="0" w:line="203" w:lineRule="exact"/>
        <w:rPr>
          <w:sz w:val="20"/>
          <w:szCs w:val="20"/>
          <w:color w:val="auto"/>
        </w:rPr>
      </w:pPr>
    </w:p>
    <w:p>
      <w:pPr>
        <w:ind w:left="58"/>
        <w:spacing w:after="0"/>
        <w:rPr>
          <w:sz w:val="20"/>
          <w:szCs w:val="20"/>
          <w:color w:val="auto"/>
        </w:rPr>
      </w:pPr>
      <w:r>
        <w:rPr>
          <w:rFonts w:ascii="Times New Roman" w:cs="Times New Roman" w:eastAsia="Times New Roman" w:hAnsi="Times New Roman"/>
          <w:sz w:val="20"/>
          <w:szCs w:val="20"/>
          <w:color w:val="auto"/>
        </w:rPr>
        <w:t>Administrative Agent to the Lender from any other source against any amount due to the Administrative Agent under this paragraph (e).</w:t>
      </w:r>
    </w:p>
    <w:p>
      <w:pPr>
        <w:spacing w:after="0" w:line="216" w:lineRule="exact"/>
        <w:rPr>
          <w:sz w:val="20"/>
          <w:szCs w:val="20"/>
          <w:color w:val="auto"/>
        </w:rPr>
      </w:pPr>
    </w:p>
    <w:p>
      <w:pPr>
        <w:jc w:val="both"/>
        <w:ind w:left="58" w:firstLine="644"/>
        <w:spacing w:after="0" w:line="222" w:lineRule="auto"/>
        <w:tabs>
          <w:tab w:leader="none" w:pos="1241" w:val="left"/>
        </w:tabs>
        <w:numPr>
          <w:ilvl w:val="0"/>
          <w:numId w:val="2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Evidence of Payments</w:t>
      </w:r>
      <w:r>
        <w:rPr>
          <w:rFonts w:ascii="Times New Roman" w:cs="Times New Roman" w:eastAsia="Times New Roman" w:hAnsi="Times New Roman"/>
          <w:sz w:val="20"/>
          <w:szCs w:val="20"/>
          <w:color w:val="auto"/>
        </w:rPr>
        <w:t xml:space="preserve">. As soon as practicable after any payment of Taxes by any Credit Party to a Governmental Authority pursuant to this </w:t>
      </w:r>
      <w:r>
        <w:rPr>
          <w:rFonts w:ascii="Times New Roman" w:cs="Times New Roman" w:eastAsia="Times New Roman" w:hAnsi="Times New Roman"/>
          <w:sz w:val="20"/>
          <w:szCs w:val="20"/>
          <w:u w:val="single" w:color="auto"/>
          <w:color w:val="auto"/>
        </w:rPr>
        <w:t>Section 5.11</w:t>
      </w:r>
      <w:r>
        <w:rPr>
          <w:rFonts w:ascii="Times New Roman" w:cs="Times New Roman" w:eastAsia="Times New Roman" w:hAnsi="Times New Roman"/>
          <w:sz w:val="20"/>
          <w:szCs w:val="20"/>
          <w:color w:val="auto"/>
        </w:rPr>
        <w:t>, such Credit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88" w:lineRule="exact"/>
        <w:rPr>
          <w:rFonts w:ascii="Times New Roman" w:cs="Times New Roman" w:eastAsia="Times New Roman" w:hAnsi="Times New Roman"/>
          <w:sz w:val="20"/>
          <w:szCs w:val="20"/>
          <w:color w:val="auto"/>
        </w:rPr>
      </w:pPr>
    </w:p>
    <w:p>
      <w:pPr>
        <w:ind w:left="1338" w:hanging="636"/>
        <w:spacing w:after="0"/>
        <w:tabs>
          <w:tab w:leader="none" w:pos="1338" w:val="left"/>
        </w:tabs>
        <w:numPr>
          <w:ilvl w:val="0"/>
          <w:numId w:val="2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Status of Lenders</w:t>
      </w:r>
      <w:r>
        <w:rPr>
          <w:rFonts w:ascii="Times New Roman" w:cs="Times New Roman" w:eastAsia="Times New Roman" w:hAnsi="Times New Roman"/>
          <w:sz w:val="20"/>
          <w:szCs w:val="20"/>
          <w:color w:val="auto"/>
        </w:rPr>
        <w:t>.</w:t>
      </w:r>
    </w:p>
    <w:p>
      <w:pPr>
        <w:spacing w:after="0" w:line="283" w:lineRule="exact"/>
        <w:rPr>
          <w:rFonts w:ascii="Times New Roman" w:cs="Times New Roman" w:eastAsia="Times New Roman" w:hAnsi="Times New Roman"/>
          <w:sz w:val="20"/>
          <w:szCs w:val="20"/>
          <w:color w:val="auto"/>
        </w:rPr>
      </w:pPr>
    </w:p>
    <w:p>
      <w:pPr>
        <w:jc w:val="both"/>
        <w:ind w:left="698" w:firstLine="652"/>
        <w:spacing w:after="0" w:line="222" w:lineRule="auto"/>
        <w:tabs>
          <w:tab w:leader="none" w:pos="2525" w:val="left"/>
        </w:tabs>
        <w:numPr>
          <w:ilvl w:val="1"/>
          <w:numId w:val="2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Lender that is entitled to an exemption from or reduction of withholding Tax with respect to payments made under any Loan Document shall deliver to Centuri and the Administrative Agent, at the time or times reasonably requested by Centuri or the Administrative Agent, such properly completed and executed documentation reasonably requested by Centuri or the Administrative Agent as will permit such payments to be made without withholding or at a reduced rate of withholding. In addition, any Lender, if reasonably requested by Centuri or the Administrative Agent, shall deliver such other documentation prescribed by Applicable Law or reasonably requested by Centuri or the Administrative Agent as will enable Centuri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Times New Roman" w:cs="Times New Roman" w:eastAsia="Times New Roman" w:hAnsi="Times New Roman"/>
          <w:sz w:val="19"/>
          <w:szCs w:val="19"/>
          <w:u w:val="single" w:color="auto"/>
          <w:color w:val="auto"/>
        </w:rPr>
        <w:t>Section 5.11(g)(ii)(A)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(ii)(B)</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(ii)(D)</w:t>
      </w:r>
      <w:r>
        <w:rPr>
          <w:rFonts w:ascii="Times New Roman" w:cs="Times New Roman" w:eastAsia="Times New Roman" w:hAnsi="Times New Roman"/>
          <w:sz w:val="19"/>
          <w:szCs w:val="19"/>
          <w:color w:val="auto"/>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93" w:lineRule="exact"/>
        <w:rPr>
          <w:rFonts w:ascii="Times New Roman" w:cs="Times New Roman" w:eastAsia="Times New Roman" w:hAnsi="Times New Roman"/>
          <w:sz w:val="19"/>
          <w:szCs w:val="19"/>
          <w:color w:val="auto"/>
        </w:rPr>
      </w:pPr>
    </w:p>
    <w:p>
      <w:pPr>
        <w:ind w:left="1978" w:hanging="628"/>
        <w:spacing w:after="0"/>
        <w:tabs>
          <w:tab w:leader="none" w:pos="1978" w:val="left"/>
        </w:tabs>
        <w:numPr>
          <w:ilvl w:val="1"/>
          <w:numId w:val="2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limiting the generality of the foregoing:</w:t>
      </w:r>
    </w:p>
    <w:p>
      <w:pPr>
        <w:spacing w:after="0" w:line="229" w:lineRule="exact"/>
        <w:rPr>
          <w:rFonts w:ascii="Times New Roman" w:cs="Times New Roman" w:eastAsia="Times New Roman" w:hAnsi="Times New Roman"/>
          <w:sz w:val="20"/>
          <w:szCs w:val="20"/>
          <w:color w:val="auto"/>
        </w:rPr>
      </w:pPr>
    </w:p>
    <w:p>
      <w:pPr>
        <w:jc w:val="both"/>
        <w:ind w:left="1358" w:firstLine="639"/>
        <w:spacing w:after="0" w:line="222" w:lineRule="auto"/>
        <w:tabs>
          <w:tab w:leader="none" w:pos="2537" w:val="left"/>
        </w:tabs>
        <w:numPr>
          <w:ilvl w:val="2"/>
          <w:numId w:val="2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Lender that is a U.S. Person shall deliver to Centuri and the Administrative Agent on or prior to the date on which such Lender becomes a Lender under this Agreement (and from time to time thereafter upon the reasonable request of Centuri or the Administrative Agent), executed originals of IRS Form W-9 (or any successor form) certifying that such Lender is exempt from United States federal backup withholding tax;</w:t>
      </w:r>
    </w:p>
    <w:p>
      <w:pPr>
        <w:spacing w:after="0" w:line="188" w:lineRule="exact"/>
        <w:rPr>
          <w:rFonts w:ascii="Times New Roman" w:cs="Times New Roman" w:eastAsia="Times New Roman" w:hAnsi="Times New Roman"/>
          <w:sz w:val="20"/>
          <w:szCs w:val="20"/>
          <w:color w:val="auto"/>
        </w:rPr>
      </w:pPr>
    </w:p>
    <w:p>
      <w:pPr>
        <w:jc w:val="both"/>
        <w:ind w:left="1358" w:firstLine="639"/>
        <w:spacing w:after="0" w:line="222" w:lineRule="auto"/>
        <w:tabs>
          <w:tab w:leader="none" w:pos="2540" w:val="left"/>
        </w:tabs>
        <w:numPr>
          <w:ilvl w:val="2"/>
          <w:numId w:val="2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Foreign Lender shall, to the extent it is legally entitled to do so, deliver to Centuri and the Administrative Agent (in such number of copies as shall be requested by the recipient) on or prior to the date on which such Foreign Lender becomes a Lender under this Agreement (and from time to time thereafter upon the reasonable request of Centuri or the Administrative Agent), whichever of the following is applicable:</w:t>
      </w:r>
    </w:p>
    <w:p>
      <w:pPr>
        <w:spacing w:after="0" w:line="188" w:lineRule="exact"/>
        <w:rPr>
          <w:rFonts w:ascii="Times New Roman" w:cs="Times New Roman" w:eastAsia="Times New Roman" w:hAnsi="Times New Roman"/>
          <w:sz w:val="20"/>
          <w:szCs w:val="20"/>
          <w:color w:val="auto"/>
        </w:rPr>
      </w:pPr>
    </w:p>
    <w:p>
      <w:pPr>
        <w:jc w:val="both"/>
        <w:ind w:left="1998" w:firstLine="647"/>
        <w:spacing w:after="0" w:line="216" w:lineRule="auto"/>
        <w:tabs>
          <w:tab w:leader="none" w:pos="3174" w:val="left"/>
        </w:tabs>
        <w:numPr>
          <w:ilvl w:val="3"/>
          <w:numId w:val="2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Foreign Lender claiming the benefits of an income tax treaty to which the United States is a party (x) with respect to payments of interest under any Loan Document, executed copies of IRS Form W-8BEN (or any successor form) or W-8BEN-E (or any successor form), as applicable, establishing an exemption from, or reduction of, United States federal withholding Tax pursuant to the “interest” article of such tax treaty and (y) with respect to any other applicable payments under any Loan Document, IRS Form W-8BEN (or any successor form) or W-8BEN-E (or any successor form), as applicable, establishing</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38"/>
        <w:spacing w:after="0"/>
        <w:rPr>
          <w:sz w:val="20"/>
          <w:szCs w:val="20"/>
          <w:color w:val="auto"/>
        </w:rPr>
      </w:pPr>
      <w:r>
        <w:rPr>
          <w:rFonts w:ascii="Times New Roman" w:cs="Times New Roman" w:eastAsia="Times New Roman" w:hAnsi="Times New Roman"/>
          <w:sz w:val="14"/>
          <w:szCs w:val="14"/>
          <w:color w:val="FF0000"/>
          <w:strike w:val="1"/>
        </w:rPr>
        <w:t>146960219_6</w:t>
      </w:r>
    </w:p>
    <w:p>
      <w:pPr>
        <w:ind w:left="338" w:hanging="338"/>
        <w:spacing w:after="0" w:line="229" w:lineRule="auto"/>
        <w:tabs>
          <w:tab w:leader="none" w:pos="338" w:val="left"/>
        </w:tabs>
        <w:numPr>
          <w:ilvl w:val="0"/>
          <w:numId w:val="240"/>
        </w:numPr>
        <w:rPr>
          <w:rFonts w:ascii="Times New Roman" w:cs="Times New Roman" w:eastAsia="Times New Roman" w:hAnsi="Times New Roman"/>
          <w:sz w:val="20"/>
          <w:szCs w:val="20"/>
          <w:color w:val="auto"/>
        </w:rPr>
      </w:pP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078"/>
          </w:cols>
          <w:pgMar w:left="382" w:top="1440" w:right="439" w:bottom="1440" w:gutter="0" w:footer="0" w:header="0"/>
        </w:sectPr>
      </w:pPr>
    </w:p>
    <w:bookmarkStart w:id="172" w:name="page173"/>
    <w:bookmarkEnd w:id="172"/>
    <w:p>
      <w:pPr>
        <w:ind w:left="1996" w:right="320"/>
        <w:spacing w:after="0"/>
        <w:rPr>
          <w:sz w:val="20"/>
          <w:szCs w:val="20"/>
          <w:color w:val="auto"/>
        </w:rPr>
      </w:pPr>
      <w:r>
        <w:rPr>
          <w:rFonts w:ascii="Times New Roman" w:cs="Times New Roman" w:eastAsia="Times New Roman" w:hAnsi="Times New Roman"/>
          <w:sz w:val="20"/>
          <w:szCs w:val="20"/>
          <w:color w:val="auto"/>
        </w:rPr>
        <w:t>an exemption from, or reduction of, United States federal withholding Tax pursuant to the “business profits” or “other income” article of such tax treaty;</w:t>
      </w:r>
    </w:p>
    <w:p>
      <w:pPr>
        <w:spacing w:after="0" w:line="188" w:lineRule="exact"/>
        <w:rPr>
          <w:sz w:val="20"/>
          <w:szCs w:val="20"/>
          <w:color w:val="auto"/>
        </w:rPr>
      </w:pPr>
    </w:p>
    <w:p>
      <w:pPr>
        <w:ind w:left="3276" w:hanging="631"/>
        <w:spacing w:after="0"/>
        <w:tabs>
          <w:tab w:leader="none" w:pos="3276" w:val="left"/>
        </w:tabs>
        <w:numPr>
          <w:ilvl w:val="1"/>
          <w:numId w:val="2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executed copies of IRS Form W-8ECI (or any successor form);</w:t>
      </w:r>
    </w:p>
    <w:p>
      <w:pPr>
        <w:spacing w:after="0" w:line="215" w:lineRule="exact"/>
        <w:rPr>
          <w:rFonts w:ascii="Times New Roman" w:cs="Times New Roman" w:eastAsia="Times New Roman" w:hAnsi="Times New Roman"/>
          <w:sz w:val="20"/>
          <w:szCs w:val="20"/>
          <w:color w:val="auto"/>
        </w:rPr>
      </w:pPr>
    </w:p>
    <w:p>
      <w:pPr>
        <w:jc w:val="both"/>
        <w:ind w:left="1996" w:firstLine="650"/>
        <w:spacing w:after="0" w:line="227" w:lineRule="auto"/>
        <w:tabs>
          <w:tab w:leader="none" w:pos="3200" w:val="left"/>
        </w:tabs>
        <w:numPr>
          <w:ilvl w:val="1"/>
          <w:numId w:val="2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the case of a Foreign Lender claiming the benefits of the exemption for portfolio interest under Section 881(c) of the Code, (x) a certificate substantially in the form of </w:t>
      </w:r>
      <w:r>
        <w:rPr>
          <w:rFonts w:ascii="Times New Roman" w:cs="Times New Roman" w:eastAsia="Times New Roman" w:hAnsi="Times New Roman"/>
          <w:sz w:val="19"/>
          <w:szCs w:val="19"/>
          <w:b w:val="1"/>
          <w:bCs w:val="1"/>
          <w:i w:val="1"/>
          <w:iCs w:val="1"/>
          <w:color w:val="auto"/>
        </w:rPr>
        <w:t>Exhibit H-1</w:t>
      </w:r>
      <w:r>
        <w:rPr>
          <w:rFonts w:ascii="Times New Roman" w:cs="Times New Roman" w:eastAsia="Times New Roman" w:hAnsi="Times New Roman"/>
          <w:sz w:val="19"/>
          <w:szCs w:val="19"/>
          <w:color w:val="auto"/>
        </w:rPr>
        <w:t xml:space="preserve"> to the effect that such Foreign Lender is not a “bank” within the meaning of Section 881(c)(3)(A) of the Code, a “10 percent shareholder” of a US Borrower within the meaning of Section 881(c)(3)(B) of the Code, or a “controlled foreign corporation” described in Section 881(c)(3)(C) of the Code (a “</w:t>
      </w:r>
      <w:r>
        <w:rPr>
          <w:rFonts w:ascii="Times New Roman" w:cs="Times New Roman" w:eastAsia="Times New Roman" w:hAnsi="Times New Roman"/>
          <w:sz w:val="19"/>
          <w:szCs w:val="19"/>
          <w:u w:val="single" w:color="auto"/>
          <w:color w:val="auto"/>
        </w:rPr>
        <w:t>U.S. Tax Compliance Certificate</w:t>
      </w:r>
      <w:r>
        <w:rPr>
          <w:rFonts w:ascii="Times New Roman" w:cs="Times New Roman" w:eastAsia="Times New Roman" w:hAnsi="Times New Roman"/>
          <w:sz w:val="19"/>
          <w:szCs w:val="19"/>
          <w:color w:val="auto"/>
        </w:rPr>
        <w:t>”) and (y) executed copies of IRS Form W-8BEN (or any successor form) or W-8BEN-E (or any successor form), as applicable; or</w:t>
      </w:r>
    </w:p>
    <w:p>
      <w:pPr>
        <w:spacing w:after="0" w:line="204" w:lineRule="exact"/>
        <w:rPr>
          <w:rFonts w:ascii="Times New Roman" w:cs="Times New Roman" w:eastAsia="Times New Roman" w:hAnsi="Times New Roman"/>
          <w:sz w:val="19"/>
          <w:szCs w:val="19"/>
          <w:color w:val="auto"/>
        </w:rPr>
      </w:pPr>
    </w:p>
    <w:p>
      <w:pPr>
        <w:jc w:val="both"/>
        <w:ind w:left="1996" w:firstLine="650"/>
        <w:spacing w:after="0" w:line="213" w:lineRule="auto"/>
        <w:tabs>
          <w:tab w:leader="none" w:pos="3200" w:val="left"/>
        </w:tabs>
        <w:numPr>
          <w:ilvl w:val="1"/>
          <w:numId w:val="2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a Foreign Lender is not the beneficial owner, executed copies of IRS Form W-8IMY (or any successor form), accompanied by IRS Form W-8ECI (or any successor form), IRS Form W-8BEN (or any successor form) or W-8BEN-E (or any successor form), a U.S. Tax Compliance Certificate substantially in the form of </w:t>
      </w:r>
      <w:r>
        <w:rPr>
          <w:rFonts w:ascii="Times New Roman" w:cs="Times New Roman" w:eastAsia="Times New Roman" w:hAnsi="Times New Roman"/>
          <w:sz w:val="20"/>
          <w:szCs w:val="20"/>
          <w:b w:val="1"/>
          <w:bCs w:val="1"/>
          <w:i w:val="1"/>
          <w:iCs w:val="1"/>
          <w:color w:val="auto"/>
        </w:rPr>
        <w:t>Exhibit H-2</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b w:val="1"/>
          <w:bCs w:val="1"/>
          <w:i w:val="1"/>
          <w:iCs w:val="1"/>
          <w:color w:val="auto"/>
        </w:rPr>
        <w:t>Exhibit H-3</w:t>
      </w:r>
      <w:r>
        <w:rPr>
          <w:rFonts w:ascii="Times New Roman" w:cs="Times New Roman" w:eastAsia="Times New Roman" w:hAnsi="Times New Roman"/>
          <w:sz w:val="20"/>
          <w:szCs w:val="20"/>
          <w:color w:val="auto"/>
        </w:rPr>
        <w:t xml:space="preserve">, IRS Form W-9, and/or other certification documents from each beneficial owner, as applicable;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Times New Roman" w:cs="Times New Roman" w:eastAsia="Times New Roman" w:hAnsi="Times New Roman"/>
          <w:sz w:val="20"/>
          <w:szCs w:val="20"/>
          <w:b w:val="1"/>
          <w:bCs w:val="1"/>
          <w:i w:val="1"/>
          <w:iCs w:val="1"/>
          <w:color w:val="auto"/>
        </w:rPr>
        <w:t>Exhibit H-4</w:t>
      </w:r>
      <w:r>
        <w:rPr>
          <w:rFonts w:ascii="Times New Roman" w:cs="Times New Roman" w:eastAsia="Times New Roman" w:hAnsi="Times New Roman"/>
          <w:sz w:val="20"/>
          <w:szCs w:val="20"/>
          <w:color w:val="auto"/>
        </w:rPr>
        <w:t xml:space="preserve"> on behalf of each such direct and indirect partner;</w:t>
      </w:r>
    </w:p>
    <w:p>
      <w:pPr>
        <w:spacing w:after="0" w:line="189" w:lineRule="exact"/>
        <w:rPr>
          <w:rFonts w:ascii="Times New Roman" w:cs="Times New Roman" w:eastAsia="Times New Roman" w:hAnsi="Times New Roman"/>
          <w:sz w:val="20"/>
          <w:szCs w:val="20"/>
          <w:color w:val="auto"/>
        </w:rPr>
      </w:pPr>
    </w:p>
    <w:p>
      <w:pPr>
        <w:jc w:val="both"/>
        <w:ind w:left="1356" w:firstLine="642"/>
        <w:spacing w:after="0" w:line="215" w:lineRule="auto"/>
        <w:tabs>
          <w:tab w:leader="none" w:pos="2550" w:val="left"/>
        </w:tabs>
        <w:numPr>
          <w:ilvl w:val="0"/>
          <w:numId w:val="2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Foreign Lender shall, to the extent it is legally entitled to do so, deliver to Centuri and the Administrative Agent (in such number of copies as shall be requested by the recipient) on or prior to the date on which such Foreign Lender becomes a Lender under this Agreement (and from time to time thereafter upon the reasonable request of Centuri or the Administrative Agent), executed copies of any other form prescribed by Applicable Law as a basis for claiming exemption from or a reduction in United States federal withholding Tax, duly completed, together with such supplementary documentation as may be prescribed by Applicable Law to permit the US Borrowers or the Administrative Agent to determine the withholding or deduction required to be made; and</w:t>
      </w:r>
    </w:p>
    <w:p>
      <w:pPr>
        <w:spacing w:after="0" w:line="204" w:lineRule="exact"/>
        <w:rPr>
          <w:rFonts w:ascii="Times New Roman" w:cs="Times New Roman" w:eastAsia="Times New Roman" w:hAnsi="Times New Roman"/>
          <w:sz w:val="20"/>
          <w:szCs w:val="20"/>
          <w:color w:val="auto"/>
        </w:rPr>
      </w:pPr>
    </w:p>
    <w:p>
      <w:pPr>
        <w:jc w:val="both"/>
        <w:ind w:left="1356" w:firstLine="641"/>
        <w:spacing w:after="0" w:line="211" w:lineRule="auto"/>
        <w:tabs>
          <w:tab w:leader="none" w:pos="2551" w:val="left"/>
        </w:tabs>
        <w:numPr>
          <w:ilvl w:val="0"/>
          <w:numId w:val="2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payment made to a Lender under any Loan Document would be subject to United States federal withholding Tax imposed by FATCA if such Lender were to fail to comply with the applicable reporting requirements of FATCA (including those contained in Section 1471(b) or 1472(b) of the Code, as applicable), such Lender shall deliver to Centuri and the Administrative Agent at the time or times prescribed by law and at such time or times reasonably requested by Centuri or the Administrative Agent such documentation prescribed by Applicable Law (including as prescribed by Section 1471(b)(3)(C)(i) of the Code) and such additional documentation reasonably requested by Centuri or the Administrative Agent as may be necessary for the US Borrowers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16"/>
        <w:spacing w:after="0"/>
        <w:rPr>
          <w:sz w:val="20"/>
          <w:szCs w:val="20"/>
          <w:color w:val="auto"/>
        </w:rPr>
      </w:pPr>
      <w:r>
        <w:rPr>
          <w:rFonts w:ascii="Times New Roman" w:cs="Times New Roman" w:eastAsia="Times New Roman" w:hAnsi="Times New Roman"/>
          <w:sz w:val="14"/>
          <w:szCs w:val="14"/>
          <w:color w:val="FF0000"/>
          <w:strike w:val="1"/>
        </w:rPr>
        <w:t>146960219_6</w:t>
      </w:r>
    </w:p>
    <w:p>
      <w:pPr>
        <w:spacing w:after="0" w:line="4" w:lineRule="exact"/>
        <w:rPr>
          <w:sz w:val="20"/>
          <w:szCs w:val="20"/>
          <w:color w:val="auto"/>
        </w:rPr>
      </w:pPr>
    </w:p>
    <w:p>
      <w:pPr>
        <w:ind w:left="316" w:hanging="316"/>
        <w:spacing w:after="0"/>
        <w:tabs>
          <w:tab w:leader="none" w:pos="316" w:val="left"/>
        </w:tabs>
        <w:numPr>
          <w:ilvl w:val="0"/>
          <w:numId w:val="243"/>
        </w:numPr>
        <w:rPr>
          <w:rFonts w:ascii="Times New Roman" w:cs="Times New Roman" w:eastAsia="Times New Roman" w:hAnsi="Times New Roman"/>
          <w:sz w:val="20"/>
          <w:szCs w:val="20"/>
          <w:color w:val="auto"/>
        </w:rPr>
      </w:pP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096"/>
          </w:cols>
          <w:pgMar w:left="364" w:top="1399" w:right="439" w:bottom="1440" w:gutter="0" w:footer="0" w:header="0"/>
        </w:sectPr>
      </w:pPr>
    </w:p>
    <w:bookmarkStart w:id="173" w:name="page174"/>
    <w:bookmarkEnd w:id="173"/>
    <w:p>
      <w:pPr>
        <w:ind w:left="698"/>
        <w:spacing w:after="0"/>
        <w:rPr>
          <w:sz w:val="20"/>
          <w:szCs w:val="20"/>
          <w:color w:val="auto"/>
        </w:rPr>
      </w:pPr>
      <w:r>
        <w:rPr>
          <w:rFonts w:ascii="Times New Roman" w:cs="Times New Roman" w:eastAsia="Times New Roman" w:hAnsi="Times New Roman"/>
          <w:sz w:val="20"/>
          <w:szCs w:val="20"/>
          <w:color w:val="auto"/>
        </w:rPr>
        <w:t>Each Lender agrees that (x) it shall promptly notify Centuri and the Administrative Agent of any change in circumstances which</w:t>
      </w:r>
    </w:p>
    <w:p>
      <w:pPr>
        <w:ind w:left="58" w:right="20"/>
        <w:spacing w:after="0" w:line="215" w:lineRule="auto"/>
        <w:rPr>
          <w:sz w:val="20"/>
          <w:szCs w:val="20"/>
          <w:color w:val="auto"/>
        </w:rPr>
      </w:pPr>
      <w:r>
        <w:rPr>
          <w:rFonts w:ascii="Times New Roman" w:cs="Times New Roman" w:eastAsia="Times New Roman" w:hAnsi="Times New Roman"/>
          <w:sz w:val="19"/>
          <w:szCs w:val="19"/>
          <w:color w:val="auto"/>
        </w:rPr>
        <w:t>would modify or render invalid any claimed exemption or reduction to withholding and (y) if any form or certification it previously delivered expires or becomes obsolete or inaccurate in any respect, it shall update such form or certification or promptly notify Centuri and</w:t>
      </w:r>
    </w:p>
    <w:p>
      <w:pPr>
        <w:ind w:left="58" w:right="20"/>
        <w:spacing w:after="0" w:line="242" w:lineRule="auto"/>
        <w:rPr>
          <w:sz w:val="20"/>
          <w:szCs w:val="20"/>
          <w:color w:val="auto"/>
        </w:rPr>
      </w:pPr>
      <w:r>
        <w:rPr>
          <w:rFonts w:ascii="Times New Roman" w:cs="Times New Roman" w:eastAsia="Times New Roman" w:hAnsi="Times New Roman"/>
          <w:sz w:val="19"/>
          <w:szCs w:val="19"/>
          <w:color w:val="auto"/>
        </w:rPr>
        <w:t xml:space="preserve">the Administrative Agent in writing of its legal inability to do so;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 such updating or notification is required to be made on account of any Canadian withholding tax if no form or certification has been previously delivered for Canadian withholding tax purposes.</w:t>
      </w:r>
    </w:p>
    <w:p>
      <w:pPr>
        <w:spacing w:after="0" w:line="185" w:lineRule="exact"/>
        <w:rPr>
          <w:sz w:val="20"/>
          <w:szCs w:val="20"/>
          <w:color w:val="auto"/>
        </w:rPr>
      </w:pPr>
    </w:p>
    <w:p>
      <w:pPr>
        <w:jc w:val="both"/>
        <w:ind w:left="58" w:firstLine="644"/>
        <w:spacing w:after="0" w:line="208" w:lineRule="auto"/>
        <w:tabs>
          <w:tab w:leader="none" w:pos="1234" w:val="left"/>
        </w:tabs>
        <w:numPr>
          <w:ilvl w:val="1"/>
          <w:numId w:val="2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Treatment of Certain Refunds</w:t>
      </w:r>
      <w:r>
        <w:rPr>
          <w:rFonts w:ascii="Times New Roman" w:cs="Times New Roman" w:eastAsia="Times New Roman" w:hAnsi="Times New Roman"/>
          <w:sz w:val="20"/>
          <w:szCs w:val="20"/>
          <w:color w:val="auto"/>
        </w:rPr>
        <w:t xml:space="preserve">. If any party determines, in its sole discretion exercised in good faith, that it has received a refund of any Taxes as to which it has been indemnified pursuant to this </w:t>
      </w:r>
      <w:r>
        <w:rPr>
          <w:rFonts w:ascii="Times New Roman" w:cs="Times New Roman" w:eastAsia="Times New Roman" w:hAnsi="Times New Roman"/>
          <w:sz w:val="20"/>
          <w:szCs w:val="20"/>
          <w:u w:val="single" w:color="auto"/>
          <w:color w:val="auto"/>
        </w:rPr>
        <w:t>Section 5.11</w:t>
      </w:r>
      <w:r>
        <w:rPr>
          <w:rFonts w:ascii="Times New Roman" w:cs="Times New Roman" w:eastAsia="Times New Roman" w:hAnsi="Times New Roman"/>
          <w:sz w:val="20"/>
          <w:szCs w:val="20"/>
          <w:color w:val="auto"/>
        </w:rPr>
        <w:t xml:space="preserve"> (including by the payment of additional amounts pursuant to this </w:t>
      </w:r>
      <w:r>
        <w:rPr>
          <w:rFonts w:ascii="Times New Roman" w:cs="Times New Roman" w:eastAsia="Times New Roman" w:hAnsi="Times New Roman"/>
          <w:sz w:val="20"/>
          <w:szCs w:val="20"/>
          <w:u w:val="single" w:color="auto"/>
          <w:color w:val="auto"/>
        </w:rPr>
        <w:t>Section 5.11</w:t>
      </w:r>
      <w:r>
        <w:rPr>
          <w:rFonts w:ascii="Times New Roman" w:cs="Times New Roman" w:eastAsia="Times New Roman" w:hAnsi="Times New Roman"/>
          <w:sz w:val="20"/>
          <w:szCs w:val="20"/>
          <w:color w:val="auto"/>
        </w:rPr>
        <w:t>), it shall pay to the indemnifying party an amount equal to such refund (but only to the extent of indemnity payments made under this Section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w:t>
      </w:r>
    </w:p>
    <w:p>
      <w:pPr>
        <w:spacing w:after="0" w:line="3" w:lineRule="exact"/>
        <w:rPr>
          <w:rFonts w:ascii="Times New Roman" w:cs="Times New Roman" w:eastAsia="Times New Roman" w:hAnsi="Times New Roman"/>
          <w:sz w:val="20"/>
          <w:szCs w:val="20"/>
          <w:color w:val="auto"/>
        </w:rPr>
      </w:pPr>
    </w:p>
    <w:p>
      <w:pPr>
        <w:ind w:left="578" w:hanging="524"/>
        <w:spacing w:after="0" w:line="211" w:lineRule="auto"/>
        <w:tabs>
          <w:tab w:leader="none" w:pos="578" w:val="left"/>
        </w:tabs>
        <w:numPr>
          <w:ilvl w:val="0"/>
          <w:numId w:val="2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(plus any penalties, interest or other charges imposed by the relevant Governmental Authority) in the event that such indemnified</w:t>
      </w:r>
    </w:p>
    <w:p>
      <w:pPr>
        <w:ind w:left="58"/>
        <w:spacing w:after="0" w:line="211" w:lineRule="auto"/>
        <w:rPr>
          <w:sz w:val="20"/>
          <w:szCs w:val="20"/>
          <w:color w:val="auto"/>
        </w:rPr>
      </w:pPr>
      <w:r>
        <w:rPr>
          <w:rFonts w:ascii="Times New Roman" w:cs="Times New Roman" w:eastAsia="Times New Roman" w:hAnsi="Times New Roman"/>
          <w:sz w:val="20"/>
          <w:szCs w:val="20"/>
          <w:color w:val="auto"/>
        </w:rPr>
        <w:t>party is required to repay such refund to such Governmental Authority. Notwithstanding anything to the contrary in this paragraph (h), in</w:t>
      </w:r>
    </w:p>
    <w:p>
      <w:pPr>
        <w:spacing w:after="0" w:line="1" w:lineRule="exact"/>
        <w:rPr>
          <w:sz w:val="20"/>
          <w:szCs w:val="20"/>
          <w:color w:val="auto"/>
        </w:rPr>
      </w:pPr>
    </w:p>
    <w:p>
      <w:pPr>
        <w:jc w:val="both"/>
        <w:ind w:left="58"/>
        <w:spacing w:after="0" w:line="215" w:lineRule="auto"/>
        <w:rPr>
          <w:sz w:val="20"/>
          <w:szCs w:val="20"/>
          <w:color w:val="auto"/>
        </w:rPr>
      </w:pPr>
      <w:r>
        <w:rPr>
          <w:rFonts w:ascii="Times New Roman" w:cs="Times New Roman" w:eastAsia="Times New Roman" w:hAnsi="Times New Roman"/>
          <w:sz w:val="19"/>
          <w:szCs w:val="19"/>
          <w:color w:val="auto"/>
        </w:rPr>
        <w:t>no event will the indemnified party be required to pay any amount to an indemnifying party pursuant to this paragraph (h) the payment of which would place the indemnified party in a less favorable net after-Tax position than the indemnified party would have been in if the Tax</w:t>
      </w:r>
    </w:p>
    <w:p>
      <w:pPr>
        <w:ind w:left="58"/>
        <w:spacing w:after="0" w:line="211" w:lineRule="auto"/>
        <w:rPr>
          <w:sz w:val="20"/>
          <w:szCs w:val="20"/>
          <w:color w:val="auto"/>
        </w:rPr>
      </w:pPr>
      <w:r>
        <w:rPr>
          <w:rFonts w:ascii="Times New Roman" w:cs="Times New Roman" w:eastAsia="Times New Roman" w:hAnsi="Times New Roman"/>
          <w:sz w:val="20"/>
          <w:szCs w:val="20"/>
          <w:color w:val="auto"/>
        </w:rPr>
        <w:t>subject to indemnification and giving rise to such refund had not been deducted, withheld or otherwise imposed and the indemnification</w:t>
      </w:r>
    </w:p>
    <w:p>
      <w:pPr>
        <w:jc w:val="both"/>
        <w:ind w:left="58"/>
        <w:spacing w:after="0" w:line="204" w:lineRule="auto"/>
        <w:rPr>
          <w:sz w:val="20"/>
          <w:szCs w:val="20"/>
          <w:color w:val="auto"/>
        </w:rPr>
      </w:pPr>
      <w:r>
        <w:rPr>
          <w:rFonts w:ascii="Times New Roman" w:cs="Times New Roman" w:eastAsia="Times New Roman" w:hAnsi="Times New Roman"/>
          <w:sz w:val="20"/>
          <w:szCs w:val="20"/>
          <w:color w:val="auto"/>
        </w:rPr>
        <w:t>payments or additional amounts with respect to such Tax had never been paid. This paragraph shall not be construed to require any indemnified party to make available its Tax returns (or any other information relating to its Taxes that it deems confidential) to the</w:t>
      </w:r>
    </w:p>
    <w:p>
      <w:pPr>
        <w:spacing w:after="0" w:line="1" w:lineRule="exact"/>
        <w:rPr>
          <w:sz w:val="20"/>
          <w:szCs w:val="20"/>
          <w:color w:val="auto"/>
        </w:rPr>
      </w:pPr>
    </w:p>
    <w:p>
      <w:pPr>
        <w:ind w:left="58"/>
        <w:spacing w:after="0"/>
        <w:rPr>
          <w:sz w:val="20"/>
          <w:szCs w:val="20"/>
          <w:color w:val="auto"/>
        </w:rPr>
      </w:pPr>
      <w:r>
        <w:rPr>
          <w:rFonts w:ascii="Times New Roman" w:cs="Times New Roman" w:eastAsia="Times New Roman" w:hAnsi="Times New Roman"/>
          <w:sz w:val="20"/>
          <w:szCs w:val="20"/>
          <w:color w:val="auto"/>
        </w:rPr>
        <w:t>indemnifying party or any other Person.</w:t>
      </w:r>
    </w:p>
    <w:p>
      <w:pPr>
        <w:spacing w:after="0" w:line="194" w:lineRule="exact"/>
        <w:rPr>
          <w:sz w:val="20"/>
          <w:szCs w:val="20"/>
          <w:color w:val="auto"/>
        </w:rPr>
      </w:pPr>
    </w:p>
    <w:p>
      <w:pPr>
        <w:jc w:val="both"/>
        <w:ind w:left="58" w:right="20" w:firstLine="648"/>
        <w:spacing w:after="0" w:line="230" w:lineRule="auto"/>
        <w:rPr>
          <w:sz w:val="20"/>
          <w:szCs w:val="20"/>
          <w:color w:val="auto"/>
        </w:rPr>
      </w:pPr>
      <w:r>
        <w:rPr>
          <w:rFonts w:ascii="Times New Roman" w:cs="Times New Roman" w:eastAsia="Times New Roman" w:hAnsi="Times New Roman"/>
          <w:sz w:val="20"/>
          <w:szCs w:val="20"/>
          <w:color w:val="auto"/>
        </w:rPr>
        <w:t xml:space="preserve">(xl) </w:t>
      </w:r>
      <w:r>
        <w:rPr>
          <w:rFonts w:ascii="Times New Roman" w:cs="Times New Roman" w:eastAsia="Times New Roman" w:hAnsi="Times New Roman"/>
          <w:sz w:val="20"/>
          <w:szCs w:val="20"/>
          <w:u w:val="single" w:color="auto"/>
          <w:color w:val="auto"/>
        </w:rPr>
        <w:t>Survival</w:t>
      </w:r>
      <w:r>
        <w:rPr>
          <w:rFonts w:ascii="Times New Roman" w:cs="Times New Roman" w:eastAsia="Times New Roman" w:hAnsi="Times New Roman"/>
          <w:sz w:val="20"/>
          <w:szCs w:val="20"/>
          <w:color w:val="auto"/>
        </w:rPr>
        <w:t xml:space="preserve">. Each party’s obligations under this </w:t>
      </w:r>
      <w:r>
        <w:rPr>
          <w:rFonts w:ascii="Times New Roman" w:cs="Times New Roman" w:eastAsia="Times New Roman" w:hAnsi="Times New Roman"/>
          <w:sz w:val="20"/>
          <w:szCs w:val="20"/>
          <w:u w:val="single" w:color="auto"/>
          <w:color w:val="auto"/>
        </w:rPr>
        <w:t>Section 5.11</w:t>
      </w:r>
      <w:r>
        <w:rPr>
          <w:rFonts w:ascii="Times New Roman" w:cs="Times New Roman" w:eastAsia="Times New Roman" w:hAnsi="Times New Roman"/>
          <w:sz w:val="20"/>
          <w:szCs w:val="20"/>
          <w:color w:val="auto"/>
        </w:rPr>
        <w:t xml:space="preserve"> shall survive the resignation or replacement of the Administrative Agent or any assignment of rights by, or the replacement of, a Lender, the termination of the Commitments and the repayment, satisfaction or discharge of all obligations under any Loan Document.</w:t>
      </w:r>
    </w:p>
    <w:p>
      <w:pPr>
        <w:spacing w:after="0" w:line="176" w:lineRule="exact"/>
        <w:rPr>
          <w:sz w:val="20"/>
          <w:szCs w:val="20"/>
          <w:color w:val="auto"/>
        </w:rPr>
      </w:pPr>
    </w:p>
    <w:p>
      <w:pPr>
        <w:ind w:left="698"/>
        <w:spacing w:after="0"/>
        <w:tabs>
          <w:tab w:leader="none" w:pos="2118" w:val="left"/>
        </w:tabs>
        <w:rPr>
          <w:sz w:val="20"/>
          <w:szCs w:val="20"/>
          <w:color w:val="auto"/>
        </w:rPr>
      </w:pPr>
      <w:r>
        <w:rPr>
          <w:rFonts w:ascii="Times New Roman" w:cs="Times New Roman" w:eastAsia="Times New Roman" w:hAnsi="Times New Roman"/>
          <w:sz w:val="20"/>
          <w:szCs w:val="20"/>
          <w:color w:val="auto"/>
        </w:rPr>
        <w:t>SECTION 5.12</w:t>
      </w:r>
      <w:r>
        <w:rPr>
          <w:sz w:val="20"/>
          <w:szCs w:val="20"/>
          <w:color w:val="auto"/>
        </w:rPr>
        <w:tab/>
      </w:r>
      <w:r>
        <w:rPr>
          <w:rFonts w:ascii="Times New Roman" w:cs="Times New Roman" w:eastAsia="Times New Roman" w:hAnsi="Times New Roman"/>
          <w:sz w:val="19"/>
          <w:szCs w:val="19"/>
          <w:u w:val="single" w:color="auto"/>
          <w:color w:val="auto"/>
        </w:rPr>
        <w:t>Mitigation Obligations; Replacement of Lenders</w:t>
      </w:r>
      <w:r>
        <w:rPr>
          <w:rFonts w:ascii="Times New Roman" w:cs="Times New Roman" w:eastAsia="Times New Roman" w:hAnsi="Times New Roman"/>
          <w:sz w:val="19"/>
          <w:szCs w:val="19"/>
          <w:color w:val="auto"/>
        </w:rPr>
        <w:t>.</w:t>
      </w:r>
    </w:p>
    <w:p>
      <w:pPr>
        <w:spacing w:after="0" w:line="283" w:lineRule="exact"/>
        <w:rPr>
          <w:sz w:val="20"/>
          <w:szCs w:val="20"/>
          <w:color w:val="auto"/>
        </w:rPr>
      </w:pPr>
    </w:p>
    <w:p>
      <w:pPr>
        <w:jc w:val="both"/>
        <w:ind w:left="58" w:firstLine="644"/>
        <w:spacing w:after="0" w:line="213" w:lineRule="auto"/>
        <w:tabs>
          <w:tab w:leader="none" w:pos="1236" w:val="left"/>
        </w:tabs>
        <w:numPr>
          <w:ilvl w:val="0"/>
          <w:numId w:val="2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Designation of a Different Lending Office</w:t>
      </w:r>
      <w:r>
        <w:rPr>
          <w:rFonts w:ascii="Times New Roman" w:cs="Times New Roman" w:eastAsia="Times New Roman" w:hAnsi="Times New Roman"/>
          <w:sz w:val="20"/>
          <w:szCs w:val="20"/>
          <w:color w:val="auto"/>
        </w:rPr>
        <w:t xml:space="preserve">. If any Lender requests compensation under </w:t>
      </w:r>
      <w:r>
        <w:rPr>
          <w:rFonts w:ascii="Times New Roman" w:cs="Times New Roman" w:eastAsia="Times New Roman" w:hAnsi="Times New Roman"/>
          <w:sz w:val="20"/>
          <w:szCs w:val="20"/>
          <w:u w:val="single" w:color="auto"/>
          <w:color w:val="auto"/>
        </w:rPr>
        <w:t>Section 5.10</w:t>
      </w:r>
      <w:r>
        <w:rPr>
          <w:rFonts w:ascii="Times New Roman" w:cs="Times New Roman" w:eastAsia="Times New Roman" w:hAnsi="Times New Roman"/>
          <w:sz w:val="20"/>
          <w:szCs w:val="20"/>
          <w:color w:val="auto"/>
        </w:rPr>
        <w:t xml:space="preserve">, or requires any Borrower to pay any Indemnified Taxes or additional amounts to any Lender or any Governmental Authority for the account of any Lender pursuant to </w:t>
      </w:r>
      <w:r>
        <w:rPr>
          <w:rFonts w:ascii="Times New Roman" w:cs="Times New Roman" w:eastAsia="Times New Roman" w:hAnsi="Times New Roman"/>
          <w:sz w:val="20"/>
          <w:szCs w:val="20"/>
          <w:u w:val="single" w:color="auto"/>
          <w:color w:val="auto"/>
        </w:rPr>
        <w:t>Section 5.11</w:t>
      </w:r>
      <w:r>
        <w:rPr>
          <w:rFonts w:ascii="Times New Roman" w:cs="Times New Roman" w:eastAsia="Times New Roman" w:hAnsi="Times New Roman"/>
          <w:sz w:val="20"/>
          <w:szCs w:val="20"/>
          <w:color w:val="auto"/>
        </w:rPr>
        <w:t xml:space="preserve">, or determines that it is unable to fulfill its obligations hereunder due to illegality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5.8(d)</w:t>
      </w:r>
      <w:r>
        <w:rPr>
          <w:rFonts w:ascii="Times New Roman" w:cs="Times New Roman" w:eastAsia="Times New Roman" w:hAnsi="Times New Roman"/>
          <w:sz w:val="20"/>
          <w:szCs w:val="20"/>
          <w:color w:val="auto"/>
        </w:rPr>
        <w:t xml:space="preserve">, then such Lender shall, at the request of the Borrowers,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w:t>
      </w:r>
      <w:r>
        <w:rPr>
          <w:rFonts w:ascii="Times New Roman" w:cs="Times New Roman" w:eastAsia="Times New Roman" w:hAnsi="Times New Roman"/>
          <w:sz w:val="20"/>
          <w:szCs w:val="20"/>
          <w:u w:val="single" w:color="auto"/>
          <w:color w:val="auto"/>
        </w:rPr>
        <w:t>Section 5.10</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5.11</w:t>
      </w:r>
      <w:r>
        <w:rPr>
          <w:rFonts w:ascii="Times New Roman" w:cs="Times New Roman" w:eastAsia="Times New Roman" w:hAnsi="Times New Roman"/>
          <w:sz w:val="20"/>
          <w:szCs w:val="20"/>
          <w:color w:val="auto"/>
        </w:rPr>
        <w:t xml:space="preserve"> or avoid illegality under </w:t>
      </w:r>
      <w:r>
        <w:rPr>
          <w:rFonts w:ascii="Times New Roman" w:cs="Times New Roman" w:eastAsia="Times New Roman" w:hAnsi="Times New Roman"/>
          <w:sz w:val="20"/>
          <w:szCs w:val="20"/>
          <w:u w:val="single" w:color="auto"/>
          <w:color w:val="auto"/>
        </w:rPr>
        <w:t>Section 5.8(d)</w:t>
      </w:r>
      <w:r>
        <w:rPr>
          <w:rFonts w:ascii="Times New Roman" w:cs="Times New Roman" w:eastAsia="Times New Roman" w:hAnsi="Times New Roman"/>
          <w:sz w:val="20"/>
          <w:szCs w:val="20"/>
          <w:color w:val="auto"/>
        </w:rPr>
        <w:t>, as the case may be, in the future and (ii) would not subject such Lender to any unreimbursed cost or expense and would not otherwise be disadvantageous to such Lender. Each Borrower hereby agrees to pay all reasonable costs and expenses incurred by any Lender in connection with any such designation or assignment.</w:t>
      </w:r>
    </w:p>
    <w:p>
      <w:pPr>
        <w:spacing w:after="0" w:line="188" w:lineRule="exact"/>
        <w:rPr>
          <w:rFonts w:ascii="Times New Roman" w:cs="Times New Roman" w:eastAsia="Times New Roman" w:hAnsi="Times New Roman"/>
          <w:sz w:val="20"/>
          <w:szCs w:val="20"/>
          <w:color w:val="auto"/>
        </w:rPr>
      </w:pPr>
    </w:p>
    <w:p>
      <w:pPr>
        <w:jc w:val="both"/>
        <w:ind w:left="58" w:firstLine="644"/>
        <w:spacing w:after="0" w:line="226" w:lineRule="auto"/>
        <w:tabs>
          <w:tab w:leader="none" w:pos="1234" w:val="left"/>
        </w:tabs>
        <w:numPr>
          <w:ilvl w:val="0"/>
          <w:numId w:val="2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Replacement of Lenders</w:t>
      </w:r>
      <w:r>
        <w:rPr>
          <w:rFonts w:ascii="Times New Roman" w:cs="Times New Roman" w:eastAsia="Times New Roman" w:hAnsi="Times New Roman"/>
          <w:sz w:val="20"/>
          <w:szCs w:val="20"/>
          <w:color w:val="auto"/>
        </w:rPr>
        <w:t xml:space="preserve">. If any Lender requests compensation under </w:t>
      </w:r>
      <w:r>
        <w:rPr>
          <w:rFonts w:ascii="Times New Roman" w:cs="Times New Roman" w:eastAsia="Times New Roman" w:hAnsi="Times New Roman"/>
          <w:sz w:val="20"/>
          <w:szCs w:val="20"/>
          <w:u w:val="single" w:color="auto"/>
          <w:color w:val="auto"/>
        </w:rPr>
        <w:t>Section 5.10</w:t>
      </w:r>
      <w:r>
        <w:rPr>
          <w:rFonts w:ascii="Times New Roman" w:cs="Times New Roman" w:eastAsia="Times New Roman" w:hAnsi="Times New Roman"/>
          <w:sz w:val="20"/>
          <w:szCs w:val="20"/>
          <w:color w:val="auto"/>
        </w:rPr>
        <w:t xml:space="preserve">, or if the Borrowers are required to pay any Indemnified Taxes or additional amounts to any Lender or any Governmental Authority for the account of any Lender pursuant to </w:t>
      </w:r>
      <w:r>
        <w:rPr>
          <w:rFonts w:ascii="Times New Roman" w:cs="Times New Roman" w:eastAsia="Times New Roman" w:hAnsi="Times New Roman"/>
          <w:sz w:val="20"/>
          <w:szCs w:val="20"/>
          <w:u w:val="single" w:color="auto"/>
          <w:color w:val="auto"/>
        </w:rPr>
        <w:t>Section 5.11</w:t>
      </w:r>
      <w:r>
        <w:rPr>
          <w:rFonts w:ascii="Times New Roman" w:cs="Times New Roman" w:eastAsia="Times New Roman" w:hAnsi="Times New Roman"/>
          <w:sz w:val="20"/>
          <w:szCs w:val="20"/>
          <w:color w:val="auto"/>
        </w:rPr>
        <w:t>, or any Lender determines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38"/>
        <w:spacing w:after="0"/>
        <w:rPr>
          <w:sz w:val="20"/>
          <w:szCs w:val="20"/>
          <w:color w:val="auto"/>
        </w:rPr>
      </w:pPr>
      <w:r>
        <w:rPr>
          <w:rFonts w:ascii="Times New Roman" w:cs="Times New Roman" w:eastAsia="Times New Roman" w:hAnsi="Times New Roman"/>
          <w:sz w:val="14"/>
          <w:szCs w:val="14"/>
          <w:color w:val="FF0000"/>
          <w:strike w:val="1"/>
        </w:rPr>
        <w:t>146960219_6</w:t>
      </w:r>
    </w:p>
    <w:p>
      <w:pPr>
        <w:spacing w:after="0" w:line="4" w:lineRule="exact"/>
        <w:rPr>
          <w:sz w:val="20"/>
          <w:szCs w:val="20"/>
          <w:color w:val="auto"/>
        </w:rPr>
      </w:pPr>
    </w:p>
    <w:p>
      <w:pPr>
        <w:ind w:left="338" w:hanging="338"/>
        <w:spacing w:after="0"/>
        <w:tabs>
          <w:tab w:leader="none" w:pos="338" w:val="left"/>
        </w:tabs>
        <w:numPr>
          <w:ilvl w:val="0"/>
          <w:numId w:val="247"/>
        </w:numPr>
        <w:rPr>
          <w:rFonts w:ascii="Times New Roman" w:cs="Times New Roman" w:eastAsia="Times New Roman" w:hAnsi="Times New Roman"/>
          <w:sz w:val="20"/>
          <w:szCs w:val="20"/>
          <w:color w:val="auto"/>
        </w:rPr>
      </w:pP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078"/>
          </w:cols>
          <w:pgMar w:left="382" w:top="1394" w:right="439" w:bottom="1440" w:gutter="0" w:footer="0" w:header="0"/>
        </w:sectPr>
      </w:pPr>
    </w:p>
    <w:bookmarkStart w:id="174" w:name="page175"/>
    <w:bookmarkEnd w:id="174"/>
    <w:p>
      <w:pPr>
        <w:spacing w:after="0" w:line="197" w:lineRule="exact"/>
        <w:rPr>
          <w:sz w:val="20"/>
          <w:szCs w:val="20"/>
          <w:color w:val="auto"/>
        </w:rPr>
      </w:pPr>
    </w:p>
    <w:p>
      <w:pPr>
        <w:ind w:left="58"/>
        <w:spacing w:after="0"/>
        <w:rPr>
          <w:sz w:val="20"/>
          <w:szCs w:val="20"/>
          <w:color w:val="auto"/>
        </w:rPr>
      </w:pPr>
      <w:r>
        <w:rPr>
          <w:rFonts w:ascii="Times New Roman" w:cs="Times New Roman" w:eastAsia="Times New Roman" w:hAnsi="Times New Roman"/>
          <w:sz w:val="20"/>
          <w:szCs w:val="20"/>
          <w:color w:val="auto"/>
        </w:rPr>
        <w:t xml:space="preserve">that it is unable to fulfill its obligations hereunder due to illegality pursuant to </w:t>
      </w:r>
      <w:r>
        <w:rPr>
          <w:rFonts w:ascii="Times New Roman" w:cs="Times New Roman" w:eastAsia="Times New Roman" w:hAnsi="Times New Roman"/>
          <w:sz w:val="20"/>
          <w:szCs w:val="20"/>
          <w:u w:val="single" w:color="auto"/>
          <w:color w:val="auto"/>
        </w:rPr>
        <w:t>Section 5.8(d)</w:t>
      </w:r>
      <w:r>
        <w:rPr>
          <w:rFonts w:ascii="Times New Roman" w:cs="Times New Roman" w:eastAsia="Times New Roman" w:hAnsi="Times New Roman"/>
          <w:sz w:val="20"/>
          <w:szCs w:val="20"/>
          <w:color w:val="auto"/>
        </w:rPr>
        <w:t xml:space="preserve"> and, in each case, such Lender has declined</w:t>
      </w:r>
    </w:p>
    <w:p>
      <w:pPr>
        <w:jc w:val="both"/>
        <w:ind w:left="58"/>
        <w:spacing w:after="0" w:line="204" w:lineRule="auto"/>
        <w:rPr>
          <w:sz w:val="20"/>
          <w:szCs w:val="20"/>
          <w:color w:val="auto"/>
        </w:rPr>
      </w:pPr>
      <w:r>
        <w:rPr>
          <w:rFonts w:ascii="Times New Roman" w:cs="Times New Roman" w:eastAsia="Times New Roman" w:hAnsi="Times New Roman"/>
          <w:sz w:val="20"/>
          <w:szCs w:val="20"/>
          <w:color w:val="auto"/>
        </w:rPr>
        <w:t xml:space="preserve">or is unable to designate a different Lending Office in accordance with </w:t>
      </w:r>
      <w:r>
        <w:rPr>
          <w:rFonts w:ascii="Times New Roman" w:cs="Times New Roman" w:eastAsia="Times New Roman" w:hAnsi="Times New Roman"/>
          <w:sz w:val="20"/>
          <w:szCs w:val="20"/>
          <w:u w:val="single" w:color="auto"/>
          <w:color w:val="auto"/>
        </w:rPr>
        <w:t>Section 5.12(a)</w:t>
      </w:r>
      <w:r>
        <w:rPr>
          <w:rFonts w:ascii="Times New Roman" w:cs="Times New Roman" w:eastAsia="Times New Roman" w:hAnsi="Times New Roman"/>
          <w:sz w:val="20"/>
          <w:szCs w:val="20"/>
          <w:color w:val="auto"/>
        </w:rPr>
        <w:t>, or if any Lender is a Defaulting Lender or a Non-Consenting Lender, then the Borrowers may, at their sole expense and effort, upon notice to such Lender and the Administrative Agent,</w:t>
      </w:r>
    </w:p>
    <w:p>
      <w:pPr>
        <w:ind w:left="58"/>
        <w:spacing w:after="0" w:line="223" w:lineRule="auto"/>
        <w:rPr>
          <w:sz w:val="20"/>
          <w:szCs w:val="20"/>
          <w:color w:val="auto"/>
        </w:rPr>
      </w:pPr>
      <w:r>
        <w:rPr>
          <w:rFonts w:ascii="Times New Roman" w:cs="Times New Roman" w:eastAsia="Times New Roman" w:hAnsi="Times New Roman"/>
          <w:sz w:val="19"/>
          <w:szCs w:val="19"/>
          <w:color w:val="auto"/>
        </w:rPr>
        <w:t>require such Lender to assign and delegate, without recourse (in accordance with and subject to the restrictions contained in, and consents</w:t>
      </w:r>
    </w:p>
    <w:p>
      <w:pPr>
        <w:ind w:left="58"/>
        <w:spacing w:after="0" w:line="204" w:lineRule="auto"/>
        <w:rPr>
          <w:sz w:val="20"/>
          <w:szCs w:val="20"/>
          <w:color w:val="auto"/>
        </w:rPr>
      </w:pPr>
      <w:r>
        <w:rPr>
          <w:rFonts w:ascii="Times New Roman" w:cs="Times New Roman" w:eastAsia="Times New Roman" w:hAnsi="Times New Roman"/>
          <w:sz w:val="20"/>
          <w:szCs w:val="20"/>
          <w:color w:val="auto"/>
        </w:rPr>
        <w:t xml:space="preserve">required by, </w:t>
      </w:r>
      <w:r>
        <w:rPr>
          <w:rFonts w:ascii="Times New Roman" w:cs="Times New Roman" w:eastAsia="Times New Roman" w:hAnsi="Times New Roman"/>
          <w:sz w:val="20"/>
          <w:szCs w:val="20"/>
          <w:u w:val="single" w:color="auto"/>
          <w:color w:val="auto"/>
        </w:rPr>
        <w:t>Section 12.9</w:t>
      </w:r>
      <w:r>
        <w:rPr>
          <w:rFonts w:ascii="Times New Roman" w:cs="Times New Roman" w:eastAsia="Times New Roman" w:hAnsi="Times New Roman"/>
          <w:sz w:val="20"/>
          <w:szCs w:val="20"/>
          <w:color w:val="auto"/>
        </w:rPr>
        <w:t xml:space="preserve">), all of its interests, rights (other than its existing rights to payments pursuant to </w:t>
      </w:r>
      <w:r>
        <w:rPr>
          <w:rFonts w:ascii="Times New Roman" w:cs="Times New Roman" w:eastAsia="Times New Roman" w:hAnsi="Times New Roman"/>
          <w:sz w:val="20"/>
          <w:szCs w:val="20"/>
          <w:u w:val="single" w:color="auto"/>
          <w:color w:val="auto"/>
        </w:rPr>
        <w:t>Section 5.10</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5.11</w:t>
      </w:r>
      <w:r>
        <w:rPr>
          <w:rFonts w:ascii="Times New Roman" w:cs="Times New Roman" w:eastAsia="Times New Roman" w:hAnsi="Times New Roman"/>
          <w:sz w:val="20"/>
          <w:szCs w:val="20"/>
          <w:color w:val="auto"/>
        </w:rPr>
        <w:t>) and obligations under this Agreement and the related Loan Documents to an Eligible Assignee that shall assume such obligations (which</w:t>
      </w:r>
    </w:p>
    <w:p>
      <w:pPr>
        <w:spacing w:after="0" w:line="1" w:lineRule="exact"/>
        <w:rPr>
          <w:sz w:val="20"/>
          <w:szCs w:val="20"/>
          <w:color w:val="auto"/>
        </w:rPr>
      </w:pPr>
    </w:p>
    <w:p>
      <w:pPr>
        <w:ind w:left="58"/>
        <w:spacing w:after="0"/>
        <w:rPr>
          <w:sz w:val="20"/>
          <w:szCs w:val="20"/>
          <w:color w:val="auto"/>
        </w:rPr>
      </w:pPr>
      <w:r>
        <w:rPr>
          <w:rFonts w:ascii="Times New Roman" w:cs="Times New Roman" w:eastAsia="Times New Roman" w:hAnsi="Times New Roman"/>
          <w:sz w:val="20"/>
          <w:szCs w:val="20"/>
          <w:color w:val="auto"/>
        </w:rPr>
        <w:t xml:space="preserve">assignee may be another Lender, if a Lender accepts such assignment);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w:t>
      </w:r>
    </w:p>
    <w:p>
      <w:pPr>
        <w:spacing w:after="0" w:line="261" w:lineRule="exact"/>
        <w:rPr>
          <w:sz w:val="20"/>
          <w:szCs w:val="20"/>
          <w:color w:val="auto"/>
        </w:rPr>
      </w:pPr>
    </w:p>
    <w:p>
      <w:pPr>
        <w:ind w:left="1358"/>
        <w:spacing w:after="0"/>
        <w:tabs>
          <w:tab w:leader="none" w:pos="1858" w:val="left"/>
        </w:tabs>
        <w:rPr>
          <w:sz w:val="20"/>
          <w:szCs w:val="20"/>
          <w:color w:val="auto"/>
        </w:rPr>
      </w:pPr>
      <w:r>
        <w:rPr>
          <w:rFonts w:ascii="Times New Roman" w:cs="Times New Roman" w:eastAsia="Times New Roman" w:hAnsi="Times New Roman"/>
          <w:sz w:val="20"/>
          <w:szCs w:val="20"/>
          <w:color w:val="auto"/>
        </w:rPr>
        <w:t>(xli)</w:t>
      </w:r>
      <w:r>
        <w:rPr>
          <w:sz w:val="20"/>
          <w:szCs w:val="20"/>
          <w:color w:val="auto"/>
        </w:rPr>
        <w:tab/>
      </w:r>
      <w:r>
        <w:rPr>
          <w:rFonts w:ascii="Times New Roman" w:cs="Times New Roman" w:eastAsia="Times New Roman" w:hAnsi="Times New Roman"/>
          <w:sz w:val="19"/>
          <w:szCs w:val="19"/>
          <w:color w:val="auto"/>
        </w:rPr>
        <w:t xml:space="preserve">the Borrowers shall have paid to the Administrative Agent the assignment fee (if any) specified in </w:t>
      </w:r>
      <w:r>
        <w:rPr>
          <w:rFonts w:ascii="Times New Roman" w:cs="Times New Roman" w:eastAsia="Times New Roman" w:hAnsi="Times New Roman"/>
          <w:sz w:val="19"/>
          <w:szCs w:val="19"/>
          <w:u w:val="single" w:color="auto"/>
          <w:color w:val="auto"/>
        </w:rPr>
        <w:t>Section 12.9</w:t>
      </w:r>
      <w:r>
        <w:rPr>
          <w:rFonts w:ascii="Times New Roman" w:cs="Times New Roman" w:eastAsia="Times New Roman" w:hAnsi="Times New Roman"/>
          <w:sz w:val="19"/>
          <w:szCs w:val="19"/>
          <w:color w:val="auto"/>
        </w:rPr>
        <w:t>;</w:t>
      </w:r>
    </w:p>
    <w:p>
      <w:pPr>
        <w:spacing w:after="0" w:line="270" w:lineRule="exact"/>
        <w:rPr>
          <w:sz w:val="20"/>
          <w:szCs w:val="20"/>
          <w:color w:val="auto"/>
        </w:rPr>
      </w:pPr>
    </w:p>
    <w:p>
      <w:pPr>
        <w:jc w:val="both"/>
        <w:ind w:left="698" w:firstLine="649"/>
        <w:spacing w:after="0" w:line="222" w:lineRule="auto"/>
        <w:rPr>
          <w:sz w:val="20"/>
          <w:szCs w:val="20"/>
          <w:color w:val="auto"/>
        </w:rPr>
      </w:pPr>
      <w:r>
        <w:rPr>
          <w:rFonts w:ascii="Times New Roman" w:cs="Times New Roman" w:eastAsia="Times New Roman" w:hAnsi="Times New Roman"/>
          <w:sz w:val="20"/>
          <w:szCs w:val="20"/>
          <w:color w:val="auto"/>
        </w:rPr>
        <w:t>(xlii) such Lender shall have received payment of an amount equal to the outstanding principal of its Loans and funded participations in Letters of Credit and Swingline Loans, accrued interest thereon, accrued fees and all other amounts payable to it</w:t>
      </w:r>
    </w:p>
    <w:p>
      <w:pPr>
        <w:spacing w:after="0" w:line="2" w:lineRule="exact"/>
        <w:rPr>
          <w:sz w:val="20"/>
          <w:szCs w:val="20"/>
          <w:color w:val="auto"/>
        </w:rPr>
      </w:pPr>
    </w:p>
    <w:p>
      <w:pPr>
        <w:jc w:val="both"/>
        <w:ind w:left="698"/>
        <w:spacing w:after="0" w:line="221" w:lineRule="auto"/>
        <w:rPr>
          <w:sz w:val="20"/>
          <w:szCs w:val="20"/>
          <w:color w:val="auto"/>
        </w:rPr>
      </w:pPr>
      <w:r>
        <w:rPr>
          <w:rFonts w:ascii="Times New Roman" w:cs="Times New Roman" w:eastAsia="Times New Roman" w:hAnsi="Times New Roman"/>
          <w:sz w:val="20"/>
          <w:szCs w:val="20"/>
          <w:color w:val="auto"/>
        </w:rPr>
        <w:t xml:space="preserve">hereunder and under the other Loan Documents (including any amounts under </w:t>
      </w:r>
      <w:r>
        <w:rPr>
          <w:rFonts w:ascii="Times New Roman" w:cs="Times New Roman" w:eastAsia="Times New Roman" w:hAnsi="Times New Roman"/>
          <w:sz w:val="20"/>
          <w:szCs w:val="20"/>
          <w:u w:val="single" w:color="auto"/>
          <w:color w:val="auto"/>
        </w:rPr>
        <w:t>Section 5.9</w:t>
      </w:r>
      <w:r>
        <w:rPr>
          <w:rFonts w:ascii="Times New Roman" w:cs="Times New Roman" w:eastAsia="Times New Roman" w:hAnsi="Times New Roman"/>
          <w:sz w:val="20"/>
          <w:szCs w:val="20"/>
          <w:color w:val="auto"/>
        </w:rPr>
        <w:t>) from the assignee (to the extent of such outstanding principal and accrued interest and fees) or the Borrowers (in the case of all other amounts);</w:t>
      </w:r>
    </w:p>
    <w:p>
      <w:pPr>
        <w:spacing w:after="0" w:line="202" w:lineRule="exact"/>
        <w:rPr>
          <w:sz w:val="20"/>
          <w:szCs w:val="20"/>
          <w:color w:val="auto"/>
        </w:rPr>
      </w:pPr>
    </w:p>
    <w:p>
      <w:pPr>
        <w:jc w:val="both"/>
        <w:ind w:left="698" w:firstLine="649"/>
        <w:spacing w:after="0" w:line="254" w:lineRule="auto"/>
        <w:rPr>
          <w:sz w:val="20"/>
          <w:szCs w:val="20"/>
          <w:color w:val="auto"/>
        </w:rPr>
      </w:pPr>
      <w:r>
        <w:rPr>
          <w:rFonts w:ascii="Times New Roman" w:cs="Times New Roman" w:eastAsia="Times New Roman" w:hAnsi="Times New Roman"/>
          <w:sz w:val="20"/>
          <w:szCs w:val="20"/>
          <w:color w:val="auto"/>
        </w:rPr>
        <w:t xml:space="preserve">(xliii) in the case of any such assignment resulting from a claim for compensation under </w:t>
      </w:r>
      <w:r>
        <w:rPr>
          <w:rFonts w:ascii="Times New Roman" w:cs="Times New Roman" w:eastAsia="Times New Roman" w:hAnsi="Times New Roman"/>
          <w:sz w:val="20"/>
          <w:szCs w:val="20"/>
          <w:u w:val="single" w:color="auto"/>
          <w:color w:val="auto"/>
        </w:rPr>
        <w:t>Section 5.10</w:t>
      </w:r>
      <w:r>
        <w:rPr>
          <w:rFonts w:ascii="Times New Roman" w:cs="Times New Roman" w:eastAsia="Times New Roman" w:hAnsi="Times New Roman"/>
          <w:sz w:val="20"/>
          <w:szCs w:val="20"/>
          <w:color w:val="auto"/>
        </w:rPr>
        <w:t xml:space="preserve"> or payments required to be made pursuant to </w:t>
      </w:r>
      <w:r>
        <w:rPr>
          <w:rFonts w:ascii="Times New Roman" w:cs="Times New Roman" w:eastAsia="Times New Roman" w:hAnsi="Times New Roman"/>
          <w:sz w:val="20"/>
          <w:szCs w:val="20"/>
          <w:u w:val="single" w:color="auto"/>
          <w:color w:val="auto"/>
        </w:rPr>
        <w:t>Section 5.11</w:t>
      </w:r>
      <w:r>
        <w:rPr>
          <w:rFonts w:ascii="Times New Roman" w:cs="Times New Roman" w:eastAsia="Times New Roman" w:hAnsi="Times New Roman"/>
          <w:sz w:val="20"/>
          <w:szCs w:val="20"/>
          <w:color w:val="auto"/>
        </w:rPr>
        <w:t>, such assignment will result in a reduction in such compensation or payments thereafter;</w:t>
      </w:r>
    </w:p>
    <w:p>
      <w:pPr>
        <w:sectPr>
          <w:pgSz w:w="11900" w:h="16838" w:orient="portrait"/>
          <w:cols w:equalWidth="0" w:num="1">
            <w:col w:w="11078"/>
          </w:cols>
          <w:pgMar w:left="382" w:top="1440" w:right="439" w:bottom="1440" w:gutter="0" w:footer="0" w:header="0"/>
        </w:sectPr>
      </w:pPr>
    </w:p>
    <w:p>
      <w:pPr>
        <w:spacing w:after="0" w:line="201" w:lineRule="exact"/>
        <w:rPr>
          <w:sz w:val="20"/>
          <w:szCs w:val="20"/>
          <w:color w:val="auto"/>
        </w:rPr>
      </w:pPr>
    </w:p>
    <w:p>
      <w:pPr>
        <w:ind w:left="1358"/>
        <w:spacing w:after="0"/>
        <w:rPr>
          <w:sz w:val="20"/>
          <w:szCs w:val="20"/>
          <w:color w:val="auto"/>
        </w:rPr>
      </w:pPr>
      <w:r>
        <w:rPr>
          <w:rFonts w:ascii="Times New Roman" w:cs="Times New Roman" w:eastAsia="Times New Roman" w:hAnsi="Times New Roman"/>
          <w:sz w:val="19"/>
          <w:szCs w:val="19"/>
          <w:color w:val="auto"/>
        </w:rPr>
        <w:t>(xliv)</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such assignment does not conflict with Applicable Law; and</w:t>
      </w:r>
    </w:p>
    <w:p>
      <w:pPr>
        <w:spacing w:after="0" w:line="200" w:lineRule="exact"/>
        <w:rPr>
          <w:sz w:val="20"/>
          <w:szCs w:val="20"/>
          <w:color w:val="auto"/>
        </w:rPr>
      </w:pPr>
    </w:p>
    <w:p>
      <w:pPr>
        <w:sectPr>
          <w:pgSz w:w="11900" w:h="16838" w:orient="portrait"/>
          <w:cols w:equalWidth="0" w:num="2">
            <w:col w:w="1798" w:space="200"/>
            <w:col w:w="9080"/>
          </w:cols>
          <w:pgMar w:left="382" w:top="1440" w:right="439" w:bottom="1440" w:gutter="0" w:footer="0" w:header="0"/>
          <w:type w:val="continuous"/>
        </w:sectPr>
      </w:pPr>
    </w:p>
    <w:p>
      <w:pPr>
        <w:spacing w:after="0" w:line="27" w:lineRule="exact"/>
        <w:rPr>
          <w:sz w:val="20"/>
          <w:szCs w:val="20"/>
          <w:color w:val="auto"/>
        </w:rPr>
      </w:pPr>
    </w:p>
    <w:p>
      <w:pPr>
        <w:ind w:left="1358"/>
        <w:spacing w:after="0"/>
        <w:rPr>
          <w:sz w:val="20"/>
          <w:szCs w:val="20"/>
          <w:color w:val="auto"/>
        </w:rPr>
      </w:pPr>
      <w:r>
        <w:rPr>
          <w:rFonts w:ascii="Times New Roman" w:cs="Times New Roman" w:eastAsia="Times New Roman" w:hAnsi="Times New Roman"/>
          <w:sz w:val="19"/>
          <w:szCs w:val="19"/>
          <w:color w:val="auto"/>
        </w:rPr>
        <w:t>(xlv)</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 the case of any assignment resulting from a Lender becoming a Non-Consenting Lender, the applicable assignee</w:t>
      </w:r>
    </w:p>
    <w:p>
      <w:pPr>
        <w:spacing w:after="0" w:line="12" w:lineRule="exact"/>
        <w:rPr>
          <w:sz w:val="20"/>
          <w:szCs w:val="20"/>
          <w:color w:val="auto"/>
        </w:rPr>
      </w:pPr>
    </w:p>
    <w:p>
      <w:pPr>
        <w:sectPr>
          <w:pgSz w:w="11900" w:h="16838" w:orient="portrait"/>
          <w:cols w:equalWidth="0" w:num="2">
            <w:col w:w="1738" w:space="140"/>
            <w:col w:w="9200"/>
          </w:cols>
          <w:pgMar w:left="382" w:top="1440" w:right="439" w:bottom="1440" w:gutter="0" w:footer="0" w:header="0"/>
          <w:type w:val="continuous"/>
        </w:sectPr>
      </w:pPr>
    </w:p>
    <w:p>
      <w:pPr>
        <w:ind w:left="698"/>
        <w:spacing w:after="0"/>
        <w:rPr>
          <w:sz w:val="20"/>
          <w:szCs w:val="20"/>
          <w:color w:val="auto"/>
        </w:rPr>
      </w:pPr>
      <w:r>
        <w:rPr>
          <w:rFonts w:ascii="Times New Roman" w:cs="Times New Roman" w:eastAsia="Times New Roman" w:hAnsi="Times New Roman"/>
          <w:sz w:val="20"/>
          <w:szCs w:val="20"/>
          <w:color w:val="auto"/>
        </w:rPr>
        <w:t>shall have consented to the applicable amendment, waiver or consent.</w:t>
      </w:r>
    </w:p>
    <w:p>
      <w:pPr>
        <w:spacing w:after="0" w:line="201" w:lineRule="exact"/>
        <w:rPr>
          <w:sz w:val="20"/>
          <w:szCs w:val="20"/>
          <w:color w:val="auto"/>
        </w:rPr>
      </w:pPr>
    </w:p>
    <w:p>
      <w:pPr>
        <w:ind w:left="58" w:right="20" w:firstLine="648"/>
        <w:spacing w:after="0" w:line="269" w:lineRule="auto"/>
        <w:rPr>
          <w:sz w:val="20"/>
          <w:szCs w:val="20"/>
          <w:color w:val="auto"/>
        </w:rPr>
      </w:pPr>
      <w:r>
        <w:rPr>
          <w:rFonts w:ascii="Times New Roman" w:cs="Times New Roman" w:eastAsia="Times New Roman" w:hAnsi="Times New Roman"/>
          <w:sz w:val="20"/>
          <w:szCs w:val="20"/>
          <w:color w:val="auto"/>
        </w:rPr>
        <w:t>A Lender shall not be required to make any such assignment or delegation if, prior thereto, as a result of a waiver by such Lender or otherwise, the circumstances entitling the Borrowers to require such assignment and delegation cease to apply.</w:t>
      </w:r>
    </w:p>
    <w:p>
      <w:pPr>
        <w:spacing w:after="0" w:line="186" w:lineRule="exact"/>
        <w:rPr>
          <w:sz w:val="20"/>
          <w:szCs w:val="20"/>
          <w:color w:val="auto"/>
        </w:rPr>
      </w:pPr>
    </w:p>
    <w:p>
      <w:pPr>
        <w:ind w:left="58" w:right="20" w:firstLine="647"/>
        <w:spacing w:after="0" w:line="227" w:lineRule="auto"/>
        <w:rPr>
          <w:sz w:val="20"/>
          <w:szCs w:val="20"/>
          <w:color w:val="auto"/>
        </w:rPr>
      </w:pPr>
      <w:r>
        <w:rPr>
          <w:rFonts w:ascii="Times New Roman" w:cs="Times New Roman" w:eastAsia="Times New Roman" w:hAnsi="Times New Roman"/>
          <w:sz w:val="19"/>
          <w:szCs w:val="19"/>
          <w:color w:val="auto"/>
        </w:rPr>
        <w:t xml:space="preserve">Each party hereto agrees that (x) an assignment required pursuant to this </w:t>
      </w:r>
      <w:r>
        <w:rPr>
          <w:rFonts w:ascii="Times New Roman" w:cs="Times New Roman" w:eastAsia="Times New Roman" w:hAnsi="Times New Roman"/>
          <w:sz w:val="19"/>
          <w:szCs w:val="19"/>
          <w:u w:val="single" w:color="auto"/>
          <w:color w:val="auto"/>
        </w:rPr>
        <w:t>Section 5.12</w:t>
      </w:r>
      <w:r>
        <w:rPr>
          <w:rFonts w:ascii="Times New Roman" w:cs="Times New Roman" w:eastAsia="Times New Roman" w:hAnsi="Times New Roman"/>
          <w:sz w:val="19"/>
          <w:szCs w:val="19"/>
          <w:color w:val="auto"/>
        </w:rPr>
        <w:t xml:space="preserve"> may be effected pursuant to an Assignment and Assumption executed by Centuri, the Administrative Agent and the assignee and (y) the Lender required to make such assignment</w:t>
      </w:r>
    </w:p>
    <w:p>
      <w:pPr>
        <w:ind w:left="58"/>
        <w:spacing w:after="0" w:line="211" w:lineRule="auto"/>
        <w:rPr>
          <w:sz w:val="20"/>
          <w:szCs w:val="20"/>
          <w:color w:val="auto"/>
        </w:rPr>
      </w:pPr>
      <w:r>
        <w:rPr>
          <w:rFonts w:ascii="Times New Roman" w:cs="Times New Roman" w:eastAsia="Times New Roman" w:hAnsi="Times New Roman"/>
          <w:sz w:val="20"/>
          <w:szCs w:val="20"/>
          <w:color w:val="auto"/>
        </w:rPr>
        <w:t>need not be a party thereto in order for such assignment to be effective and shall be deemed to have consented to and be bound by the</w:t>
      </w:r>
    </w:p>
    <w:p>
      <w:pPr>
        <w:spacing w:after="0" w:line="1" w:lineRule="exact"/>
        <w:rPr>
          <w:sz w:val="20"/>
          <w:szCs w:val="20"/>
          <w:color w:val="auto"/>
        </w:rPr>
      </w:pPr>
    </w:p>
    <w:p>
      <w:pPr>
        <w:ind w:left="58" w:right="20"/>
        <w:spacing w:after="0" w:line="215" w:lineRule="auto"/>
        <w:rPr>
          <w:sz w:val="20"/>
          <w:szCs w:val="20"/>
          <w:color w:val="auto"/>
        </w:rPr>
      </w:pPr>
      <w:r>
        <w:rPr>
          <w:rFonts w:ascii="Times New Roman" w:cs="Times New Roman" w:eastAsia="Times New Roman" w:hAnsi="Times New Roman"/>
          <w:sz w:val="19"/>
          <w:szCs w:val="19"/>
          <w:color w:val="auto"/>
        </w:rPr>
        <w:t xml:space="preserve">terms thereof;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following the effectiveness of any such assignment, the other parties to such assignment agree to execute and deliver such documents necessary to evidence such assignment as reasonably requested by the applicable Lender or the Administrative</w:t>
      </w:r>
    </w:p>
    <w:p>
      <w:pPr>
        <w:ind w:left="58"/>
        <w:spacing w:after="0"/>
        <w:rPr>
          <w:sz w:val="20"/>
          <w:szCs w:val="20"/>
          <w:color w:val="auto"/>
        </w:rPr>
      </w:pPr>
      <w:r>
        <w:rPr>
          <w:rFonts w:ascii="Times New Roman" w:cs="Times New Roman" w:eastAsia="Times New Roman" w:hAnsi="Times New Roman"/>
          <w:sz w:val="20"/>
          <w:szCs w:val="20"/>
          <w:color w:val="auto"/>
        </w:rPr>
        <w:t xml:space="preserve">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any such documents shall be without recourse to or warranty by the parties thereto.</w:t>
      </w:r>
    </w:p>
    <w:p>
      <w:pPr>
        <w:spacing w:after="0" w:line="194" w:lineRule="exact"/>
        <w:rPr>
          <w:sz w:val="20"/>
          <w:szCs w:val="20"/>
          <w:color w:val="auto"/>
        </w:rPr>
      </w:pPr>
    </w:p>
    <w:p>
      <w:pPr>
        <w:ind w:left="698"/>
        <w:spacing w:after="0"/>
        <w:tabs>
          <w:tab w:leader="none" w:pos="2118" w:val="left"/>
        </w:tabs>
        <w:rPr>
          <w:sz w:val="20"/>
          <w:szCs w:val="20"/>
          <w:color w:val="auto"/>
        </w:rPr>
      </w:pPr>
      <w:r>
        <w:rPr>
          <w:rFonts w:ascii="Times New Roman" w:cs="Times New Roman" w:eastAsia="Times New Roman" w:hAnsi="Times New Roman"/>
          <w:sz w:val="20"/>
          <w:szCs w:val="20"/>
          <w:color w:val="auto"/>
        </w:rPr>
        <w:t>SECTION 5.13</w:t>
      </w:r>
      <w:r>
        <w:rPr>
          <w:sz w:val="20"/>
          <w:szCs w:val="20"/>
          <w:color w:val="auto"/>
        </w:rPr>
        <w:tab/>
      </w:r>
      <w:r>
        <w:rPr>
          <w:rFonts w:ascii="Times New Roman" w:cs="Times New Roman" w:eastAsia="Times New Roman" w:hAnsi="Times New Roman"/>
          <w:sz w:val="19"/>
          <w:szCs w:val="19"/>
          <w:u w:val="single" w:color="auto"/>
          <w:color w:val="auto"/>
        </w:rPr>
        <w:t>Incremental Loans</w:t>
      </w:r>
      <w:r>
        <w:rPr>
          <w:rFonts w:ascii="Times New Roman" w:cs="Times New Roman" w:eastAsia="Times New Roman" w:hAnsi="Times New Roman"/>
          <w:sz w:val="19"/>
          <w:szCs w:val="19"/>
          <w:color w:val="auto"/>
        </w:rPr>
        <w:t>.</w:t>
      </w:r>
    </w:p>
    <w:p>
      <w:pPr>
        <w:spacing w:after="0" w:line="283" w:lineRule="exact"/>
        <w:rPr>
          <w:sz w:val="20"/>
          <w:szCs w:val="20"/>
          <w:color w:val="auto"/>
        </w:rPr>
      </w:pPr>
    </w:p>
    <w:p>
      <w:pPr>
        <w:jc w:val="both"/>
        <w:ind w:left="58" w:firstLine="644"/>
        <w:spacing w:after="0" w:line="220" w:lineRule="auto"/>
        <w:tabs>
          <w:tab w:leader="none" w:pos="1236" w:val="left"/>
        </w:tabs>
        <w:numPr>
          <w:ilvl w:val="0"/>
          <w:numId w:val="2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Request for Increase</w:t>
      </w:r>
      <w:r>
        <w:rPr>
          <w:rFonts w:ascii="Times New Roman" w:cs="Times New Roman" w:eastAsia="Times New Roman" w:hAnsi="Times New Roman"/>
          <w:sz w:val="20"/>
          <w:szCs w:val="20"/>
          <w:color w:val="auto"/>
        </w:rPr>
        <w:t>. At any time after the Closing Date, upon written notice to the Administrative Agent, the US Borrowers, or the Canadian Borrowers, as applicable, may, from time to time, request (i) one or more incremental term loans, including a borrowing of an additional term loan, the principal amount of which will be added to the tranche of Term Loan with the latest maturity date (an “</w:t>
      </w:r>
      <w:r>
        <w:rPr>
          <w:rFonts w:ascii="Times New Roman" w:cs="Times New Roman" w:eastAsia="Times New Roman" w:hAnsi="Times New Roman"/>
          <w:sz w:val="20"/>
          <w:szCs w:val="20"/>
          <w:u w:val="single" w:color="auto"/>
          <w:color w:val="auto"/>
        </w:rPr>
        <w:t>Incremental Term Loan</w:t>
      </w:r>
      <w:r>
        <w:rPr>
          <w:rFonts w:ascii="Times New Roman" w:cs="Times New Roman" w:eastAsia="Times New Roman" w:hAnsi="Times New Roman"/>
          <w:sz w:val="20"/>
          <w:szCs w:val="20"/>
          <w:color w:val="auto"/>
        </w:rPr>
        <w:t>”) or (ii) one or more increases in the Revolving Credit Commitments (an “</w:t>
      </w:r>
      <w:r>
        <w:rPr>
          <w:rFonts w:ascii="Times New Roman" w:cs="Times New Roman" w:eastAsia="Times New Roman" w:hAnsi="Times New Roman"/>
          <w:sz w:val="20"/>
          <w:szCs w:val="20"/>
          <w:u w:val="single" w:color="auto"/>
          <w:color w:val="auto"/>
        </w:rPr>
        <w:t>Incremental Revolving Credit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Facility Increase</w:t>
      </w:r>
      <w:r>
        <w:rPr>
          <w:rFonts w:ascii="Times New Roman" w:cs="Times New Roman" w:eastAsia="Times New Roman" w:hAnsi="Times New Roman"/>
          <w:sz w:val="20"/>
          <w:szCs w:val="20"/>
          <w:color w:val="auto"/>
        </w:rPr>
        <w:t>” and, together with the initial principal amount of the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38"/>
        <w:spacing w:after="0"/>
        <w:rPr>
          <w:sz w:val="20"/>
          <w:szCs w:val="20"/>
          <w:color w:val="auto"/>
        </w:rPr>
      </w:pPr>
      <w:r>
        <w:rPr>
          <w:rFonts w:ascii="Times New Roman" w:cs="Times New Roman" w:eastAsia="Times New Roman" w:hAnsi="Times New Roman"/>
          <w:sz w:val="14"/>
          <w:szCs w:val="14"/>
          <w:color w:val="FF0000"/>
          <w:strike w:val="1"/>
        </w:rPr>
        <w:t>146960219_6</w:t>
      </w:r>
    </w:p>
    <w:p>
      <w:pPr>
        <w:spacing w:after="0" w:line="4" w:lineRule="exact"/>
        <w:rPr>
          <w:sz w:val="20"/>
          <w:szCs w:val="20"/>
          <w:color w:val="auto"/>
        </w:rPr>
      </w:pPr>
    </w:p>
    <w:p>
      <w:pPr>
        <w:ind w:left="338" w:hanging="338"/>
        <w:spacing w:after="0"/>
        <w:tabs>
          <w:tab w:leader="none" w:pos="338" w:val="left"/>
        </w:tabs>
        <w:numPr>
          <w:ilvl w:val="0"/>
          <w:numId w:val="249"/>
        </w:numPr>
        <w:rPr>
          <w:rFonts w:ascii="Times New Roman" w:cs="Times New Roman" w:eastAsia="Times New Roman" w:hAnsi="Times New Roman"/>
          <w:sz w:val="20"/>
          <w:szCs w:val="20"/>
          <w:color w:val="auto"/>
        </w:rPr>
      </w:pP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078"/>
          </w:cols>
          <w:pgMar w:left="382" w:top="1440" w:right="439" w:bottom="1440" w:gutter="0" w:footer="0" w:header="0"/>
          <w:type w:val="continuous"/>
        </w:sectPr>
      </w:pPr>
    </w:p>
    <w:bookmarkStart w:id="175" w:name="page176"/>
    <w:bookmarkEnd w:id="175"/>
    <w:p>
      <w:pPr>
        <w:ind w:left="38"/>
        <w:spacing w:after="0"/>
        <w:rPr>
          <w:sz w:val="20"/>
          <w:szCs w:val="20"/>
          <w:color w:val="auto"/>
        </w:rPr>
      </w:pPr>
      <w:r>
        <w:rPr>
          <w:rFonts w:ascii="Times New Roman" w:cs="Times New Roman" w:eastAsia="Times New Roman" w:hAnsi="Times New Roman"/>
          <w:sz w:val="19"/>
          <w:szCs w:val="19"/>
          <w:color w:val="auto"/>
        </w:rPr>
        <w:t>Incremental Term Loans, the “</w:t>
      </w:r>
      <w:r>
        <w:rPr>
          <w:rFonts w:ascii="Times New Roman" w:cs="Times New Roman" w:eastAsia="Times New Roman" w:hAnsi="Times New Roman"/>
          <w:sz w:val="19"/>
          <w:szCs w:val="19"/>
          <w:u w:val="single" w:color="auto"/>
          <w:color w:val="auto"/>
        </w:rPr>
        <w:t>Incremental Increases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 the aggregate principal amount for all such Incremental Increases</w:t>
      </w:r>
    </w:p>
    <w:p>
      <w:pPr>
        <w:spacing w:after="0" w:line="6" w:lineRule="exact"/>
        <w:rPr>
          <w:sz w:val="20"/>
          <w:szCs w:val="20"/>
          <w:color w:val="auto"/>
        </w:rPr>
      </w:pPr>
    </w:p>
    <w:p>
      <w:pPr>
        <w:ind w:left="38"/>
        <w:spacing w:after="0" w:line="204" w:lineRule="auto"/>
        <w:rPr>
          <w:sz w:val="20"/>
          <w:szCs w:val="20"/>
          <w:color w:val="auto"/>
        </w:rPr>
      </w:pPr>
      <w:r>
        <w:rPr>
          <w:rFonts w:ascii="Times New Roman" w:cs="Times New Roman" w:eastAsia="Times New Roman" w:hAnsi="Times New Roman"/>
          <w:sz w:val="20"/>
          <w:szCs w:val="20"/>
          <w:color w:val="auto"/>
        </w:rPr>
        <w:t>and Incremental Equivalent Indebtedness incurred after the Closing Date shall not exceed the sum of (1) the greater of $300,000,000 and Consolidated EBITDA as of the most recently ended four consecutive fiscal quarter period for which financial statements and the related</w:t>
      </w:r>
    </w:p>
    <w:p>
      <w:pPr>
        <w:ind w:left="38"/>
        <w:spacing w:after="0" w:line="211" w:lineRule="auto"/>
        <w:rPr>
          <w:sz w:val="20"/>
          <w:szCs w:val="20"/>
          <w:color w:val="auto"/>
        </w:rPr>
      </w:pPr>
      <w:r>
        <w:rPr>
          <w:rFonts w:ascii="Times New Roman" w:cs="Times New Roman" w:eastAsia="Times New Roman" w:hAnsi="Times New Roman"/>
          <w:sz w:val="20"/>
          <w:szCs w:val="20"/>
          <w:color w:val="auto"/>
        </w:rPr>
        <w:t xml:space="preserve">Officer’s Compliance Certificate have been delivered pursuant to </w:t>
      </w:r>
      <w:r>
        <w:rPr>
          <w:rFonts w:ascii="Times New Roman" w:cs="Times New Roman" w:eastAsia="Times New Roman" w:hAnsi="Times New Roman"/>
          <w:sz w:val="20"/>
          <w:szCs w:val="20"/>
          <w:u w:val="single" w:color="auto"/>
          <w:color w:val="auto"/>
        </w:rPr>
        <w:t>Sections 8.1(a)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8.2(a) plus</w:t>
      </w:r>
      <w:r>
        <w:rPr>
          <w:rFonts w:ascii="Times New Roman" w:cs="Times New Roman" w:eastAsia="Times New Roman" w:hAnsi="Times New Roman"/>
          <w:sz w:val="20"/>
          <w:szCs w:val="20"/>
          <w:color w:val="auto"/>
        </w:rPr>
        <w:t xml:space="preserve"> (2) an amount which, after giving</w:t>
      </w:r>
    </w:p>
    <w:p>
      <w:pPr>
        <w:spacing w:after="0" w:line="1" w:lineRule="exact"/>
        <w:rPr>
          <w:sz w:val="20"/>
          <w:szCs w:val="20"/>
          <w:color w:val="auto"/>
        </w:rPr>
      </w:pPr>
    </w:p>
    <w:p>
      <w:pPr>
        <w:ind w:left="38"/>
        <w:spacing w:after="0" w:line="204" w:lineRule="auto"/>
        <w:rPr>
          <w:sz w:val="20"/>
          <w:szCs w:val="20"/>
          <w:color w:val="auto"/>
        </w:rPr>
      </w:pPr>
      <w:r>
        <w:rPr>
          <w:rFonts w:ascii="Times New Roman" w:cs="Times New Roman" w:eastAsia="Times New Roman" w:hAnsi="Times New Roman"/>
          <w:sz w:val="20"/>
          <w:szCs w:val="20"/>
          <w:color w:val="auto"/>
        </w:rPr>
        <w:t>pro forma effect to such Incremental Increase and/or Incremental Equivalent Indebtedness (assuming that the entire Incremental Increase and/or Incremental Equivalent Indebtedness is funded on the effective date thereof and after giving effect to the use of proceeds thereof</w:t>
      </w:r>
    </w:p>
    <w:p>
      <w:pPr>
        <w:ind w:left="38"/>
        <w:spacing w:after="0" w:line="211" w:lineRule="auto"/>
        <w:rPr>
          <w:sz w:val="20"/>
          <w:szCs w:val="20"/>
          <w:color w:val="auto"/>
        </w:rPr>
      </w:pPr>
      <w:r>
        <w:rPr>
          <w:rFonts w:ascii="Times New Roman" w:cs="Times New Roman" w:eastAsia="Times New Roman" w:hAnsi="Times New Roman"/>
          <w:sz w:val="20"/>
          <w:szCs w:val="20"/>
          <w:color w:val="auto"/>
        </w:rPr>
        <w:t>and any permanent repayment of Indebtedness in connection therewith) pursuant to this clause (2), would not cause the Consolidated Net</w:t>
      </w:r>
    </w:p>
    <w:p>
      <w:pPr>
        <w:spacing w:after="0" w:line="1" w:lineRule="exact"/>
        <w:rPr>
          <w:sz w:val="20"/>
          <w:szCs w:val="20"/>
          <w:color w:val="auto"/>
        </w:rPr>
      </w:pPr>
    </w:p>
    <w:p>
      <w:pPr>
        <w:ind w:left="38"/>
        <w:spacing w:after="0" w:line="215" w:lineRule="auto"/>
        <w:rPr>
          <w:sz w:val="20"/>
          <w:szCs w:val="20"/>
          <w:color w:val="auto"/>
        </w:rPr>
      </w:pPr>
      <w:r>
        <w:rPr>
          <w:rFonts w:ascii="Times New Roman" w:cs="Times New Roman" w:eastAsia="Times New Roman" w:hAnsi="Times New Roman"/>
          <w:sz w:val="19"/>
          <w:szCs w:val="19"/>
          <w:color w:val="auto"/>
        </w:rPr>
        <w:t xml:space="preserve">Leverage Ratio, as of the most recently ended four consecutive fiscal quarter period for which financial statements and the related Officer’s Compliance Certificate have been delivered pursuant to </w:t>
      </w:r>
      <w:r>
        <w:rPr>
          <w:rFonts w:ascii="Times New Roman" w:cs="Times New Roman" w:eastAsia="Times New Roman" w:hAnsi="Times New Roman"/>
          <w:sz w:val="19"/>
          <w:szCs w:val="19"/>
          <w:u w:val="single" w:color="auto"/>
          <w:color w:val="auto"/>
        </w:rPr>
        <w:t>Sections 8.1(a)</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8.2(a)</w:t>
      </w:r>
      <w:r>
        <w:rPr>
          <w:rFonts w:ascii="Times New Roman" w:cs="Times New Roman" w:eastAsia="Times New Roman" w:hAnsi="Times New Roman"/>
          <w:sz w:val="19"/>
          <w:szCs w:val="19"/>
          <w:color w:val="auto"/>
        </w:rPr>
        <w:t xml:space="preserve"> (or in the case of any Incremental Term</w:t>
      </w:r>
    </w:p>
    <w:p>
      <w:pPr>
        <w:ind w:left="38" w:right="300"/>
        <w:spacing w:after="0" w:line="225" w:lineRule="auto"/>
        <w:rPr>
          <w:sz w:val="20"/>
          <w:szCs w:val="20"/>
          <w:color w:val="auto"/>
        </w:rPr>
      </w:pPr>
      <w:r>
        <w:rPr>
          <w:rFonts w:ascii="Times New Roman" w:cs="Times New Roman" w:eastAsia="Times New Roman" w:hAnsi="Times New Roman"/>
          <w:sz w:val="20"/>
          <w:szCs w:val="20"/>
          <w:color w:val="auto"/>
        </w:rPr>
        <w:t>Loan, the proceeds of which will finance a substantially concurrent Limited Condition Acquisition, as of the LCA Test Date), to exceed 4.00 to 1.00 (in each case, as demonstrated by Centuri in a written certification to the Administrative Agent),</w:t>
      </w:r>
    </w:p>
    <w:p>
      <w:pPr>
        <w:spacing w:after="0" w:line="1" w:lineRule="exact"/>
        <w:rPr>
          <w:sz w:val="20"/>
          <w:szCs w:val="20"/>
          <w:color w:val="auto"/>
        </w:rPr>
      </w:pPr>
    </w:p>
    <w:p>
      <w:pPr>
        <w:jc w:val="both"/>
        <w:ind w:left="38" w:hanging="2"/>
        <w:spacing w:after="0" w:line="210" w:lineRule="auto"/>
        <w:tabs>
          <w:tab w:leader="none" w:pos="364" w:val="left"/>
        </w:tabs>
        <w:numPr>
          <w:ilvl w:val="0"/>
          <w:numId w:val="2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such request for an increase shall be in a minimum amount of $5,000,000 (or C$5,000,000) for any Incremental Term Loan and $5,000,000 for any Incremental Revolving Credit Facility Increase or, if less, the remaining amount permitted pursuant to the foregoing clause (A) and (C) no Lender will be required or otherwise obligated to provide any portion of such Incremental Increase. Incremental Term Loans may be made to the US Borrowers in Dollars or to the Canadian Borrowers in Canadian Dollars. Unless the applicable Borrower otherwise notifies the Administrative Agent, if all or any portion of any Incremental Increases or Incremental Equivalent Indebtedness would be permitted under clause (A)(2) above on the applicable date of incurrence, such Incremental Increases or Incremental Equivalent Indebtedness (or the relevant portion thereof) shall be deemed to have been incurred in reliance on clause (A)(2) above prior to the utilization of any amount available under clause (A)(1) above.</w:t>
      </w:r>
    </w:p>
    <w:p>
      <w:pPr>
        <w:spacing w:after="0" w:line="190" w:lineRule="exact"/>
        <w:rPr>
          <w:rFonts w:ascii="Times New Roman" w:cs="Times New Roman" w:eastAsia="Times New Roman" w:hAnsi="Times New Roman"/>
          <w:sz w:val="20"/>
          <w:szCs w:val="20"/>
          <w:color w:val="auto"/>
        </w:rPr>
      </w:pPr>
    </w:p>
    <w:p>
      <w:pPr>
        <w:jc w:val="both"/>
        <w:ind w:left="38" w:firstLine="646"/>
        <w:spacing w:after="0" w:line="212" w:lineRule="auto"/>
        <w:tabs>
          <w:tab w:leader="none" w:pos="1241" w:val="left"/>
        </w:tabs>
        <w:numPr>
          <w:ilvl w:val="1"/>
          <w:numId w:val="2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Incremental Lenders</w:t>
      </w:r>
      <w:r>
        <w:rPr>
          <w:rFonts w:ascii="Times New Roman" w:cs="Times New Roman" w:eastAsia="Times New Roman" w:hAnsi="Times New Roman"/>
          <w:sz w:val="20"/>
          <w:szCs w:val="20"/>
          <w:color w:val="auto"/>
        </w:rPr>
        <w:t>. Each notice from the applicable Borrower pursuant to this Section shall set forth the requested amount, currency and proposed terms of the relevant Incremental Increase. Incremental Increases may be provided by any existing Lender or by any other Persons (an “</w:t>
      </w:r>
      <w:r>
        <w:rPr>
          <w:rFonts w:ascii="Times New Roman" w:cs="Times New Roman" w:eastAsia="Times New Roman" w:hAnsi="Times New Roman"/>
          <w:sz w:val="20"/>
          <w:szCs w:val="20"/>
          <w:u w:val="single" w:color="auto"/>
          <w:color w:val="auto"/>
        </w:rPr>
        <w:t>Incremental Lender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Administrative Agent, each Issuing Lender and/or each Swingline Lender, as applicable, shall have consented (not to be unreasonably withheld, conditioned or delayed) to such Incremental Lender’s providing such Incremental Increases to the extent any such consent would be required under </w:t>
      </w:r>
      <w:r>
        <w:rPr>
          <w:rFonts w:ascii="Times New Roman" w:cs="Times New Roman" w:eastAsia="Times New Roman" w:hAnsi="Times New Roman"/>
          <w:sz w:val="20"/>
          <w:szCs w:val="20"/>
          <w:u w:val="single" w:color="auto"/>
          <w:color w:val="auto"/>
        </w:rPr>
        <w:t>Section 12.9(b)</w:t>
      </w:r>
      <w:r>
        <w:rPr>
          <w:rFonts w:ascii="Times New Roman" w:cs="Times New Roman" w:eastAsia="Times New Roman" w:hAnsi="Times New Roman"/>
          <w:sz w:val="20"/>
          <w:szCs w:val="20"/>
          <w:color w:val="auto"/>
        </w:rPr>
        <w:t xml:space="preserve"> for an assignment of Loans or Revolving Credit Commitments, as applicable, to such Incremental Lender. At the time of sending such notice, the applicable Borrower (in consultation with the Administrative Agent) shall specify the time period within which each Incremental Lender is requested to respond, which shall in no event be less than ten (10) Business Days from the date of delivery of such notice to the proposed Incremental Lenders (or such shorter period as may be approved by the Administrative Agent). Each proposed Incremental Lender may elect or decline, in its sole discretion, and shall notify the Administrative Agent within such time period whether it agrees, to provide an Incremental Increase and, if so, whether by an amount equal to, greater than or less than requested. Any Person not responding within such time period shall be deemed to have declined to provide an Incremental Increase.</w:t>
      </w:r>
    </w:p>
    <w:p>
      <w:pPr>
        <w:spacing w:after="0" w:line="194" w:lineRule="exact"/>
        <w:rPr>
          <w:rFonts w:ascii="Times New Roman" w:cs="Times New Roman" w:eastAsia="Times New Roman" w:hAnsi="Times New Roman"/>
          <w:sz w:val="20"/>
          <w:szCs w:val="20"/>
          <w:color w:val="auto"/>
        </w:rPr>
      </w:pPr>
    </w:p>
    <w:p>
      <w:pPr>
        <w:jc w:val="both"/>
        <w:ind w:left="38" w:firstLine="646"/>
        <w:spacing w:after="0" w:line="222" w:lineRule="auto"/>
        <w:tabs>
          <w:tab w:leader="none" w:pos="1243" w:val="left"/>
        </w:tabs>
        <w:numPr>
          <w:ilvl w:val="1"/>
          <w:numId w:val="2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Increase Effective Date and Allocations</w:t>
      </w:r>
      <w:r>
        <w:rPr>
          <w:rFonts w:ascii="Times New Roman" w:cs="Times New Roman" w:eastAsia="Times New Roman" w:hAnsi="Times New Roman"/>
          <w:sz w:val="20"/>
          <w:szCs w:val="20"/>
          <w:color w:val="auto"/>
        </w:rPr>
        <w:t>. The Administrative Agent and the applicable Borrower shall determine the effective date (the “</w:t>
      </w:r>
      <w:r>
        <w:rPr>
          <w:rFonts w:ascii="Times New Roman" w:cs="Times New Roman" w:eastAsia="Times New Roman" w:hAnsi="Times New Roman"/>
          <w:sz w:val="20"/>
          <w:szCs w:val="20"/>
          <w:u w:val="single" w:color="auto"/>
          <w:color w:val="auto"/>
        </w:rPr>
        <w:t>Increase Effective Date</w:t>
      </w:r>
      <w:r>
        <w:rPr>
          <w:rFonts w:ascii="Times New Roman" w:cs="Times New Roman" w:eastAsia="Times New Roman" w:hAnsi="Times New Roman"/>
          <w:sz w:val="20"/>
          <w:szCs w:val="20"/>
          <w:color w:val="auto"/>
        </w:rPr>
        <w:t>”) and the final allocation of such Incremental Increase (limited in the case of the Incremental Lenders to their own respective allocations thereof). The Administrative Agent shall promptly notify the applicable Borrower and the Incremental Lenders of the final allocation of such Incremental Increases and the Increase Effective Date.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38"/>
        <w:spacing w:after="0"/>
        <w:rPr>
          <w:sz w:val="20"/>
          <w:szCs w:val="20"/>
          <w:color w:val="auto"/>
        </w:rPr>
      </w:pPr>
      <w:r>
        <w:rPr>
          <w:rFonts w:ascii="Times New Roman" w:cs="Times New Roman" w:eastAsia="Times New Roman" w:hAnsi="Times New Roman"/>
          <w:sz w:val="14"/>
          <w:szCs w:val="14"/>
          <w:color w:val="FF0000"/>
          <w:strike w:val="1"/>
        </w:rPr>
        <w:t>146960219_6</w:t>
      </w:r>
    </w:p>
    <w:p>
      <w:pPr>
        <w:spacing w:after="0" w:line="4" w:lineRule="exact"/>
        <w:rPr>
          <w:sz w:val="20"/>
          <w:szCs w:val="20"/>
          <w:color w:val="auto"/>
        </w:rPr>
      </w:pPr>
    </w:p>
    <w:p>
      <w:pPr>
        <w:ind w:left="338" w:hanging="338"/>
        <w:spacing w:after="0"/>
        <w:tabs>
          <w:tab w:leader="none" w:pos="338" w:val="left"/>
        </w:tabs>
        <w:numPr>
          <w:ilvl w:val="0"/>
          <w:numId w:val="251"/>
        </w:numPr>
        <w:rPr>
          <w:rFonts w:ascii="Times New Roman" w:cs="Times New Roman" w:eastAsia="Times New Roman" w:hAnsi="Times New Roman"/>
          <w:sz w:val="20"/>
          <w:szCs w:val="20"/>
          <w:color w:val="auto"/>
        </w:rPr>
      </w:pP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078"/>
          </w:cols>
          <w:pgMar w:left="382" w:top="1399" w:right="439" w:bottom="1440" w:gutter="0" w:footer="0" w:header="0"/>
        </w:sectPr>
      </w:pPr>
    </w:p>
    <w:bookmarkStart w:id="176" w:name="page177"/>
    <w:bookmarkEnd w:id="176"/>
    <w:p>
      <w:pPr>
        <w:ind w:left="58" w:right="20" w:firstLine="644"/>
        <w:spacing w:after="0" w:line="269" w:lineRule="auto"/>
        <w:tabs>
          <w:tab w:leader="none" w:pos="1234" w:val="left"/>
        </w:tabs>
        <w:numPr>
          <w:ilvl w:val="0"/>
          <w:numId w:val="2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Terms of Incremental Increases</w:t>
      </w:r>
      <w:r>
        <w:rPr>
          <w:rFonts w:ascii="Times New Roman" w:cs="Times New Roman" w:eastAsia="Times New Roman" w:hAnsi="Times New Roman"/>
          <w:sz w:val="20"/>
          <w:szCs w:val="20"/>
          <w:color w:val="auto"/>
        </w:rPr>
        <w:t xml:space="preserve">. The terms of each Incremental Increase (which shall be set forth in the relevant Incremental Amendment) shall be determined by the applicable Borrowers and the applicable Incremental Lenders;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w:t>
      </w:r>
    </w:p>
    <w:p>
      <w:pPr>
        <w:spacing w:after="0" w:line="254" w:lineRule="exact"/>
        <w:rPr>
          <w:sz w:val="20"/>
          <w:szCs w:val="20"/>
          <w:color w:val="auto"/>
        </w:rPr>
      </w:pPr>
    </w:p>
    <w:p>
      <w:pPr>
        <w:ind w:left="698" w:right="680" w:firstLine="649"/>
        <w:spacing w:after="0" w:line="269" w:lineRule="auto"/>
        <w:rPr>
          <w:sz w:val="20"/>
          <w:szCs w:val="20"/>
          <w:color w:val="auto"/>
        </w:rPr>
      </w:pPr>
      <w:r>
        <w:rPr>
          <w:rFonts w:ascii="Times New Roman" w:cs="Times New Roman" w:eastAsia="Times New Roman" w:hAnsi="Times New Roman"/>
          <w:sz w:val="20"/>
          <w:szCs w:val="20"/>
          <w:color w:val="auto"/>
        </w:rPr>
        <w:t>(xlvi) in the case of each Incremental Term Loan (the terms of which shall be set forth in the relevant Incremental Amendment):</w:t>
      </w:r>
    </w:p>
    <w:p>
      <w:pPr>
        <w:spacing w:after="0" w:line="173" w:lineRule="exact"/>
        <w:rPr>
          <w:sz w:val="20"/>
          <w:szCs w:val="20"/>
          <w:color w:val="auto"/>
        </w:rPr>
      </w:pPr>
    </w:p>
    <w:p>
      <w:pPr>
        <w:jc w:val="both"/>
        <w:ind w:left="1358" w:firstLine="640"/>
        <w:spacing w:after="0" w:line="213" w:lineRule="auto"/>
        <w:tabs>
          <w:tab w:leader="none" w:pos="2541" w:val="left"/>
        </w:tabs>
        <w:numPr>
          <w:ilvl w:val="1"/>
          <w:numId w:val="2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maturity of any such Incremental Term Loan shall not be earlier than the then the latest scheduled maturity date of the Loans and Commitments in effect as of the Increase Effective Date and the Weighted Average Life to Maturity of any such Incremental Term Loan shall not be shorter than the remaining Weighted Average Life to Maturity of such latest maturing Term Loans;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restrictions of this clause</w:t>
      </w:r>
    </w:p>
    <w:p>
      <w:pPr>
        <w:spacing w:after="0" w:line="2" w:lineRule="exact"/>
        <w:rPr>
          <w:rFonts w:ascii="Times New Roman" w:cs="Times New Roman" w:eastAsia="Times New Roman" w:hAnsi="Times New Roman"/>
          <w:sz w:val="20"/>
          <w:szCs w:val="20"/>
          <w:color w:val="auto"/>
        </w:rPr>
      </w:pPr>
    </w:p>
    <w:p>
      <w:pPr>
        <w:jc w:val="both"/>
        <w:ind w:left="1358" w:hanging="8"/>
        <w:spacing w:after="0" w:line="215" w:lineRule="auto"/>
        <w:tabs>
          <w:tab w:leader="none" w:pos="1889" w:val="left"/>
        </w:tabs>
        <w:numPr>
          <w:ilvl w:val="0"/>
          <w:numId w:val="2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not apply to the extent such Incremental Term Loan constitutes a customary bridge or similar facility that is to be automatically converted or exchanged into notes or other permitted Indebtedness that otherwise would satisfy this clause (A) so long as such conversion or exchange is subject only to conditions customary for similar conversions and exchanges and the applicable Borrower irrevocably agrees at the time of incurrence thereof to take all actions necessary to convert or exchange such Incremental Term Loan);</w:t>
      </w:r>
    </w:p>
    <w:p>
      <w:pPr>
        <w:spacing w:after="0" w:line="189" w:lineRule="exact"/>
        <w:rPr>
          <w:rFonts w:ascii="Times New Roman" w:cs="Times New Roman" w:eastAsia="Times New Roman" w:hAnsi="Times New Roman"/>
          <w:sz w:val="20"/>
          <w:szCs w:val="20"/>
          <w:color w:val="auto"/>
        </w:rPr>
      </w:pPr>
    </w:p>
    <w:p>
      <w:pPr>
        <w:jc w:val="both"/>
        <w:ind w:left="1358" w:firstLine="640"/>
        <w:spacing w:after="0" w:line="215" w:lineRule="auto"/>
        <w:tabs>
          <w:tab w:leader="none" w:pos="2541" w:val="left"/>
        </w:tabs>
        <w:numPr>
          <w:ilvl w:val="1"/>
          <w:numId w:val="2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All-In Yield and pricing grid, if applicable, for such Incremental Term Loan shall be determined by the applicable Incremental Lenders and the applicable Borrower on the applicable Increase Effective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All-In Yield in respect of any Incremental Term Loan incurred on or prior to the date that is six (6) months after the Closing Date exceeds the All-In Yield for the Initial Term Loan (as reasonably determined by the Administrative Agent) by more than 0.50%, then the Applicable Margin for the Initial Term Loan shall be increased so that the All-In Yield in respect of such Initial Term Loan is equal to the All-In Yield for such Incremental Term Loan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0.50% (determined at each level of each applicable pricing grid);</w:t>
      </w:r>
    </w:p>
    <w:p>
      <w:pPr>
        <w:spacing w:after="0" w:line="191" w:lineRule="exact"/>
        <w:rPr>
          <w:rFonts w:ascii="Times New Roman" w:cs="Times New Roman" w:eastAsia="Times New Roman" w:hAnsi="Times New Roman"/>
          <w:sz w:val="20"/>
          <w:szCs w:val="20"/>
          <w:color w:val="auto"/>
        </w:rPr>
      </w:pPr>
    </w:p>
    <w:p>
      <w:pPr>
        <w:jc w:val="both"/>
        <w:ind w:left="1358" w:firstLine="640"/>
        <w:spacing w:after="0" w:line="222" w:lineRule="auto"/>
        <w:tabs>
          <w:tab w:leader="none" w:pos="2541" w:val="left"/>
        </w:tabs>
        <w:numPr>
          <w:ilvl w:val="1"/>
          <w:numId w:val="2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mandatory prepayment (other than scheduled amortization payments) of each Incremental Term Loan shall be made on a pro rata basis with all then existing Term Loans, except that the applicable Borrower and the Incremental Lenders in respect of such Incremental Term Loan may, in their sole discretion, elect to prepay or receive, as applicable, any prepayments on a less than pro rata basis (but not on a greater than pro rata basis); and</w:t>
      </w:r>
    </w:p>
    <w:p>
      <w:pPr>
        <w:spacing w:after="0" w:line="188" w:lineRule="exact"/>
        <w:rPr>
          <w:rFonts w:ascii="Times New Roman" w:cs="Times New Roman" w:eastAsia="Times New Roman" w:hAnsi="Times New Roman"/>
          <w:sz w:val="20"/>
          <w:szCs w:val="20"/>
          <w:color w:val="auto"/>
        </w:rPr>
      </w:pPr>
    </w:p>
    <w:p>
      <w:pPr>
        <w:jc w:val="both"/>
        <w:ind w:left="1358" w:firstLine="640"/>
        <w:spacing w:after="0" w:line="220" w:lineRule="auto"/>
        <w:tabs>
          <w:tab w:leader="none" w:pos="2538" w:val="left"/>
        </w:tabs>
        <w:numPr>
          <w:ilvl w:val="1"/>
          <w:numId w:val="2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provided above, all other terms and conditions applicable to any Incremental Term Loan shall be consistent with the terms and conditions of the Initial Term Loan or otherwise reasonably satisfactory to the Administrative Agent and the applicable Borrower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other terms and conditions, taken as a whole, shall not be more favorable to the Lenders under any Incremental Term Loans than such other terms and conditions, taken as a whole, under the Initial Term Loans);</w:t>
      </w:r>
    </w:p>
    <w:p>
      <w:pPr>
        <w:spacing w:after="0" w:line="188" w:lineRule="exact"/>
        <w:rPr>
          <w:sz w:val="20"/>
          <w:szCs w:val="20"/>
          <w:color w:val="auto"/>
        </w:rPr>
      </w:pPr>
    </w:p>
    <w:p>
      <w:pPr>
        <w:ind w:left="698" w:right="500" w:firstLine="649"/>
        <w:spacing w:after="0" w:line="233" w:lineRule="auto"/>
        <w:rPr>
          <w:sz w:val="20"/>
          <w:szCs w:val="20"/>
          <w:color w:val="auto"/>
        </w:rPr>
      </w:pPr>
      <w:r>
        <w:rPr>
          <w:rFonts w:ascii="Times New Roman" w:cs="Times New Roman" w:eastAsia="Times New Roman" w:hAnsi="Times New Roman"/>
          <w:sz w:val="20"/>
          <w:szCs w:val="20"/>
          <w:color w:val="auto"/>
        </w:rPr>
        <w:t>(xlvii) in the case of each Incremental Revolving Credit Facility Increase (the terms of which shall be set forth in the relevant Incremental Amendment):</w:t>
      </w:r>
    </w:p>
    <w:p>
      <w:pPr>
        <w:spacing w:after="0" w:line="215" w:lineRule="exact"/>
        <w:rPr>
          <w:sz w:val="20"/>
          <w:szCs w:val="20"/>
          <w:color w:val="auto"/>
        </w:rPr>
      </w:pPr>
    </w:p>
    <w:p>
      <w:pPr>
        <w:ind w:left="1358" w:firstLine="639"/>
        <w:spacing w:after="0" w:line="295" w:lineRule="auto"/>
        <w:tabs>
          <w:tab w:leader="none" w:pos="2537" w:val="left"/>
        </w:tabs>
        <w:numPr>
          <w:ilvl w:val="0"/>
          <w:numId w:val="2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Revolving Credit Loans made with respect to the Incremental Revolving Credit Facility Increase shall mature on the Revolving Credit Maturity Date and shall bear interest at the rate applicable to the Revolving Credit Loans;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38"/>
        <w:spacing w:after="0"/>
        <w:rPr>
          <w:sz w:val="20"/>
          <w:szCs w:val="20"/>
          <w:color w:val="auto"/>
        </w:rPr>
      </w:pPr>
      <w:r>
        <w:rPr>
          <w:rFonts w:ascii="Times New Roman" w:cs="Times New Roman" w:eastAsia="Times New Roman" w:hAnsi="Times New Roman"/>
          <w:sz w:val="14"/>
          <w:szCs w:val="14"/>
          <w:color w:val="FF0000"/>
          <w:strike w:val="1"/>
        </w:rPr>
        <w:t>146960219_6</w:t>
      </w:r>
    </w:p>
    <w:p>
      <w:pPr>
        <w:spacing w:after="0" w:line="4" w:lineRule="exact"/>
        <w:rPr>
          <w:sz w:val="20"/>
          <w:szCs w:val="20"/>
          <w:color w:val="auto"/>
        </w:rPr>
      </w:pPr>
    </w:p>
    <w:p>
      <w:pPr>
        <w:ind w:left="338" w:hanging="338"/>
        <w:spacing w:after="0"/>
        <w:tabs>
          <w:tab w:leader="none" w:pos="338" w:val="left"/>
        </w:tabs>
        <w:numPr>
          <w:ilvl w:val="0"/>
          <w:numId w:val="256"/>
        </w:numPr>
        <w:rPr>
          <w:rFonts w:ascii="Times New Roman" w:cs="Times New Roman" w:eastAsia="Times New Roman" w:hAnsi="Times New Roman"/>
          <w:sz w:val="20"/>
          <w:szCs w:val="20"/>
          <w:color w:val="auto"/>
        </w:rPr>
      </w:pP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078"/>
          </w:cols>
          <w:pgMar w:left="382" w:top="1413" w:right="439" w:bottom="1440" w:gutter="0" w:footer="0" w:header="0"/>
        </w:sectPr>
      </w:pPr>
    </w:p>
    <w:bookmarkStart w:id="177" w:name="page178"/>
    <w:bookmarkEnd w:id="177"/>
    <w:p>
      <w:pPr>
        <w:jc w:val="both"/>
        <w:ind w:left="1338" w:firstLine="642"/>
        <w:spacing w:after="0" w:line="226" w:lineRule="auto"/>
        <w:tabs>
          <w:tab w:leader="none" w:pos="2534" w:val="left"/>
        </w:tabs>
        <w:numPr>
          <w:ilvl w:val="0"/>
          <w:numId w:val="2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outstanding Revolving Credit Loans and Revolving Credit Commitment Percentages of Swingline Loans and L/C Obligations will be reallocated by the Administrative Agent on the applicable Increase Effective Date among the Revolving Credit Lenders (including the Incremental Lenders providing such Incremental Revolving Credit Facility Increase) in accordance with their revised Revolving Credit Commitment Percentages (and the Revolving Credit Lenders (including the Incremental Lenders providing such Incremental Revolving Credit Facility Increase) agree to make all payments and adjustments necessary to effect such reallocation and the applicable Borrower shall pay any and all costs required pursuant to </w:t>
      </w:r>
      <w:r>
        <w:rPr>
          <w:rFonts w:ascii="Times New Roman" w:cs="Times New Roman" w:eastAsia="Times New Roman" w:hAnsi="Times New Roman"/>
          <w:sz w:val="19"/>
          <w:szCs w:val="19"/>
          <w:u w:val="single" w:color="auto"/>
          <w:color w:val="auto"/>
        </w:rPr>
        <w:t>Section 5.9</w:t>
      </w:r>
      <w:r>
        <w:rPr>
          <w:rFonts w:ascii="Times New Roman" w:cs="Times New Roman" w:eastAsia="Times New Roman" w:hAnsi="Times New Roman"/>
          <w:sz w:val="19"/>
          <w:szCs w:val="19"/>
          <w:color w:val="auto"/>
        </w:rPr>
        <w:t xml:space="preserve"> in connection with such reallocation as if such reallocation were a repayment); and</w:t>
      </w:r>
    </w:p>
    <w:p>
      <w:pPr>
        <w:spacing w:after="0" w:line="193" w:lineRule="exact"/>
        <w:rPr>
          <w:rFonts w:ascii="Times New Roman" w:cs="Times New Roman" w:eastAsia="Times New Roman" w:hAnsi="Times New Roman"/>
          <w:sz w:val="19"/>
          <w:szCs w:val="19"/>
          <w:color w:val="auto"/>
        </w:rPr>
      </w:pPr>
    </w:p>
    <w:p>
      <w:pPr>
        <w:jc w:val="both"/>
        <w:ind w:left="1338" w:firstLine="642"/>
        <w:spacing w:after="0" w:line="222" w:lineRule="auto"/>
        <w:tabs>
          <w:tab w:leader="none" w:pos="2532" w:val="left"/>
        </w:tabs>
        <w:numPr>
          <w:ilvl w:val="0"/>
          <w:numId w:val="2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provided above, all of the other terms and conditions applicable to such Incremental Revolving Credit Facility Increase shall, except to the extent otherwise provided in this </w:t>
      </w:r>
      <w:r>
        <w:rPr>
          <w:rFonts w:ascii="Times New Roman" w:cs="Times New Roman" w:eastAsia="Times New Roman" w:hAnsi="Times New Roman"/>
          <w:sz w:val="20"/>
          <w:szCs w:val="20"/>
          <w:u w:val="single" w:color="auto"/>
          <w:color w:val="auto"/>
        </w:rPr>
        <w:t>Section 5.13</w:t>
      </w:r>
      <w:r>
        <w:rPr>
          <w:rFonts w:ascii="Times New Roman" w:cs="Times New Roman" w:eastAsia="Times New Roman" w:hAnsi="Times New Roman"/>
          <w:sz w:val="20"/>
          <w:szCs w:val="20"/>
          <w:color w:val="auto"/>
        </w:rPr>
        <w:t>, be identical to the terms and conditions applicable to the Revolving Credit Facility, including the Applicable Margin and unused fees (but may have different upfront fees);</w:t>
      </w:r>
    </w:p>
    <w:p>
      <w:pPr>
        <w:spacing w:after="0" w:line="183" w:lineRule="exact"/>
        <w:rPr>
          <w:sz w:val="20"/>
          <w:szCs w:val="20"/>
          <w:color w:val="auto"/>
        </w:rPr>
      </w:pPr>
    </w:p>
    <w:p>
      <w:pPr>
        <w:ind w:left="1338"/>
        <w:spacing w:after="0"/>
        <w:rPr>
          <w:sz w:val="20"/>
          <w:szCs w:val="20"/>
          <w:color w:val="auto"/>
        </w:rPr>
      </w:pPr>
      <w:r>
        <w:rPr>
          <w:rFonts w:ascii="Times New Roman" w:cs="Times New Roman" w:eastAsia="Times New Roman" w:hAnsi="Times New Roman"/>
          <w:sz w:val="20"/>
          <w:szCs w:val="20"/>
          <w:color w:val="auto"/>
        </w:rPr>
        <w:t>(xlviii)each Incremental Increase shall constitute US Obligations of the US Borrowers or Canadian Obligations of the</w:t>
      </w:r>
    </w:p>
    <w:p>
      <w:pPr>
        <w:ind w:left="678"/>
        <w:spacing w:after="0" w:line="221" w:lineRule="auto"/>
        <w:rPr>
          <w:sz w:val="20"/>
          <w:szCs w:val="20"/>
          <w:color w:val="auto"/>
        </w:rPr>
      </w:pPr>
      <w:r>
        <w:rPr>
          <w:rFonts w:ascii="Times New Roman" w:cs="Times New Roman" w:eastAsia="Times New Roman" w:hAnsi="Times New Roman"/>
          <w:sz w:val="20"/>
          <w:szCs w:val="20"/>
          <w:color w:val="auto"/>
        </w:rPr>
        <w:t>Canadian Borrowers, as applicable, and shall be secured and guaranteed with the other Extensions of Credit on a pari passu basis; and</w:t>
      </w:r>
    </w:p>
    <w:p>
      <w:pPr>
        <w:spacing w:after="0" w:line="189" w:lineRule="exact"/>
        <w:rPr>
          <w:sz w:val="20"/>
          <w:szCs w:val="20"/>
          <w:color w:val="auto"/>
        </w:rPr>
      </w:pPr>
    </w:p>
    <w:p>
      <w:pPr>
        <w:ind w:left="678" w:firstLine="649"/>
        <w:spacing w:after="0" w:line="222" w:lineRule="auto"/>
        <w:rPr>
          <w:sz w:val="20"/>
          <w:szCs w:val="20"/>
          <w:color w:val="auto"/>
        </w:rPr>
      </w:pPr>
      <w:r>
        <w:rPr>
          <w:rFonts w:ascii="Times New Roman" w:cs="Times New Roman" w:eastAsia="Times New Roman" w:hAnsi="Times New Roman"/>
          <w:sz w:val="20"/>
          <w:szCs w:val="20"/>
          <w:color w:val="auto"/>
        </w:rPr>
        <w:t>(xlix) any Incremental Lender with an Incremental Revolving Credit Facility Increase shall be entitled to the same voting rights as the existing Revolving Credit Lenders under the Revolving Credit Facility and any Extensions of Credit made in</w:t>
      </w:r>
    </w:p>
    <w:p>
      <w:pPr>
        <w:spacing w:after="0" w:line="2" w:lineRule="exact"/>
        <w:rPr>
          <w:sz w:val="20"/>
          <w:szCs w:val="20"/>
          <w:color w:val="auto"/>
        </w:rPr>
      </w:pPr>
    </w:p>
    <w:p>
      <w:pPr>
        <w:ind w:left="678" w:right="20"/>
        <w:spacing w:after="0" w:line="221" w:lineRule="auto"/>
        <w:rPr>
          <w:sz w:val="20"/>
          <w:szCs w:val="20"/>
          <w:color w:val="auto"/>
        </w:rPr>
      </w:pPr>
      <w:r>
        <w:rPr>
          <w:rFonts w:ascii="Times New Roman" w:cs="Times New Roman" w:eastAsia="Times New Roman" w:hAnsi="Times New Roman"/>
          <w:sz w:val="20"/>
          <w:szCs w:val="20"/>
          <w:color w:val="auto"/>
        </w:rPr>
        <w:t>connection with each Incremental Revolving Credit Facility Increase shall receive proceeds of prepayments on the same basis as the other Revolving Credit Loans made hereunder.</w:t>
      </w:r>
    </w:p>
    <w:p>
      <w:pPr>
        <w:spacing w:after="0" w:line="216" w:lineRule="exact"/>
        <w:rPr>
          <w:sz w:val="20"/>
          <w:szCs w:val="20"/>
          <w:color w:val="auto"/>
        </w:rPr>
      </w:pPr>
    </w:p>
    <w:p>
      <w:pPr>
        <w:jc w:val="both"/>
        <w:ind w:left="38" w:firstLine="646"/>
        <w:spacing w:after="0" w:line="254" w:lineRule="auto"/>
        <w:tabs>
          <w:tab w:leader="none" w:pos="1243" w:val="left"/>
        </w:tabs>
        <w:numPr>
          <w:ilvl w:val="0"/>
          <w:numId w:val="2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Conditions to Effectiveness of Incremental Increases</w:t>
      </w:r>
      <w:r>
        <w:rPr>
          <w:rFonts w:ascii="Times New Roman" w:cs="Times New Roman" w:eastAsia="Times New Roman" w:hAnsi="Times New Roman"/>
          <w:sz w:val="20"/>
          <w:szCs w:val="20"/>
          <w:color w:val="auto"/>
        </w:rPr>
        <w:t xml:space="preserve">. Any Incremental Increase shall become effective as of such Increase Effective Date and shall be subject to the following conditions precedent, which, in the case of an Incremental Term Loan incurred solely to finance a substantially concurrent Limited Condition Acquisition, shall be subject to </w:t>
      </w:r>
      <w:r>
        <w:rPr>
          <w:rFonts w:ascii="Times New Roman" w:cs="Times New Roman" w:eastAsia="Times New Roman" w:hAnsi="Times New Roman"/>
          <w:sz w:val="20"/>
          <w:szCs w:val="20"/>
          <w:u w:val="single" w:color="auto"/>
          <w:color w:val="auto"/>
        </w:rPr>
        <w:t>Section 1.12</w:t>
      </w:r>
      <w:r>
        <w:rPr>
          <w:rFonts w:ascii="Times New Roman" w:cs="Times New Roman" w:eastAsia="Times New Roman" w:hAnsi="Times New Roman"/>
          <w:sz w:val="20"/>
          <w:szCs w:val="20"/>
          <w:color w:val="auto"/>
        </w:rPr>
        <w:t>:</w:t>
      </w:r>
    </w:p>
    <w:p>
      <w:pPr>
        <w:spacing w:after="0" w:line="255" w:lineRule="exact"/>
        <w:rPr>
          <w:rFonts w:ascii="Times New Roman" w:cs="Times New Roman" w:eastAsia="Times New Roman" w:hAnsi="Times New Roman"/>
          <w:sz w:val="20"/>
          <w:szCs w:val="20"/>
          <w:color w:val="auto"/>
        </w:rPr>
      </w:pPr>
    </w:p>
    <w:p>
      <w:pPr>
        <w:ind w:left="678" w:right="20" w:firstLine="654"/>
        <w:spacing w:after="0" w:line="269" w:lineRule="auto"/>
        <w:tabs>
          <w:tab w:leader="none" w:pos="1878" w:val="left"/>
        </w:tabs>
        <w:numPr>
          <w:ilvl w:val="1"/>
          <w:numId w:val="2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Default or Event of Default shall exist on such Increase Effective Date immediately prior to or after giving effect to (A) such Incremental Increase or (B) the making of any Extensions of Credit pursuant thereto;</w:t>
      </w:r>
    </w:p>
    <w:p>
      <w:pPr>
        <w:spacing w:after="0" w:line="186" w:lineRule="exact"/>
        <w:rPr>
          <w:sz w:val="20"/>
          <w:szCs w:val="20"/>
          <w:color w:val="auto"/>
        </w:rPr>
      </w:pPr>
    </w:p>
    <w:p>
      <w:pPr>
        <w:ind w:left="678" w:firstLine="648"/>
        <w:spacing w:after="0" w:line="215" w:lineRule="auto"/>
        <w:rPr>
          <w:sz w:val="20"/>
          <w:szCs w:val="20"/>
          <w:color w:val="auto"/>
        </w:rPr>
      </w:pPr>
      <w:r>
        <w:rPr>
          <w:rFonts w:ascii="Times New Roman" w:cs="Times New Roman" w:eastAsia="Times New Roman" w:hAnsi="Times New Roman"/>
          <w:sz w:val="20"/>
          <w:szCs w:val="20"/>
          <w:color w:val="auto"/>
        </w:rPr>
        <w:t xml:space="preserve">(li) all of the representations and warranties set forth in </w:t>
      </w:r>
      <w:r>
        <w:rPr>
          <w:rFonts w:ascii="Times New Roman" w:cs="Times New Roman" w:eastAsia="Times New Roman" w:hAnsi="Times New Roman"/>
          <w:sz w:val="20"/>
          <w:szCs w:val="20"/>
          <w:u w:val="single" w:color="auto"/>
          <w:color w:val="auto"/>
        </w:rPr>
        <w:t>Article VII</w:t>
      </w:r>
      <w:r>
        <w:rPr>
          <w:rFonts w:ascii="Times New Roman" w:cs="Times New Roman" w:eastAsia="Times New Roman" w:hAnsi="Times New Roman"/>
          <w:sz w:val="20"/>
          <w:szCs w:val="20"/>
          <w:color w:val="auto"/>
        </w:rPr>
        <w:t xml:space="preserve"> shall be true and correct in all material respects (or if qualified by materiality or Material Adverse Effect, in all respects) as of such Increase Effective Date, or if such representation</w:t>
      </w:r>
    </w:p>
    <w:p>
      <w:pPr>
        <w:spacing w:after="0" w:line="1" w:lineRule="exact"/>
        <w:rPr>
          <w:sz w:val="20"/>
          <w:szCs w:val="20"/>
          <w:color w:val="auto"/>
        </w:rPr>
      </w:pPr>
    </w:p>
    <w:p>
      <w:pPr>
        <w:ind w:left="678"/>
        <w:spacing w:after="0"/>
        <w:rPr>
          <w:sz w:val="20"/>
          <w:szCs w:val="20"/>
          <w:color w:val="auto"/>
        </w:rPr>
      </w:pPr>
      <w:r>
        <w:rPr>
          <w:rFonts w:ascii="Times New Roman" w:cs="Times New Roman" w:eastAsia="Times New Roman" w:hAnsi="Times New Roman"/>
          <w:sz w:val="20"/>
          <w:szCs w:val="20"/>
          <w:color w:val="auto"/>
        </w:rPr>
        <w:t>speaks as of an earlier date, as of such earlier date;</w:t>
      </w:r>
    </w:p>
    <w:p>
      <w:pPr>
        <w:spacing w:after="0" w:line="194" w:lineRule="exact"/>
        <w:rPr>
          <w:sz w:val="20"/>
          <w:szCs w:val="20"/>
          <w:color w:val="auto"/>
        </w:rPr>
      </w:pPr>
    </w:p>
    <w:p>
      <w:pPr>
        <w:ind w:left="678" w:firstLine="649"/>
        <w:spacing w:after="0" w:line="222" w:lineRule="auto"/>
        <w:rPr>
          <w:sz w:val="20"/>
          <w:szCs w:val="20"/>
          <w:color w:val="auto"/>
        </w:rPr>
      </w:pPr>
      <w:r>
        <w:rPr>
          <w:rFonts w:ascii="Times New Roman" w:cs="Times New Roman" w:eastAsia="Times New Roman" w:hAnsi="Times New Roman"/>
          <w:sz w:val="20"/>
          <w:szCs w:val="20"/>
          <w:color w:val="auto"/>
        </w:rPr>
        <w:t xml:space="preserve">(lii) the Administrative Agent shall have received from Centuri, an Officer’s Compliance Certificate demonstrating that the Consolidated Companies are in pro forma compliance with the financial covenants set forth in </w:t>
      </w:r>
      <w:r>
        <w:rPr>
          <w:rFonts w:ascii="Times New Roman" w:cs="Times New Roman" w:eastAsia="Times New Roman" w:hAnsi="Times New Roman"/>
          <w:sz w:val="20"/>
          <w:szCs w:val="20"/>
          <w:u w:val="single" w:color="auto"/>
          <w:color w:val="auto"/>
        </w:rPr>
        <w:t>Section 9.13</w:t>
      </w:r>
      <w:r>
        <w:rPr>
          <w:rFonts w:ascii="Times New Roman" w:cs="Times New Roman" w:eastAsia="Times New Roman" w:hAnsi="Times New Roman"/>
          <w:sz w:val="20"/>
          <w:szCs w:val="20"/>
          <w:color w:val="auto"/>
        </w:rPr>
        <w:t xml:space="preserve"> (based on the</w:t>
      </w:r>
    </w:p>
    <w:p>
      <w:pPr>
        <w:spacing w:after="0" w:line="2" w:lineRule="exact"/>
        <w:rPr>
          <w:sz w:val="20"/>
          <w:szCs w:val="20"/>
          <w:color w:val="auto"/>
        </w:rPr>
      </w:pPr>
    </w:p>
    <w:p>
      <w:pPr>
        <w:ind w:left="678"/>
        <w:spacing w:after="0" w:line="204" w:lineRule="auto"/>
        <w:rPr>
          <w:sz w:val="20"/>
          <w:szCs w:val="20"/>
          <w:color w:val="auto"/>
        </w:rPr>
      </w:pPr>
      <w:r>
        <w:rPr>
          <w:rFonts w:ascii="Times New Roman" w:cs="Times New Roman" w:eastAsia="Times New Roman" w:hAnsi="Times New Roman"/>
          <w:sz w:val="20"/>
          <w:szCs w:val="20"/>
          <w:color w:val="auto"/>
        </w:rPr>
        <w:t xml:space="preserve">financial statements most recently delivered pursuant to </w:t>
      </w:r>
      <w:r>
        <w:rPr>
          <w:rFonts w:ascii="Times New Roman" w:cs="Times New Roman" w:eastAsia="Times New Roman" w:hAnsi="Times New Roman"/>
          <w:sz w:val="20"/>
          <w:szCs w:val="20"/>
          <w:u w:val="single" w:color="auto"/>
          <w:color w:val="auto"/>
        </w:rPr>
        <w:t>Section 8.1</w:t>
      </w:r>
      <w:r>
        <w:rPr>
          <w:rFonts w:ascii="Times New Roman" w:cs="Times New Roman" w:eastAsia="Times New Roman" w:hAnsi="Times New Roman"/>
          <w:sz w:val="20"/>
          <w:szCs w:val="20"/>
          <w:color w:val="auto"/>
        </w:rPr>
        <w:t>) after giving effect to such Incremental Increase (assuming that the entire applicable Incremental Term Loan and/or Incremental Revolving Credit Facility Increase is fully funded on the</w:t>
      </w:r>
    </w:p>
    <w:p>
      <w:pPr>
        <w:spacing w:after="0" w:line="1" w:lineRule="exact"/>
        <w:rPr>
          <w:sz w:val="20"/>
          <w:szCs w:val="20"/>
          <w:color w:val="auto"/>
        </w:rPr>
      </w:pPr>
    </w:p>
    <w:p>
      <w:pPr>
        <w:ind w:left="678"/>
        <w:spacing w:after="0" w:line="228" w:lineRule="auto"/>
        <w:rPr>
          <w:sz w:val="20"/>
          <w:szCs w:val="20"/>
          <w:color w:val="auto"/>
        </w:rPr>
      </w:pPr>
      <w:r>
        <w:rPr>
          <w:rFonts w:ascii="Times New Roman" w:cs="Times New Roman" w:eastAsia="Times New Roman" w:hAnsi="Times New Roman"/>
          <w:sz w:val="20"/>
          <w:szCs w:val="20"/>
          <w:color w:val="auto"/>
        </w:rPr>
        <w:t>effective date thereof) and any Permitted Acquisition, refinancing of Indebtedness or other event consummated in connection therewith giving rise to a Pro Forma Basis adjustment;</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38"/>
        <w:spacing w:after="0"/>
        <w:rPr>
          <w:sz w:val="20"/>
          <w:szCs w:val="20"/>
          <w:color w:val="auto"/>
        </w:rPr>
      </w:pPr>
      <w:r>
        <w:rPr>
          <w:rFonts w:ascii="Times New Roman" w:cs="Times New Roman" w:eastAsia="Times New Roman" w:hAnsi="Times New Roman"/>
          <w:sz w:val="14"/>
          <w:szCs w:val="14"/>
          <w:color w:val="FF0000"/>
          <w:strike w:val="1"/>
        </w:rPr>
        <w:t>146960219_6</w:t>
      </w:r>
    </w:p>
    <w:p>
      <w:pPr>
        <w:spacing w:after="0" w:line="4" w:lineRule="exact"/>
        <w:rPr>
          <w:sz w:val="20"/>
          <w:szCs w:val="20"/>
          <w:color w:val="auto"/>
        </w:rPr>
      </w:pPr>
    </w:p>
    <w:p>
      <w:pPr>
        <w:ind w:left="338" w:hanging="338"/>
        <w:spacing w:after="0"/>
        <w:tabs>
          <w:tab w:leader="none" w:pos="338" w:val="left"/>
        </w:tabs>
        <w:numPr>
          <w:ilvl w:val="0"/>
          <w:numId w:val="259"/>
        </w:numPr>
        <w:rPr>
          <w:rFonts w:ascii="Times New Roman" w:cs="Times New Roman" w:eastAsia="Times New Roman" w:hAnsi="Times New Roman"/>
          <w:sz w:val="20"/>
          <w:szCs w:val="20"/>
          <w:color w:val="auto"/>
        </w:rPr>
      </w:pP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078"/>
          </w:cols>
          <w:pgMar w:left="382" w:top="1399" w:right="439" w:bottom="1440" w:gutter="0" w:footer="0" w:header="0"/>
        </w:sectPr>
      </w:pPr>
    </w:p>
    <w:bookmarkStart w:id="178" w:name="page179"/>
    <w:bookmarkEnd w:id="178"/>
    <w:p>
      <w:pPr>
        <w:ind w:left="698" w:right="20" w:firstLine="652"/>
        <w:spacing w:after="0" w:line="269" w:lineRule="auto"/>
        <w:tabs>
          <w:tab w:leader="none" w:pos="1885" w:val="left"/>
        </w:tabs>
        <w:numPr>
          <w:ilvl w:val="1"/>
          <w:numId w:val="2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Credit Parties shall have executed an Incremental Amendment in form and substance reasonably acceptable to the applicable Borrower and the applicable Incremental Lenders; and</w:t>
      </w:r>
    </w:p>
    <w:p>
      <w:pPr>
        <w:spacing w:after="0" w:line="172" w:lineRule="exact"/>
        <w:rPr>
          <w:rFonts w:ascii="Times New Roman" w:cs="Times New Roman" w:eastAsia="Times New Roman" w:hAnsi="Times New Roman"/>
          <w:sz w:val="20"/>
          <w:szCs w:val="20"/>
          <w:color w:val="auto"/>
        </w:rPr>
      </w:pPr>
    </w:p>
    <w:p>
      <w:pPr>
        <w:jc w:val="both"/>
        <w:ind w:left="698" w:firstLine="652"/>
        <w:spacing w:after="0" w:line="222" w:lineRule="auto"/>
        <w:tabs>
          <w:tab w:leader="none" w:pos="1886" w:val="left"/>
        </w:tabs>
        <w:numPr>
          <w:ilvl w:val="1"/>
          <w:numId w:val="2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received from the applicable Borrower, any customary legal opinions or other documents (including a resolution duly adopted by the board of directors (or equivalent governing body) of each Credit Party authorizing such Incremental Increase), and other documents reasonably requested by Administrative Agent in connection with such Incremental Increase.</w:t>
      </w:r>
    </w:p>
    <w:p>
      <w:pPr>
        <w:spacing w:after="0" w:line="188" w:lineRule="exact"/>
        <w:rPr>
          <w:rFonts w:ascii="Times New Roman" w:cs="Times New Roman" w:eastAsia="Times New Roman" w:hAnsi="Times New Roman"/>
          <w:sz w:val="20"/>
          <w:szCs w:val="20"/>
          <w:color w:val="auto"/>
        </w:rPr>
      </w:pPr>
    </w:p>
    <w:p>
      <w:pPr>
        <w:jc w:val="both"/>
        <w:ind w:left="58" w:firstLine="644"/>
        <w:spacing w:after="0" w:line="220" w:lineRule="auto"/>
        <w:tabs>
          <w:tab w:leader="none" w:pos="1241" w:val="left"/>
        </w:tabs>
        <w:numPr>
          <w:ilvl w:val="0"/>
          <w:numId w:val="2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Incremental Amendments</w:t>
      </w:r>
      <w:r>
        <w:rPr>
          <w:rFonts w:ascii="Times New Roman" w:cs="Times New Roman" w:eastAsia="Times New Roman" w:hAnsi="Times New Roman"/>
          <w:sz w:val="20"/>
          <w:szCs w:val="20"/>
          <w:color w:val="auto"/>
        </w:rPr>
        <w:t>. Each such Incremental Increase shall be effected pursuant to an amendment (an “</w:t>
      </w:r>
      <w:r>
        <w:rPr>
          <w:rFonts w:ascii="Times New Roman" w:cs="Times New Roman" w:eastAsia="Times New Roman" w:hAnsi="Times New Roman"/>
          <w:sz w:val="20"/>
          <w:szCs w:val="20"/>
          <w:u w:val="single" w:color="auto"/>
          <w:color w:val="auto"/>
        </w:rPr>
        <w:t>Incremental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Amendment</w:t>
      </w:r>
      <w:r>
        <w:rPr>
          <w:rFonts w:ascii="Times New Roman" w:cs="Times New Roman" w:eastAsia="Times New Roman" w:hAnsi="Times New Roman"/>
          <w:sz w:val="20"/>
          <w:szCs w:val="20"/>
          <w:color w:val="auto"/>
        </w:rPr>
        <w:t xml:space="preserve">”) to this Agreement and, as appropriate, the other Loan Documents, executed by the Credit Parties, the Administrative Agent and the applicable Incremental Lenders, which Incremental Amendment may, without the consent of any other Lenders, effect such amendments to this Agreement and the other Loan Documents as may be necessary or appropriate, in the reasonable opinion of the Administrative Agent, to effect the provisions of this </w:t>
      </w:r>
      <w:r>
        <w:rPr>
          <w:rFonts w:ascii="Times New Roman" w:cs="Times New Roman" w:eastAsia="Times New Roman" w:hAnsi="Times New Roman"/>
          <w:sz w:val="20"/>
          <w:szCs w:val="20"/>
          <w:u w:val="single" w:color="auto"/>
          <w:color w:val="auto"/>
        </w:rPr>
        <w:t>Section 5.13</w:t>
      </w:r>
      <w:r>
        <w:rPr>
          <w:rFonts w:ascii="Times New Roman" w:cs="Times New Roman" w:eastAsia="Times New Roman" w:hAnsi="Times New Roman"/>
          <w:sz w:val="20"/>
          <w:szCs w:val="20"/>
          <w:color w:val="auto"/>
        </w:rPr>
        <w:t>;</w:t>
      </w:r>
    </w:p>
    <w:p>
      <w:pPr>
        <w:spacing w:after="0" w:line="255" w:lineRule="exact"/>
        <w:rPr>
          <w:rFonts w:ascii="Times New Roman" w:cs="Times New Roman" w:eastAsia="Times New Roman" w:hAnsi="Times New Roman"/>
          <w:sz w:val="20"/>
          <w:szCs w:val="20"/>
          <w:color w:val="auto"/>
        </w:rPr>
      </w:pPr>
    </w:p>
    <w:p>
      <w:pPr>
        <w:ind w:left="1238" w:hanging="536"/>
        <w:spacing w:after="0"/>
        <w:tabs>
          <w:tab w:leader="none" w:pos="1238" w:val="left"/>
        </w:tabs>
        <w:numPr>
          <w:ilvl w:val="0"/>
          <w:numId w:val="2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Conflicting Provisions</w:t>
      </w:r>
      <w:r>
        <w:rPr>
          <w:rFonts w:ascii="Times New Roman" w:cs="Times New Roman" w:eastAsia="Times New Roman" w:hAnsi="Times New Roman"/>
          <w:sz w:val="20"/>
          <w:szCs w:val="20"/>
          <w:color w:val="auto"/>
        </w:rPr>
        <w:t xml:space="preserve">. This Section shall supersede any provisions in </w:t>
      </w:r>
      <w:r>
        <w:rPr>
          <w:rFonts w:ascii="Times New Roman" w:cs="Times New Roman" w:eastAsia="Times New Roman" w:hAnsi="Times New Roman"/>
          <w:sz w:val="20"/>
          <w:szCs w:val="20"/>
          <w:u w:val="single" w:color="auto"/>
          <w:color w:val="auto"/>
        </w:rPr>
        <w:t>Section 5.6</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12.2</w:t>
      </w:r>
      <w:r>
        <w:rPr>
          <w:rFonts w:ascii="Times New Roman" w:cs="Times New Roman" w:eastAsia="Times New Roman" w:hAnsi="Times New Roman"/>
          <w:sz w:val="20"/>
          <w:szCs w:val="20"/>
          <w:color w:val="auto"/>
        </w:rPr>
        <w:t xml:space="preserve"> to the contrary.</w:t>
      </w:r>
    </w:p>
    <w:p>
      <w:pPr>
        <w:spacing w:after="0" w:line="216" w:lineRule="exact"/>
        <w:rPr>
          <w:sz w:val="20"/>
          <w:szCs w:val="20"/>
          <w:color w:val="auto"/>
        </w:rPr>
      </w:pPr>
    </w:p>
    <w:p>
      <w:pPr>
        <w:ind w:left="698"/>
        <w:spacing w:after="0"/>
        <w:tabs>
          <w:tab w:leader="none" w:pos="2118" w:val="left"/>
        </w:tabs>
        <w:rPr>
          <w:sz w:val="20"/>
          <w:szCs w:val="20"/>
          <w:color w:val="auto"/>
        </w:rPr>
      </w:pPr>
      <w:r>
        <w:rPr>
          <w:rFonts w:ascii="Times New Roman" w:cs="Times New Roman" w:eastAsia="Times New Roman" w:hAnsi="Times New Roman"/>
          <w:sz w:val="20"/>
          <w:szCs w:val="20"/>
          <w:color w:val="auto"/>
        </w:rPr>
        <w:t>SECTION 5.14</w:t>
      </w:r>
      <w:r>
        <w:rPr>
          <w:sz w:val="20"/>
          <w:szCs w:val="20"/>
          <w:color w:val="auto"/>
        </w:rPr>
        <w:tab/>
      </w:r>
      <w:r>
        <w:rPr>
          <w:rFonts w:ascii="Times New Roman" w:cs="Times New Roman" w:eastAsia="Times New Roman" w:hAnsi="Times New Roman"/>
          <w:sz w:val="19"/>
          <w:szCs w:val="19"/>
          <w:u w:val="single" w:color="auto"/>
          <w:color w:val="auto"/>
        </w:rPr>
        <w:t>Cash Collateral</w:t>
      </w:r>
    </w:p>
    <w:p>
      <w:pPr>
        <w:spacing w:after="0" w:line="283" w:lineRule="exact"/>
        <w:rPr>
          <w:sz w:val="20"/>
          <w:szCs w:val="20"/>
          <w:color w:val="auto"/>
        </w:rPr>
      </w:pPr>
    </w:p>
    <w:p>
      <w:pPr>
        <w:jc w:val="both"/>
        <w:ind w:left="58" w:hanging="4"/>
        <w:spacing w:after="0" w:line="217" w:lineRule="auto"/>
        <w:tabs>
          <w:tab w:leader="none" w:pos="183" w:val="left"/>
        </w:tabs>
        <w:numPr>
          <w:ilvl w:val="0"/>
          <w:numId w:val="2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At any time that there shall exist a Defaulting Lender, within one Business Day following the written request of the Administrative Agent, any Issuing Lender (with a copy to the Administrative Agent) or any Swingline Lender (with a copy to the Administrative Agent), the Borrowers shall Cash Collateralize the Fronting Exposure of such Issuing Lender and/or such Swingline Lender, as applicable, with respect to such Defaulting Lender (determined after giving effect to </w:t>
      </w:r>
      <w:r>
        <w:rPr>
          <w:rFonts w:ascii="Times New Roman" w:cs="Times New Roman" w:eastAsia="Times New Roman" w:hAnsi="Times New Roman"/>
          <w:sz w:val="20"/>
          <w:szCs w:val="20"/>
          <w:u w:val="single" w:color="auto"/>
          <w:color w:val="auto"/>
        </w:rPr>
        <w:t>Section 5.15(a)(iv)</w:t>
      </w:r>
      <w:r>
        <w:rPr>
          <w:rFonts w:ascii="Times New Roman" w:cs="Times New Roman" w:eastAsia="Times New Roman" w:hAnsi="Times New Roman"/>
          <w:sz w:val="20"/>
          <w:szCs w:val="20"/>
          <w:color w:val="auto"/>
        </w:rPr>
        <w:t xml:space="preserve"> and any Cash Collateral provided by such Defaulting Lender) in an amount not less than the Minimum Collateral Amount.</w:t>
      </w:r>
    </w:p>
    <w:p>
      <w:pPr>
        <w:spacing w:after="0" w:line="202" w:lineRule="exact"/>
        <w:rPr>
          <w:rFonts w:ascii="Times New Roman" w:cs="Times New Roman" w:eastAsia="Times New Roman" w:hAnsi="Times New Roman"/>
          <w:sz w:val="20"/>
          <w:szCs w:val="20"/>
          <w:color w:val="auto"/>
        </w:rPr>
      </w:pPr>
    </w:p>
    <w:p>
      <w:pPr>
        <w:jc w:val="both"/>
        <w:ind w:left="58" w:firstLine="644"/>
        <w:spacing w:after="0" w:line="213" w:lineRule="auto"/>
        <w:tabs>
          <w:tab w:leader="none" w:pos="1236" w:val="left"/>
        </w:tabs>
        <w:numPr>
          <w:ilvl w:val="1"/>
          <w:numId w:val="2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Grant of Security Interest</w:t>
      </w:r>
      <w:r>
        <w:rPr>
          <w:rFonts w:ascii="Times New Roman" w:cs="Times New Roman" w:eastAsia="Times New Roman" w:hAnsi="Times New Roman"/>
          <w:sz w:val="20"/>
          <w:szCs w:val="20"/>
          <w:color w:val="auto"/>
        </w:rPr>
        <w:t>. Each Borrower, and to the extent provided by any Defaulting Lender, such Defaulting Lender, hereby grants to the Administrative Agent, for the benefit of each Issuing Lender and each Swingline Lender, and agrees to maintain, a first priority security interest in all such Cash Collateral as security for the Defaulting Lender’s obligation to fund participations in respect of L/C Obligations and Swingline Loans, to be applied pursuant to subsection (b) below. If at any time the Administrative Agent determines that Cash Collateral is subject to any right or claim of any Person other than the Administrative Agent, each Issuing Lender and each Swingline Lender as herein provided (other than Permitted Liens in favor of a depository bank), or that the total amount of such Cash Collateral is less than the Minimum Collateral Amount, the Borrowers will, promptly upon demand by the Administrative Agent, pay or provide to the Administrative Agent additional Cash Collateral in an amount sufficient to eliminate such deficiency (after giving effect to any Cash Collateral provided by the Defaulting Lender).</w:t>
      </w:r>
    </w:p>
    <w:p>
      <w:pPr>
        <w:spacing w:after="0" w:line="188" w:lineRule="exact"/>
        <w:rPr>
          <w:rFonts w:ascii="Times New Roman" w:cs="Times New Roman" w:eastAsia="Times New Roman" w:hAnsi="Times New Roman"/>
          <w:sz w:val="20"/>
          <w:szCs w:val="20"/>
          <w:color w:val="auto"/>
        </w:rPr>
      </w:pPr>
    </w:p>
    <w:p>
      <w:pPr>
        <w:jc w:val="both"/>
        <w:ind w:left="58" w:firstLine="644"/>
        <w:spacing w:after="0" w:line="220" w:lineRule="auto"/>
        <w:tabs>
          <w:tab w:leader="none" w:pos="1234" w:val="left"/>
        </w:tabs>
        <w:numPr>
          <w:ilvl w:val="1"/>
          <w:numId w:val="2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Application</w:t>
      </w:r>
      <w:r>
        <w:rPr>
          <w:rFonts w:ascii="Times New Roman" w:cs="Times New Roman" w:eastAsia="Times New Roman" w:hAnsi="Times New Roman"/>
          <w:sz w:val="20"/>
          <w:szCs w:val="20"/>
          <w:color w:val="auto"/>
        </w:rPr>
        <w:t xml:space="preserve">. Notwithstanding anything to the contrary contained in this Agreement or any other Loan Document, Cash Collateral provided under this </w:t>
      </w:r>
      <w:r>
        <w:rPr>
          <w:rFonts w:ascii="Times New Roman" w:cs="Times New Roman" w:eastAsia="Times New Roman" w:hAnsi="Times New Roman"/>
          <w:sz w:val="20"/>
          <w:szCs w:val="20"/>
          <w:u w:val="single" w:color="auto"/>
          <w:color w:val="auto"/>
        </w:rPr>
        <w:t>Section 5.14</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5.15</w:t>
      </w:r>
      <w:r>
        <w:rPr>
          <w:rFonts w:ascii="Times New Roman" w:cs="Times New Roman" w:eastAsia="Times New Roman" w:hAnsi="Times New Roman"/>
          <w:sz w:val="20"/>
          <w:szCs w:val="20"/>
          <w:color w:val="auto"/>
        </w:rPr>
        <w:t xml:space="preserve"> in respect of Letters of Credit and Swingline Loans shall be applied to the satisfaction of the Defaulting Lender’s obligation to fund participations in respect of L/C Obligations and Swingline Loans (including, as to Cash Collateral provided by a Defaulting Lender, any interest accrued on such obligation) for which the Cash Collateral was so provided, prior to any other application of such property as may otherwise be provided for herein.</w:t>
      </w:r>
    </w:p>
    <w:p>
      <w:pPr>
        <w:spacing w:after="0" w:line="187" w:lineRule="exact"/>
        <w:rPr>
          <w:rFonts w:ascii="Times New Roman" w:cs="Times New Roman" w:eastAsia="Times New Roman" w:hAnsi="Times New Roman"/>
          <w:sz w:val="20"/>
          <w:szCs w:val="20"/>
          <w:color w:val="auto"/>
        </w:rPr>
      </w:pPr>
    </w:p>
    <w:p>
      <w:pPr>
        <w:jc w:val="both"/>
        <w:ind w:left="58" w:firstLine="644"/>
        <w:spacing w:after="0" w:line="226" w:lineRule="auto"/>
        <w:tabs>
          <w:tab w:leader="none" w:pos="1236" w:val="left"/>
        </w:tabs>
        <w:numPr>
          <w:ilvl w:val="1"/>
          <w:numId w:val="2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of Requirement</w:t>
      </w:r>
      <w:r>
        <w:rPr>
          <w:rFonts w:ascii="Times New Roman" w:cs="Times New Roman" w:eastAsia="Times New Roman" w:hAnsi="Times New Roman"/>
          <w:sz w:val="20"/>
          <w:szCs w:val="20"/>
          <w:color w:val="auto"/>
        </w:rPr>
        <w:t xml:space="preserve">. Cash Collateral (or the appropriate portion thereof) provided to reduce the Fronting Exposure of any Issuing Lender and/or any Swingline Lender, as applicable, shall no longer be required to be held as Cash Collateral pursuant to this </w:t>
      </w:r>
      <w:r>
        <w:rPr>
          <w:rFonts w:ascii="Times New Roman" w:cs="Times New Roman" w:eastAsia="Times New Roman" w:hAnsi="Times New Roman"/>
          <w:sz w:val="20"/>
          <w:szCs w:val="20"/>
          <w:u w:val="single" w:color="auto"/>
          <w:color w:val="auto"/>
        </w:rPr>
        <w:t>Section 5.14</w:t>
      </w:r>
      <w:r>
        <w:rPr>
          <w:rFonts w:ascii="Times New Roman" w:cs="Times New Roman" w:eastAsia="Times New Roman" w:hAnsi="Times New Roman"/>
          <w:sz w:val="20"/>
          <w:szCs w:val="20"/>
          <w:color w:val="auto"/>
        </w:rPr>
        <w:t xml:space="preserve"> following (i) the elimination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38"/>
        <w:spacing w:after="0"/>
        <w:rPr>
          <w:sz w:val="20"/>
          <w:szCs w:val="20"/>
          <w:color w:val="auto"/>
        </w:rPr>
      </w:pPr>
      <w:r>
        <w:rPr>
          <w:rFonts w:ascii="Times New Roman" w:cs="Times New Roman" w:eastAsia="Times New Roman" w:hAnsi="Times New Roman"/>
          <w:sz w:val="14"/>
          <w:szCs w:val="14"/>
          <w:color w:val="FF0000"/>
          <w:strike w:val="1"/>
        </w:rPr>
        <w:t>146960219_6</w:t>
      </w:r>
    </w:p>
    <w:p>
      <w:pPr>
        <w:ind w:left="338" w:hanging="338"/>
        <w:spacing w:after="0" w:line="229" w:lineRule="auto"/>
        <w:tabs>
          <w:tab w:leader="none" w:pos="338" w:val="left"/>
        </w:tabs>
        <w:numPr>
          <w:ilvl w:val="0"/>
          <w:numId w:val="263"/>
        </w:numPr>
        <w:rPr>
          <w:rFonts w:ascii="Times New Roman" w:cs="Times New Roman" w:eastAsia="Times New Roman" w:hAnsi="Times New Roman"/>
          <w:sz w:val="20"/>
          <w:szCs w:val="20"/>
          <w:color w:val="auto"/>
        </w:rPr>
      </w:pP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078"/>
          </w:cols>
          <w:pgMar w:left="382" w:top="1413" w:right="439" w:bottom="1440" w:gutter="0" w:footer="0" w:header="0"/>
        </w:sectPr>
      </w:pPr>
    </w:p>
    <w:bookmarkStart w:id="179" w:name="page180"/>
    <w:bookmarkEnd w:id="179"/>
    <w:p>
      <w:pPr>
        <w:spacing w:after="0" w:line="197" w:lineRule="exact"/>
        <w:rPr>
          <w:sz w:val="20"/>
          <w:szCs w:val="20"/>
          <w:color w:val="auto"/>
        </w:rPr>
      </w:pPr>
    </w:p>
    <w:p>
      <w:pPr>
        <w:ind w:left="58"/>
        <w:spacing w:after="0"/>
        <w:rPr>
          <w:sz w:val="20"/>
          <w:szCs w:val="20"/>
          <w:color w:val="auto"/>
        </w:rPr>
      </w:pPr>
      <w:r>
        <w:rPr>
          <w:rFonts w:ascii="Times New Roman" w:cs="Times New Roman" w:eastAsia="Times New Roman" w:hAnsi="Times New Roman"/>
          <w:sz w:val="20"/>
          <w:szCs w:val="20"/>
          <w:color w:val="auto"/>
        </w:rPr>
        <w:t>of the applicable Fronting Exposure (including by the termination of Defaulting Lender status of the applicable Lender), or (ii) the</w:t>
      </w:r>
    </w:p>
    <w:p>
      <w:pPr>
        <w:ind w:left="58" w:right="20"/>
        <w:spacing w:after="0" w:line="215" w:lineRule="auto"/>
        <w:rPr>
          <w:sz w:val="20"/>
          <w:szCs w:val="20"/>
          <w:color w:val="auto"/>
        </w:rPr>
      </w:pPr>
      <w:r>
        <w:rPr>
          <w:rFonts w:ascii="Times New Roman" w:cs="Times New Roman" w:eastAsia="Times New Roman" w:hAnsi="Times New Roman"/>
          <w:sz w:val="19"/>
          <w:szCs w:val="19"/>
          <w:color w:val="auto"/>
        </w:rPr>
        <w:t xml:space="preserve">determination by the Administrative Agent, the Issuing Lenders and the Swingline Lenders that there exists excess Cash Collateral;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subject to </w:t>
      </w:r>
      <w:r>
        <w:rPr>
          <w:rFonts w:ascii="Times New Roman" w:cs="Times New Roman" w:eastAsia="Times New Roman" w:hAnsi="Times New Roman"/>
          <w:sz w:val="19"/>
          <w:szCs w:val="19"/>
          <w:u w:val="single" w:color="auto"/>
          <w:color w:val="auto"/>
        </w:rPr>
        <w:t>Section 5.15</w:t>
      </w:r>
      <w:r>
        <w:rPr>
          <w:rFonts w:ascii="Times New Roman" w:cs="Times New Roman" w:eastAsia="Times New Roman" w:hAnsi="Times New Roman"/>
          <w:sz w:val="19"/>
          <w:szCs w:val="19"/>
          <w:color w:val="auto"/>
        </w:rPr>
        <w:t>, the Person providing Cash Collateral, the Issuing Lenders and the Swingline Lenders may agree that</w:t>
      </w:r>
    </w:p>
    <w:p>
      <w:pPr>
        <w:ind w:left="58"/>
        <w:spacing w:after="0"/>
        <w:rPr>
          <w:sz w:val="20"/>
          <w:szCs w:val="20"/>
          <w:color w:val="auto"/>
        </w:rPr>
      </w:pPr>
      <w:r>
        <w:rPr>
          <w:rFonts w:ascii="Times New Roman" w:cs="Times New Roman" w:eastAsia="Times New Roman" w:hAnsi="Times New Roman"/>
          <w:sz w:val="20"/>
          <w:szCs w:val="20"/>
          <w:color w:val="auto"/>
        </w:rPr>
        <w:t>Cash Collateral shall be held to support future anticipated Fronting Exposure or other obligations.</w:t>
      </w:r>
    </w:p>
    <w:p>
      <w:pPr>
        <w:spacing w:after="0" w:line="194" w:lineRule="exact"/>
        <w:rPr>
          <w:sz w:val="20"/>
          <w:szCs w:val="20"/>
          <w:color w:val="auto"/>
        </w:rPr>
      </w:pPr>
    </w:p>
    <w:p>
      <w:pPr>
        <w:ind w:left="698"/>
        <w:spacing w:after="0"/>
        <w:tabs>
          <w:tab w:leader="none" w:pos="2118" w:val="left"/>
        </w:tabs>
        <w:rPr>
          <w:sz w:val="20"/>
          <w:szCs w:val="20"/>
          <w:color w:val="auto"/>
        </w:rPr>
      </w:pPr>
      <w:r>
        <w:rPr>
          <w:rFonts w:ascii="Times New Roman" w:cs="Times New Roman" w:eastAsia="Times New Roman" w:hAnsi="Times New Roman"/>
          <w:sz w:val="20"/>
          <w:szCs w:val="20"/>
          <w:color w:val="auto"/>
        </w:rPr>
        <w:t>SECTION 5.15</w:t>
      </w:r>
      <w:r>
        <w:rPr>
          <w:sz w:val="20"/>
          <w:szCs w:val="20"/>
          <w:color w:val="auto"/>
        </w:rPr>
        <w:tab/>
      </w:r>
      <w:r>
        <w:rPr>
          <w:rFonts w:ascii="Times New Roman" w:cs="Times New Roman" w:eastAsia="Times New Roman" w:hAnsi="Times New Roman"/>
          <w:sz w:val="19"/>
          <w:szCs w:val="19"/>
          <w:u w:val="single" w:color="auto"/>
          <w:color w:val="auto"/>
        </w:rPr>
        <w:t>Defaulting Lenders</w:t>
      </w:r>
      <w:r>
        <w:rPr>
          <w:rFonts w:ascii="Times New Roman" w:cs="Times New Roman" w:eastAsia="Times New Roman" w:hAnsi="Times New Roman"/>
          <w:sz w:val="19"/>
          <w:szCs w:val="19"/>
          <w:color w:val="auto"/>
        </w:rPr>
        <w:t>.</w:t>
      </w:r>
    </w:p>
    <w:p>
      <w:pPr>
        <w:spacing w:after="0" w:line="283" w:lineRule="exact"/>
        <w:rPr>
          <w:sz w:val="20"/>
          <w:szCs w:val="20"/>
          <w:color w:val="auto"/>
        </w:rPr>
      </w:pPr>
    </w:p>
    <w:p>
      <w:pPr>
        <w:jc w:val="both"/>
        <w:ind w:left="58" w:firstLine="644"/>
        <w:spacing w:after="0" w:line="226" w:lineRule="auto"/>
        <w:tabs>
          <w:tab w:leader="none" w:pos="1236" w:val="left"/>
        </w:tabs>
        <w:numPr>
          <w:ilvl w:val="0"/>
          <w:numId w:val="2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Defaulting Lender Adjustments</w:t>
      </w:r>
      <w:r>
        <w:rPr>
          <w:rFonts w:ascii="Times New Roman" w:cs="Times New Roman" w:eastAsia="Times New Roman" w:hAnsi="Times New Roman"/>
          <w:sz w:val="20"/>
          <w:szCs w:val="20"/>
          <w:color w:val="auto"/>
        </w:rPr>
        <w:t>. Notwithstanding anything to the contrary contained in this Agreement, if any Lender becomes a Defaulting Lender, then, until such time as such Lender is no longer a Defaulting Lender, to the extent permitted by Applicable Law:</w:t>
      </w:r>
    </w:p>
    <w:p>
      <w:pPr>
        <w:spacing w:after="0" w:line="187" w:lineRule="exact"/>
        <w:rPr>
          <w:sz w:val="20"/>
          <w:szCs w:val="20"/>
          <w:color w:val="auto"/>
        </w:rPr>
      </w:pPr>
    </w:p>
    <w:p>
      <w:pPr>
        <w:jc w:val="both"/>
        <w:ind w:left="698" w:firstLine="648"/>
        <w:spacing w:after="0" w:line="230" w:lineRule="auto"/>
        <w:rPr>
          <w:sz w:val="20"/>
          <w:szCs w:val="20"/>
          <w:color w:val="auto"/>
        </w:rPr>
      </w:pPr>
      <w:r>
        <w:rPr>
          <w:rFonts w:ascii="Times New Roman" w:cs="Times New Roman" w:eastAsia="Times New Roman" w:hAnsi="Times New Roman"/>
          <w:sz w:val="20"/>
          <w:szCs w:val="20"/>
          <w:color w:val="auto"/>
        </w:rPr>
        <w:t xml:space="preserve">(liii) </w:t>
      </w:r>
      <w:r>
        <w:rPr>
          <w:rFonts w:ascii="Times New Roman" w:cs="Times New Roman" w:eastAsia="Times New Roman" w:hAnsi="Times New Roman"/>
          <w:sz w:val="20"/>
          <w:szCs w:val="20"/>
          <w:u w:val="single" w:color="auto"/>
          <w:color w:val="auto"/>
        </w:rPr>
        <w:t>Waivers and Amendments</w:t>
      </w:r>
      <w:r>
        <w:rPr>
          <w:rFonts w:ascii="Times New Roman" w:cs="Times New Roman" w:eastAsia="Times New Roman" w:hAnsi="Times New Roman"/>
          <w:sz w:val="20"/>
          <w:szCs w:val="20"/>
          <w:color w:val="auto"/>
        </w:rPr>
        <w:t xml:space="preserve">. Such Defaulting Lender’s right to approve or disapprove any amendment, waiver or consent with respect to this Agreement shall be restricted as set forth in the definitions of “Required Lenders”, “Required Revolving Credit Lenders” or “Required Term Loan Lenders” and </w:t>
      </w:r>
      <w:r>
        <w:rPr>
          <w:rFonts w:ascii="Times New Roman" w:cs="Times New Roman" w:eastAsia="Times New Roman" w:hAnsi="Times New Roman"/>
          <w:sz w:val="20"/>
          <w:szCs w:val="20"/>
          <w:u w:val="single" w:color="auto"/>
          <w:color w:val="auto"/>
        </w:rPr>
        <w:t>Section 12.2</w:t>
      </w:r>
      <w:r>
        <w:rPr>
          <w:rFonts w:ascii="Times New Roman" w:cs="Times New Roman" w:eastAsia="Times New Roman" w:hAnsi="Times New Roman"/>
          <w:sz w:val="20"/>
          <w:szCs w:val="20"/>
          <w:color w:val="auto"/>
        </w:rPr>
        <w:t>.</w:t>
      </w:r>
    </w:p>
    <w:p>
      <w:pPr>
        <w:spacing w:after="0" w:line="243" w:lineRule="exact"/>
        <w:rPr>
          <w:sz w:val="20"/>
          <w:szCs w:val="20"/>
          <w:color w:val="auto"/>
        </w:rPr>
      </w:pPr>
    </w:p>
    <w:p>
      <w:pPr>
        <w:jc w:val="both"/>
        <w:ind w:left="698" w:firstLine="648"/>
        <w:spacing w:after="0" w:line="234" w:lineRule="auto"/>
        <w:rPr>
          <w:sz w:val="20"/>
          <w:szCs w:val="20"/>
          <w:color w:val="auto"/>
        </w:rPr>
      </w:pPr>
      <w:r>
        <w:rPr>
          <w:rFonts w:ascii="Times New Roman" w:cs="Times New Roman" w:eastAsia="Times New Roman" w:hAnsi="Times New Roman"/>
          <w:sz w:val="19"/>
          <w:szCs w:val="19"/>
          <w:color w:val="auto"/>
        </w:rPr>
        <w:t xml:space="preserve">(liv) </w:t>
      </w:r>
      <w:r>
        <w:rPr>
          <w:rFonts w:ascii="Times New Roman" w:cs="Times New Roman" w:eastAsia="Times New Roman" w:hAnsi="Times New Roman"/>
          <w:sz w:val="19"/>
          <w:szCs w:val="19"/>
          <w:u w:val="single" w:color="auto"/>
          <w:color w:val="auto"/>
        </w:rPr>
        <w:t>Defaulting Lender Waterfall</w:t>
      </w:r>
      <w:r>
        <w:rPr>
          <w:rFonts w:ascii="Times New Roman" w:cs="Times New Roman" w:eastAsia="Times New Roman" w:hAnsi="Times New Roman"/>
          <w:sz w:val="19"/>
          <w:szCs w:val="19"/>
          <w:color w:val="auto"/>
        </w:rPr>
        <w:t xml:space="preserve">. Any payment of principal, interest, fees or other amounts received by the Administrative Agent for the account of such Defaulting Lender (whether voluntary or mandatory, at maturity, pursuant to </w:t>
      </w:r>
      <w:r>
        <w:rPr>
          <w:rFonts w:ascii="Times New Roman" w:cs="Times New Roman" w:eastAsia="Times New Roman" w:hAnsi="Times New Roman"/>
          <w:sz w:val="19"/>
          <w:szCs w:val="19"/>
          <w:u w:val="single" w:color="auto"/>
          <w:color w:val="auto"/>
        </w:rPr>
        <w:t>Article</w:t>
      </w:r>
    </w:p>
    <w:p>
      <w:pPr>
        <w:spacing w:after="0" w:line="1" w:lineRule="exact"/>
        <w:rPr>
          <w:sz w:val="20"/>
          <w:szCs w:val="20"/>
          <w:color w:val="auto"/>
        </w:rPr>
      </w:pPr>
    </w:p>
    <w:p>
      <w:pPr>
        <w:jc w:val="both"/>
        <w:ind w:left="698"/>
        <w:spacing w:after="0" w:line="204" w:lineRule="auto"/>
        <w:rPr>
          <w:sz w:val="20"/>
          <w:szCs w:val="20"/>
          <w:color w:val="auto"/>
        </w:rPr>
      </w:pPr>
      <w:r>
        <w:rPr>
          <w:rFonts w:ascii="Times New Roman" w:cs="Times New Roman" w:eastAsia="Times New Roman" w:hAnsi="Times New Roman"/>
          <w:sz w:val="20"/>
          <w:szCs w:val="20"/>
          <w:u w:val="single" w:color="auto"/>
          <w:color w:val="auto"/>
        </w:rPr>
        <w:t>X</w:t>
      </w:r>
      <w:r>
        <w:rPr>
          <w:rFonts w:ascii="Times New Roman" w:cs="Times New Roman" w:eastAsia="Times New Roman" w:hAnsi="Times New Roman"/>
          <w:sz w:val="20"/>
          <w:szCs w:val="20"/>
          <w:color w:val="auto"/>
        </w:rPr>
        <w:t xml:space="preserve"> or otherwise) or received by the Administrative Agent from a Defaulting Lender pursuant to </w:t>
      </w:r>
      <w:r>
        <w:rPr>
          <w:rFonts w:ascii="Times New Roman" w:cs="Times New Roman" w:eastAsia="Times New Roman" w:hAnsi="Times New Roman"/>
          <w:sz w:val="20"/>
          <w:szCs w:val="20"/>
          <w:u w:val="single" w:color="auto"/>
          <w:color w:val="auto"/>
        </w:rPr>
        <w:t>Section 12.4</w:t>
      </w:r>
      <w:r>
        <w:rPr>
          <w:rFonts w:ascii="Times New Roman" w:cs="Times New Roman" w:eastAsia="Times New Roman" w:hAnsi="Times New Roman"/>
          <w:sz w:val="20"/>
          <w:szCs w:val="20"/>
          <w:color w:val="auto"/>
        </w:rPr>
        <w:t xml:space="preserve"> shall be applied at such time or times as may be determined by the Administrative Agent as follows: </w:t>
      </w:r>
      <w:r>
        <w:rPr>
          <w:rFonts w:ascii="Times New Roman" w:cs="Times New Roman" w:eastAsia="Times New Roman" w:hAnsi="Times New Roman"/>
          <w:sz w:val="20"/>
          <w:szCs w:val="20"/>
          <w:i w:val="1"/>
          <w:iCs w:val="1"/>
          <w:color w:val="auto"/>
        </w:rPr>
        <w:t>first</w:t>
      </w:r>
      <w:r>
        <w:rPr>
          <w:rFonts w:ascii="Times New Roman" w:cs="Times New Roman" w:eastAsia="Times New Roman" w:hAnsi="Times New Roman"/>
          <w:sz w:val="20"/>
          <w:szCs w:val="20"/>
          <w:color w:val="auto"/>
        </w:rPr>
        <w:t>, to the payment of any amounts owing by</w:t>
      </w:r>
    </w:p>
    <w:p>
      <w:pPr>
        <w:ind w:left="698"/>
        <w:spacing w:after="0" w:line="211" w:lineRule="auto"/>
        <w:rPr>
          <w:sz w:val="20"/>
          <w:szCs w:val="20"/>
          <w:color w:val="auto"/>
        </w:rPr>
      </w:pPr>
      <w:r>
        <w:rPr>
          <w:rFonts w:ascii="Times New Roman" w:cs="Times New Roman" w:eastAsia="Times New Roman" w:hAnsi="Times New Roman"/>
          <w:sz w:val="20"/>
          <w:szCs w:val="20"/>
          <w:color w:val="auto"/>
        </w:rPr>
        <w:t xml:space="preserve">such Defaulting Lender to the Administrative Agent hereunder; </w:t>
      </w:r>
      <w:r>
        <w:rPr>
          <w:rFonts w:ascii="Times New Roman" w:cs="Times New Roman" w:eastAsia="Times New Roman" w:hAnsi="Times New Roman"/>
          <w:sz w:val="20"/>
          <w:szCs w:val="20"/>
          <w:i w:val="1"/>
          <w:iCs w:val="1"/>
          <w:color w:val="auto"/>
        </w:rPr>
        <w:t>second</w:t>
      </w:r>
      <w:r>
        <w:rPr>
          <w:rFonts w:ascii="Times New Roman" w:cs="Times New Roman" w:eastAsia="Times New Roman" w:hAnsi="Times New Roman"/>
          <w:sz w:val="20"/>
          <w:szCs w:val="20"/>
          <w:color w:val="auto"/>
        </w:rPr>
        <w:t xml:space="preserve">, to the payment on a </w:t>
      </w:r>
      <w:r>
        <w:rPr>
          <w:rFonts w:ascii="Times New Roman" w:cs="Times New Roman" w:eastAsia="Times New Roman" w:hAnsi="Times New Roman"/>
          <w:sz w:val="20"/>
          <w:szCs w:val="20"/>
          <w:u w:val="single" w:color="auto"/>
          <w:color w:val="auto"/>
        </w:rPr>
        <w:t>pro rata</w:t>
      </w:r>
      <w:r>
        <w:rPr>
          <w:rFonts w:ascii="Times New Roman" w:cs="Times New Roman" w:eastAsia="Times New Roman" w:hAnsi="Times New Roman"/>
          <w:sz w:val="20"/>
          <w:szCs w:val="20"/>
          <w:color w:val="auto"/>
        </w:rPr>
        <w:t xml:space="preserve"> basis of any amounts owing</w:t>
      </w:r>
    </w:p>
    <w:p>
      <w:pPr>
        <w:spacing w:after="0" w:line="1" w:lineRule="exact"/>
        <w:rPr>
          <w:sz w:val="20"/>
          <w:szCs w:val="20"/>
          <w:color w:val="auto"/>
        </w:rPr>
      </w:pPr>
    </w:p>
    <w:p>
      <w:pPr>
        <w:jc w:val="both"/>
        <w:ind w:left="698"/>
        <w:spacing w:after="0" w:line="204" w:lineRule="auto"/>
        <w:rPr>
          <w:sz w:val="20"/>
          <w:szCs w:val="20"/>
          <w:color w:val="auto"/>
        </w:rPr>
      </w:pPr>
      <w:r>
        <w:rPr>
          <w:rFonts w:ascii="Times New Roman" w:cs="Times New Roman" w:eastAsia="Times New Roman" w:hAnsi="Times New Roman"/>
          <w:sz w:val="20"/>
          <w:szCs w:val="20"/>
          <w:color w:val="auto"/>
        </w:rPr>
        <w:t xml:space="preserve">by such Defaulting Lender to the Issuing Lenders or the Swingline Lenders hereunder; </w:t>
      </w:r>
      <w:r>
        <w:rPr>
          <w:rFonts w:ascii="Times New Roman" w:cs="Times New Roman" w:eastAsia="Times New Roman" w:hAnsi="Times New Roman"/>
          <w:sz w:val="20"/>
          <w:szCs w:val="20"/>
          <w:i w:val="1"/>
          <w:iCs w:val="1"/>
          <w:color w:val="auto"/>
        </w:rPr>
        <w:t>third</w:t>
      </w:r>
      <w:r>
        <w:rPr>
          <w:rFonts w:ascii="Times New Roman" w:cs="Times New Roman" w:eastAsia="Times New Roman" w:hAnsi="Times New Roman"/>
          <w:sz w:val="20"/>
          <w:szCs w:val="20"/>
          <w:color w:val="auto"/>
        </w:rPr>
        <w:t xml:space="preserve">, to Cash Collateralize the Fronting Exposure of the Issuing Lenders and the Swingline Lenders with respect to such Defaulting Lender in accordance with </w:t>
      </w:r>
      <w:r>
        <w:rPr>
          <w:rFonts w:ascii="Times New Roman" w:cs="Times New Roman" w:eastAsia="Times New Roman" w:hAnsi="Times New Roman"/>
          <w:sz w:val="20"/>
          <w:szCs w:val="20"/>
          <w:u w:val="single" w:color="auto"/>
          <w:color w:val="auto"/>
        </w:rPr>
        <w:t>Section</w:t>
      </w:r>
    </w:p>
    <w:p>
      <w:pPr>
        <w:ind w:left="698"/>
        <w:spacing w:after="0" w:line="223" w:lineRule="auto"/>
        <w:rPr>
          <w:sz w:val="20"/>
          <w:szCs w:val="20"/>
          <w:color w:val="auto"/>
        </w:rPr>
      </w:pPr>
      <w:r>
        <w:rPr>
          <w:rFonts w:ascii="Times New Roman" w:cs="Times New Roman" w:eastAsia="Times New Roman" w:hAnsi="Times New Roman"/>
          <w:sz w:val="19"/>
          <w:szCs w:val="19"/>
          <w:u w:val="single" w:color="auto"/>
          <w:color w:val="auto"/>
        </w:rPr>
        <w:t>5.14</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fourth</w:t>
      </w:r>
      <w:r>
        <w:rPr>
          <w:rFonts w:ascii="Times New Roman" w:cs="Times New Roman" w:eastAsia="Times New Roman" w:hAnsi="Times New Roman"/>
          <w:sz w:val="19"/>
          <w:szCs w:val="19"/>
          <w:color w:val="auto"/>
        </w:rPr>
        <w:t>, as the Borrowers may request (so long as no Default or Event of Default exists), to the funding of any Loan or funded</w:t>
      </w:r>
    </w:p>
    <w:p>
      <w:pPr>
        <w:jc w:val="both"/>
        <w:ind w:left="698"/>
        <w:spacing w:after="0" w:line="204" w:lineRule="auto"/>
        <w:rPr>
          <w:sz w:val="20"/>
          <w:szCs w:val="20"/>
          <w:color w:val="auto"/>
        </w:rPr>
      </w:pPr>
      <w:r>
        <w:rPr>
          <w:rFonts w:ascii="Times New Roman" w:cs="Times New Roman" w:eastAsia="Times New Roman" w:hAnsi="Times New Roman"/>
          <w:sz w:val="20"/>
          <w:szCs w:val="20"/>
          <w:color w:val="auto"/>
        </w:rPr>
        <w:t xml:space="preserve">participation in respect of which such Defaulting Lender has failed to fund its portion thereof as required by this Agreement, as determined by the Administrative Agent; </w:t>
      </w:r>
      <w:r>
        <w:rPr>
          <w:rFonts w:ascii="Times New Roman" w:cs="Times New Roman" w:eastAsia="Times New Roman" w:hAnsi="Times New Roman"/>
          <w:sz w:val="20"/>
          <w:szCs w:val="20"/>
          <w:i w:val="1"/>
          <w:iCs w:val="1"/>
          <w:color w:val="auto"/>
        </w:rPr>
        <w:t>fifth</w:t>
      </w:r>
      <w:r>
        <w:rPr>
          <w:rFonts w:ascii="Times New Roman" w:cs="Times New Roman" w:eastAsia="Times New Roman" w:hAnsi="Times New Roman"/>
          <w:sz w:val="20"/>
          <w:szCs w:val="20"/>
          <w:color w:val="auto"/>
        </w:rPr>
        <w:t>, if so determined by the Administrative Agent and the Borrowers, to be held in a</w:t>
      </w:r>
    </w:p>
    <w:p>
      <w:pPr>
        <w:ind w:left="698"/>
        <w:spacing w:after="0" w:line="211" w:lineRule="auto"/>
        <w:rPr>
          <w:sz w:val="20"/>
          <w:szCs w:val="20"/>
          <w:color w:val="auto"/>
        </w:rPr>
      </w:pPr>
      <w:r>
        <w:rPr>
          <w:rFonts w:ascii="Times New Roman" w:cs="Times New Roman" w:eastAsia="Times New Roman" w:hAnsi="Times New Roman"/>
          <w:sz w:val="20"/>
          <w:szCs w:val="20"/>
          <w:color w:val="auto"/>
        </w:rPr>
        <w:t xml:space="preserve">deposit account and released </w:t>
      </w:r>
      <w:r>
        <w:rPr>
          <w:rFonts w:ascii="Times New Roman" w:cs="Times New Roman" w:eastAsia="Times New Roman" w:hAnsi="Times New Roman"/>
          <w:sz w:val="20"/>
          <w:szCs w:val="20"/>
          <w:u w:val="single" w:color="auto"/>
          <w:color w:val="auto"/>
        </w:rPr>
        <w:t>pro rata</w:t>
      </w:r>
      <w:r>
        <w:rPr>
          <w:rFonts w:ascii="Times New Roman" w:cs="Times New Roman" w:eastAsia="Times New Roman" w:hAnsi="Times New Roman"/>
          <w:sz w:val="20"/>
          <w:szCs w:val="20"/>
          <w:color w:val="auto"/>
        </w:rPr>
        <w:t xml:space="preserve"> in order to (A) satisfy such Defaulting Lender’s potential future funding obligations with</w:t>
      </w:r>
    </w:p>
    <w:p>
      <w:pPr>
        <w:spacing w:after="0" w:line="1" w:lineRule="exact"/>
        <w:rPr>
          <w:sz w:val="20"/>
          <w:szCs w:val="20"/>
          <w:color w:val="auto"/>
        </w:rPr>
      </w:pPr>
    </w:p>
    <w:p>
      <w:pPr>
        <w:jc w:val="both"/>
        <w:ind w:left="698"/>
        <w:spacing w:after="0" w:line="204" w:lineRule="auto"/>
        <w:rPr>
          <w:sz w:val="20"/>
          <w:szCs w:val="20"/>
          <w:color w:val="auto"/>
        </w:rPr>
      </w:pPr>
      <w:r>
        <w:rPr>
          <w:rFonts w:ascii="Times New Roman" w:cs="Times New Roman" w:eastAsia="Times New Roman" w:hAnsi="Times New Roman"/>
          <w:sz w:val="20"/>
          <w:szCs w:val="20"/>
          <w:color w:val="auto"/>
        </w:rPr>
        <w:t>respect to Loans and funded participations under this Agreement and (B) Cash Collateralize the Issuing Lenders’ future Fronting Exposure with respect to such Defaulting Lender with respect to future Letters of Credit and Swingline Loans issued under this</w:t>
      </w:r>
    </w:p>
    <w:p>
      <w:pPr>
        <w:ind w:left="698"/>
        <w:spacing w:after="0" w:line="211" w:lineRule="auto"/>
        <w:rPr>
          <w:sz w:val="20"/>
          <w:szCs w:val="20"/>
          <w:color w:val="auto"/>
        </w:rPr>
      </w:pPr>
      <w:r>
        <w:rPr>
          <w:rFonts w:ascii="Times New Roman" w:cs="Times New Roman" w:eastAsia="Times New Roman" w:hAnsi="Times New Roman"/>
          <w:sz w:val="20"/>
          <w:szCs w:val="20"/>
          <w:color w:val="auto"/>
        </w:rPr>
        <w:t xml:space="preserve">Agreement, in accordance with </w:t>
      </w:r>
      <w:r>
        <w:rPr>
          <w:rFonts w:ascii="Times New Roman" w:cs="Times New Roman" w:eastAsia="Times New Roman" w:hAnsi="Times New Roman"/>
          <w:sz w:val="20"/>
          <w:szCs w:val="20"/>
          <w:u w:val="single" w:color="auto"/>
          <w:color w:val="auto"/>
        </w:rPr>
        <w:t>Section 5.14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sixth</w:t>
      </w:r>
      <w:r>
        <w:rPr>
          <w:rFonts w:ascii="Times New Roman" w:cs="Times New Roman" w:eastAsia="Times New Roman" w:hAnsi="Times New Roman"/>
          <w:sz w:val="20"/>
          <w:szCs w:val="20"/>
          <w:color w:val="auto"/>
        </w:rPr>
        <w:t>, to the payment of any amounts owing to the Lenders, the Issuing Lenders or</w:t>
      </w:r>
    </w:p>
    <w:p>
      <w:pPr>
        <w:spacing w:after="0" w:line="1" w:lineRule="exact"/>
        <w:rPr>
          <w:sz w:val="20"/>
          <w:szCs w:val="20"/>
          <w:color w:val="auto"/>
        </w:rPr>
      </w:pPr>
    </w:p>
    <w:p>
      <w:pPr>
        <w:jc w:val="both"/>
        <w:ind w:left="698"/>
        <w:spacing w:after="0" w:line="215" w:lineRule="auto"/>
        <w:rPr>
          <w:sz w:val="20"/>
          <w:szCs w:val="20"/>
          <w:color w:val="auto"/>
        </w:rPr>
      </w:pPr>
      <w:r>
        <w:rPr>
          <w:rFonts w:ascii="Times New Roman" w:cs="Times New Roman" w:eastAsia="Times New Roman" w:hAnsi="Times New Roman"/>
          <w:sz w:val="19"/>
          <w:szCs w:val="19"/>
          <w:color w:val="auto"/>
        </w:rPr>
        <w:t>the Swingline Lenders as a result of any judgment of a court of competent jurisdiction obtained by any Lender, any Issuing Lender or any Swingline Lender against such Defaulting Lender as a result of such Defaulting Lender’s breach of its obligations under</w:t>
      </w:r>
    </w:p>
    <w:p>
      <w:pPr>
        <w:jc w:val="both"/>
        <w:ind w:left="698"/>
        <w:spacing w:after="0" w:line="204" w:lineRule="auto"/>
        <w:rPr>
          <w:sz w:val="20"/>
          <w:szCs w:val="20"/>
          <w:color w:val="auto"/>
        </w:rPr>
      </w:pPr>
      <w:r>
        <w:rPr>
          <w:rFonts w:ascii="Times New Roman" w:cs="Times New Roman" w:eastAsia="Times New Roman" w:hAnsi="Times New Roman"/>
          <w:sz w:val="20"/>
          <w:szCs w:val="20"/>
          <w:color w:val="auto"/>
        </w:rPr>
        <w:t xml:space="preserve">this Agreement; </w:t>
      </w:r>
      <w:r>
        <w:rPr>
          <w:rFonts w:ascii="Times New Roman" w:cs="Times New Roman" w:eastAsia="Times New Roman" w:hAnsi="Times New Roman"/>
          <w:sz w:val="20"/>
          <w:szCs w:val="20"/>
          <w:i w:val="1"/>
          <w:iCs w:val="1"/>
          <w:color w:val="auto"/>
        </w:rPr>
        <w:t>seventh</w:t>
      </w:r>
      <w:r>
        <w:rPr>
          <w:rFonts w:ascii="Times New Roman" w:cs="Times New Roman" w:eastAsia="Times New Roman" w:hAnsi="Times New Roman"/>
          <w:sz w:val="20"/>
          <w:szCs w:val="20"/>
          <w:color w:val="auto"/>
        </w:rPr>
        <w:t>, so long as no Default or Event of Default exists, to the payment of any amounts owing to any Borrower as a result of any judgment of a court of competent jurisdiction obtained by such Borrower against such Defaulting Lender as a</w:t>
      </w:r>
    </w:p>
    <w:p>
      <w:pPr>
        <w:ind w:left="698"/>
        <w:spacing w:after="0" w:line="211" w:lineRule="auto"/>
        <w:rPr>
          <w:sz w:val="20"/>
          <w:szCs w:val="20"/>
          <w:color w:val="auto"/>
        </w:rPr>
      </w:pPr>
      <w:r>
        <w:rPr>
          <w:rFonts w:ascii="Times New Roman" w:cs="Times New Roman" w:eastAsia="Times New Roman" w:hAnsi="Times New Roman"/>
          <w:sz w:val="20"/>
          <w:szCs w:val="20"/>
          <w:color w:val="auto"/>
        </w:rPr>
        <w:t xml:space="preserve">result of such Defaulting Lender’s breach of its obligations under this Agreement; and </w:t>
      </w:r>
      <w:r>
        <w:rPr>
          <w:rFonts w:ascii="Times New Roman" w:cs="Times New Roman" w:eastAsia="Times New Roman" w:hAnsi="Times New Roman"/>
          <w:sz w:val="20"/>
          <w:szCs w:val="20"/>
          <w:i w:val="1"/>
          <w:iCs w:val="1"/>
          <w:color w:val="auto"/>
        </w:rPr>
        <w:t>eighth</w:t>
      </w:r>
      <w:r>
        <w:rPr>
          <w:rFonts w:ascii="Times New Roman" w:cs="Times New Roman" w:eastAsia="Times New Roman" w:hAnsi="Times New Roman"/>
          <w:sz w:val="20"/>
          <w:szCs w:val="20"/>
          <w:color w:val="auto"/>
        </w:rPr>
        <w:t>, to such Defaulting Lender or as</w:t>
      </w:r>
    </w:p>
    <w:p>
      <w:pPr>
        <w:spacing w:after="0" w:line="1" w:lineRule="exact"/>
        <w:rPr>
          <w:sz w:val="20"/>
          <w:szCs w:val="20"/>
          <w:color w:val="auto"/>
        </w:rPr>
      </w:pPr>
    </w:p>
    <w:p>
      <w:pPr>
        <w:jc w:val="both"/>
        <w:ind w:left="698"/>
        <w:spacing w:after="0" w:line="204" w:lineRule="auto"/>
        <w:rPr>
          <w:sz w:val="20"/>
          <w:szCs w:val="20"/>
          <w:color w:val="auto"/>
        </w:rPr>
      </w:pPr>
      <w:r>
        <w:rPr>
          <w:rFonts w:ascii="Times New Roman" w:cs="Times New Roman" w:eastAsia="Times New Roman" w:hAnsi="Times New Roman"/>
          <w:sz w:val="20"/>
          <w:szCs w:val="20"/>
          <w:color w:val="auto"/>
        </w:rPr>
        <w:t xml:space="preserve">otherwise directed by a court of competent jurisdiction;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(1) such payment is a payment of the principal amount of any Loans or funded participations in Letters of Credit or Swingline Loans in respect of which such Defaulting Lender has not</w:t>
      </w:r>
    </w:p>
    <w:p>
      <w:pPr>
        <w:ind w:left="698"/>
        <w:spacing w:after="0" w:line="223" w:lineRule="auto"/>
        <w:rPr>
          <w:sz w:val="20"/>
          <w:szCs w:val="20"/>
          <w:color w:val="auto"/>
        </w:rPr>
      </w:pPr>
      <w:r>
        <w:rPr>
          <w:rFonts w:ascii="Times New Roman" w:cs="Times New Roman" w:eastAsia="Times New Roman" w:hAnsi="Times New Roman"/>
          <w:sz w:val="19"/>
          <w:szCs w:val="19"/>
          <w:color w:val="auto"/>
        </w:rPr>
        <w:t>fully funded its appropriate share, and (2) such Loans were made or the related Letters of Credit or Swingline Loans were issued at</w:t>
      </w:r>
    </w:p>
    <w:p>
      <w:pPr>
        <w:jc w:val="both"/>
        <w:ind w:left="698" w:right="20"/>
        <w:spacing w:after="0" w:line="215" w:lineRule="auto"/>
        <w:rPr>
          <w:sz w:val="20"/>
          <w:szCs w:val="20"/>
          <w:color w:val="auto"/>
        </w:rPr>
      </w:pPr>
      <w:r>
        <w:rPr>
          <w:rFonts w:ascii="Times New Roman" w:cs="Times New Roman" w:eastAsia="Times New Roman" w:hAnsi="Times New Roman"/>
          <w:sz w:val="19"/>
          <w:szCs w:val="19"/>
          <w:color w:val="auto"/>
        </w:rPr>
        <w:t xml:space="preserve">a time when the conditions set forth in </w:t>
      </w:r>
      <w:r>
        <w:rPr>
          <w:rFonts w:ascii="Times New Roman" w:cs="Times New Roman" w:eastAsia="Times New Roman" w:hAnsi="Times New Roman"/>
          <w:sz w:val="19"/>
          <w:szCs w:val="19"/>
          <w:u w:val="single" w:color="auto"/>
          <w:color w:val="auto"/>
        </w:rPr>
        <w:t>Section 6.2</w:t>
      </w:r>
      <w:r>
        <w:rPr>
          <w:rFonts w:ascii="Times New Roman" w:cs="Times New Roman" w:eastAsia="Times New Roman" w:hAnsi="Times New Roman"/>
          <w:sz w:val="19"/>
          <w:szCs w:val="19"/>
          <w:color w:val="auto"/>
        </w:rPr>
        <w:t xml:space="preserve"> were satisfied or waived, such payment shall be applied solely to pay the Loans of, and funded participations in Letters of Credit or Swingline Loans owed to, all Non-Defaulting Lenders on a </w:t>
      </w:r>
      <w:r>
        <w:rPr>
          <w:rFonts w:ascii="Times New Roman" w:cs="Times New Roman" w:eastAsia="Times New Roman" w:hAnsi="Times New Roman"/>
          <w:sz w:val="19"/>
          <w:szCs w:val="19"/>
          <w:u w:val="single" w:color="auto"/>
          <w:color w:val="auto"/>
        </w:rPr>
        <w:t>pro rata</w:t>
      </w:r>
      <w:r>
        <w:rPr>
          <w:rFonts w:ascii="Times New Roman" w:cs="Times New Roman" w:eastAsia="Times New Roman" w:hAnsi="Times New Roman"/>
          <w:sz w:val="19"/>
          <w:szCs w:val="19"/>
          <w:color w:val="auto"/>
        </w:rPr>
        <w:t xml:space="preserve"> basis prior</w:t>
      </w:r>
    </w:p>
    <w:p>
      <w:pPr>
        <w:ind w:left="698"/>
        <w:spacing w:after="0"/>
        <w:rPr>
          <w:sz w:val="20"/>
          <w:szCs w:val="20"/>
          <w:color w:val="auto"/>
        </w:rPr>
      </w:pPr>
      <w:r>
        <w:rPr>
          <w:rFonts w:ascii="Times New Roman" w:cs="Times New Roman" w:eastAsia="Times New Roman" w:hAnsi="Times New Roman"/>
          <w:sz w:val="20"/>
          <w:szCs w:val="20"/>
          <w:color w:val="auto"/>
        </w:rPr>
        <w:t>to being applied to the payment of any Loans of, or funded participations in Letters of Credit or</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38"/>
        <w:spacing w:after="0"/>
        <w:rPr>
          <w:sz w:val="20"/>
          <w:szCs w:val="20"/>
          <w:color w:val="auto"/>
        </w:rPr>
      </w:pPr>
      <w:r>
        <w:rPr>
          <w:rFonts w:ascii="Times New Roman" w:cs="Times New Roman" w:eastAsia="Times New Roman" w:hAnsi="Times New Roman"/>
          <w:sz w:val="14"/>
          <w:szCs w:val="14"/>
          <w:color w:val="FF0000"/>
          <w:strike w:val="1"/>
        </w:rPr>
        <w:t>146960219_6</w:t>
      </w:r>
    </w:p>
    <w:p>
      <w:pPr>
        <w:spacing w:after="0" w:line="4" w:lineRule="exact"/>
        <w:rPr>
          <w:sz w:val="20"/>
          <w:szCs w:val="20"/>
          <w:color w:val="auto"/>
        </w:rPr>
      </w:pPr>
    </w:p>
    <w:p>
      <w:pPr>
        <w:ind w:left="338" w:hanging="338"/>
        <w:spacing w:after="0"/>
        <w:tabs>
          <w:tab w:leader="none" w:pos="338" w:val="left"/>
        </w:tabs>
        <w:numPr>
          <w:ilvl w:val="0"/>
          <w:numId w:val="265"/>
        </w:numPr>
        <w:rPr>
          <w:rFonts w:ascii="Times New Roman" w:cs="Times New Roman" w:eastAsia="Times New Roman" w:hAnsi="Times New Roman"/>
          <w:sz w:val="20"/>
          <w:szCs w:val="20"/>
          <w:color w:val="auto"/>
        </w:rPr>
      </w:pP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078"/>
          </w:cols>
          <w:pgMar w:left="382" w:top="1440" w:right="439" w:bottom="1440" w:gutter="0" w:footer="0" w:header="0"/>
        </w:sectPr>
      </w:pPr>
    </w:p>
    <w:bookmarkStart w:id="180" w:name="page181"/>
    <w:bookmarkEnd w:id="180"/>
    <w:p>
      <w:pPr>
        <w:ind w:left="678"/>
        <w:spacing w:after="0"/>
        <w:rPr>
          <w:sz w:val="20"/>
          <w:szCs w:val="20"/>
          <w:color w:val="auto"/>
        </w:rPr>
      </w:pPr>
      <w:r>
        <w:rPr>
          <w:rFonts w:ascii="Times New Roman" w:cs="Times New Roman" w:eastAsia="Times New Roman" w:hAnsi="Times New Roman"/>
          <w:sz w:val="20"/>
          <w:szCs w:val="20"/>
          <w:color w:val="auto"/>
        </w:rPr>
        <w:t>Swingline Loans owed to, such Defaulting Lender until such time as all Loans and funded and unfunded participations in L/C</w:t>
      </w:r>
    </w:p>
    <w:p>
      <w:pPr>
        <w:ind w:left="678"/>
        <w:spacing w:after="0" w:line="215" w:lineRule="auto"/>
        <w:rPr>
          <w:sz w:val="20"/>
          <w:szCs w:val="20"/>
          <w:color w:val="auto"/>
        </w:rPr>
      </w:pPr>
      <w:r>
        <w:rPr>
          <w:rFonts w:ascii="Times New Roman" w:cs="Times New Roman" w:eastAsia="Times New Roman" w:hAnsi="Times New Roman"/>
          <w:sz w:val="19"/>
          <w:szCs w:val="19"/>
          <w:color w:val="auto"/>
        </w:rPr>
        <w:t xml:space="preserve">Obligations and Swingline Loans are held by the Lenders </w:t>
      </w:r>
      <w:r>
        <w:rPr>
          <w:rFonts w:ascii="Times New Roman" w:cs="Times New Roman" w:eastAsia="Times New Roman" w:hAnsi="Times New Roman"/>
          <w:sz w:val="19"/>
          <w:szCs w:val="19"/>
          <w:u w:val="single" w:color="auto"/>
          <w:color w:val="auto"/>
        </w:rPr>
        <w:t>pro rata</w:t>
      </w:r>
      <w:r>
        <w:rPr>
          <w:rFonts w:ascii="Times New Roman" w:cs="Times New Roman" w:eastAsia="Times New Roman" w:hAnsi="Times New Roman"/>
          <w:sz w:val="19"/>
          <w:szCs w:val="19"/>
          <w:color w:val="auto"/>
        </w:rPr>
        <w:t xml:space="preserve"> in accordance with the Revolving Credit Commitments under the applicable Revolving Credit Facility without giving effect to </w:t>
      </w:r>
      <w:r>
        <w:rPr>
          <w:rFonts w:ascii="Times New Roman" w:cs="Times New Roman" w:eastAsia="Times New Roman" w:hAnsi="Times New Roman"/>
          <w:sz w:val="19"/>
          <w:szCs w:val="19"/>
          <w:u w:val="single" w:color="auto"/>
          <w:color w:val="auto"/>
        </w:rPr>
        <w:t>Section 5.15(a)(iv)</w:t>
      </w:r>
      <w:r>
        <w:rPr>
          <w:rFonts w:ascii="Times New Roman" w:cs="Times New Roman" w:eastAsia="Times New Roman" w:hAnsi="Times New Roman"/>
          <w:sz w:val="19"/>
          <w:szCs w:val="19"/>
          <w:color w:val="auto"/>
        </w:rPr>
        <w:t>. Any payments, prepayments or other amounts</w:t>
      </w:r>
    </w:p>
    <w:p>
      <w:pPr>
        <w:ind w:left="678"/>
        <w:spacing w:after="0" w:line="211" w:lineRule="auto"/>
        <w:rPr>
          <w:sz w:val="20"/>
          <w:szCs w:val="20"/>
          <w:color w:val="auto"/>
        </w:rPr>
      </w:pPr>
      <w:r>
        <w:rPr>
          <w:rFonts w:ascii="Times New Roman" w:cs="Times New Roman" w:eastAsia="Times New Roman" w:hAnsi="Times New Roman"/>
          <w:sz w:val="20"/>
          <w:szCs w:val="20"/>
          <w:color w:val="auto"/>
        </w:rPr>
        <w:t>paid or payable to a Defaulting Lender that are applied (or held) to pay amounts owed by a Defaulting Lender or to post Cash</w:t>
      </w:r>
    </w:p>
    <w:p>
      <w:pPr>
        <w:ind w:left="678"/>
        <w:spacing w:after="0" w:line="221" w:lineRule="auto"/>
        <w:rPr>
          <w:sz w:val="20"/>
          <w:szCs w:val="20"/>
          <w:color w:val="auto"/>
        </w:rPr>
      </w:pPr>
      <w:r>
        <w:rPr>
          <w:rFonts w:ascii="Times New Roman" w:cs="Times New Roman" w:eastAsia="Times New Roman" w:hAnsi="Times New Roman"/>
          <w:sz w:val="20"/>
          <w:szCs w:val="20"/>
          <w:color w:val="auto"/>
        </w:rPr>
        <w:t xml:space="preserve">Collateral pursuant to this </w:t>
      </w:r>
      <w:r>
        <w:rPr>
          <w:rFonts w:ascii="Times New Roman" w:cs="Times New Roman" w:eastAsia="Times New Roman" w:hAnsi="Times New Roman"/>
          <w:sz w:val="20"/>
          <w:szCs w:val="20"/>
          <w:u w:val="single" w:color="auto"/>
          <w:color w:val="auto"/>
        </w:rPr>
        <w:t>Section 5.15(a)(ii)</w:t>
      </w:r>
      <w:r>
        <w:rPr>
          <w:rFonts w:ascii="Times New Roman" w:cs="Times New Roman" w:eastAsia="Times New Roman" w:hAnsi="Times New Roman"/>
          <w:sz w:val="20"/>
          <w:szCs w:val="20"/>
          <w:color w:val="auto"/>
        </w:rPr>
        <w:t xml:space="preserve"> shall be deemed paid to and redirected by such Defaulting Lender, and each Lender irrevocably consents hereto.</w:t>
      </w:r>
    </w:p>
    <w:p>
      <w:pPr>
        <w:spacing w:after="0" w:line="202" w:lineRule="exact"/>
        <w:rPr>
          <w:sz w:val="20"/>
          <w:szCs w:val="20"/>
          <w:color w:val="auto"/>
        </w:rPr>
      </w:pPr>
    </w:p>
    <w:p>
      <w:pPr>
        <w:ind w:left="1338"/>
        <w:spacing w:after="0"/>
        <w:tabs>
          <w:tab w:leader="none" w:pos="1958" w:val="left"/>
        </w:tabs>
        <w:rPr>
          <w:sz w:val="20"/>
          <w:szCs w:val="20"/>
          <w:color w:val="auto"/>
        </w:rPr>
      </w:pPr>
      <w:r>
        <w:rPr>
          <w:rFonts w:ascii="Times New Roman" w:cs="Times New Roman" w:eastAsia="Times New Roman" w:hAnsi="Times New Roman"/>
          <w:sz w:val="20"/>
          <w:szCs w:val="20"/>
          <w:color w:val="auto"/>
        </w:rPr>
        <w:t>(lv)</w:t>
      </w:r>
      <w:r>
        <w:rPr>
          <w:sz w:val="20"/>
          <w:szCs w:val="20"/>
          <w:color w:val="auto"/>
        </w:rPr>
        <w:tab/>
      </w:r>
      <w:r>
        <w:rPr>
          <w:rFonts w:ascii="Times New Roman" w:cs="Times New Roman" w:eastAsia="Times New Roman" w:hAnsi="Times New Roman"/>
          <w:sz w:val="20"/>
          <w:szCs w:val="20"/>
          <w:u w:val="single" w:color="auto"/>
          <w:color w:val="auto"/>
        </w:rPr>
        <w:t>Certain Fees</w:t>
      </w:r>
      <w:r>
        <w:rPr>
          <w:rFonts w:ascii="Times New Roman" w:cs="Times New Roman" w:eastAsia="Times New Roman" w:hAnsi="Times New Roman"/>
          <w:sz w:val="20"/>
          <w:szCs w:val="20"/>
          <w:color w:val="auto"/>
        </w:rPr>
        <w:t>.</w:t>
      </w:r>
    </w:p>
    <w:p>
      <w:pPr>
        <w:spacing w:after="0" w:line="270" w:lineRule="exact"/>
        <w:rPr>
          <w:sz w:val="20"/>
          <w:szCs w:val="20"/>
          <w:color w:val="auto"/>
        </w:rPr>
      </w:pPr>
    </w:p>
    <w:p>
      <w:pPr>
        <w:jc w:val="both"/>
        <w:ind w:left="1338" w:right="20" w:firstLine="642"/>
        <w:spacing w:after="0" w:line="230" w:lineRule="auto"/>
        <w:tabs>
          <w:tab w:leader="none" w:pos="2532" w:val="left"/>
        </w:tabs>
        <w:numPr>
          <w:ilvl w:val="0"/>
          <w:numId w:val="2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Defaulting Lender shall be entitled to receive any Commitment Fee for any period during which that Lender is a Defaulting Lender (and the Borrowers shall not be required to pay any such fee that otherwise would have been required to have been paid to that Defaulting Lender).</w:t>
      </w:r>
    </w:p>
    <w:p>
      <w:pPr>
        <w:spacing w:after="0" w:line="189" w:lineRule="exact"/>
        <w:rPr>
          <w:rFonts w:ascii="Times New Roman" w:cs="Times New Roman" w:eastAsia="Times New Roman" w:hAnsi="Times New Roman"/>
          <w:sz w:val="20"/>
          <w:szCs w:val="20"/>
          <w:color w:val="auto"/>
        </w:rPr>
      </w:pPr>
    </w:p>
    <w:p>
      <w:pPr>
        <w:jc w:val="both"/>
        <w:ind w:left="1338" w:firstLine="642"/>
        <w:spacing w:after="0" w:line="222" w:lineRule="auto"/>
        <w:tabs>
          <w:tab w:leader="none" w:pos="2534" w:val="left"/>
        </w:tabs>
        <w:numPr>
          <w:ilvl w:val="0"/>
          <w:numId w:val="2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Defaulting Lender shall be entitled to receive letter of credit commissions pursuant to </w:t>
      </w:r>
      <w:r>
        <w:rPr>
          <w:rFonts w:ascii="Times New Roman" w:cs="Times New Roman" w:eastAsia="Times New Roman" w:hAnsi="Times New Roman"/>
          <w:sz w:val="20"/>
          <w:szCs w:val="20"/>
          <w:u w:val="single" w:color="auto"/>
          <w:color w:val="auto"/>
        </w:rPr>
        <w:t>Section 3.3</w:t>
      </w:r>
      <w:r>
        <w:rPr>
          <w:rFonts w:ascii="Times New Roman" w:cs="Times New Roman" w:eastAsia="Times New Roman" w:hAnsi="Times New Roman"/>
          <w:sz w:val="20"/>
          <w:szCs w:val="20"/>
          <w:color w:val="auto"/>
        </w:rPr>
        <w:t xml:space="preserve"> for any period during which that Lender is a Defaulting Lender only to the extent allocable to its Revolving Credit Commitment Percentage of the stated amount of Letters of Credit for which it has provided Cash Collateral pursuant to </w:t>
      </w:r>
      <w:r>
        <w:rPr>
          <w:rFonts w:ascii="Times New Roman" w:cs="Times New Roman" w:eastAsia="Times New Roman" w:hAnsi="Times New Roman"/>
          <w:sz w:val="20"/>
          <w:szCs w:val="20"/>
          <w:u w:val="single" w:color="auto"/>
          <w:color w:val="auto"/>
        </w:rPr>
        <w:t>Section 5.14</w:t>
      </w:r>
      <w:r>
        <w:rPr>
          <w:rFonts w:ascii="Times New Roman" w:cs="Times New Roman" w:eastAsia="Times New Roman" w:hAnsi="Times New Roman"/>
          <w:sz w:val="20"/>
          <w:szCs w:val="20"/>
          <w:color w:val="auto"/>
        </w:rPr>
        <w:t>.</w:t>
      </w:r>
    </w:p>
    <w:p>
      <w:pPr>
        <w:spacing w:after="0" w:line="242" w:lineRule="exact"/>
        <w:rPr>
          <w:rFonts w:ascii="Times New Roman" w:cs="Times New Roman" w:eastAsia="Times New Roman" w:hAnsi="Times New Roman"/>
          <w:sz w:val="20"/>
          <w:szCs w:val="20"/>
          <w:color w:val="auto"/>
        </w:rPr>
      </w:pPr>
    </w:p>
    <w:p>
      <w:pPr>
        <w:jc w:val="both"/>
        <w:ind w:left="1338" w:firstLine="642"/>
        <w:spacing w:after="0" w:line="226" w:lineRule="auto"/>
        <w:tabs>
          <w:tab w:leader="none" w:pos="2534" w:val="left"/>
        </w:tabs>
        <w:numPr>
          <w:ilvl w:val="0"/>
          <w:numId w:val="2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respect to any Commitment Fee or letter of credit commission not required to be paid to any Defaulting Lender pursuant to clause (A) or (B) above, the Borrowers shall (1) pay to each Non-Defaulting Lender that portion of any such fee otherwise payable to such Defaulting Lender with respect to such Defaulting Lender’s participation in L/C Obligations or Swingline Loans that has been reallocated to such Non- Defaulting Lender pursuant to clause (iv) below, (2) pay to each applicable Issuing Lender and Swingline Lender, as applicable, the amount of any such fee otherwise payable to such Defaulting Lender to the extent allocable to such Issuing Lender’s or Swingline Lender’s Fronting Exposure to such Defaulting Lender, and (3) not be required to pay the remaining amount of any such fee.</w:t>
      </w:r>
    </w:p>
    <w:p>
      <w:pPr>
        <w:spacing w:after="0" w:line="207" w:lineRule="exact"/>
        <w:rPr>
          <w:sz w:val="20"/>
          <w:szCs w:val="20"/>
          <w:color w:val="auto"/>
        </w:rPr>
      </w:pPr>
    </w:p>
    <w:p>
      <w:pPr>
        <w:ind w:left="678" w:firstLine="648"/>
        <w:spacing w:after="0" w:line="215" w:lineRule="auto"/>
        <w:rPr>
          <w:sz w:val="20"/>
          <w:szCs w:val="20"/>
          <w:color w:val="auto"/>
        </w:rPr>
      </w:pPr>
      <w:r>
        <w:rPr>
          <w:rFonts w:ascii="Times New Roman" w:cs="Times New Roman" w:eastAsia="Times New Roman" w:hAnsi="Times New Roman"/>
          <w:sz w:val="20"/>
          <w:szCs w:val="20"/>
          <w:color w:val="auto"/>
        </w:rPr>
        <w:t xml:space="preserve">(lvi) </w:t>
      </w:r>
      <w:r>
        <w:rPr>
          <w:rFonts w:ascii="Times New Roman" w:cs="Times New Roman" w:eastAsia="Times New Roman" w:hAnsi="Times New Roman"/>
          <w:sz w:val="20"/>
          <w:szCs w:val="20"/>
          <w:u w:val="single" w:color="auto"/>
          <w:color w:val="auto"/>
        </w:rPr>
        <w:t>Reallocation of Participations to Reduce Fronting Exposure</w:t>
      </w:r>
      <w:r>
        <w:rPr>
          <w:rFonts w:ascii="Times New Roman" w:cs="Times New Roman" w:eastAsia="Times New Roman" w:hAnsi="Times New Roman"/>
          <w:sz w:val="20"/>
          <w:szCs w:val="20"/>
          <w:color w:val="auto"/>
        </w:rPr>
        <w:t>. All or any part of such Defaulting Lender’s participation in L/C Obligations and Swingline Loans shall be reallocated among the Non-Defaulting Lenders in accordance with</w:t>
      </w:r>
    </w:p>
    <w:p>
      <w:pPr>
        <w:ind w:left="678"/>
        <w:spacing w:after="0" w:line="212" w:lineRule="auto"/>
        <w:rPr>
          <w:sz w:val="20"/>
          <w:szCs w:val="20"/>
          <w:color w:val="auto"/>
        </w:rPr>
      </w:pPr>
      <w:r>
        <w:rPr>
          <w:rFonts w:ascii="Times New Roman" w:cs="Times New Roman" w:eastAsia="Times New Roman" w:hAnsi="Times New Roman"/>
          <w:sz w:val="20"/>
          <w:szCs w:val="20"/>
          <w:color w:val="auto"/>
        </w:rPr>
        <w:t>their respective Revolving Credit Commitment Percentages (calculated without regard to such Defaulting Lender’s Revolving</w:t>
      </w:r>
    </w:p>
    <w:p>
      <w:pPr>
        <w:spacing w:after="0" w:line="1" w:lineRule="exact"/>
        <w:rPr>
          <w:sz w:val="20"/>
          <w:szCs w:val="20"/>
          <w:color w:val="auto"/>
        </w:rPr>
      </w:pPr>
    </w:p>
    <w:p>
      <w:pPr>
        <w:ind w:left="678"/>
        <w:spacing w:after="0" w:line="215" w:lineRule="auto"/>
        <w:rPr>
          <w:sz w:val="20"/>
          <w:szCs w:val="20"/>
          <w:color w:val="auto"/>
        </w:rPr>
      </w:pPr>
      <w:r>
        <w:rPr>
          <w:rFonts w:ascii="Times New Roman" w:cs="Times New Roman" w:eastAsia="Times New Roman" w:hAnsi="Times New Roman"/>
          <w:sz w:val="19"/>
          <w:szCs w:val="19"/>
          <w:color w:val="auto"/>
        </w:rPr>
        <w:t xml:space="preserve">Credit Commitment) but only to the extent that (x) the conditions set forth in </w:t>
      </w:r>
      <w:r>
        <w:rPr>
          <w:rFonts w:ascii="Times New Roman" w:cs="Times New Roman" w:eastAsia="Times New Roman" w:hAnsi="Times New Roman"/>
          <w:sz w:val="19"/>
          <w:szCs w:val="19"/>
          <w:u w:val="single" w:color="auto"/>
          <w:color w:val="auto"/>
        </w:rPr>
        <w:t>Section 6.2</w:t>
      </w:r>
      <w:r>
        <w:rPr>
          <w:rFonts w:ascii="Times New Roman" w:cs="Times New Roman" w:eastAsia="Times New Roman" w:hAnsi="Times New Roman"/>
          <w:sz w:val="19"/>
          <w:szCs w:val="19"/>
          <w:color w:val="auto"/>
        </w:rPr>
        <w:t xml:space="preserve"> are satisfied at the time of such reallocation (and, unless the Borrowers shall have otherwise notified the Administrative Agent at such time, the Borrowers shall be</w:t>
      </w:r>
    </w:p>
    <w:p>
      <w:pPr>
        <w:ind w:left="678"/>
        <w:spacing w:after="0" w:line="215" w:lineRule="auto"/>
        <w:rPr>
          <w:sz w:val="20"/>
          <w:szCs w:val="20"/>
          <w:color w:val="auto"/>
        </w:rPr>
      </w:pPr>
      <w:r>
        <w:rPr>
          <w:rFonts w:ascii="Times New Roman" w:cs="Times New Roman" w:eastAsia="Times New Roman" w:hAnsi="Times New Roman"/>
          <w:sz w:val="19"/>
          <w:szCs w:val="19"/>
          <w:color w:val="auto"/>
        </w:rPr>
        <w:t>deemed to have represented and warranted that such conditions are satisfied at such time), and (y) such reallocation does not cause the aggregate Revolving Credit Exposure of any Non-Defaulting Lender to exceed such Non- Defaulting Lender’s Revolving</w:t>
      </w:r>
    </w:p>
    <w:p>
      <w:pPr>
        <w:ind w:left="678"/>
        <w:spacing w:after="0" w:line="211" w:lineRule="auto"/>
        <w:rPr>
          <w:sz w:val="20"/>
          <w:szCs w:val="20"/>
          <w:color w:val="auto"/>
        </w:rPr>
      </w:pPr>
      <w:r>
        <w:rPr>
          <w:rFonts w:ascii="Times New Roman" w:cs="Times New Roman" w:eastAsia="Times New Roman" w:hAnsi="Times New Roman"/>
          <w:sz w:val="20"/>
          <w:szCs w:val="20"/>
          <w:color w:val="auto"/>
        </w:rPr>
        <w:t>Credit Commitment. No reallocation hereunder shall constitute a waiver or release of any claim of any party hereunder against a</w:t>
      </w:r>
    </w:p>
    <w:p>
      <w:pPr>
        <w:ind w:left="678"/>
        <w:spacing w:after="0" w:line="221" w:lineRule="auto"/>
        <w:rPr>
          <w:sz w:val="20"/>
          <w:szCs w:val="20"/>
          <w:color w:val="auto"/>
        </w:rPr>
      </w:pPr>
      <w:r>
        <w:rPr>
          <w:rFonts w:ascii="Times New Roman" w:cs="Times New Roman" w:eastAsia="Times New Roman" w:hAnsi="Times New Roman"/>
          <w:sz w:val="20"/>
          <w:szCs w:val="20"/>
          <w:color w:val="auto"/>
        </w:rPr>
        <w:t>Defaulting Lender arising from that Lender having become a Defaulting Lender, including any claim of a Non-Defaulting Lender as a result of such Non-Defaulting Lender’s increased exposure following such reallocation.</w:t>
      </w:r>
    </w:p>
    <w:p>
      <w:pPr>
        <w:spacing w:after="0" w:line="202" w:lineRule="exact"/>
        <w:rPr>
          <w:sz w:val="20"/>
          <w:szCs w:val="20"/>
          <w:color w:val="auto"/>
        </w:rPr>
      </w:pPr>
    </w:p>
    <w:p>
      <w:pPr>
        <w:jc w:val="both"/>
        <w:ind w:left="678" w:firstLine="648"/>
        <w:spacing w:after="0" w:line="227" w:lineRule="auto"/>
        <w:rPr>
          <w:sz w:val="20"/>
          <w:szCs w:val="20"/>
          <w:color w:val="auto"/>
        </w:rPr>
      </w:pPr>
      <w:r>
        <w:rPr>
          <w:rFonts w:ascii="Times New Roman" w:cs="Times New Roman" w:eastAsia="Times New Roman" w:hAnsi="Times New Roman"/>
          <w:sz w:val="19"/>
          <w:szCs w:val="19"/>
          <w:color w:val="auto"/>
        </w:rPr>
        <w:t xml:space="preserve">(lvii) </w:t>
      </w:r>
      <w:r>
        <w:rPr>
          <w:rFonts w:ascii="Times New Roman" w:cs="Times New Roman" w:eastAsia="Times New Roman" w:hAnsi="Times New Roman"/>
          <w:sz w:val="19"/>
          <w:szCs w:val="19"/>
          <w:u w:val="single" w:color="auto"/>
          <w:color w:val="auto"/>
        </w:rPr>
        <w:t>Cash Collateral, Repayment of Swingline Loans</w:t>
      </w:r>
      <w:r>
        <w:rPr>
          <w:rFonts w:ascii="Times New Roman" w:cs="Times New Roman" w:eastAsia="Times New Roman" w:hAnsi="Times New Roman"/>
          <w:sz w:val="19"/>
          <w:szCs w:val="19"/>
          <w:color w:val="auto"/>
        </w:rPr>
        <w:t>. If the reallocation described in clause (iv) above cannot, or can only partially, be effected, the Borrowers shall, without prejudice to any right or remedy available to it hereunder or under law, (x)</w:t>
      </w:r>
    </w:p>
    <w:p>
      <w:pPr>
        <w:ind w:left="678"/>
        <w:spacing w:after="0"/>
        <w:rPr>
          <w:sz w:val="20"/>
          <w:szCs w:val="20"/>
          <w:color w:val="auto"/>
        </w:rPr>
      </w:pPr>
      <w:r>
        <w:rPr>
          <w:rFonts w:ascii="Times New Roman" w:cs="Times New Roman" w:eastAsia="Times New Roman" w:hAnsi="Times New Roman"/>
          <w:sz w:val="20"/>
          <w:szCs w:val="20"/>
          <w:u w:val="single" w:color="auto"/>
          <w:color w:val="auto"/>
        </w:rPr>
        <w:t>first</w:t>
      </w:r>
      <w:r>
        <w:rPr>
          <w:rFonts w:ascii="Times New Roman" w:cs="Times New Roman" w:eastAsia="Times New Roman" w:hAnsi="Times New Roman"/>
          <w:sz w:val="20"/>
          <w:szCs w:val="20"/>
          <w:color w:val="auto"/>
        </w:rPr>
        <w:t>, repay Swingline Loans in an</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38"/>
        <w:spacing w:after="0"/>
        <w:rPr>
          <w:sz w:val="20"/>
          <w:szCs w:val="20"/>
          <w:color w:val="auto"/>
        </w:rPr>
      </w:pPr>
      <w:r>
        <w:rPr>
          <w:rFonts w:ascii="Times New Roman" w:cs="Times New Roman" w:eastAsia="Times New Roman" w:hAnsi="Times New Roman"/>
          <w:sz w:val="14"/>
          <w:szCs w:val="14"/>
          <w:color w:val="FF0000"/>
          <w:strike w:val="1"/>
        </w:rPr>
        <w:t>146960219_6</w:t>
      </w:r>
    </w:p>
    <w:p>
      <w:pPr>
        <w:spacing w:after="0" w:line="4" w:lineRule="exact"/>
        <w:rPr>
          <w:sz w:val="20"/>
          <w:szCs w:val="20"/>
          <w:color w:val="auto"/>
        </w:rPr>
      </w:pPr>
    </w:p>
    <w:p>
      <w:pPr>
        <w:ind w:left="338" w:hanging="338"/>
        <w:spacing w:after="0"/>
        <w:tabs>
          <w:tab w:leader="none" w:pos="338" w:val="left"/>
        </w:tabs>
        <w:numPr>
          <w:ilvl w:val="0"/>
          <w:numId w:val="267"/>
        </w:numPr>
        <w:rPr>
          <w:rFonts w:ascii="Times New Roman" w:cs="Times New Roman" w:eastAsia="Times New Roman" w:hAnsi="Times New Roman"/>
          <w:sz w:val="20"/>
          <w:szCs w:val="20"/>
          <w:color w:val="auto"/>
        </w:rPr>
      </w:pP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078"/>
          </w:cols>
          <w:pgMar w:left="382" w:top="1394" w:right="439" w:bottom="1440" w:gutter="0" w:footer="0" w:header="0"/>
        </w:sectPr>
      </w:pPr>
    </w:p>
    <w:bookmarkStart w:id="181" w:name="page182"/>
    <w:bookmarkEnd w:id="181"/>
    <w:p>
      <w:pPr>
        <w:ind w:left="698" w:right="520"/>
        <w:spacing w:after="0"/>
        <w:rPr>
          <w:sz w:val="20"/>
          <w:szCs w:val="20"/>
          <w:color w:val="auto"/>
        </w:rPr>
      </w:pPr>
      <w:r>
        <w:rPr>
          <w:rFonts w:ascii="Times New Roman" w:cs="Times New Roman" w:eastAsia="Times New Roman" w:hAnsi="Times New Roman"/>
          <w:sz w:val="20"/>
          <w:szCs w:val="20"/>
          <w:color w:val="auto"/>
        </w:rPr>
        <w:t xml:space="preserve">amount equal to the Swingline Lenders’ Fronting Exposure and (y) </w:t>
      </w: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xml:space="preserve">, Cash Collateralize the Issuing Lenders’ Fronting Exposure in accordance with the procedures set forth in </w:t>
      </w:r>
      <w:r>
        <w:rPr>
          <w:rFonts w:ascii="Times New Roman" w:cs="Times New Roman" w:eastAsia="Times New Roman" w:hAnsi="Times New Roman"/>
          <w:sz w:val="20"/>
          <w:szCs w:val="20"/>
          <w:u w:val="single" w:color="auto"/>
          <w:color w:val="auto"/>
        </w:rPr>
        <w:t>Section 5.14</w:t>
      </w:r>
      <w:r>
        <w:rPr>
          <w:rFonts w:ascii="Times New Roman" w:cs="Times New Roman" w:eastAsia="Times New Roman" w:hAnsi="Times New Roman"/>
          <w:sz w:val="20"/>
          <w:szCs w:val="20"/>
          <w:color w:val="auto"/>
        </w:rPr>
        <w:t>.</w:t>
      </w:r>
    </w:p>
    <w:p>
      <w:pPr>
        <w:spacing w:after="0" w:line="256" w:lineRule="exact"/>
        <w:rPr>
          <w:sz w:val="20"/>
          <w:szCs w:val="20"/>
          <w:color w:val="auto"/>
        </w:rPr>
      </w:pPr>
    </w:p>
    <w:p>
      <w:pPr>
        <w:jc w:val="both"/>
        <w:ind w:left="58" w:firstLine="644"/>
        <w:spacing w:after="0" w:line="211" w:lineRule="auto"/>
        <w:tabs>
          <w:tab w:leader="none" w:pos="1234" w:val="left"/>
        </w:tabs>
        <w:numPr>
          <w:ilvl w:val="0"/>
          <w:numId w:val="2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Defaulting Lender Cure</w:t>
      </w:r>
      <w:r>
        <w:rPr>
          <w:rFonts w:ascii="Times New Roman" w:cs="Times New Roman" w:eastAsia="Times New Roman" w:hAnsi="Times New Roman"/>
          <w:sz w:val="20"/>
          <w:szCs w:val="20"/>
          <w:color w:val="auto"/>
        </w:rPr>
        <w:t xml:space="preserve">. If the Borrowers, the Administrative Agent, the Issuing Lenders and the Swingline Lenders 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such Lender will, to the extent applicable, purchase at par that portion of outstanding Loans of the other Lenders or take such other actions as the Administrative Agent may determine to be necessary to cause the Loans and funded and unfunded participations in Letters of Credit and Swingline Loans to be held </w:t>
      </w:r>
      <w:r>
        <w:rPr>
          <w:rFonts w:ascii="Times New Roman" w:cs="Times New Roman" w:eastAsia="Times New Roman" w:hAnsi="Times New Roman"/>
          <w:sz w:val="20"/>
          <w:szCs w:val="20"/>
          <w:u w:val="single" w:color="auto"/>
          <w:color w:val="auto"/>
        </w:rPr>
        <w:t>pro rata</w:t>
      </w:r>
      <w:r>
        <w:rPr>
          <w:rFonts w:ascii="Times New Roman" w:cs="Times New Roman" w:eastAsia="Times New Roman" w:hAnsi="Times New Roman"/>
          <w:sz w:val="20"/>
          <w:szCs w:val="20"/>
          <w:color w:val="auto"/>
        </w:rPr>
        <w:t xml:space="preserve"> by the Lenders in accordance with the Commitments under the applicable Credit Facility (without giving effect to </w:t>
      </w:r>
      <w:r>
        <w:rPr>
          <w:rFonts w:ascii="Times New Roman" w:cs="Times New Roman" w:eastAsia="Times New Roman" w:hAnsi="Times New Roman"/>
          <w:sz w:val="20"/>
          <w:szCs w:val="20"/>
          <w:u w:val="single" w:color="auto"/>
          <w:color w:val="auto"/>
        </w:rPr>
        <w:t>Section 5.15(a)(iv)</w:t>
      </w:r>
      <w:r>
        <w:rPr>
          <w:rFonts w:ascii="Times New Roman" w:cs="Times New Roman" w:eastAsia="Times New Roman" w:hAnsi="Times New Roman"/>
          <w:sz w:val="20"/>
          <w:szCs w:val="20"/>
          <w:color w:val="auto"/>
        </w:rPr>
        <w:t xml:space="preserve">), whereupon such Lender will cease to be a Defaulting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adjustments will be made retroactively with respect to fees accrued or payments made by or on behalf of the Borrowers while that Lender was a Defaulting Lender; and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92" w:lineRule="exact"/>
        <w:rPr>
          <w:sz w:val="20"/>
          <w:szCs w:val="20"/>
          <w:color w:val="auto"/>
        </w:rPr>
      </w:pPr>
    </w:p>
    <w:p>
      <w:pPr>
        <w:ind w:left="698"/>
        <w:spacing w:after="0"/>
        <w:tabs>
          <w:tab w:leader="none" w:pos="2118" w:val="left"/>
        </w:tabs>
        <w:rPr>
          <w:sz w:val="20"/>
          <w:szCs w:val="20"/>
          <w:color w:val="auto"/>
        </w:rPr>
      </w:pPr>
      <w:r>
        <w:rPr>
          <w:rFonts w:ascii="Times New Roman" w:cs="Times New Roman" w:eastAsia="Times New Roman" w:hAnsi="Times New Roman"/>
          <w:sz w:val="20"/>
          <w:szCs w:val="20"/>
          <w:color w:val="auto"/>
        </w:rPr>
        <w:t>SECTION 5.16</w:t>
      </w:r>
      <w:r>
        <w:rPr>
          <w:sz w:val="20"/>
          <w:szCs w:val="20"/>
          <w:color w:val="auto"/>
        </w:rPr>
        <w:tab/>
      </w:r>
      <w:r>
        <w:rPr>
          <w:rFonts w:ascii="Times New Roman" w:cs="Times New Roman" w:eastAsia="Times New Roman" w:hAnsi="Times New Roman"/>
          <w:sz w:val="19"/>
          <w:szCs w:val="19"/>
          <w:u w:val="single" w:color="auto"/>
          <w:color w:val="auto"/>
        </w:rPr>
        <w:t>Centuri as Agent for the Borrowers; Nature of Obligations</w:t>
      </w:r>
    </w:p>
    <w:p>
      <w:pPr>
        <w:spacing w:after="0" w:line="283" w:lineRule="exact"/>
        <w:rPr>
          <w:sz w:val="20"/>
          <w:szCs w:val="20"/>
          <w:color w:val="auto"/>
        </w:rPr>
      </w:pPr>
    </w:p>
    <w:p>
      <w:pPr>
        <w:ind w:left="58"/>
        <w:spacing w:after="0"/>
        <w:rPr>
          <w:sz w:val="20"/>
          <w:szCs w:val="20"/>
          <w:color w:val="auto"/>
        </w:rPr>
      </w:pP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58" w:firstLine="644"/>
        <w:spacing w:after="0" w:line="227" w:lineRule="auto"/>
        <w:tabs>
          <w:tab w:leader="none" w:pos="1236" w:val="left"/>
        </w:tabs>
        <w:numPr>
          <w:ilvl w:val="0"/>
          <w:numId w:val="2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Borrower hereby irrevocably appoints and authorizes Centuri (a) to provide the Administrative Agent with all notices with respect to Loans obtained for the benefit of such Borrower and all other notices and instructions under this Agreement, (b) to take such action on behalf of such Borrower as Centuri deems appropriate on its behalf to such Borrower Loans or Letters of Credit and to exercise such other powers as are reasonably incidental thereto to carry out the purposes of this Agreement and (c) to act as its agent for service of process and notices required to be delivered under this Agreement or the other Loan Documents, it being understood and agreed that receipt by Centuri of any summons, notice or other similar item shall be deemed effective receipt by the Consolidated Companies.</w:t>
      </w:r>
    </w:p>
    <w:p>
      <w:pPr>
        <w:spacing w:after="0" w:line="191" w:lineRule="exact"/>
        <w:rPr>
          <w:rFonts w:ascii="Times New Roman" w:cs="Times New Roman" w:eastAsia="Times New Roman" w:hAnsi="Times New Roman"/>
          <w:sz w:val="19"/>
          <w:szCs w:val="19"/>
          <w:color w:val="auto"/>
        </w:rPr>
      </w:pPr>
    </w:p>
    <w:p>
      <w:pPr>
        <w:jc w:val="both"/>
        <w:ind w:left="58" w:firstLine="644"/>
        <w:spacing w:after="0" w:line="222" w:lineRule="auto"/>
        <w:tabs>
          <w:tab w:leader="none" w:pos="1235" w:val="left"/>
        </w:tabs>
        <w:numPr>
          <w:ilvl w:val="0"/>
          <w:numId w:val="2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to contrary contained in the Loan Documents, (a) the US Borrowers shall be jointly and severally liable for all Obligations and (b) the Canadian Borrowers shall be jointly and severally liable for all Canadian Obligations, but in no event shall any Canadian Borrower have any obligation with respect to the US Obligations. In the event of any conflict or inconsistency between this </w:t>
      </w:r>
      <w:r>
        <w:rPr>
          <w:rFonts w:ascii="Times New Roman" w:cs="Times New Roman" w:eastAsia="Times New Roman" w:hAnsi="Times New Roman"/>
          <w:sz w:val="20"/>
          <w:szCs w:val="20"/>
          <w:u w:val="single" w:color="auto"/>
          <w:color w:val="auto"/>
        </w:rPr>
        <w:t>Section 5.16(b)</w:t>
      </w:r>
      <w:r>
        <w:rPr>
          <w:rFonts w:ascii="Times New Roman" w:cs="Times New Roman" w:eastAsia="Times New Roman" w:hAnsi="Times New Roman"/>
          <w:sz w:val="20"/>
          <w:szCs w:val="20"/>
          <w:color w:val="auto"/>
        </w:rPr>
        <w:t xml:space="preserve"> and any other provision of any Loan Document, this </w:t>
      </w:r>
      <w:r>
        <w:rPr>
          <w:rFonts w:ascii="Times New Roman" w:cs="Times New Roman" w:eastAsia="Times New Roman" w:hAnsi="Times New Roman"/>
          <w:sz w:val="20"/>
          <w:szCs w:val="20"/>
          <w:u w:val="single" w:color="auto"/>
          <w:color w:val="auto"/>
        </w:rPr>
        <w:t>Section 5.16(b)</w:t>
      </w:r>
      <w:r>
        <w:rPr>
          <w:rFonts w:ascii="Times New Roman" w:cs="Times New Roman" w:eastAsia="Times New Roman" w:hAnsi="Times New Roman"/>
          <w:sz w:val="20"/>
          <w:szCs w:val="20"/>
          <w:color w:val="auto"/>
        </w:rPr>
        <w:t xml:space="preserve"> shall control.</w:t>
      </w:r>
    </w:p>
    <w:p>
      <w:pPr>
        <w:spacing w:after="0" w:line="256" w:lineRule="exact"/>
        <w:rPr>
          <w:sz w:val="20"/>
          <w:szCs w:val="20"/>
          <w:color w:val="auto"/>
        </w:rPr>
      </w:pPr>
    </w:p>
    <w:p>
      <w:pPr>
        <w:ind w:left="698"/>
        <w:spacing w:after="0"/>
        <w:tabs>
          <w:tab w:leader="none" w:pos="2118" w:val="left"/>
        </w:tabs>
        <w:rPr>
          <w:sz w:val="20"/>
          <w:szCs w:val="20"/>
          <w:color w:val="auto"/>
        </w:rPr>
      </w:pPr>
      <w:r>
        <w:rPr>
          <w:rFonts w:ascii="Times New Roman" w:cs="Times New Roman" w:eastAsia="Times New Roman" w:hAnsi="Times New Roman"/>
          <w:sz w:val="20"/>
          <w:szCs w:val="20"/>
          <w:color w:val="auto"/>
        </w:rPr>
        <w:t>SECTION 5.17</w:t>
      </w:r>
      <w:r>
        <w:rPr>
          <w:sz w:val="20"/>
          <w:szCs w:val="20"/>
          <w:color w:val="auto"/>
        </w:rPr>
        <w:tab/>
      </w:r>
      <w:r>
        <w:rPr>
          <w:rFonts w:ascii="Times New Roman" w:cs="Times New Roman" w:eastAsia="Times New Roman" w:hAnsi="Times New Roman"/>
          <w:sz w:val="19"/>
          <w:szCs w:val="19"/>
          <w:u w:val="single" w:color="auto"/>
          <w:color w:val="auto"/>
        </w:rPr>
        <w:t>Additional Borrowers</w:t>
      </w:r>
    </w:p>
    <w:p>
      <w:pPr>
        <w:spacing w:after="0" w:line="283" w:lineRule="exact"/>
        <w:rPr>
          <w:sz w:val="20"/>
          <w:szCs w:val="20"/>
          <w:color w:val="auto"/>
        </w:rPr>
      </w:pPr>
    </w:p>
    <w:p>
      <w:pPr>
        <w:jc w:val="both"/>
        <w:ind w:left="58" w:hanging="4"/>
        <w:spacing w:after="0" w:line="213" w:lineRule="auto"/>
        <w:tabs>
          <w:tab w:leader="none" w:pos="211" w:val="left"/>
        </w:tabs>
        <w:numPr>
          <w:ilvl w:val="0"/>
          <w:numId w:val="2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u w:val="single" w:color="auto"/>
          <w:color w:val="auto"/>
        </w:rPr>
        <w:t>Section 8.14</w:t>
      </w:r>
      <w:r>
        <w:rPr>
          <w:rFonts w:ascii="Times New Roman" w:cs="Times New Roman" w:eastAsia="Times New Roman" w:hAnsi="Times New Roman"/>
          <w:sz w:val="20"/>
          <w:szCs w:val="20"/>
          <w:color w:val="auto"/>
        </w:rPr>
        <w:t>, Centuri may at any time, upon not less than fifteen (15) Business Days’ notice from Centuri to the Administrative Agent and the Lenders (or such shorter period as may be agreed by the Administrative Agent in its sole discretion), request that a Wholly-Owned US Subsidiary or Wholly-Owned Canadian Subsidiary (each, an “</w:t>
      </w:r>
      <w:r>
        <w:rPr>
          <w:rFonts w:ascii="Times New Roman" w:cs="Times New Roman" w:eastAsia="Times New Roman" w:hAnsi="Times New Roman"/>
          <w:sz w:val="20"/>
          <w:szCs w:val="20"/>
          <w:u w:val="single" w:color="auto"/>
          <w:color w:val="auto"/>
        </w:rPr>
        <w:t>Applicant Borrower</w:t>
      </w:r>
      <w:r>
        <w:rPr>
          <w:rFonts w:ascii="Times New Roman" w:cs="Times New Roman" w:eastAsia="Times New Roman" w:hAnsi="Times New Roman"/>
          <w:sz w:val="20"/>
          <w:szCs w:val="20"/>
          <w:color w:val="auto"/>
        </w:rPr>
        <w:t xml:space="preserve">”) be designated as an Additional Borrower to receive Loans and request Letters of Credit hereunder by delivering to the Administrative Agent (which shall promptly deliver counterparts thereof to each Lender) a duly executed notice and agreement in substantially the form of </w:t>
      </w:r>
      <w:r>
        <w:rPr>
          <w:rFonts w:ascii="Times New Roman" w:cs="Times New Roman" w:eastAsia="Times New Roman" w:hAnsi="Times New Roman"/>
          <w:sz w:val="20"/>
          <w:szCs w:val="20"/>
          <w:b w:val="1"/>
          <w:bCs w:val="1"/>
          <w:i w:val="1"/>
          <w:iCs w:val="1"/>
          <w:color w:val="auto"/>
        </w:rPr>
        <w:t>Exhibit I</w:t>
      </w:r>
      <w:r>
        <w:rPr>
          <w:rFonts w:ascii="Times New Roman" w:cs="Times New Roman" w:eastAsia="Times New Roman" w:hAnsi="Times New Roman"/>
          <w:sz w:val="20"/>
          <w:szCs w:val="20"/>
          <w:color w:val="auto"/>
        </w:rPr>
        <w:t xml:space="preserve"> (an “</w:t>
      </w:r>
      <w:r>
        <w:rPr>
          <w:rFonts w:ascii="Times New Roman" w:cs="Times New Roman" w:eastAsia="Times New Roman" w:hAnsi="Times New Roman"/>
          <w:sz w:val="20"/>
          <w:szCs w:val="20"/>
          <w:u w:val="single" w:color="auto"/>
          <w:color w:val="auto"/>
        </w:rPr>
        <w:t>Additional Borrower Request and Assumption Agreement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US Subsidiary or Canadian Subsidiary may be designated as an Additional Borrower without the consent of each Revolving Credit Lender unless such US Subsidiary or Canadian Subsidiary is already a US Subsidiary Guarantor or Canadian Subsidiary Guarantor, as applicable. The parties hereto acknowledge and agree that prior to any Applicant Borrower becoming entitled to utilize the Credit Facilities, the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38"/>
        <w:spacing w:after="0"/>
        <w:rPr>
          <w:sz w:val="20"/>
          <w:szCs w:val="20"/>
          <w:color w:val="auto"/>
        </w:rPr>
      </w:pPr>
      <w:r>
        <w:rPr>
          <w:rFonts w:ascii="Times New Roman" w:cs="Times New Roman" w:eastAsia="Times New Roman" w:hAnsi="Times New Roman"/>
          <w:sz w:val="14"/>
          <w:szCs w:val="14"/>
          <w:color w:val="FF0000"/>
          <w:strike w:val="1"/>
        </w:rPr>
        <w:t>146960219_6</w:t>
      </w:r>
    </w:p>
    <w:p>
      <w:pPr>
        <w:spacing w:after="0" w:line="4" w:lineRule="exact"/>
        <w:rPr>
          <w:sz w:val="20"/>
          <w:szCs w:val="20"/>
          <w:color w:val="auto"/>
        </w:rPr>
      </w:pPr>
    </w:p>
    <w:p>
      <w:pPr>
        <w:ind w:left="338" w:hanging="338"/>
        <w:spacing w:after="0"/>
        <w:tabs>
          <w:tab w:leader="none" w:pos="338" w:val="left"/>
        </w:tabs>
        <w:numPr>
          <w:ilvl w:val="0"/>
          <w:numId w:val="271"/>
        </w:numPr>
        <w:rPr>
          <w:rFonts w:ascii="Times New Roman" w:cs="Times New Roman" w:eastAsia="Times New Roman" w:hAnsi="Times New Roman"/>
          <w:sz w:val="20"/>
          <w:szCs w:val="20"/>
          <w:color w:val="auto"/>
        </w:rPr>
      </w:pP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078"/>
          </w:cols>
          <w:pgMar w:left="382" w:top="1399" w:right="439" w:bottom="1440" w:gutter="0" w:footer="0" w:header="0"/>
        </w:sectPr>
      </w:pPr>
    </w:p>
    <w:bookmarkStart w:id="182" w:name="page183"/>
    <w:bookmarkEnd w:id="182"/>
    <w:p>
      <w:pPr>
        <w:ind w:left="80"/>
        <w:spacing w:after="0"/>
        <w:rPr>
          <w:sz w:val="20"/>
          <w:szCs w:val="20"/>
          <w:color w:val="auto"/>
        </w:rPr>
      </w:pPr>
      <w:r>
        <w:rPr>
          <w:rFonts w:ascii="Times New Roman" w:cs="Times New Roman" w:eastAsia="Times New Roman" w:hAnsi="Times New Roman"/>
          <w:sz w:val="20"/>
          <w:szCs w:val="20"/>
          <w:color w:val="auto"/>
        </w:rPr>
        <w:t>Administrative Agent and the Lenders shall have received such supporting Security Documents, supplements to the Loan Documents,</w:t>
      </w:r>
    </w:p>
    <w:p>
      <w:pPr>
        <w:ind w:left="80"/>
        <w:spacing w:after="0" w:line="215" w:lineRule="auto"/>
        <w:rPr>
          <w:sz w:val="20"/>
          <w:szCs w:val="20"/>
          <w:color w:val="auto"/>
        </w:rPr>
      </w:pPr>
      <w:r>
        <w:rPr>
          <w:rFonts w:ascii="Times New Roman" w:cs="Times New Roman" w:eastAsia="Times New Roman" w:hAnsi="Times New Roman"/>
          <w:sz w:val="19"/>
          <w:szCs w:val="19"/>
          <w:color w:val="auto"/>
        </w:rPr>
        <w:t>resolutions, incumbency certificates, opinions of counsel, all documentation and other information in order to comply with requirements of any Anti-Money Laundering Laws including, without limitation, the PATRIOT Act and any applicable “know your customer” rules and</w:t>
      </w:r>
    </w:p>
    <w:p>
      <w:pPr>
        <w:ind w:left="80"/>
        <w:spacing w:after="0" w:line="222" w:lineRule="auto"/>
        <w:rPr>
          <w:sz w:val="20"/>
          <w:szCs w:val="20"/>
          <w:color w:val="auto"/>
        </w:rPr>
      </w:pPr>
      <w:r>
        <w:rPr>
          <w:rFonts w:ascii="Times New Roman" w:cs="Times New Roman" w:eastAsia="Times New Roman" w:hAnsi="Times New Roman"/>
          <w:sz w:val="19"/>
          <w:szCs w:val="19"/>
          <w:color w:val="auto"/>
        </w:rPr>
        <w:t>regulations, Beneficial Ownership Certification and other documents or information, in form, content and scope reasonably satisfactory to</w:t>
      </w:r>
    </w:p>
    <w:p>
      <w:pPr>
        <w:ind w:left="80"/>
        <w:spacing w:after="0" w:line="204" w:lineRule="auto"/>
        <w:rPr>
          <w:sz w:val="20"/>
          <w:szCs w:val="20"/>
          <w:color w:val="auto"/>
        </w:rPr>
      </w:pPr>
      <w:r>
        <w:rPr>
          <w:rFonts w:ascii="Times New Roman" w:cs="Times New Roman" w:eastAsia="Times New Roman" w:hAnsi="Times New Roman"/>
          <w:sz w:val="20"/>
          <w:szCs w:val="20"/>
          <w:color w:val="auto"/>
        </w:rPr>
        <w:t>the Administrative Agent, as may be required by the Administrative Agent or the Lenders in their sole discretion, and Notes signed by such new Borrowers to the extent any Lenders so require. If the Administrative Agent and the Lenders agree that an Applicant Borrower</w:t>
      </w:r>
    </w:p>
    <w:p>
      <w:pPr>
        <w:ind w:left="80"/>
        <w:spacing w:after="0" w:line="223" w:lineRule="auto"/>
        <w:rPr>
          <w:sz w:val="20"/>
          <w:szCs w:val="20"/>
          <w:color w:val="auto"/>
        </w:rPr>
      </w:pPr>
      <w:r>
        <w:rPr>
          <w:rFonts w:ascii="Times New Roman" w:cs="Times New Roman" w:eastAsia="Times New Roman" w:hAnsi="Times New Roman"/>
          <w:sz w:val="19"/>
          <w:szCs w:val="19"/>
          <w:color w:val="auto"/>
        </w:rPr>
        <w:t>shall be entitled to receive Loans and request Letters of Credit hereunder, then promptly following receipt of all such requested documents</w:t>
      </w:r>
    </w:p>
    <w:p>
      <w:pPr>
        <w:ind w:left="80"/>
        <w:spacing w:after="0" w:line="204" w:lineRule="auto"/>
        <w:rPr>
          <w:sz w:val="20"/>
          <w:szCs w:val="20"/>
          <w:color w:val="auto"/>
        </w:rPr>
      </w:pPr>
      <w:r>
        <w:rPr>
          <w:rFonts w:ascii="Times New Roman" w:cs="Times New Roman" w:eastAsia="Times New Roman" w:hAnsi="Times New Roman"/>
          <w:sz w:val="20"/>
          <w:szCs w:val="20"/>
          <w:color w:val="auto"/>
        </w:rPr>
        <w:t xml:space="preserve">and information described above, the Administrative Agent shall send a notice in substantially the form of </w:t>
      </w:r>
      <w:r>
        <w:rPr>
          <w:rFonts w:ascii="Times New Roman" w:cs="Times New Roman" w:eastAsia="Times New Roman" w:hAnsi="Times New Roman"/>
          <w:sz w:val="20"/>
          <w:szCs w:val="20"/>
          <w:b w:val="1"/>
          <w:bCs w:val="1"/>
          <w:i w:val="1"/>
          <w:iCs w:val="1"/>
          <w:color w:val="auto"/>
        </w:rPr>
        <w:t>Exhibit J</w:t>
      </w:r>
      <w:r>
        <w:rPr>
          <w:rFonts w:ascii="Times New Roman" w:cs="Times New Roman" w:eastAsia="Times New Roman" w:hAnsi="Times New Roman"/>
          <w:sz w:val="20"/>
          <w:szCs w:val="20"/>
          <w:color w:val="auto"/>
        </w:rPr>
        <w:t xml:space="preserve"> (an “</w:t>
      </w:r>
      <w:r>
        <w:rPr>
          <w:rFonts w:ascii="Times New Roman" w:cs="Times New Roman" w:eastAsia="Times New Roman" w:hAnsi="Times New Roman"/>
          <w:sz w:val="20"/>
          <w:szCs w:val="20"/>
          <w:u w:val="single" w:color="auto"/>
          <w:color w:val="auto"/>
        </w:rPr>
        <w:t>Additional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Borrower Notice</w:t>
      </w:r>
      <w:r>
        <w:rPr>
          <w:rFonts w:ascii="Times New Roman" w:cs="Times New Roman" w:eastAsia="Times New Roman" w:hAnsi="Times New Roman"/>
          <w:sz w:val="20"/>
          <w:szCs w:val="20"/>
          <w:color w:val="auto"/>
        </w:rPr>
        <w:t>”) to Centuri and the Lenders specifying the effective date upon which the Applicant Borrower shall constitute an</w:t>
      </w:r>
    </w:p>
    <w:p>
      <w:pPr>
        <w:ind w:left="80"/>
        <w:spacing w:after="0" w:line="223" w:lineRule="auto"/>
        <w:rPr>
          <w:sz w:val="20"/>
          <w:szCs w:val="20"/>
          <w:color w:val="auto"/>
        </w:rPr>
      </w:pPr>
      <w:r>
        <w:rPr>
          <w:rFonts w:ascii="Times New Roman" w:cs="Times New Roman" w:eastAsia="Times New Roman" w:hAnsi="Times New Roman"/>
          <w:sz w:val="19"/>
          <w:szCs w:val="19"/>
          <w:color w:val="auto"/>
        </w:rPr>
        <w:t>Additional Borrower for purposes hereof, whereupon each of the Lenders agrees to permit such Additional Borrower to receive Loans and</w:t>
      </w:r>
    </w:p>
    <w:p>
      <w:pPr>
        <w:ind w:left="80"/>
        <w:spacing w:after="0" w:line="204" w:lineRule="auto"/>
        <w:rPr>
          <w:sz w:val="20"/>
          <w:szCs w:val="20"/>
          <w:color w:val="auto"/>
        </w:rPr>
      </w:pPr>
      <w:r>
        <w:rPr>
          <w:rFonts w:ascii="Times New Roman" w:cs="Times New Roman" w:eastAsia="Times New Roman" w:hAnsi="Times New Roman"/>
          <w:sz w:val="20"/>
          <w:szCs w:val="20"/>
          <w:color w:val="auto"/>
        </w:rPr>
        <w:t xml:space="preserve">request Letters of Credit hereunder, on the terms and conditions set forth herein, and each of the parties agrees that such Additional Borrower otherwise shall be a Borrower for all purposes of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Notice of Borrowing or Letter of Credit</w:t>
      </w:r>
    </w:p>
    <w:p>
      <w:pPr>
        <w:spacing w:after="0" w:line="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Application may be submitted by or on behalf of such Additional Borrower until the date five (5) Business Days after such effective date.</w:t>
      </w:r>
    </w:p>
    <w:p>
      <w:pPr>
        <w:spacing w:after="0" w:line="194" w:lineRule="exact"/>
        <w:rPr>
          <w:sz w:val="20"/>
          <w:szCs w:val="20"/>
          <w:color w:val="auto"/>
        </w:rPr>
      </w:pPr>
    </w:p>
    <w:p>
      <w:pPr>
        <w:ind w:left="720"/>
        <w:spacing w:after="0"/>
        <w:tabs>
          <w:tab w:leader="none" w:pos="2140" w:val="left"/>
        </w:tabs>
        <w:rPr>
          <w:sz w:val="20"/>
          <w:szCs w:val="20"/>
          <w:color w:val="auto"/>
        </w:rPr>
      </w:pPr>
      <w:r>
        <w:rPr>
          <w:rFonts w:ascii="Times New Roman" w:cs="Times New Roman" w:eastAsia="Times New Roman" w:hAnsi="Times New Roman"/>
          <w:sz w:val="20"/>
          <w:szCs w:val="20"/>
          <w:color w:val="auto"/>
        </w:rPr>
        <w:t>SECTION 5.18</w:t>
      </w:r>
      <w:r>
        <w:rPr>
          <w:sz w:val="20"/>
          <w:szCs w:val="20"/>
          <w:color w:val="auto"/>
        </w:rPr>
        <w:tab/>
      </w:r>
      <w:r>
        <w:rPr>
          <w:rFonts w:ascii="Times New Roman" w:cs="Times New Roman" w:eastAsia="Times New Roman" w:hAnsi="Times New Roman"/>
          <w:sz w:val="19"/>
          <w:szCs w:val="19"/>
          <w:u w:val="single" w:color="auto"/>
          <w:color w:val="auto"/>
        </w:rPr>
        <w:t>Refinancing Facilities</w:t>
      </w:r>
      <w:r>
        <w:rPr>
          <w:rFonts w:ascii="Times New Roman" w:cs="Times New Roman" w:eastAsia="Times New Roman" w:hAnsi="Times New Roman"/>
          <w:sz w:val="19"/>
          <w:szCs w:val="19"/>
          <w:color w:val="auto"/>
        </w:rPr>
        <w:t>.</w:t>
      </w:r>
    </w:p>
    <w:p>
      <w:pPr>
        <w:spacing w:after="0" w:line="283" w:lineRule="exact"/>
        <w:rPr>
          <w:sz w:val="20"/>
          <w:szCs w:val="20"/>
          <w:color w:val="auto"/>
        </w:rPr>
      </w:pPr>
    </w:p>
    <w:p>
      <w:pPr>
        <w:jc w:val="both"/>
        <w:ind w:left="80" w:firstLine="644"/>
        <w:spacing w:after="0" w:line="227" w:lineRule="auto"/>
        <w:tabs>
          <w:tab w:leader="none" w:pos="1259" w:val="left"/>
        </w:tabs>
        <w:numPr>
          <w:ilvl w:val="0"/>
          <w:numId w:val="2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Borrowers may by written notice to the Administrative Agent elect to request the establishment of (i) one or more additional tranches or Classes of term loans under this Agreement (“</w:t>
      </w:r>
      <w:r>
        <w:rPr>
          <w:rFonts w:ascii="Times New Roman" w:cs="Times New Roman" w:eastAsia="Times New Roman" w:hAnsi="Times New Roman"/>
          <w:sz w:val="19"/>
          <w:szCs w:val="19"/>
          <w:u w:val="single" w:color="auto"/>
          <w:color w:val="auto"/>
        </w:rPr>
        <w:t>Refinancing Term Loans</w:t>
      </w:r>
      <w:r>
        <w:rPr>
          <w:rFonts w:ascii="Times New Roman" w:cs="Times New Roman" w:eastAsia="Times New Roman" w:hAnsi="Times New Roman"/>
          <w:sz w:val="19"/>
          <w:szCs w:val="19"/>
          <w:color w:val="auto"/>
        </w:rPr>
        <w:t>”) or one or more series of debt securities (“</w:t>
      </w:r>
      <w:r>
        <w:rPr>
          <w:rFonts w:ascii="Times New Roman" w:cs="Times New Roman" w:eastAsia="Times New Roman" w:hAnsi="Times New Roman"/>
          <w:sz w:val="19"/>
          <w:szCs w:val="19"/>
          <w:u w:val="single" w:color="auto"/>
          <w:color w:val="auto"/>
        </w:rPr>
        <w:t>Refinancing Notes</w:t>
      </w:r>
      <w:r>
        <w:rPr>
          <w:rFonts w:ascii="Times New Roman" w:cs="Times New Roman" w:eastAsia="Times New Roman" w:hAnsi="Times New Roman"/>
          <w:sz w:val="19"/>
          <w:szCs w:val="19"/>
          <w:color w:val="auto"/>
        </w:rPr>
        <w:t>”), which refinance, renew, replace, defease or refund (collectively, “</w:t>
      </w:r>
      <w:r>
        <w:rPr>
          <w:rFonts w:ascii="Times New Roman" w:cs="Times New Roman" w:eastAsia="Times New Roman" w:hAnsi="Times New Roman"/>
          <w:sz w:val="19"/>
          <w:szCs w:val="19"/>
          <w:u w:val="single" w:color="auto"/>
          <w:color w:val="auto"/>
        </w:rPr>
        <w:t>Refinance</w:t>
      </w:r>
      <w:r>
        <w:rPr>
          <w:rFonts w:ascii="Times New Roman" w:cs="Times New Roman" w:eastAsia="Times New Roman" w:hAnsi="Times New Roman"/>
          <w:sz w:val="19"/>
          <w:szCs w:val="19"/>
          <w:color w:val="auto"/>
        </w:rPr>
        <w:t>”) one or more Classes of Term Loans under this Agreement or (ii) one or more additional revolving facilities under this Agreement providing for revolving commitments (“</w:t>
      </w:r>
      <w:r>
        <w:rPr>
          <w:rFonts w:ascii="Times New Roman" w:cs="Times New Roman" w:eastAsia="Times New Roman" w:hAnsi="Times New Roman"/>
          <w:sz w:val="19"/>
          <w:szCs w:val="19"/>
          <w:u w:val="single" w:color="auto"/>
          <w:color w:val="auto"/>
        </w:rPr>
        <w:t>Refinancing Revolving Credit Commitments</w:t>
      </w:r>
      <w:r>
        <w:rPr>
          <w:rFonts w:ascii="Times New Roman" w:cs="Times New Roman" w:eastAsia="Times New Roman" w:hAnsi="Times New Roman"/>
          <w:sz w:val="19"/>
          <w:szCs w:val="19"/>
          <w:color w:val="auto"/>
        </w:rPr>
        <w:t>” and the revolving loans thereunder, “</w:t>
      </w:r>
      <w:r>
        <w:rPr>
          <w:rFonts w:ascii="Times New Roman" w:cs="Times New Roman" w:eastAsia="Times New Roman" w:hAnsi="Times New Roman"/>
          <w:sz w:val="19"/>
          <w:szCs w:val="19"/>
          <w:u w:val="single" w:color="auto"/>
          <w:color w:val="auto"/>
        </w:rPr>
        <w:t>Refinancing Revolving Loans</w:t>
      </w:r>
      <w:r>
        <w:rPr>
          <w:rFonts w:ascii="Times New Roman" w:cs="Times New Roman" w:eastAsia="Times New Roman" w:hAnsi="Times New Roman"/>
          <w:sz w:val="19"/>
          <w:szCs w:val="19"/>
          <w:color w:val="auto"/>
        </w:rPr>
        <w:t xml:space="preserve">”) which Refinances one or more Classes of Revolving Credit Commitments (and Revolving Credit Loans thereunder) under this Agreement;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w:t>
      </w:r>
    </w:p>
    <w:p>
      <w:pPr>
        <w:spacing w:after="0" w:line="25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0"/>
          <w:szCs w:val="20"/>
          <w:color w:val="auto"/>
        </w:rPr>
        <w:t>(lviii) no Default or Event of Default has occurred and is continuing or would result therefrom;</w:t>
      </w:r>
    </w:p>
    <w:p>
      <w:pPr>
        <w:spacing w:after="0" w:line="229" w:lineRule="exact"/>
        <w:rPr>
          <w:sz w:val="20"/>
          <w:szCs w:val="20"/>
          <w:color w:val="auto"/>
        </w:rPr>
      </w:pPr>
    </w:p>
    <w:p>
      <w:pPr>
        <w:jc w:val="both"/>
        <w:ind w:left="720" w:firstLine="649"/>
        <w:spacing w:after="0" w:line="274" w:lineRule="auto"/>
        <w:rPr>
          <w:sz w:val="20"/>
          <w:szCs w:val="20"/>
          <w:color w:val="auto"/>
        </w:rPr>
      </w:pPr>
      <w:r>
        <w:rPr>
          <w:rFonts w:ascii="Times New Roman" w:cs="Times New Roman" w:eastAsia="Times New Roman" w:hAnsi="Times New Roman"/>
          <w:sz w:val="19"/>
          <w:szCs w:val="19"/>
          <w:color w:val="auto"/>
        </w:rPr>
        <w:t xml:space="preserve">(lix) the principal amount of such Refinancing Debt or Refinancing Revolving Credit Commitments may not exceed the aggregate principal amount of the Term Loans or Revolving Credit Commitments being Refinanced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accrued and unpaid interest thereon, any prepayment premiums applicable thereto and reasonable fees and expenses incurred in connection therewith;</w:t>
      </w:r>
    </w:p>
    <w:p>
      <w:pPr>
        <w:spacing w:after="0" w:line="170" w:lineRule="exact"/>
        <w:rPr>
          <w:sz w:val="20"/>
          <w:szCs w:val="20"/>
          <w:color w:val="auto"/>
        </w:rPr>
      </w:pPr>
    </w:p>
    <w:p>
      <w:pPr>
        <w:jc w:val="both"/>
        <w:ind w:left="720" w:firstLine="649"/>
        <w:spacing w:after="0" w:line="234" w:lineRule="auto"/>
        <w:rPr>
          <w:sz w:val="20"/>
          <w:szCs w:val="20"/>
          <w:color w:val="auto"/>
        </w:rPr>
      </w:pPr>
      <w:r>
        <w:rPr>
          <w:rFonts w:ascii="Times New Roman" w:cs="Times New Roman" w:eastAsia="Times New Roman" w:hAnsi="Times New Roman"/>
          <w:sz w:val="19"/>
          <w:szCs w:val="19"/>
          <w:color w:val="auto"/>
        </w:rPr>
        <w:t>(lx) the final maturity date of such Refinancing Debt or Refinancing Revolving Credit Commitments shall not be earlier than the maturity date of the Term Loans (or, in the case of any unsecured or junior lien Refinancing Debt, no earlier than the date</w:t>
      </w:r>
    </w:p>
    <w:p>
      <w:pPr>
        <w:spacing w:after="0" w:line="1" w:lineRule="exact"/>
        <w:rPr>
          <w:sz w:val="20"/>
          <w:szCs w:val="20"/>
          <w:color w:val="auto"/>
        </w:rPr>
      </w:pPr>
    </w:p>
    <w:p>
      <w:pPr>
        <w:jc w:val="both"/>
        <w:ind w:left="720"/>
        <w:spacing w:after="0" w:line="204" w:lineRule="auto"/>
        <w:rPr>
          <w:sz w:val="20"/>
          <w:szCs w:val="20"/>
          <w:color w:val="auto"/>
        </w:rPr>
      </w:pPr>
      <w:r>
        <w:rPr>
          <w:rFonts w:ascii="Times New Roman" w:cs="Times New Roman" w:eastAsia="Times New Roman" w:hAnsi="Times New Roman"/>
          <w:sz w:val="20"/>
          <w:szCs w:val="20"/>
          <w:color w:val="auto"/>
        </w:rPr>
        <w:t>that is 91 days after the latest final maturity date of the Term Loans existing at the time of such refinancing or replacement) or Revolving Credit Commitments being Refinanced, and the Weighted Average Life to Maturity of such Refinancing Debt shall be</w:t>
      </w:r>
    </w:p>
    <w:p>
      <w:pPr>
        <w:spacing w:after="0" w:line="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no earlier than the then remaining Weighted Average Life to Maturity of each Class of Term Loans being refinanced;</w:t>
      </w:r>
    </w:p>
    <w:p>
      <w:pPr>
        <w:spacing w:after="0" w:line="194" w:lineRule="exact"/>
        <w:rPr>
          <w:sz w:val="20"/>
          <w:szCs w:val="20"/>
          <w:color w:val="auto"/>
        </w:rPr>
      </w:pPr>
    </w:p>
    <w:p>
      <w:pPr>
        <w:jc w:val="both"/>
        <w:ind w:left="720" w:firstLine="649"/>
        <w:spacing w:after="0" w:line="222" w:lineRule="auto"/>
        <w:rPr>
          <w:sz w:val="20"/>
          <w:szCs w:val="20"/>
          <w:color w:val="auto"/>
        </w:rPr>
      </w:pPr>
      <w:r>
        <w:rPr>
          <w:rFonts w:ascii="Times New Roman" w:cs="Times New Roman" w:eastAsia="Times New Roman" w:hAnsi="Times New Roman"/>
          <w:sz w:val="20"/>
          <w:szCs w:val="20"/>
          <w:color w:val="auto"/>
        </w:rPr>
        <w:t>(lxi) the other terms and conditions of such Refinancing Debt or Refinancing Revolving Credit Commitments (except as otherwise provided in clause (iii) above and with respect to pricing, interest rate margins, premiums, discounts, fees, rate floors</w:t>
      </w:r>
    </w:p>
    <w:p>
      <w:pPr>
        <w:spacing w:after="0" w:line="2" w:lineRule="exact"/>
        <w:rPr>
          <w:sz w:val="20"/>
          <w:szCs w:val="20"/>
          <w:color w:val="auto"/>
        </w:rPr>
      </w:pPr>
    </w:p>
    <w:p>
      <w:pPr>
        <w:jc w:val="both"/>
        <w:ind w:left="720"/>
        <w:spacing w:after="0" w:line="221" w:lineRule="auto"/>
        <w:rPr>
          <w:sz w:val="20"/>
          <w:szCs w:val="20"/>
          <w:color w:val="auto"/>
        </w:rPr>
      </w:pPr>
      <w:r>
        <w:rPr>
          <w:rFonts w:ascii="Times New Roman" w:cs="Times New Roman" w:eastAsia="Times New Roman" w:hAnsi="Times New Roman"/>
          <w:sz w:val="20"/>
          <w:szCs w:val="20"/>
          <w:color w:val="auto"/>
        </w:rPr>
        <w:t>and optional prepayment or redemption terms), taken as a whole shall (as reasonably determined by the Borrowers) be substantially similar to, or (taken as a whole) not materially less favorable to the Borrowers and their respective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FF0000"/>
          <w:strike w:val="1"/>
        </w:rPr>
        <w:t>146960219_6</w:t>
      </w:r>
    </w:p>
    <w:p>
      <w:pPr>
        <w:spacing w:after="0"/>
        <w:rPr>
          <w:sz w:val="20"/>
          <w:szCs w:val="20"/>
          <w:color w:val="auto"/>
        </w:rPr>
      </w:pPr>
      <w:r>
        <w:rPr>
          <w:rFonts w:ascii="Times New Roman" w:cs="Times New Roman" w:eastAsia="Times New Roman" w:hAnsi="Times New Roman"/>
          <w:sz w:val="20"/>
          <w:szCs w:val="20"/>
          <w:color w:val="auto"/>
        </w:rPr>
        <w:t xml:space="preserve">100  </w:t>
      </w: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100"/>
          </w:cols>
          <w:pgMar w:left="360" w:top="1394" w:right="439" w:bottom="1440" w:gutter="0" w:footer="0" w:header="0"/>
        </w:sectPr>
      </w:pPr>
    </w:p>
    <w:bookmarkStart w:id="183" w:name="page184"/>
    <w:bookmarkEnd w:id="183"/>
    <w:p>
      <w:pPr>
        <w:ind w:left="700"/>
        <w:spacing w:after="0"/>
        <w:rPr>
          <w:sz w:val="20"/>
          <w:szCs w:val="20"/>
          <w:color w:val="auto"/>
        </w:rPr>
      </w:pPr>
      <w:r>
        <w:rPr>
          <w:rFonts w:ascii="Times New Roman" w:cs="Times New Roman" w:eastAsia="Times New Roman" w:hAnsi="Times New Roman"/>
          <w:sz w:val="20"/>
          <w:szCs w:val="20"/>
          <w:color w:val="auto"/>
        </w:rPr>
        <w:t>Subsidiaries than, the terms, taken as a whole, applicable to Term Loans or Revolving Credit Commitments being Refinanced,</w:t>
      </w:r>
    </w:p>
    <w:p>
      <w:pPr>
        <w:ind w:left="700"/>
        <w:spacing w:after="0" w:line="215" w:lineRule="auto"/>
        <w:rPr>
          <w:sz w:val="20"/>
          <w:szCs w:val="20"/>
          <w:color w:val="auto"/>
        </w:rPr>
      </w:pPr>
      <w:r>
        <w:rPr>
          <w:rFonts w:ascii="Times New Roman" w:cs="Times New Roman" w:eastAsia="Times New Roman" w:hAnsi="Times New Roman"/>
          <w:sz w:val="19"/>
          <w:szCs w:val="19"/>
          <w:color w:val="auto"/>
        </w:rPr>
        <w:t>except to the extent such covenants and other terms apply solely to any period after the latest final Term Loan Maturity Date or Revolving Credit Maturity Date of the Term Loans and/or Revolving Credit Commitments being Refinanced (or, in the case of any</w:t>
      </w:r>
    </w:p>
    <w:p>
      <w:pPr>
        <w:ind w:left="700"/>
        <w:spacing w:after="0" w:line="228" w:lineRule="auto"/>
        <w:rPr>
          <w:sz w:val="20"/>
          <w:szCs w:val="20"/>
          <w:color w:val="auto"/>
        </w:rPr>
      </w:pPr>
      <w:r>
        <w:rPr>
          <w:rFonts w:ascii="Times New Roman" w:cs="Times New Roman" w:eastAsia="Times New Roman" w:hAnsi="Times New Roman"/>
          <w:sz w:val="20"/>
          <w:szCs w:val="20"/>
          <w:color w:val="auto"/>
        </w:rPr>
        <w:t>unsecured or junior lien Refinancing Debt, after the date that is 91 days after such latest final Term Loan Maturity Date or Revolving Credit Maturity Date);</w:t>
      </w:r>
    </w:p>
    <w:p>
      <w:pPr>
        <w:spacing w:after="0" w:line="189" w:lineRule="exact"/>
        <w:rPr>
          <w:sz w:val="20"/>
          <w:szCs w:val="20"/>
          <w:color w:val="auto"/>
        </w:rPr>
      </w:pPr>
    </w:p>
    <w:p>
      <w:pPr>
        <w:jc w:val="both"/>
        <w:ind w:left="700" w:right="20" w:firstLine="654"/>
        <w:spacing w:after="0" w:line="215" w:lineRule="auto"/>
        <w:tabs>
          <w:tab w:leader="none" w:pos="1900" w:val="left"/>
        </w:tabs>
        <w:numPr>
          <w:ilvl w:val="1"/>
          <w:numId w:val="2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proceeds of such Refinancing Debt, Refinancing Revolving Credit Commitments or Refinancing Revolving Loans shall be applied, concurrently or substantially concurrently with the incurrence thereof (in accordance with </w:t>
      </w:r>
      <w:r>
        <w:rPr>
          <w:rFonts w:ascii="Times New Roman" w:cs="Times New Roman" w:eastAsia="Times New Roman" w:hAnsi="Times New Roman"/>
          <w:sz w:val="20"/>
          <w:szCs w:val="20"/>
          <w:u w:val="single" w:color="auto"/>
          <w:color w:val="auto"/>
        </w:rPr>
        <w:t>Section 4.4(b)</w:t>
      </w:r>
    </w:p>
    <w:p>
      <w:pPr>
        <w:spacing w:after="0" w:line="1" w:lineRule="exact"/>
        <w:rPr>
          <w:rFonts w:ascii="Times New Roman" w:cs="Times New Roman" w:eastAsia="Times New Roman" w:hAnsi="Times New Roman"/>
          <w:sz w:val="20"/>
          <w:szCs w:val="20"/>
          <w:color w:val="auto"/>
        </w:rPr>
      </w:pPr>
    </w:p>
    <w:p>
      <w:pPr>
        <w:ind w:left="700" w:right="20"/>
        <w:spacing w:after="0" w:line="228"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w:t>
      </w:r>
      <w:r>
        <w:rPr>
          <w:rFonts w:ascii="Times New Roman" w:cs="Times New Roman" w:eastAsia="Times New Roman" w:hAnsi="Times New Roman"/>
          <w:sz w:val="20"/>
          <w:szCs w:val="20"/>
          <w:color w:val="auto"/>
        </w:rPr>
        <w:t>), solely to the repayment of the outstanding amount of one or more Classes of Term Loans or permanently reduce one or more Classes of Revolving Credit Commitments and Revolving Credit Loans, as the case may be, being Refinanced thereby;</w:t>
      </w:r>
    </w:p>
    <w:p>
      <w:pPr>
        <w:spacing w:after="0" w:line="189" w:lineRule="exact"/>
        <w:rPr>
          <w:rFonts w:ascii="Times New Roman" w:cs="Times New Roman" w:eastAsia="Times New Roman" w:hAnsi="Times New Roman"/>
          <w:sz w:val="20"/>
          <w:szCs w:val="20"/>
          <w:color w:val="auto"/>
        </w:rPr>
      </w:pPr>
    </w:p>
    <w:p>
      <w:pPr>
        <w:jc w:val="both"/>
        <w:ind w:left="700" w:right="20" w:firstLine="654"/>
        <w:spacing w:after="0" w:line="226" w:lineRule="auto"/>
        <w:tabs>
          <w:tab w:leader="none" w:pos="1901" w:val="left"/>
        </w:tabs>
        <w:numPr>
          <w:ilvl w:val="1"/>
          <w:numId w:val="2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Class of Refinancing Term Loans or Refinancing Revolving Credit Commitments shall be in an aggregate amount of $5,000,000 or any whole multiple of $1,000,000 in excess thereof (or such other amount necessary to repay or replace any Class of outstanding Term Loans or Refinancing Revolving Credit Commitments in full);</w:t>
      </w:r>
    </w:p>
    <w:p>
      <w:pPr>
        <w:spacing w:after="0" w:line="200" w:lineRule="exact"/>
        <w:rPr>
          <w:rFonts w:ascii="Times New Roman" w:cs="Times New Roman" w:eastAsia="Times New Roman" w:hAnsi="Times New Roman"/>
          <w:sz w:val="20"/>
          <w:szCs w:val="20"/>
          <w:color w:val="auto"/>
        </w:rPr>
      </w:pPr>
    </w:p>
    <w:p>
      <w:pPr>
        <w:ind w:left="700" w:firstLine="654"/>
        <w:spacing w:after="0" w:line="233" w:lineRule="auto"/>
        <w:tabs>
          <w:tab w:leader="none" w:pos="1902" w:val="left"/>
        </w:tabs>
        <w:numPr>
          <w:ilvl w:val="1"/>
          <w:numId w:val="2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Subsidiary that is not also a Subsidiary Guarantor may be a borrower or a guarantor with respect to such Refinancing Debt, Refinancing Revolving Credit Commitments and/or Refinancing Revolving Loans;</w:t>
      </w:r>
    </w:p>
    <w:p>
      <w:pPr>
        <w:spacing w:after="0" w:line="187" w:lineRule="exact"/>
        <w:rPr>
          <w:rFonts w:ascii="Times New Roman" w:cs="Times New Roman" w:eastAsia="Times New Roman" w:hAnsi="Times New Roman"/>
          <w:sz w:val="20"/>
          <w:szCs w:val="20"/>
          <w:color w:val="auto"/>
        </w:rPr>
      </w:pPr>
    </w:p>
    <w:p>
      <w:pPr>
        <w:jc w:val="both"/>
        <w:ind w:left="700" w:firstLine="653"/>
        <w:spacing w:after="0" w:line="220" w:lineRule="auto"/>
        <w:tabs>
          <w:tab w:leader="none" w:pos="1904" w:val="left"/>
        </w:tabs>
        <w:numPr>
          <w:ilvl w:val="1"/>
          <w:numId w:val="2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Refinancing Debt, Refinancing Revolving Credit Commitments and/or Refinancing Revolving Loans may be unsecured or may only be secured by the Collateral and may rank pari passu or junior in right of payment and/or security with the remaining Revolving Credit Commitments, Revolving Credit Loans and/or Term Loans, so long as the holders of any Refinancing Debt, Refinancing Revolving Credit Commitments and/or Refinancing Revolving Loans that are junior in right of payment and/or security are subject to an Acceptable Intercreditor Agreement;</w:t>
      </w:r>
    </w:p>
    <w:p>
      <w:pPr>
        <w:spacing w:after="0" w:line="187" w:lineRule="exact"/>
        <w:rPr>
          <w:rFonts w:ascii="Times New Roman" w:cs="Times New Roman" w:eastAsia="Times New Roman" w:hAnsi="Times New Roman"/>
          <w:sz w:val="20"/>
          <w:szCs w:val="20"/>
          <w:color w:val="auto"/>
        </w:rPr>
      </w:pPr>
    </w:p>
    <w:p>
      <w:pPr>
        <w:ind w:left="700" w:firstLine="653"/>
        <w:spacing w:after="0"/>
        <w:tabs>
          <w:tab w:leader="none" w:pos="1903" w:val="left"/>
        </w:tabs>
        <w:numPr>
          <w:ilvl w:val="1"/>
          <w:numId w:val="2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Refinancing Debt or Refinancing Revolving Credit Commitments shall not be secured by any asset of the Borrowers and their respective Subsidiaries other than the Collateral;</w:t>
      </w:r>
    </w:p>
    <w:p>
      <w:pPr>
        <w:spacing w:after="0" w:line="188" w:lineRule="exact"/>
        <w:rPr>
          <w:rFonts w:ascii="Times New Roman" w:cs="Times New Roman" w:eastAsia="Times New Roman" w:hAnsi="Times New Roman"/>
          <w:sz w:val="20"/>
          <w:szCs w:val="20"/>
          <w:color w:val="auto"/>
        </w:rPr>
      </w:pPr>
    </w:p>
    <w:p>
      <w:pPr>
        <w:jc w:val="both"/>
        <w:ind w:left="700" w:firstLine="653"/>
        <w:spacing w:after="0" w:line="216" w:lineRule="auto"/>
        <w:tabs>
          <w:tab w:leader="none" w:pos="1904" w:val="left"/>
        </w:tabs>
        <w:numPr>
          <w:ilvl w:val="1"/>
          <w:numId w:val="2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any Refinancing Revolving Credit Commitments, substantially concurrently with the effectiveness thereof, all the Revolving Credit Commitments then in effect shall be terminated, and all the Revolving Credit Loans then outstanding, together with all interest thereon, and all other amounts accrued for the benefit of the Revolving Credit Lenders, shall be repaid or paid (it being understood, however, that any Letters of Credit may continue to be outstanding hereunder), and the aggregate amount of such Refinancing Revolving Credit Commitments does not exceed the aggregate amount of the Revolving Credit Commitments so terminated; and</w:t>
      </w:r>
    </w:p>
    <w:p>
      <w:pPr>
        <w:spacing w:after="0" w:line="202" w:lineRule="exact"/>
        <w:rPr>
          <w:rFonts w:ascii="Times New Roman" w:cs="Times New Roman" w:eastAsia="Times New Roman" w:hAnsi="Times New Roman"/>
          <w:sz w:val="20"/>
          <w:szCs w:val="20"/>
          <w:color w:val="auto"/>
        </w:rPr>
      </w:pPr>
    </w:p>
    <w:p>
      <w:pPr>
        <w:jc w:val="both"/>
        <w:ind w:left="700" w:firstLine="653"/>
        <w:spacing w:after="0" w:line="222" w:lineRule="auto"/>
        <w:tabs>
          <w:tab w:leader="none" w:pos="1904" w:val="left"/>
        </w:tabs>
        <w:numPr>
          <w:ilvl w:val="1"/>
          <w:numId w:val="2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mandatory prepayment requirements, in the case of any Refinancing Term Loans, may provide that such Refinancing Term Loans may participate in any mandatory prepayment on a pro rata basis with any Class of existing Term Loans, but may not provide for prepayment requirements that are more favorable to the Lenders holding such Refinancing Term Loans than to the Lenders holding such Class of Term Loans.</w:t>
      </w:r>
    </w:p>
    <w:p>
      <w:pPr>
        <w:spacing w:after="0" w:line="188" w:lineRule="exact"/>
        <w:rPr>
          <w:rFonts w:ascii="Times New Roman" w:cs="Times New Roman" w:eastAsia="Times New Roman" w:hAnsi="Times New Roman"/>
          <w:sz w:val="20"/>
          <w:szCs w:val="20"/>
          <w:color w:val="auto"/>
        </w:rPr>
      </w:pPr>
    </w:p>
    <w:p>
      <w:pPr>
        <w:ind w:left="60" w:right="180" w:firstLine="646"/>
        <w:spacing w:after="0"/>
        <w:tabs>
          <w:tab w:leader="none" w:pos="1263" w:val="left"/>
        </w:tabs>
        <w:numPr>
          <w:ilvl w:val="0"/>
          <w:numId w:val="2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such notice shall specify the date (each, a “</w:t>
      </w:r>
      <w:r>
        <w:rPr>
          <w:rFonts w:ascii="Times New Roman" w:cs="Times New Roman" w:eastAsia="Times New Roman" w:hAnsi="Times New Roman"/>
          <w:sz w:val="20"/>
          <w:szCs w:val="20"/>
          <w:u w:val="single" w:color="auto"/>
          <w:color w:val="auto"/>
        </w:rPr>
        <w:t>Refinancing Effective Date</w:t>
      </w:r>
      <w:r>
        <w:rPr>
          <w:rFonts w:ascii="Times New Roman" w:cs="Times New Roman" w:eastAsia="Times New Roman" w:hAnsi="Times New Roman"/>
          <w:sz w:val="20"/>
          <w:szCs w:val="20"/>
          <w:color w:val="auto"/>
        </w:rPr>
        <w:t>”) on which the applicable Borrower proposes that the Refinancing Debt be made or the Refinancing Revolving Credit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FF0000"/>
          <w:strike w:val="1"/>
        </w:rPr>
        <w:t>146960219_6</w:t>
      </w:r>
    </w:p>
    <w:p>
      <w:pPr>
        <w:spacing w:after="0"/>
        <w:rPr>
          <w:sz w:val="20"/>
          <w:szCs w:val="20"/>
          <w:color w:val="auto"/>
        </w:rPr>
      </w:pPr>
      <w:r>
        <w:rPr>
          <w:rFonts w:ascii="Times New Roman" w:cs="Times New Roman" w:eastAsia="Times New Roman" w:hAnsi="Times New Roman"/>
          <w:sz w:val="20"/>
          <w:szCs w:val="20"/>
          <w:color w:val="auto"/>
        </w:rPr>
        <w:t xml:space="preserve">101  </w:t>
      </w: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100"/>
          </w:cols>
          <w:pgMar w:left="360" w:top="1394" w:right="439" w:bottom="1440" w:gutter="0" w:footer="0" w:header="0"/>
        </w:sectPr>
      </w:pPr>
    </w:p>
    <w:bookmarkStart w:id="184" w:name="page185"/>
    <w:bookmarkEnd w:id="184"/>
    <w:p>
      <w:pPr>
        <w:ind w:left="60"/>
        <w:spacing w:after="0" w:line="269" w:lineRule="auto"/>
        <w:rPr>
          <w:sz w:val="20"/>
          <w:szCs w:val="20"/>
          <w:color w:val="auto"/>
        </w:rPr>
      </w:pPr>
      <w:r>
        <w:rPr>
          <w:rFonts w:ascii="Times New Roman" w:cs="Times New Roman" w:eastAsia="Times New Roman" w:hAnsi="Times New Roman"/>
          <w:sz w:val="20"/>
          <w:szCs w:val="20"/>
          <w:color w:val="auto"/>
        </w:rPr>
        <w:t>Commitments shall become effective, which shall be a date not less than three (3) Business Days (or such shorter period as may be agreed to by the Administrative Agent) after the date on which such notice is delivered to the Administrative Agent.</w:t>
      </w:r>
    </w:p>
    <w:p>
      <w:pPr>
        <w:spacing w:after="0" w:line="173" w:lineRule="exact"/>
        <w:rPr>
          <w:sz w:val="20"/>
          <w:szCs w:val="20"/>
          <w:color w:val="auto"/>
        </w:rPr>
      </w:pPr>
    </w:p>
    <w:p>
      <w:pPr>
        <w:jc w:val="both"/>
        <w:ind w:left="60" w:firstLine="644"/>
        <w:spacing w:after="0" w:line="212" w:lineRule="auto"/>
        <w:tabs>
          <w:tab w:leader="none" w:pos="1239" w:val="left"/>
        </w:tabs>
        <w:numPr>
          <w:ilvl w:val="0"/>
          <w:numId w:val="2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Borrowers may approach any Lender or any other Person that would be an Eligible Assignee of the applicable Class of Loans or Commitments pursuant to </w:t>
      </w:r>
      <w:r>
        <w:rPr>
          <w:rFonts w:ascii="Times New Roman" w:cs="Times New Roman" w:eastAsia="Times New Roman" w:hAnsi="Times New Roman"/>
          <w:sz w:val="20"/>
          <w:szCs w:val="20"/>
          <w:u w:val="single" w:color="auto"/>
          <w:color w:val="auto"/>
        </w:rPr>
        <w:t>Section 12.9(b)</w:t>
      </w:r>
      <w:r>
        <w:rPr>
          <w:rFonts w:ascii="Times New Roman" w:cs="Times New Roman" w:eastAsia="Times New Roman" w:hAnsi="Times New Roman"/>
          <w:sz w:val="20"/>
          <w:szCs w:val="20"/>
          <w:color w:val="auto"/>
        </w:rPr>
        <w:t xml:space="preserve"> to provide all or a portion of the Refinancing Term Loans or Refinancing Revolving Credit Commitments (a “</w:t>
      </w:r>
      <w:r>
        <w:rPr>
          <w:rFonts w:ascii="Times New Roman" w:cs="Times New Roman" w:eastAsia="Times New Roman" w:hAnsi="Times New Roman"/>
          <w:sz w:val="20"/>
          <w:szCs w:val="20"/>
          <w:u w:val="single" w:color="auto"/>
          <w:color w:val="auto"/>
        </w:rPr>
        <w:t>Refinancing Lender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Lender offered or approached to provide all or a portion of the Refinancing Term Loans may elect or decline, in its sole discretion, to provide a Refinancing Term Loan or Refinancing Revolving Credit Commitment, as applicable. Any Refinancing Term Loans or Refinancing Revolving Credit Commitment made on any Refinancing Effective Date shall be designated a series (a “</w:t>
      </w:r>
      <w:r>
        <w:rPr>
          <w:rFonts w:ascii="Times New Roman" w:cs="Times New Roman" w:eastAsia="Times New Roman" w:hAnsi="Times New Roman"/>
          <w:sz w:val="20"/>
          <w:szCs w:val="20"/>
          <w:u w:val="single" w:color="auto"/>
          <w:color w:val="auto"/>
        </w:rPr>
        <w:t>Refinancing Series</w:t>
      </w:r>
      <w:r>
        <w:rPr>
          <w:rFonts w:ascii="Times New Roman" w:cs="Times New Roman" w:eastAsia="Times New Roman" w:hAnsi="Times New Roman"/>
          <w:sz w:val="20"/>
          <w:szCs w:val="20"/>
          <w:color w:val="auto"/>
        </w:rPr>
        <w:t xml:space="preserve">”) of Refinancing Term Loans or Refinancing Revolving Credit Commitments for all purposes of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any Refinancing Term Loans may, to the extent provided in the applicable Refinancing Amendment, be designated as an increase in any previously established Refinancing Series of Refinancing Term Loans made to the applicable Borrower and (ii) any Refinancing Revolving Credit Commitments may, to the extent provided in the applicable Refinancing Amendment, be designated as an increase in any previously established Refinancing Series of Refinancing Revolving Credit Commitments.</w:t>
      </w:r>
    </w:p>
    <w:p>
      <w:pPr>
        <w:spacing w:after="0" w:line="195" w:lineRule="exact"/>
        <w:rPr>
          <w:rFonts w:ascii="Times New Roman" w:cs="Times New Roman" w:eastAsia="Times New Roman" w:hAnsi="Times New Roman"/>
          <w:sz w:val="20"/>
          <w:szCs w:val="20"/>
          <w:color w:val="auto"/>
        </w:rPr>
      </w:pPr>
    </w:p>
    <w:p>
      <w:pPr>
        <w:jc w:val="both"/>
        <w:ind w:left="60" w:firstLine="644"/>
        <w:spacing w:after="0" w:line="209" w:lineRule="auto"/>
        <w:tabs>
          <w:tab w:leader="none" w:pos="1236" w:val="left"/>
        </w:tabs>
        <w:numPr>
          <w:ilvl w:val="0"/>
          <w:numId w:val="2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Administrative Agent and the Lenders hereby consent to the transactions contemplated by this </w:t>
      </w:r>
      <w:r>
        <w:rPr>
          <w:rFonts w:ascii="Times New Roman" w:cs="Times New Roman" w:eastAsia="Times New Roman" w:hAnsi="Times New Roman"/>
          <w:sz w:val="20"/>
          <w:szCs w:val="20"/>
          <w:u w:val="single" w:color="auto"/>
          <w:color w:val="auto"/>
        </w:rPr>
        <w:t>Section 5.18</w:t>
      </w:r>
      <w:r>
        <w:rPr>
          <w:rFonts w:ascii="Times New Roman" w:cs="Times New Roman" w:eastAsia="Times New Roman" w:hAnsi="Times New Roman"/>
          <w:sz w:val="20"/>
          <w:szCs w:val="20"/>
          <w:color w:val="auto"/>
        </w:rPr>
        <w:t xml:space="preserve"> (including, for the avoidance of doubt, the payment of interest, fees, amortization or premium in respect of the Refinancing Term Loans and Refinancing Revolving Credit Commitments, and Refinancing Revolving Loans on the terms specified by the Borrowers) and hereby waive the requirements of this Agreement (including, but not limited to, </w:t>
      </w:r>
      <w:r>
        <w:rPr>
          <w:rFonts w:ascii="Times New Roman" w:cs="Times New Roman" w:eastAsia="Times New Roman" w:hAnsi="Times New Roman"/>
          <w:sz w:val="20"/>
          <w:szCs w:val="20"/>
          <w:u w:val="single" w:color="auto"/>
          <w:color w:val="auto"/>
        </w:rPr>
        <w:t>Section 5.6</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12.2</w:t>
      </w:r>
      <w:r>
        <w:rPr>
          <w:rFonts w:ascii="Times New Roman" w:cs="Times New Roman" w:eastAsia="Times New Roman" w:hAnsi="Times New Roman"/>
          <w:sz w:val="20"/>
          <w:szCs w:val="20"/>
          <w:color w:val="auto"/>
        </w:rPr>
        <w:t xml:space="preserve">) or any other Loan Document that may otherwise prohibit such Refinance or any other transaction contemplated by this </w:t>
      </w:r>
      <w:r>
        <w:rPr>
          <w:rFonts w:ascii="Times New Roman" w:cs="Times New Roman" w:eastAsia="Times New Roman" w:hAnsi="Times New Roman"/>
          <w:sz w:val="20"/>
          <w:szCs w:val="20"/>
          <w:u w:val="single" w:color="auto"/>
          <w:color w:val="auto"/>
        </w:rPr>
        <w:t>Section 5.18</w:t>
      </w:r>
      <w:r>
        <w:rPr>
          <w:rFonts w:ascii="Times New Roman" w:cs="Times New Roman" w:eastAsia="Times New Roman" w:hAnsi="Times New Roman"/>
          <w:sz w:val="20"/>
          <w:szCs w:val="20"/>
          <w:color w:val="auto"/>
        </w:rPr>
        <w:t>. The Refinancing Term Loans and Refinancing Revolving Credit Commitments shall be established pursuant to an amendment to this Agreement among the applicable Borrower and the applicable Refinancing Lenders providing such Refinancing Term Loans or Refinancing Revolving Credit Commitments (a “</w:t>
      </w:r>
      <w:r>
        <w:rPr>
          <w:rFonts w:ascii="Times New Roman" w:cs="Times New Roman" w:eastAsia="Times New Roman" w:hAnsi="Times New Roman"/>
          <w:sz w:val="20"/>
          <w:szCs w:val="20"/>
          <w:u w:val="single" w:color="auto"/>
          <w:color w:val="auto"/>
        </w:rPr>
        <w:t>Refinancing Amendment</w:t>
      </w:r>
      <w:r>
        <w:rPr>
          <w:rFonts w:ascii="Times New Roman" w:cs="Times New Roman" w:eastAsia="Times New Roman" w:hAnsi="Times New Roman"/>
          <w:sz w:val="20"/>
          <w:szCs w:val="20"/>
          <w:color w:val="auto"/>
        </w:rPr>
        <w:t xml:space="preserve">”) which shall be consistent with the provisions set forth in this </w:t>
      </w:r>
      <w:r>
        <w:rPr>
          <w:rFonts w:ascii="Times New Roman" w:cs="Times New Roman" w:eastAsia="Times New Roman" w:hAnsi="Times New Roman"/>
          <w:sz w:val="20"/>
          <w:szCs w:val="20"/>
          <w:u w:val="single" w:color="auto"/>
          <w:color w:val="auto"/>
        </w:rPr>
        <w:t>Section 5.18</w:t>
      </w:r>
      <w:r>
        <w:rPr>
          <w:rFonts w:ascii="Times New Roman" w:cs="Times New Roman" w:eastAsia="Times New Roman" w:hAnsi="Times New Roman"/>
          <w:sz w:val="20"/>
          <w:szCs w:val="20"/>
          <w:color w:val="auto"/>
        </w:rPr>
        <w:t xml:space="preserve">. The Refinancing Notes shall be established pursuant to documentation which shall be consistent with the provisions set forth in </w:t>
      </w:r>
      <w:r>
        <w:rPr>
          <w:rFonts w:ascii="Times New Roman" w:cs="Times New Roman" w:eastAsia="Times New Roman" w:hAnsi="Times New Roman"/>
          <w:sz w:val="20"/>
          <w:szCs w:val="20"/>
          <w:u w:val="single" w:color="auto"/>
          <w:color w:val="auto"/>
        </w:rPr>
        <w:t>Section 5.18(a)</w:t>
      </w:r>
      <w:r>
        <w:rPr>
          <w:rFonts w:ascii="Times New Roman" w:cs="Times New Roman" w:eastAsia="Times New Roman" w:hAnsi="Times New Roman"/>
          <w:sz w:val="20"/>
          <w:szCs w:val="20"/>
          <w:color w:val="auto"/>
        </w:rPr>
        <w:t xml:space="preserve">. Each Refinancing Amendment shall be binding on the Lenders, the Administrative Agent, the Credit Parties party thereto and the other parties hereto without the consent of any other Lender (except with respect to Refinancing Revolving Credit Commitments as provided above) and the Lenders hereby irrevocably authorize the Administrative Agent to enter into amendments to this Agreement and the other Loan Documents as may be necessary or appropriate in the reasonable opinion of the Administrative Agent and the Borrowers, to effect the provisions of this </w:t>
      </w:r>
      <w:r>
        <w:rPr>
          <w:rFonts w:ascii="Times New Roman" w:cs="Times New Roman" w:eastAsia="Times New Roman" w:hAnsi="Times New Roman"/>
          <w:sz w:val="20"/>
          <w:szCs w:val="20"/>
          <w:u w:val="single" w:color="auto"/>
          <w:color w:val="auto"/>
        </w:rPr>
        <w:t>Section 5.18</w:t>
      </w:r>
      <w:r>
        <w:rPr>
          <w:rFonts w:ascii="Times New Roman" w:cs="Times New Roman" w:eastAsia="Times New Roman" w:hAnsi="Times New Roman"/>
          <w:sz w:val="20"/>
          <w:szCs w:val="20"/>
          <w:color w:val="auto"/>
        </w:rPr>
        <w:t xml:space="preserve">, including in order to establish new tranches or sub-tranches in respect of the Refinancing Term Loans or Refinancing Revolving Credit Commitments and Refinancing Revolving Loans and such technical amendments as may be necessary or appropriate in connection therewith and to adjust the amortization schedule in </w:t>
      </w:r>
      <w:r>
        <w:rPr>
          <w:rFonts w:ascii="Times New Roman" w:cs="Times New Roman" w:eastAsia="Times New Roman" w:hAnsi="Times New Roman"/>
          <w:sz w:val="20"/>
          <w:szCs w:val="20"/>
          <w:u w:val="single" w:color="auto"/>
          <w:color w:val="auto"/>
        </w:rPr>
        <w:t>Section 4.3(a)</w:t>
      </w:r>
      <w:r>
        <w:rPr>
          <w:rFonts w:ascii="Times New Roman" w:cs="Times New Roman" w:eastAsia="Times New Roman" w:hAnsi="Times New Roman"/>
          <w:sz w:val="20"/>
          <w:szCs w:val="20"/>
          <w:color w:val="auto"/>
        </w:rPr>
        <w:t xml:space="preserve"> (insofar as such schedule relates to payments due to Lenders, the Term Loans of which are Refinanced;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such amendment shall reduce the </w:t>
      </w:r>
      <w:r>
        <w:rPr>
          <w:rFonts w:ascii="Times New Roman" w:cs="Times New Roman" w:eastAsia="Times New Roman" w:hAnsi="Times New Roman"/>
          <w:sz w:val="20"/>
          <w:szCs w:val="20"/>
          <w:u w:val="single" w:color="auto"/>
          <w:color w:val="auto"/>
        </w:rPr>
        <w:t>pro rata</w:t>
      </w:r>
      <w:r>
        <w:rPr>
          <w:rFonts w:ascii="Times New Roman" w:cs="Times New Roman" w:eastAsia="Times New Roman" w:hAnsi="Times New Roman"/>
          <w:sz w:val="20"/>
          <w:szCs w:val="20"/>
          <w:color w:val="auto"/>
        </w:rPr>
        <w:t xml:space="preserve"> share of any such payment that would have otherwise been payable to the Lenders, the Term Loans of which are not Refinanced). The Administrative Agent shall be permitted, and is hereby authorized, to enter into such Refinancing Amendments with the Borrowers to effect the foregoing. The effectiveness of any Refinancing Amendment shall be subject to the satisfaction on the date thereof of conditions as may be required by the Refinancing Lenders providing such Refinancing Amendment.</w:t>
      </w:r>
    </w:p>
    <w:p>
      <w:pPr>
        <w:spacing w:after="0" w:line="208" w:lineRule="exact"/>
        <w:rPr>
          <w:rFonts w:ascii="Times New Roman" w:cs="Times New Roman" w:eastAsia="Times New Roman" w:hAnsi="Times New Roman"/>
          <w:sz w:val="20"/>
          <w:szCs w:val="20"/>
          <w:color w:val="auto"/>
        </w:rPr>
      </w:pPr>
    </w:p>
    <w:p>
      <w:pPr>
        <w:jc w:val="both"/>
        <w:ind w:left="60" w:right="20" w:firstLine="644"/>
        <w:spacing w:after="0" w:line="226" w:lineRule="auto"/>
        <w:tabs>
          <w:tab w:leader="none" w:pos="1239" w:val="left"/>
        </w:tabs>
        <w:numPr>
          <w:ilvl w:val="0"/>
          <w:numId w:val="2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Refinancing Revolving Credit Commitment is designated as an increase in any previously established Refinancing Revolving Credit Commitment, on the Refinancing Effective Date, subject to the satisfaction of the foregoing terms and conditions, each of the Refinancing Lenders with Refinancing Revolving Credit Commitments of such Refinancing Series shall purchase from each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FF0000"/>
          <w:strike w:val="1"/>
        </w:rPr>
        <w:t>146960219_6</w:t>
      </w: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102</w:t>
      </w:r>
      <w:r>
        <w:rPr>
          <w:sz w:val="20"/>
          <w:szCs w:val="20"/>
          <w:color w:val="auto"/>
        </w:rPr>
        <w:tab/>
      </w: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080"/>
          </w:cols>
          <w:pgMar w:left="380" w:top="1413" w:right="439" w:bottom="1440" w:gutter="0" w:footer="0" w:header="0"/>
        </w:sectPr>
      </w:pPr>
    </w:p>
    <w:bookmarkStart w:id="185" w:name="page186"/>
    <w:bookmarkEnd w:id="185"/>
    <w:p>
      <w:pPr>
        <w:spacing w:after="0" w:line="1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other Lenders with Refinancing Revolving Credit Commitments of such Refinancing Series, at the principal amount thereof and in the</w:t>
      </w:r>
    </w:p>
    <w:p>
      <w:pPr>
        <w:ind w:left="60" w:right="20"/>
        <w:spacing w:after="0" w:line="204" w:lineRule="auto"/>
        <w:rPr>
          <w:sz w:val="20"/>
          <w:szCs w:val="20"/>
          <w:color w:val="auto"/>
        </w:rPr>
      </w:pPr>
      <w:r>
        <w:rPr>
          <w:rFonts w:ascii="Times New Roman" w:cs="Times New Roman" w:eastAsia="Times New Roman" w:hAnsi="Times New Roman"/>
          <w:sz w:val="20"/>
          <w:szCs w:val="20"/>
          <w:color w:val="auto"/>
        </w:rPr>
        <w:t>applicable currencies, such interests in the Revolving Credit Loans under such Refinancing Revolving Credit Commitments outstanding immediately prior to such Refinancing as shall be necessary in order that, after giving effect to all such assignments and purchases, the</w:t>
      </w:r>
    </w:p>
    <w:p>
      <w:pPr>
        <w:ind w:left="60"/>
        <w:spacing w:after="0" w:line="211" w:lineRule="auto"/>
        <w:rPr>
          <w:sz w:val="20"/>
          <w:szCs w:val="20"/>
          <w:color w:val="auto"/>
        </w:rPr>
      </w:pPr>
      <w:r>
        <w:rPr>
          <w:rFonts w:ascii="Times New Roman" w:cs="Times New Roman" w:eastAsia="Times New Roman" w:hAnsi="Times New Roman"/>
          <w:sz w:val="20"/>
          <w:szCs w:val="20"/>
          <w:color w:val="auto"/>
        </w:rPr>
        <w:t>Refinancing Revolving Loans of such Refinancing Series will be held by Refinancing Lenders thereunder ratably in accordance with the</w:t>
      </w:r>
    </w:p>
    <w:p>
      <w:pPr>
        <w:spacing w:after="0" w:line="1" w:lineRule="exact"/>
        <w:rPr>
          <w:sz w:val="20"/>
          <w:szCs w:val="20"/>
          <w:color w:val="auto"/>
        </w:rPr>
      </w:pPr>
    </w:p>
    <w:p>
      <w:pPr>
        <w:ind w:left="60"/>
        <w:spacing w:after="0" w:line="204" w:lineRule="auto"/>
        <w:rPr>
          <w:sz w:val="20"/>
          <w:szCs w:val="20"/>
          <w:color w:val="auto"/>
        </w:rPr>
      </w:pPr>
      <w:r>
        <w:rPr>
          <w:rFonts w:ascii="Times New Roman" w:cs="Times New Roman" w:eastAsia="Times New Roman" w:hAnsi="Times New Roman"/>
          <w:sz w:val="20"/>
          <w:szCs w:val="20"/>
          <w:color w:val="auto"/>
        </w:rPr>
        <w:t>percentage of the total Refinancing Revolving Credit Commitments of all Refinancing Lenders represented by each such Refinancing Lender’s Refinancing Revolving Credit Commitment. After giving effect to any Refinancing Revolving Credit Commitments, all</w:t>
      </w:r>
    </w:p>
    <w:p>
      <w:pPr>
        <w:spacing w:after="0" w:line="1" w:lineRule="exact"/>
        <w:rPr>
          <w:sz w:val="20"/>
          <w:szCs w:val="20"/>
          <w:color w:val="auto"/>
        </w:rPr>
      </w:pPr>
    </w:p>
    <w:p>
      <w:pPr>
        <w:ind w:left="60" w:right="20"/>
        <w:spacing w:after="0" w:line="228" w:lineRule="auto"/>
        <w:rPr>
          <w:sz w:val="20"/>
          <w:szCs w:val="20"/>
          <w:color w:val="auto"/>
        </w:rPr>
      </w:pPr>
      <w:r>
        <w:rPr>
          <w:rFonts w:ascii="Times New Roman" w:cs="Times New Roman" w:eastAsia="Times New Roman" w:hAnsi="Times New Roman"/>
          <w:sz w:val="20"/>
          <w:szCs w:val="20"/>
          <w:color w:val="auto"/>
        </w:rPr>
        <w:t>outstanding Swingline Loans and Letters of Credit shall be participated on a pro rata basis by all Lenders with a Revolving Credit Commitment in accordance with their revised Revolving Credit Commitment Percentages.</w:t>
      </w:r>
    </w:p>
    <w:p>
      <w:pPr>
        <w:spacing w:after="0" w:line="189" w:lineRule="exact"/>
        <w:rPr>
          <w:sz w:val="20"/>
          <w:szCs w:val="20"/>
          <w:color w:val="auto"/>
        </w:rPr>
      </w:pPr>
    </w:p>
    <w:p>
      <w:pPr>
        <w:jc w:val="both"/>
        <w:ind w:left="60" w:firstLine="644"/>
        <w:spacing w:after="0" w:line="212" w:lineRule="auto"/>
        <w:tabs>
          <w:tab w:leader="none" w:pos="1243" w:val="left"/>
        </w:tabs>
        <w:numPr>
          <w:ilvl w:val="0"/>
          <w:numId w:val="2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is authorized to enter into any Acceptable Intercreditor Agreement (and any amendments, amendments and restatements, restatements or waivers of or supplements to or other modifications to, such agreements) and to take all actions (and execute all documents) required (or otherwise deemed advisable by the Administrative Agent) in connection with the incurrence by any Credit Party of any Refinancing Debt, in order to permit such Refinancing Debt to be secured by a valid, perfected lien and the parties hereto acknowledge that any Acceptable Intercreditor Agreement will be binding upon them. Each Lender (i) hereby agrees that it will be bound by and will take no actions contrary to the provisions of any Acceptable Intercreditor Agreement and (ii) hereby authorizes and instructs the Administrative Agent to enter into any Acceptable Intercreditor Agreement (and any amendments, amendments and restatements, restatements or waivers of or supplements to or other modifications to, such agreements) in connection with the incurrence by any Credit Party of any Refinancing Debt, in order to permit such Refinancing Debt to be secured by a valid, perfected lien and to subject the Liens on the Collateral securing the Secured Obligations to the provisions thereof.</w:t>
      </w:r>
    </w:p>
    <w:p>
      <w:pPr>
        <w:spacing w:after="0" w:line="196" w:lineRule="exact"/>
        <w:rPr>
          <w:rFonts w:ascii="Times New Roman" w:cs="Times New Roman" w:eastAsia="Times New Roman" w:hAnsi="Times New Roman"/>
          <w:sz w:val="20"/>
          <w:szCs w:val="20"/>
          <w:color w:val="auto"/>
        </w:rPr>
      </w:pPr>
    </w:p>
    <w:p>
      <w:pPr>
        <w:jc w:val="both"/>
        <w:ind w:left="60" w:firstLine="644"/>
        <w:spacing w:after="0" w:line="222" w:lineRule="auto"/>
        <w:tabs>
          <w:tab w:leader="none" w:pos="1236" w:val="left"/>
        </w:tabs>
        <w:numPr>
          <w:ilvl w:val="0"/>
          <w:numId w:val="2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the terms of </w:t>
      </w:r>
      <w:r>
        <w:rPr>
          <w:rFonts w:ascii="Times New Roman" w:cs="Times New Roman" w:eastAsia="Times New Roman" w:hAnsi="Times New Roman"/>
          <w:sz w:val="20"/>
          <w:szCs w:val="20"/>
          <w:u w:val="single" w:color="auto"/>
          <w:color w:val="auto"/>
        </w:rPr>
        <w:t>Sections 5.13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5.18</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5.19</w:t>
      </w:r>
      <w:r>
        <w:rPr>
          <w:rFonts w:ascii="Times New Roman" w:cs="Times New Roman" w:eastAsia="Times New Roman" w:hAnsi="Times New Roman"/>
          <w:sz w:val="20"/>
          <w:szCs w:val="20"/>
          <w:color w:val="auto"/>
        </w:rPr>
        <w:t>, in no event shall there be more than (i) two (2) tranches of revolving facilities in the aggregate in effect at any time (including the Revolving Credit Commitments, any Extended Revolving Credit Commitments and any Refinancing Revolving Credit Commitments) and (ii) four (4) tranches of term loans (including the Initial Term Loan, any Extended Term Loans, any Incremental Term Loans and any Refinancing Term Loans), in each case under this Agreement.</w:t>
      </w:r>
    </w:p>
    <w:p>
      <w:pPr>
        <w:spacing w:after="0" w:line="189" w:lineRule="exact"/>
        <w:rPr>
          <w:sz w:val="20"/>
          <w:szCs w:val="20"/>
          <w:color w:val="auto"/>
        </w:rPr>
      </w:pPr>
    </w:p>
    <w:p>
      <w:pPr>
        <w:ind w:left="700"/>
        <w:spacing w:after="0"/>
        <w:tabs>
          <w:tab w:leader="none" w:pos="2120" w:val="left"/>
        </w:tabs>
        <w:rPr>
          <w:sz w:val="20"/>
          <w:szCs w:val="20"/>
          <w:color w:val="auto"/>
        </w:rPr>
      </w:pPr>
      <w:r>
        <w:rPr>
          <w:rFonts w:ascii="Times New Roman" w:cs="Times New Roman" w:eastAsia="Times New Roman" w:hAnsi="Times New Roman"/>
          <w:sz w:val="20"/>
          <w:szCs w:val="20"/>
          <w:color w:val="auto"/>
        </w:rPr>
        <w:t>SECTION 5.19</w:t>
      </w:r>
      <w:r>
        <w:rPr>
          <w:sz w:val="20"/>
          <w:szCs w:val="20"/>
          <w:color w:val="auto"/>
        </w:rPr>
        <w:tab/>
      </w:r>
      <w:r>
        <w:rPr>
          <w:rFonts w:ascii="Times New Roman" w:cs="Times New Roman" w:eastAsia="Times New Roman" w:hAnsi="Times New Roman"/>
          <w:sz w:val="19"/>
          <w:szCs w:val="19"/>
          <w:u w:val="single" w:color="auto"/>
          <w:color w:val="auto"/>
        </w:rPr>
        <w:t>Amend and Extend Transactions</w:t>
      </w:r>
      <w:r>
        <w:rPr>
          <w:rFonts w:ascii="Times New Roman" w:cs="Times New Roman" w:eastAsia="Times New Roman" w:hAnsi="Times New Roman"/>
          <w:sz w:val="19"/>
          <w:szCs w:val="19"/>
          <w:color w:val="auto"/>
        </w:rPr>
        <w:t>.</w:t>
      </w:r>
    </w:p>
    <w:p>
      <w:pPr>
        <w:spacing w:after="0" w:line="283" w:lineRule="exact"/>
        <w:rPr>
          <w:sz w:val="20"/>
          <w:szCs w:val="20"/>
          <w:color w:val="auto"/>
        </w:rPr>
      </w:pPr>
    </w:p>
    <w:p>
      <w:pPr>
        <w:jc w:val="both"/>
        <w:ind w:left="60" w:firstLine="644"/>
        <w:spacing w:after="0" w:line="210" w:lineRule="auto"/>
        <w:tabs>
          <w:tab w:leader="none" w:pos="1239" w:val="left"/>
        </w:tabs>
        <w:numPr>
          <w:ilvl w:val="0"/>
          <w:numId w:val="2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Borrowers may, by written notice to the Administrative Agent from time to time, request an extension (each, an “</w:t>
      </w:r>
      <w:r>
        <w:rPr>
          <w:rFonts w:ascii="Times New Roman" w:cs="Times New Roman" w:eastAsia="Times New Roman" w:hAnsi="Times New Roman"/>
          <w:sz w:val="20"/>
          <w:szCs w:val="20"/>
          <w:u w:val="single" w:color="auto"/>
          <w:color w:val="auto"/>
        </w:rPr>
        <w:t>Extension</w:t>
      </w:r>
      <w:r>
        <w:rPr>
          <w:rFonts w:ascii="Times New Roman" w:cs="Times New Roman" w:eastAsia="Times New Roman" w:hAnsi="Times New Roman"/>
          <w:sz w:val="20"/>
          <w:szCs w:val="20"/>
          <w:color w:val="auto"/>
        </w:rPr>
        <w:t>”) of the maturity date of any Class of Term Loans with a like maturity date or Revolving Credit Commitments with a like maturity date. Such notice shall (i) set forth the amount of the applicable Class of Revolving Credit Commitments and/or Term Loans that will be subject to the Extension (which shall be in a minimum amount of $25,000,000 and minimum increments of $5,000,000), (ii) set forth the date on which such Extension is requested to become effective (which shall be not less than ten (10) Business Days nor more than sixty (60) days after the date of such Extension notice (or such longer or shorter periods as the Administrative Agent shall agree in its sole discretion)) and (iii) identify the relevant Class of Revolving Credit Commitments and/or Term Loans to which such Extension relates. Each Lender of the applicable Class shall be offered (an “</w:t>
      </w:r>
      <w:r>
        <w:rPr>
          <w:rFonts w:ascii="Times New Roman" w:cs="Times New Roman" w:eastAsia="Times New Roman" w:hAnsi="Times New Roman"/>
          <w:sz w:val="20"/>
          <w:szCs w:val="20"/>
          <w:u w:val="single" w:color="auto"/>
          <w:color w:val="auto"/>
        </w:rPr>
        <w:t>Extension Offer</w:t>
      </w:r>
      <w:r>
        <w:rPr>
          <w:rFonts w:ascii="Times New Roman" w:cs="Times New Roman" w:eastAsia="Times New Roman" w:hAnsi="Times New Roman"/>
          <w:sz w:val="20"/>
          <w:szCs w:val="20"/>
          <w:color w:val="auto"/>
        </w:rPr>
        <w:t xml:space="preserve">”) an opportunity to participate in such Extension on a pro rata basis and on the same terms and conditions as each other Lender of such Class pursuant to procedures established by, or reasonably acceptable to, the Administrative Agent and the Borrowers;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Lender will be required or otherwise obligated to participate in such Extension. If the aggregate principal amount of Revolving Credit Commitments or Term Loans in respect of which Lenders shall have accepted the relevant Extension Offer shall exceed the maximum aggregate principal amount of Revolving Credit Commitments or Term Loans, as applicable, subject to the Extension Offer as set forth in the Extension notice, then the Revolving Credit Commitments or Term Loans,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FF0000"/>
          <w:strike w:val="1"/>
        </w:rPr>
        <w:t>146960219_6</w:t>
      </w: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103</w:t>
      </w:r>
      <w:r>
        <w:rPr>
          <w:sz w:val="20"/>
          <w:szCs w:val="20"/>
          <w:color w:val="auto"/>
        </w:rPr>
        <w:tab/>
      </w: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080"/>
          </w:cols>
          <w:pgMar w:left="380" w:top="1440" w:right="439" w:bottom="1440" w:gutter="0" w:footer="0" w:header="0"/>
        </w:sectPr>
      </w:pPr>
    </w:p>
    <w:bookmarkStart w:id="186" w:name="page187"/>
    <w:bookmarkEnd w:id="186"/>
    <w:p>
      <w:pPr>
        <w:spacing w:after="0" w:line="216" w:lineRule="exact"/>
        <w:rPr>
          <w:sz w:val="20"/>
          <w:szCs w:val="20"/>
          <w:color w:val="auto"/>
        </w:rPr>
      </w:pPr>
    </w:p>
    <w:p>
      <w:pPr>
        <w:ind w:left="60" w:right="20"/>
        <w:spacing w:after="0" w:line="269" w:lineRule="auto"/>
        <w:rPr>
          <w:sz w:val="20"/>
          <w:szCs w:val="20"/>
          <w:color w:val="auto"/>
        </w:rPr>
      </w:pPr>
      <w:r>
        <w:rPr>
          <w:rFonts w:ascii="Times New Roman" w:cs="Times New Roman" w:eastAsia="Times New Roman" w:hAnsi="Times New Roman"/>
          <w:sz w:val="20"/>
          <w:szCs w:val="20"/>
          <w:color w:val="auto"/>
        </w:rPr>
        <w:t>applicable, of Lenders of the applicable Class shall be extended ratably up to such maximum amount based on the respective principal amounts with respect to which such Lenders have accepted such Extension Offer.</w:t>
      </w:r>
    </w:p>
    <w:p>
      <w:pPr>
        <w:spacing w:after="0" w:line="173" w:lineRule="exact"/>
        <w:rPr>
          <w:sz w:val="20"/>
          <w:szCs w:val="20"/>
          <w:color w:val="auto"/>
        </w:rPr>
      </w:pPr>
    </w:p>
    <w:p>
      <w:pPr>
        <w:jc w:val="both"/>
        <w:ind w:left="60" w:firstLine="644"/>
        <w:spacing w:after="0" w:line="215" w:lineRule="auto"/>
        <w:tabs>
          <w:tab w:leader="none" w:pos="1236" w:val="left"/>
        </w:tabs>
        <w:numPr>
          <w:ilvl w:val="1"/>
          <w:numId w:val="2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following shall be conditions precedent to the effectiveness of any Extension: (i) no Default or Event of Default shall have occurred and be continuing immediately prior to and immediately after giving effect to such Extension, (ii) the representations and warranties set forth in </w:t>
      </w:r>
      <w:r>
        <w:rPr>
          <w:rFonts w:ascii="Times New Roman" w:cs="Times New Roman" w:eastAsia="Times New Roman" w:hAnsi="Times New Roman"/>
          <w:sz w:val="20"/>
          <w:szCs w:val="20"/>
          <w:u w:val="single" w:color="auto"/>
          <w:color w:val="auto"/>
        </w:rPr>
        <w:t>Article VII</w:t>
      </w:r>
      <w:r>
        <w:rPr>
          <w:rFonts w:ascii="Times New Roman" w:cs="Times New Roman" w:eastAsia="Times New Roman" w:hAnsi="Times New Roman"/>
          <w:sz w:val="20"/>
          <w:szCs w:val="20"/>
          <w:color w:val="auto"/>
        </w:rPr>
        <w:t xml:space="preserve"> and in each other Loan Document shall be deemed to be made and shall be true and correct in all material respects on and as of the effective date of such Extension, (iii) the Issuing Lenders and the Swingline Lender shall have consented to any Extension of the Revolving Credit Commitments, to the extent that such Extension provides for the issuance or extension of Letters of Credit or making of Swingline Loans at any time during the extended period and (iv) the terms of such Extended Revolving Credit Commitments and Extended Term Loans shall comply with paragraph (c) of this Section.</w:t>
      </w:r>
    </w:p>
    <w:p>
      <w:pPr>
        <w:spacing w:after="0" w:line="204" w:lineRule="exact"/>
        <w:rPr>
          <w:rFonts w:ascii="Times New Roman" w:cs="Times New Roman" w:eastAsia="Times New Roman" w:hAnsi="Times New Roman"/>
          <w:sz w:val="20"/>
          <w:szCs w:val="20"/>
          <w:color w:val="auto"/>
        </w:rPr>
      </w:pPr>
    </w:p>
    <w:p>
      <w:pPr>
        <w:jc w:val="both"/>
        <w:ind w:left="60" w:firstLine="644"/>
        <w:spacing w:after="0" w:line="207" w:lineRule="auto"/>
        <w:tabs>
          <w:tab w:leader="none" w:pos="1239" w:val="left"/>
        </w:tabs>
        <w:numPr>
          <w:ilvl w:val="1"/>
          <w:numId w:val="2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terms of each Extension shall be determined by the Borrowers and the applicable extending Lenders and set forth in an Extension Amendment;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the final maturity date of any Extended Revolving Credit Commitment or Extended Term Loan shall be no earlier than the Revolving Credit Maturity Date or the Term Loan Maturity Date, respectively, (ii)(A) there shall be no scheduled amortization of the loans or reductions of commitments under any Extended Revolving Credit Commitments and (B) the Weighted Average Life to Maturity of the Extended Term Loans shall be no shorter than the remaining Weighted Average Life to Maturity of the existing Term Loans, (iii) the Extended Revolving Credit Loans and the Extended Term Loans will rank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in right of payment and with respect to security with the existing Revolving Credit Loans and the existing Term Loans and the borrower and guarantors of the Extended Revolving Credit Commitments or Extended Term Loans, as applicable, shall be the same as the Borrowers and Subsidiary Guarantors with respect to the existing Revolving Credit Loans or Term Loans, as applicable, (iv) the interest rate margin, rate floors, fees, original issue discount and premium applicable to any Extended Revolving Credit Commitment (and the Extended Revolving Credit Loans thereunder) and Extended Term Loans shall be determined by the Borrowers and the applicable extending Lenders, (v)(A) the Extended Term Loans may participate on a </w:t>
      </w:r>
      <w:r>
        <w:rPr>
          <w:rFonts w:ascii="Times New Roman" w:cs="Times New Roman" w:eastAsia="Times New Roman" w:hAnsi="Times New Roman"/>
          <w:sz w:val="20"/>
          <w:szCs w:val="20"/>
          <w:u w:val="single" w:color="auto"/>
          <w:color w:val="auto"/>
        </w:rPr>
        <w:t>pro rata</w:t>
      </w:r>
      <w:r>
        <w:rPr>
          <w:rFonts w:ascii="Times New Roman" w:cs="Times New Roman" w:eastAsia="Times New Roman" w:hAnsi="Times New Roman"/>
          <w:sz w:val="20"/>
          <w:szCs w:val="20"/>
          <w:color w:val="auto"/>
        </w:rPr>
        <w:t xml:space="preserve"> or less than </w:t>
      </w:r>
      <w:r>
        <w:rPr>
          <w:rFonts w:ascii="Times New Roman" w:cs="Times New Roman" w:eastAsia="Times New Roman" w:hAnsi="Times New Roman"/>
          <w:sz w:val="20"/>
          <w:szCs w:val="20"/>
          <w:u w:val="single" w:color="auto"/>
          <w:color w:val="auto"/>
        </w:rPr>
        <w:t>pro rata</w:t>
      </w:r>
      <w:r>
        <w:rPr>
          <w:rFonts w:ascii="Times New Roman" w:cs="Times New Roman" w:eastAsia="Times New Roman" w:hAnsi="Times New Roman"/>
          <w:sz w:val="20"/>
          <w:szCs w:val="20"/>
          <w:color w:val="auto"/>
        </w:rPr>
        <w:t xml:space="preserve"> (but not greater than </w:t>
      </w:r>
      <w:r>
        <w:rPr>
          <w:rFonts w:ascii="Times New Roman" w:cs="Times New Roman" w:eastAsia="Times New Roman" w:hAnsi="Times New Roman"/>
          <w:sz w:val="20"/>
          <w:szCs w:val="20"/>
          <w:u w:val="single" w:color="auto"/>
          <w:color w:val="auto"/>
        </w:rPr>
        <w:t>pro rata</w:t>
      </w:r>
      <w:r>
        <w:rPr>
          <w:rFonts w:ascii="Times New Roman" w:cs="Times New Roman" w:eastAsia="Times New Roman" w:hAnsi="Times New Roman"/>
          <w:sz w:val="20"/>
          <w:szCs w:val="20"/>
          <w:color w:val="auto"/>
        </w:rPr>
        <w:t>) basis in mandatory prepayments with the other Term Loans and</w:t>
      </w:r>
    </w:p>
    <w:p>
      <w:pPr>
        <w:spacing w:after="0" w:line="8" w:lineRule="exact"/>
        <w:rPr>
          <w:rFonts w:ascii="Times New Roman" w:cs="Times New Roman" w:eastAsia="Times New Roman" w:hAnsi="Times New Roman"/>
          <w:sz w:val="20"/>
          <w:szCs w:val="20"/>
          <w:color w:val="auto"/>
        </w:rPr>
      </w:pPr>
    </w:p>
    <w:p>
      <w:pPr>
        <w:jc w:val="both"/>
        <w:ind w:left="60" w:hanging="4"/>
        <w:spacing w:after="0" w:line="215" w:lineRule="auto"/>
        <w:tabs>
          <w:tab w:leader="none" w:pos="594" w:val="left"/>
        </w:tabs>
        <w:numPr>
          <w:ilvl w:val="0"/>
          <w:numId w:val="2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borrowing and prepayment of Extended Revolving Credit Loans, or reductions of Extended Revolving Credit Commitments, and participation in Letters of Credit and Swingline Loans, shall be on a </w:t>
      </w:r>
      <w:r>
        <w:rPr>
          <w:rFonts w:ascii="Times New Roman" w:cs="Times New Roman" w:eastAsia="Times New Roman" w:hAnsi="Times New Roman"/>
          <w:sz w:val="20"/>
          <w:szCs w:val="20"/>
          <w:u w:val="single" w:color="auto"/>
          <w:color w:val="auto"/>
        </w:rPr>
        <w:t>pro rata</w:t>
      </w:r>
      <w:r>
        <w:rPr>
          <w:rFonts w:ascii="Times New Roman" w:cs="Times New Roman" w:eastAsia="Times New Roman" w:hAnsi="Times New Roman"/>
          <w:sz w:val="20"/>
          <w:szCs w:val="20"/>
          <w:color w:val="auto"/>
        </w:rPr>
        <w:t xml:space="preserve"> basis with the other Revolving Credit Loans or Revolving Credit Commitments (other than upon the maturity of the non-extended Revolving Credit Loans and Revolving Credit Commitments) and (vi) the terms of the Extended Revolving Credit Commitments or Extended Term Loans, as applicable, shall be substantially identical to the terms set forth herein (except as set forth in clauses (i) through (v) above).</w:t>
      </w:r>
    </w:p>
    <w:p>
      <w:pPr>
        <w:spacing w:after="0" w:line="189" w:lineRule="exact"/>
        <w:rPr>
          <w:rFonts w:ascii="Times New Roman" w:cs="Times New Roman" w:eastAsia="Times New Roman" w:hAnsi="Times New Roman"/>
          <w:sz w:val="20"/>
          <w:szCs w:val="20"/>
          <w:color w:val="auto"/>
        </w:rPr>
      </w:pPr>
    </w:p>
    <w:p>
      <w:pPr>
        <w:jc w:val="both"/>
        <w:ind w:left="60" w:firstLine="644"/>
        <w:spacing w:after="0" w:line="212" w:lineRule="auto"/>
        <w:tabs>
          <w:tab w:leader="none" w:pos="1236" w:val="left"/>
        </w:tabs>
        <w:numPr>
          <w:ilvl w:val="1"/>
          <w:numId w:val="2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connection with any Extension, the Borrowers, the Administrative Agent and each applicable extending Lender shall execute and deliver to the Administrative Agent an Extension Amendment and such other documentation as the Administrative Agent shall reasonably specify to evidence the Extension. The Administrative Agent shall promptly notify each Lender as to the effectiveness of each Extension. Any Extension Amendment may, without the consent of any other Lender, effect such amendments to this Agreement and the other Loan Documents as may be necessary or appropriate, in the reasonable opinion of the Administrative Agent and the Borrowers, to implement the terms of any such Extension, including any amendments necessary to establish Extended Revolving Credit Commitments or Extended Term Loans as a new Class or tranche of Revolving Credit Commitments or Term Loans, as applicable, and such other technical amendments as may be necessary or appropriate in the reasonable opinion of the Administrative Agent and the Borrowers in connection with the establishment of such new Class or tranche (including to preserve the pro rata treatment of the extended and non-extended Classes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FF0000"/>
          <w:strike w:val="1"/>
        </w:rPr>
        <w:t>146960219_6</w:t>
      </w: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104</w:t>
      </w:r>
      <w:r>
        <w:rPr>
          <w:sz w:val="20"/>
          <w:szCs w:val="20"/>
          <w:color w:val="auto"/>
        </w:rPr>
        <w:tab/>
      </w: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080"/>
          </w:cols>
          <w:pgMar w:left="380" w:top="1440" w:right="439" w:bottom="1440" w:gutter="0" w:footer="0" w:header="0"/>
        </w:sectPr>
      </w:pPr>
    </w:p>
    <w:bookmarkStart w:id="187" w:name="page188"/>
    <w:bookmarkEnd w:id="187"/>
    <w:p>
      <w:pPr>
        <w:spacing w:after="0" w:line="203" w:lineRule="exact"/>
        <w:rPr>
          <w:sz w:val="20"/>
          <w:szCs w:val="20"/>
          <w:color w:val="auto"/>
        </w:rPr>
      </w:pPr>
    </w:p>
    <w:p>
      <w:pPr>
        <w:ind w:left="60" w:right="300"/>
        <w:spacing w:after="0"/>
        <w:rPr>
          <w:sz w:val="20"/>
          <w:szCs w:val="20"/>
          <w:color w:val="auto"/>
        </w:rPr>
      </w:pPr>
      <w:r>
        <w:rPr>
          <w:rFonts w:ascii="Times New Roman" w:cs="Times New Roman" w:eastAsia="Times New Roman" w:hAnsi="Times New Roman"/>
          <w:sz w:val="20"/>
          <w:szCs w:val="20"/>
          <w:color w:val="auto"/>
        </w:rPr>
        <w:t>tranches and to provide for the reallocation of Revolving Credit Exposure upon the expiration or termination of the commitments under any Class or tranche), in each case on terms consistent with this section.</w:t>
      </w:r>
    </w:p>
    <w:p>
      <w:pPr>
        <w:spacing w:after="0" w:line="188" w:lineRule="exact"/>
        <w:rPr>
          <w:sz w:val="20"/>
          <w:szCs w:val="20"/>
          <w:color w:val="auto"/>
        </w:rPr>
      </w:pPr>
    </w:p>
    <w:p>
      <w:pPr>
        <w:jc w:val="both"/>
        <w:ind w:left="60" w:firstLine="644"/>
        <w:spacing w:after="0" w:line="222" w:lineRule="auto"/>
        <w:tabs>
          <w:tab w:leader="none" w:pos="1238" w:val="left"/>
        </w:tabs>
        <w:numPr>
          <w:ilvl w:val="0"/>
          <w:numId w:val="2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the terms of </w:t>
      </w:r>
      <w:r>
        <w:rPr>
          <w:rFonts w:ascii="Times New Roman" w:cs="Times New Roman" w:eastAsia="Times New Roman" w:hAnsi="Times New Roman"/>
          <w:sz w:val="20"/>
          <w:szCs w:val="20"/>
          <w:u w:val="single" w:color="auto"/>
          <w:color w:val="auto"/>
        </w:rPr>
        <w:t>Sections 5.13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5.18</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5.19</w:t>
      </w:r>
      <w:r>
        <w:rPr>
          <w:rFonts w:ascii="Times New Roman" w:cs="Times New Roman" w:eastAsia="Times New Roman" w:hAnsi="Times New Roman"/>
          <w:sz w:val="20"/>
          <w:szCs w:val="20"/>
          <w:color w:val="auto"/>
        </w:rPr>
        <w:t>, in no event shall there be more than (i) two (2) tranches of revolving facilities in the aggregate in effect at any time (including the Revolving Credit Commitments, any Extended Revolving Credit Commitments and any Refinancing Revolving Credit Commitments) and (ii) four (4) tranches of term loans (including the Initial Term Loan, any Extended Term Loans, any Incremental Term Loans and any Refinancing Term Loans), in each case under this Agreement.</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ARTICLE VI</w:t>
      </w:r>
    </w:p>
    <w:p>
      <w:pPr>
        <w:spacing w:after="0" w:line="216"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0"/>
          <w:szCs w:val="20"/>
          <w:color w:val="auto"/>
        </w:rPr>
        <w:t>CONDITIONS OF CLOSING AND BORROWING</w:t>
      </w:r>
    </w:p>
    <w:p>
      <w:pPr>
        <w:spacing w:after="0" w:line="216" w:lineRule="exact"/>
        <w:rPr>
          <w:sz w:val="20"/>
          <w:szCs w:val="20"/>
          <w:color w:val="auto"/>
        </w:rPr>
      </w:pPr>
    </w:p>
    <w:p>
      <w:pPr>
        <w:ind w:left="700"/>
        <w:spacing w:after="0"/>
        <w:tabs>
          <w:tab w:leader="none" w:pos="2020" w:val="left"/>
        </w:tabs>
        <w:rPr>
          <w:sz w:val="20"/>
          <w:szCs w:val="20"/>
          <w:color w:val="auto"/>
        </w:rPr>
      </w:pPr>
      <w:r>
        <w:rPr>
          <w:rFonts w:ascii="Times New Roman" w:cs="Times New Roman" w:eastAsia="Times New Roman" w:hAnsi="Times New Roman"/>
          <w:sz w:val="20"/>
          <w:szCs w:val="20"/>
          <w:color w:val="auto"/>
        </w:rPr>
        <w:t>SECTION 6.1</w:t>
      </w:r>
      <w:r>
        <w:rPr>
          <w:sz w:val="20"/>
          <w:szCs w:val="20"/>
          <w:color w:val="auto"/>
        </w:rPr>
        <w:tab/>
      </w:r>
      <w:r>
        <w:rPr>
          <w:rFonts w:ascii="Times New Roman" w:cs="Times New Roman" w:eastAsia="Times New Roman" w:hAnsi="Times New Roman"/>
          <w:sz w:val="19"/>
          <w:szCs w:val="19"/>
          <w:u w:val="single" w:color="auto"/>
          <w:color w:val="auto"/>
        </w:rPr>
        <w:t>Conditions to Closing and Initial Extensions of Credit</w:t>
      </w:r>
    </w:p>
    <w:p>
      <w:pPr>
        <w:spacing w:after="0" w:line="283" w:lineRule="exact"/>
        <w:rPr>
          <w:sz w:val="20"/>
          <w:szCs w:val="20"/>
          <w:color w:val="auto"/>
        </w:rPr>
      </w:pPr>
    </w:p>
    <w:p>
      <w:pPr>
        <w:ind w:left="60" w:hanging="4"/>
        <w:spacing w:after="0"/>
        <w:tabs>
          <w:tab w:leader="none" w:pos="160" w:val="left"/>
        </w:tabs>
        <w:numPr>
          <w:ilvl w:val="0"/>
          <w:numId w:val="2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obligation of the Lenders to close this Agreement and to make the initial Loans or issue or participate in the initial Letter of Credit, if any, on the Closing Date is subject to the satisfaction of each of the following conditions:</w:t>
      </w:r>
    </w:p>
    <w:p>
      <w:pPr>
        <w:spacing w:after="0" w:line="188" w:lineRule="exact"/>
        <w:rPr>
          <w:rFonts w:ascii="Times New Roman" w:cs="Times New Roman" w:eastAsia="Times New Roman" w:hAnsi="Times New Roman"/>
          <w:sz w:val="20"/>
          <w:szCs w:val="20"/>
          <w:color w:val="auto"/>
        </w:rPr>
      </w:pPr>
    </w:p>
    <w:p>
      <w:pPr>
        <w:jc w:val="both"/>
        <w:ind w:left="60" w:firstLine="644"/>
        <w:spacing w:after="0" w:line="216" w:lineRule="auto"/>
        <w:tabs>
          <w:tab w:leader="none" w:pos="1238" w:val="left"/>
        </w:tabs>
        <w:numPr>
          <w:ilvl w:val="1"/>
          <w:numId w:val="2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Executed Loan Documents</w:t>
      </w:r>
      <w:r>
        <w:rPr>
          <w:rFonts w:ascii="Times New Roman" w:cs="Times New Roman" w:eastAsia="Times New Roman" w:hAnsi="Times New Roman"/>
          <w:sz w:val="20"/>
          <w:szCs w:val="20"/>
          <w:color w:val="auto"/>
        </w:rPr>
        <w:t>. This Agreement, a US Revolving Credit Note and a Canadian Revolving Credit Note in favor of each Revolving Credit Lender requesting a US Revolving Credit Note and a Canadian Revolving Credit Note, a US Term Loan Note and a Canadian Term Loan Note in favor of each Term Loan Lender requesting a US Term Loan Note, a US Swingline Note in favor of the Swingline Lender and a Canadian Swingline Note in favor of the Swingline Lender (in each case, if requested thereby), the Security Documents and the Guaranty Agreements, together with any other applicable Loan Documents, shall have been duly authorized, executed and delivered to the Administrative Agent by the parties thereto, shall be in full force and effect.</w:t>
      </w:r>
    </w:p>
    <w:p>
      <w:pPr>
        <w:spacing w:after="0" w:line="189" w:lineRule="exact"/>
        <w:rPr>
          <w:rFonts w:ascii="Times New Roman" w:cs="Times New Roman" w:eastAsia="Times New Roman" w:hAnsi="Times New Roman"/>
          <w:sz w:val="20"/>
          <w:szCs w:val="20"/>
          <w:color w:val="auto"/>
        </w:rPr>
      </w:pPr>
    </w:p>
    <w:p>
      <w:pPr>
        <w:ind w:left="60" w:right="20" w:firstLine="644"/>
        <w:spacing w:after="0"/>
        <w:tabs>
          <w:tab w:leader="none" w:pos="1236" w:val="left"/>
        </w:tabs>
        <w:numPr>
          <w:ilvl w:val="1"/>
          <w:numId w:val="2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Closing Certificates; Etc.</w:t>
      </w:r>
      <w:r>
        <w:rPr>
          <w:rFonts w:ascii="Times New Roman" w:cs="Times New Roman" w:eastAsia="Times New Roman" w:hAnsi="Times New Roman"/>
          <w:sz w:val="20"/>
          <w:szCs w:val="20"/>
          <w:color w:val="auto"/>
        </w:rPr>
        <w:t xml:space="preserve"> The Administrative Agent shall have received each of the following in form and substance reasonably satisfactory to the Administrative Agent:</w:t>
      </w:r>
    </w:p>
    <w:p>
      <w:pPr>
        <w:spacing w:after="0" w:line="18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0"/>
          <w:szCs w:val="20"/>
          <w:color w:val="auto"/>
        </w:rPr>
        <w:t xml:space="preserve">(lxii)  </w:t>
      </w:r>
      <w:r>
        <w:rPr>
          <w:rFonts w:ascii="Times New Roman" w:cs="Times New Roman" w:eastAsia="Times New Roman" w:hAnsi="Times New Roman"/>
          <w:sz w:val="20"/>
          <w:szCs w:val="20"/>
          <w:u w:val="single" w:color="auto"/>
          <w:color w:val="auto"/>
        </w:rPr>
        <w:t>Officer’s Certificate</w:t>
      </w:r>
      <w:r>
        <w:rPr>
          <w:rFonts w:ascii="Times New Roman" w:cs="Times New Roman" w:eastAsia="Times New Roman" w:hAnsi="Times New Roman"/>
          <w:sz w:val="20"/>
          <w:szCs w:val="20"/>
          <w:color w:val="auto"/>
        </w:rPr>
        <w:t>. A certificate from a Responsible Officer of Centuri to the effect that (A) all representations</w:t>
      </w:r>
    </w:p>
    <w:p>
      <w:pPr>
        <w:ind w:left="700"/>
        <w:spacing w:after="0" w:line="204" w:lineRule="auto"/>
        <w:rPr>
          <w:sz w:val="20"/>
          <w:szCs w:val="20"/>
          <w:color w:val="auto"/>
        </w:rPr>
      </w:pPr>
      <w:r>
        <w:rPr>
          <w:rFonts w:ascii="Times New Roman" w:cs="Times New Roman" w:eastAsia="Times New Roman" w:hAnsi="Times New Roman"/>
          <w:sz w:val="20"/>
          <w:szCs w:val="20"/>
          <w:color w:val="auto"/>
        </w:rPr>
        <w:t>and warranties of the Credit Parties contained in this Agreement and the other Loan Documents are true, correct and complete in all material respects (except to the extent any such representation and warranty is qualified by materiality or reference to Material</w:t>
      </w:r>
    </w:p>
    <w:p>
      <w:pPr>
        <w:ind w:left="700"/>
        <w:spacing w:after="0" w:line="211" w:lineRule="auto"/>
        <w:rPr>
          <w:sz w:val="20"/>
          <w:szCs w:val="20"/>
          <w:color w:val="auto"/>
        </w:rPr>
      </w:pPr>
      <w:r>
        <w:rPr>
          <w:rFonts w:ascii="Times New Roman" w:cs="Times New Roman" w:eastAsia="Times New Roman" w:hAnsi="Times New Roman"/>
          <w:sz w:val="20"/>
          <w:szCs w:val="20"/>
          <w:color w:val="auto"/>
        </w:rPr>
        <w:t xml:space="preserve">Adverse Effect, in which case, such representation and warranty shall be true, correct and complete in all respects);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w:t>
      </w:r>
    </w:p>
    <w:p>
      <w:pPr>
        <w:spacing w:after="0" w:line="1" w:lineRule="exact"/>
        <w:rPr>
          <w:sz w:val="20"/>
          <w:szCs w:val="20"/>
          <w:color w:val="auto"/>
        </w:rPr>
      </w:pPr>
    </w:p>
    <w:p>
      <w:pPr>
        <w:ind w:left="700"/>
        <w:spacing w:after="0" w:line="204" w:lineRule="auto"/>
        <w:rPr>
          <w:sz w:val="20"/>
          <w:szCs w:val="20"/>
          <w:color w:val="auto"/>
        </w:rPr>
      </w:pPr>
      <w:r>
        <w:rPr>
          <w:rFonts w:ascii="Times New Roman" w:cs="Times New Roman" w:eastAsia="Times New Roman" w:hAnsi="Times New Roman"/>
          <w:sz w:val="20"/>
          <w:szCs w:val="20"/>
          <w:color w:val="auto"/>
        </w:rPr>
        <w:t>the only representations and warranties under this Agreement or any other Loan Document the accuracy of which shall be a condition to the availability of the initial Extensions of Credit on the Closing Date shall be the Specified Representations; (B) the</w:t>
      </w:r>
    </w:p>
    <w:p>
      <w:pPr>
        <w:ind w:left="700"/>
        <w:spacing w:after="0" w:line="211" w:lineRule="auto"/>
        <w:rPr>
          <w:sz w:val="20"/>
          <w:szCs w:val="20"/>
          <w:color w:val="auto"/>
        </w:rPr>
      </w:pPr>
      <w:r>
        <w:rPr>
          <w:rFonts w:ascii="Times New Roman" w:cs="Times New Roman" w:eastAsia="Times New Roman" w:hAnsi="Times New Roman"/>
          <w:sz w:val="20"/>
          <w:szCs w:val="20"/>
          <w:color w:val="auto"/>
        </w:rPr>
        <w:t xml:space="preserve">condition set forth in </w:t>
      </w:r>
      <w:r>
        <w:rPr>
          <w:rFonts w:ascii="Times New Roman" w:cs="Times New Roman" w:eastAsia="Times New Roman" w:hAnsi="Times New Roman"/>
          <w:sz w:val="20"/>
          <w:szCs w:val="20"/>
          <w:u w:val="single" w:color="auto"/>
          <w:color w:val="auto"/>
        </w:rPr>
        <w:t>Section 6.1(f)(iv)</w:t>
      </w:r>
      <w:r>
        <w:rPr>
          <w:rFonts w:ascii="Times New Roman" w:cs="Times New Roman" w:eastAsia="Times New Roman" w:hAnsi="Times New Roman"/>
          <w:sz w:val="20"/>
          <w:szCs w:val="20"/>
          <w:color w:val="auto"/>
        </w:rPr>
        <w:t xml:space="preserve"> is satisfied; (C) attached thereto is a true and correct copy of the Drum Merger Agreement</w:t>
      </w:r>
    </w:p>
    <w:p>
      <w:pPr>
        <w:spacing w:after="0" w:line="1" w:lineRule="exact"/>
        <w:rPr>
          <w:sz w:val="20"/>
          <w:szCs w:val="20"/>
          <w:color w:val="auto"/>
        </w:rPr>
      </w:pPr>
    </w:p>
    <w:p>
      <w:pPr>
        <w:ind w:left="700"/>
        <w:spacing w:after="0" w:line="221" w:lineRule="auto"/>
        <w:rPr>
          <w:sz w:val="20"/>
          <w:szCs w:val="20"/>
          <w:color w:val="auto"/>
        </w:rPr>
      </w:pPr>
      <w:r>
        <w:rPr>
          <w:rFonts w:ascii="Times New Roman" w:cs="Times New Roman" w:eastAsia="Times New Roman" w:hAnsi="Times New Roman"/>
          <w:sz w:val="20"/>
          <w:szCs w:val="20"/>
          <w:color w:val="auto"/>
        </w:rPr>
        <w:t xml:space="preserve">as in effect on the Closing Date; and (D) each of the Credit Parties, as applicable, has satisfied each of the conditions set forth in </w:t>
      </w:r>
      <w:r>
        <w:rPr>
          <w:rFonts w:ascii="Times New Roman" w:cs="Times New Roman" w:eastAsia="Times New Roman" w:hAnsi="Times New Roman"/>
          <w:sz w:val="20"/>
          <w:szCs w:val="20"/>
          <w:u w:val="single" w:color="auto"/>
          <w:color w:val="auto"/>
        </w:rPr>
        <w:t>Section 6.1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6.2</w:t>
      </w:r>
      <w:r>
        <w:rPr>
          <w:rFonts w:ascii="Times New Roman" w:cs="Times New Roman" w:eastAsia="Times New Roman" w:hAnsi="Times New Roman"/>
          <w:sz w:val="20"/>
          <w:szCs w:val="20"/>
          <w:color w:val="auto"/>
        </w:rPr>
        <w:t>.</w:t>
      </w:r>
    </w:p>
    <w:p>
      <w:pPr>
        <w:spacing w:after="0" w:line="25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9"/>
          <w:szCs w:val="19"/>
          <w:color w:val="auto"/>
        </w:rPr>
        <w:t xml:space="preserve">(lxiii) </w:t>
      </w:r>
      <w:r>
        <w:rPr>
          <w:rFonts w:ascii="Times New Roman" w:cs="Times New Roman" w:eastAsia="Times New Roman" w:hAnsi="Times New Roman"/>
          <w:sz w:val="19"/>
          <w:szCs w:val="19"/>
          <w:u w:val="single" w:color="auto"/>
          <w:color w:val="auto"/>
        </w:rPr>
        <w:t>Officer’s Certificate of each Credit Party</w:t>
      </w:r>
      <w:r>
        <w:rPr>
          <w:rFonts w:ascii="Times New Roman" w:cs="Times New Roman" w:eastAsia="Times New Roman" w:hAnsi="Times New Roman"/>
          <w:sz w:val="19"/>
          <w:szCs w:val="19"/>
          <w:color w:val="auto"/>
        </w:rPr>
        <w:t>. A certificate of a Responsible Officer of each Credit Party certifying as to</w:t>
      </w:r>
    </w:p>
    <w:p>
      <w:pPr>
        <w:spacing w:after="0" w:line="6" w:lineRule="exact"/>
        <w:rPr>
          <w:sz w:val="20"/>
          <w:szCs w:val="20"/>
          <w:color w:val="auto"/>
        </w:rPr>
      </w:pPr>
    </w:p>
    <w:p>
      <w:pPr>
        <w:ind w:left="700"/>
        <w:spacing w:after="0" w:line="204" w:lineRule="auto"/>
        <w:rPr>
          <w:sz w:val="20"/>
          <w:szCs w:val="20"/>
          <w:color w:val="auto"/>
        </w:rPr>
      </w:pPr>
      <w:r>
        <w:rPr>
          <w:rFonts w:ascii="Times New Roman" w:cs="Times New Roman" w:eastAsia="Times New Roman" w:hAnsi="Times New Roman"/>
          <w:sz w:val="20"/>
          <w:szCs w:val="20"/>
          <w:color w:val="auto"/>
        </w:rPr>
        <w:t>the incumbency and genuineness of the signature of each officer of such Credit Party executing Loan Documents to which it is a party and certifying that attached thereto is a true, correct and complete copy of (A) the articles or certificate of incorporation or</w:t>
      </w:r>
    </w:p>
    <w:p>
      <w:pPr>
        <w:ind w:left="700"/>
        <w:spacing w:after="0" w:line="211" w:lineRule="auto"/>
        <w:rPr>
          <w:sz w:val="20"/>
          <w:szCs w:val="20"/>
          <w:color w:val="auto"/>
        </w:rPr>
      </w:pPr>
      <w:r>
        <w:rPr>
          <w:rFonts w:ascii="Times New Roman" w:cs="Times New Roman" w:eastAsia="Times New Roman" w:hAnsi="Times New Roman"/>
          <w:sz w:val="20"/>
          <w:szCs w:val="20"/>
          <w:color w:val="auto"/>
        </w:rPr>
        <w:t>formation (or equivalent), as applicable, of such Credit Party and all amendments thereto, and in the case of the US Credit Parties</w:t>
      </w:r>
    </w:p>
    <w:p>
      <w:pPr>
        <w:spacing w:after="0" w:line="1" w:lineRule="exact"/>
        <w:rPr>
          <w:sz w:val="20"/>
          <w:szCs w:val="20"/>
          <w:color w:val="auto"/>
        </w:rPr>
      </w:pPr>
    </w:p>
    <w:p>
      <w:pPr>
        <w:ind w:left="700" w:right="20"/>
        <w:spacing w:after="0" w:line="221" w:lineRule="auto"/>
        <w:rPr>
          <w:sz w:val="20"/>
          <w:szCs w:val="20"/>
          <w:color w:val="auto"/>
        </w:rPr>
      </w:pPr>
      <w:r>
        <w:rPr>
          <w:rFonts w:ascii="Times New Roman" w:cs="Times New Roman" w:eastAsia="Times New Roman" w:hAnsi="Times New Roman"/>
          <w:sz w:val="20"/>
          <w:szCs w:val="20"/>
          <w:color w:val="auto"/>
        </w:rPr>
        <w:t>only, certified as of a recent date by the appropriate Governmental Authority in its jurisdiction of incorporation, organization or formation (or equivalent), as applicable, (B) the bylaws or other governing document of such Credit Party as in effect on the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FF0000"/>
          <w:strike w:val="1"/>
        </w:rPr>
        <w:t>146960219_6</w:t>
      </w: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105</w:t>
      </w:r>
      <w:r>
        <w:rPr>
          <w:sz w:val="20"/>
          <w:szCs w:val="20"/>
          <w:color w:val="auto"/>
        </w:rPr>
        <w:tab/>
      </w: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080"/>
          </w:cols>
          <w:pgMar w:left="380" w:top="1440" w:right="439" w:bottom="1440" w:gutter="0" w:footer="0" w:header="0"/>
        </w:sectPr>
      </w:pPr>
    </w:p>
    <w:bookmarkStart w:id="188" w:name="page189"/>
    <w:bookmarkEnd w:id="188"/>
    <w:p>
      <w:pPr>
        <w:ind w:left="680"/>
        <w:spacing w:after="0"/>
        <w:rPr>
          <w:sz w:val="20"/>
          <w:szCs w:val="20"/>
          <w:color w:val="auto"/>
        </w:rPr>
      </w:pPr>
      <w:r>
        <w:rPr>
          <w:rFonts w:ascii="Times New Roman" w:cs="Times New Roman" w:eastAsia="Times New Roman" w:hAnsi="Times New Roman"/>
          <w:sz w:val="20"/>
          <w:szCs w:val="20"/>
          <w:color w:val="auto"/>
        </w:rPr>
        <w:t>Closing Date, (C) resolutions duly adopted by the board of directors (or other governing body) of such Credit Party authorizing</w:t>
      </w:r>
    </w:p>
    <w:p>
      <w:pPr>
        <w:ind w:left="680"/>
        <w:spacing w:after="0" w:line="204" w:lineRule="auto"/>
        <w:rPr>
          <w:sz w:val="20"/>
          <w:szCs w:val="20"/>
          <w:color w:val="auto"/>
        </w:rPr>
      </w:pPr>
      <w:r>
        <w:rPr>
          <w:rFonts w:ascii="Times New Roman" w:cs="Times New Roman" w:eastAsia="Times New Roman" w:hAnsi="Times New Roman"/>
          <w:sz w:val="20"/>
          <w:szCs w:val="20"/>
          <w:color w:val="auto"/>
        </w:rPr>
        <w:t>and approving the transactions contemplated hereunder and the execution, delivery and performance of this Agreement and the other Loan Documents to which it is a party, and (D) with respect to the US Credit Parties only, each certificate required to be</w:t>
      </w:r>
    </w:p>
    <w:p>
      <w:pPr>
        <w:spacing w:after="0" w:line="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 xml:space="preserve">delivered pursuant to </w:t>
      </w:r>
      <w:r>
        <w:rPr>
          <w:rFonts w:ascii="Times New Roman" w:cs="Times New Roman" w:eastAsia="Times New Roman" w:hAnsi="Times New Roman"/>
          <w:sz w:val="20"/>
          <w:szCs w:val="20"/>
          <w:u w:val="single" w:color="auto"/>
          <w:color w:val="auto"/>
        </w:rPr>
        <w:t>Section 6.1(b)(iii)</w:t>
      </w:r>
      <w:r>
        <w:rPr>
          <w:rFonts w:ascii="Times New Roman" w:cs="Times New Roman" w:eastAsia="Times New Roman" w:hAnsi="Times New Roman"/>
          <w:sz w:val="20"/>
          <w:szCs w:val="20"/>
          <w:color w:val="auto"/>
        </w:rPr>
        <w:t>.</w:t>
      </w:r>
    </w:p>
    <w:p>
      <w:pPr>
        <w:spacing w:after="0" w:line="275" w:lineRule="exact"/>
        <w:rPr>
          <w:sz w:val="20"/>
          <w:szCs w:val="20"/>
          <w:color w:val="auto"/>
        </w:rPr>
      </w:pPr>
    </w:p>
    <w:p>
      <w:pPr>
        <w:ind w:left="680" w:right="20" w:firstLine="648"/>
        <w:spacing w:after="0" w:line="269" w:lineRule="auto"/>
        <w:rPr>
          <w:sz w:val="20"/>
          <w:szCs w:val="20"/>
          <w:color w:val="auto"/>
        </w:rPr>
      </w:pPr>
      <w:r>
        <w:rPr>
          <w:rFonts w:ascii="Times New Roman" w:cs="Times New Roman" w:eastAsia="Times New Roman" w:hAnsi="Times New Roman"/>
          <w:sz w:val="20"/>
          <w:szCs w:val="20"/>
          <w:color w:val="auto"/>
        </w:rPr>
        <w:t xml:space="preserve">(lxiv) </w:t>
      </w:r>
      <w:r>
        <w:rPr>
          <w:rFonts w:ascii="Times New Roman" w:cs="Times New Roman" w:eastAsia="Times New Roman" w:hAnsi="Times New Roman"/>
          <w:sz w:val="20"/>
          <w:szCs w:val="20"/>
          <w:u w:val="single" w:color="auto"/>
          <w:color w:val="auto"/>
        </w:rPr>
        <w:t>Certificates of Good Standing</w:t>
      </w:r>
      <w:r>
        <w:rPr>
          <w:rFonts w:ascii="Times New Roman" w:cs="Times New Roman" w:eastAsia="Times New Roman" w:hAnsi="Times New Roman"/>
          <w:sz w:val="20"/>
          <w:szCs w:val="20"/>
          <w:color w:val="auto"/>
        </w:rPr>
        <w:t>. Certificates as of a recent date of the good standing of each Credit Party under the laws of its jurisdiction of incorporation, organization or formation (or equivalent), as applicable.</w:t>
      </w:r>
    </w:p>
    <w:p>
      <w:pPr>
        <w:spacing w:after="0" w:line="167" w:lineRule="exact"/>
        <w:rPr>
          <w:sz w:val="20"/>
          <w:szCs w:val="20"/>
          <w:color w:val="auto"/>
        </w:rPr>
      </w:pPr>
    </w:p>
    <w:p>
      <w:pPr>
        <w:ind w:left="1340"/>
        <w:spacing w:after="0"/>
        <w:tabs>
          <w:tab w:leader="none" w:pos="1860" w:val="left"/>
        </w:tabs>
        <w:rPr>
          <w:sz w:val="20"/>
          <w:szCs w:val="20"/>
          <w:color w:val="auto"/>
        </w:rPr>
      </w:pPr>
      <w:r>
        <w:rPr>
          <w:rFonts w:ascii="Times New Roman" w:cs="Times New Roman" w:eastAsia="Times New Roman" w:hAnsi="Times New Roman"/>
          <w:sz w:val="20"/>
          <w:szCs w:val="20"/>
          <w:color w:val="auto"/>
        </w:rPr>
        <w:t>(lxv)</w:t>
      </w:r>
      <w:r>
        <w:rPr>
          <w:sz w:val="20"/>
          <w:szCs w:val="20"/>
          <w:color w:val="auto"/>
        </w:rPr>
        <w:tab/>
      </w:r>
      <w:r>
        <w:rPr>
          <w:rFonts w:ascii="Times New Roman" w:cs="Times New Roman" w:eastAsia="Times New Roman" w:hAnsi="Times New Roman"/>
          <w:sz w:val="20"/>
          <w:szCs w:val="20"/>
          <w:u w:val="single" w:color="auto"/>
          <w:color w:val="auto"/>
        </w:rPr>
        <w:t>Opinions of Counsel</w:t>
      </w:r>
      <w:r>
        <w:rPr>
          <w:rFonts w:ascii="Times New Roman" w:cs="Times New Roman" w:eastAsia="Times New Roman" w:hAnsi="Times New Roman"/>
          <w:sz w:val="20"/>
          <w:szCs w:val="20"/>
          <w:color w:val="auto"/>
        </w:rPr>
        <w:t>. Opinions of counsel to the Credit Parties addressed to the Administrative Agent and the</w:t>
      </w:r>
    </w:p>
    <w:p>
      <w:pPr>
        <w:ind w:left="680" w:right="20"/>
        <w:spacing w:after="0" w:line="204" w:lineRule="auto"/>
        <w:rPr>
          <w:sz w:val="20"/>
          <w:szCs w:val="20"/>
          <w:color w:val="auto"/>
        </w:rPr>
      </w:pPr>
      <w:r>
        <w:rPr>
          <w:rFonts w:ascii="Times New Roman" w:cs="Times New Roman" w:eastAsia="Times New Roman" w:hAnsi="Times New Roman"/>
          <w:sz w:val="20"/>
          <w:szCs w:val="20"/>
          <w:color w:val="auto"/>
        </w:rPr>
        <w:t>Lenders with respect to the Credit Parties, the Loan Documents and such other matters as the Administrative Agent shall reasonably request (which such opinions shall expressly permit reliance by permitted successors and assigns of the addressees</w:t>
      </w:r>
    </w:p>
    <w:p>
      <w:pPr>
        <w:spacing w:after="0" w:line="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thereof).</w:t>
      </w:r>
    </w:p>
    <w:p>
      <w:pPr>
        <w:spacing w:after="0" w:line="194" w:lineRule="exact"/>
        <w:rPr>
          <w:sz w:val="20"/>
          <w:szCs w:val="20"/>
          <w:color w:val="auto"/>
        </w:rPr>
      </w:pPr>
    </w:p>
    <w:p>
      <w:pPr>
        <w:ind w:left="1320" w:hanging="634"/>
        <w:spacing w:after="0"/>
        <w:tabs>
          <w:tab w:leader="none" w:pos="1320" w:val="left"/>
        </w:tabs>
        <w:numPr>
          <w:ilvl w:val="0"/>
          <w:numId w:val="2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Personal Property Collateral</w:t>
      </w:r>
      <w:r>
        <w:rPr>
          <w:rFonts w:ascii="Times New Roman" w:cs="Times New Roman" w:eastAsia="Times New Roman" w:hAnsi="Times New Roman"/>
          <w:sz w:val="20"/>
          <w:szCs w:val="20"/>
          <w:color w:val="auto"/>
        </w:rPr>
        <w:t>.</w:t>
      </w:r>
    </w:p>
    <w:p>
      <w:pPr>
        <w:spacing w:after="0" w:line="270" w:lineRule="exact"/>
        <w:rPr>
          <w:sz w:val="20"/>
          <w:szCs w:val="20"/>
          <w:color w:val="auto"/>
        </w:rPr>
      </w:pPr>
    </w:p>
    <w:p>
      <w:pPr>
        <w:ind w:left="680" w:firstLine="648"/>
        <w:spacing w:after="0" w:line="222" w:lineRule="auto"/>
        <w:rPr>
          <w:sz w:val="20"/>
          <w:szCs w:val="20"/>
          <w:color w:val="auto"/>
        </w:rPr>
      </w:pPr>
      <w:r>
        <w:rPr>
          <w:rFonts w:ascii="Times New Roman" w:cs="Times New Roman" w:eastAsia="Times New Roman" w:hAnsi="Times New Roman"/>
          <w:sz w:val="20"/>
          <w:szCs w:val="20"/>
          <w:color w:val="auto"/>
        </w:rPr>
        <w:t xml:space="preserve">(lxvi) </w:t>
      </w:r>
      <w:r>
        <w:rPr>
          <w:rFonts w:ascii="Times New Roman" w:cs="Times New Roman" w:eastAsia="Times New Roman" w:hAnsi="Times New Roman"/>
          <w:sz w:val="20"/>
          <w:szCs w:val="20"/>
          <w:u w:val="single" w:color="auto"/>
          <w:color w:val="auto"/>
        </w:rPr>
        <w:t>Filings and Recordings</w:t>
      </w:r>
      <w:r>
        <w:rPr>
          <w:rFonts w:ascii="Times New Roman" w:cs="Times New Roman" w:eastAsia="Times New Roman" w:hAnsi="Times New Roman"/>
          <w:sz w:val="20"/>
          <w:szCs w:val="20"/>
          <w:color w:val="auto"/>
        </w:rPr>
        <w:t>. The Administrative Agent shall have received all filings and recordations that are necessary to perfect the security interests of the Administrative Agent, on behalf of the US Secured Parties and the Canadian</w:t>
      </w:r>
    </w:p>
    <w:p>
      <w:pPr>
        <w:spacing w:after="0" w:line="2" w:lineRule="exact"/>
        <w:rPr>
          <w:sz w:val="20"/>
          <w:szCs w:val="20"/>
          <w:color w:val="auto"/>
        </w:rPr>
      </w:pPr>
    </w:p>
    <w:p>
      <w:pPr>
        <w:ind w:left="680"/>
        <w:spacing w:after="0" w:line="204" w:lineRule="auto"/>
        <w:rPr>
          <w:sz w:val="20"/>
          <w:szCs w:val="20"/>
          <w:color w:val="auto"/>
        </w:rPr>
      </w:pPr>
      <w:r>
        <w:rPr>
          <w:rFonts w:ascii="Times New Roman" w:cs="Times New Roman" w:eastAsia="Times New Roman" w:hAnsi="Times New Roman"/>
          <w:sz w:val="20"/>
          <w:szCs w:val="20"/>
          <w:color w:val="auto"/>
        </w:rPr>
        <w:t>Secured Parties in the Collateral and the Administrative Agent shall have received evidence reasonably satisfactory to the Administrative Agent that upon such filings and recordations such security interests constitute valid and perfected first priority</w:t>
      </w:r>
    </w:p>
    <w:p>
      <w:pPr>
        <w:spacing w:after="0" w:line="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Liens thereon (subject to Permitted Liens).</w:t>
      </w:r>
    </w:p>
    <w:p>
      <w:pPr>
        <w:spacing w:after="0" w:line="18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0"/>
          <w:szCs w:val="20"/>
          <w:color w:val="auto"/>
        </w:rPr>
        <w:t xml:space="preserve">(lxvii) </w:t>
      </w:r>
      <w:r>
        <w:rPr>
          <w:rFonts w:ascii="Times New Roman" w:cs="Times New Roman" w:eastAsia="Times New Roman" w:hAnsi="Times New Roman"/>
          <w:sz w:val="20"/>
          <w:szCs w:val="20"/>
          <w:u w:val="single" w:color="auto"/>
          <w:color w:val="auto"/>
        </w:rPr>
        <w:t>Pledged Collateral</w:t>
      </w:r>
      <w:r>
        <w:rPr>
          <w:rFonts w:ascii="Times New Roman" w:cs="Times New Roman" w:eastAsia="Times New Roman" w:hAnsi="Times New Roman"/>
          <w:sz w:val="20"/>
          <w:szCs w:val="20"/>
          <w:color w:val="auto"/>
        </w:rPr>
        <w:t xml:space="preserve">. The Administrative Agent shall have received, subject to </w:t>
      </w:r>
      <w:r>
        <w:rPr>
          <w:rFonts w:ascii="Times New Roman" w:cs="Times New Roman" w:eastAsia="Times New Roman" w:hAnsi="Times New Roman"/>
          <w:sz w:val="20"/>
          <w:szCs w:val="20"/>
          <w:u w:val="single" w:color="auto"/>
          <w:color w:val="auto"/>
        </w:rPr>
        <w:t>Section 8.19</w:t>
      </w:r>
      <w:r>
        <w:rPr>
          <w:rFonts w:ascii="Times New Roman" w:cs="Times New Roman" w:eastAsia="Times New Roman" w:hAnsi="Times New Roman"/>
          <w:sz w:val="20"/>
          <w:szCs w:val="20"/>
          <w:color w:val="auto"/>
        </w:rPr>
        <w:t>, (A) original stock</w:t>
      </w:r>
    </w:p>
    <w:p>
      <w:pPr>
        <w:ind w:left="680" w:right="20"/>
        <w:spacing w:after="0" w:line="215" w:lineRule="auto"/>
        <w:rPr>
          <w:sz w:val="20"/>
          <w:szCs w:val="20"/>
          <w:color w:val="auto"/>
        </w:rPr>
      </w:pPr>
      <w:r>
        <w:rPr>
          <w:rFonts w:ascii="Times New Roman" w:cs="Times New Roman" w:eastAsia="Times New Roman" w:hAnsi="Times New Roman"/>
          <w:sz w:val="19"/>
          <w:szCs w:val="19"/>
          <w:color w:val="auto"/>
        </w:rPr>
        <w:t>certificates or other certificates evidencing the certificated Equity Interests pledged pursuant to the Security Documents, together with an undated stock power for each such certificate duly executed in blank by the registered owner thereof and (B) each original</w:t>
      </w:r>
    </w:p>
    <w:p>
      <w:pPr>
        <w:ind w:left="680"/>
        <w:spacing w:after="0" w:line="228" w:lineRule="auto"/>
        <w:rPr>
          <w:sz w:val="20"/>
          <w:szCs w:val="20"/>
          <w:color w:val="auto"/>
        </w:rPr>
      </w:pPr>
      <w:r>
        <w:rPr>
          <w:rFonts w:ascii="Times New Roman" w:cs="Times New Roman" w:eastAsia="Times New Roman" w:hAnsi="Times New Roman"/>
          <w:sz w:val="20"/>
          <w:szCs w:val="20"/>
          <w:color w:val="auto"/>
        </w:rPr>
        <w:t>promissory note pledged pursuant to the Security Documents together with an undated allonge for each such promissory note duly executed in blank by the holder thereof.</w:t>
      </w:r>
    </w:p>
    <w:p>
      <w:pPr>
        <w:spacing w:after="0" w:line="189" w:lineRule="exact"/>
        <w:rPr>
          <w:sz w:val="20"/>
          <w:szCs w:val="20"/>
          <w:color w:val="auto"/>
        </w:rPr>
      </w:pPr>
    </w:p>
    <w:p>
      <w:pPr>
        <w:ind w:left="680" w:right="20" w:firstLine="648"/>
        <w:spacing w:after="0" w:line="227" w:lineRule="auto"/>
        <w:rPr>
          <w:sz w:val="20"/>
          <w:szCs w:val="20"/>
          <w:color w:val="auto"/>
        </w:rPr>
      </w:pPr>
      <w:r>
        <w:rPr>
          <w:rFonts w:ascii="Times New Roman" w:cs="Times New Roman" w:eastAsia="Times New Roman" w:hAnsi="Times New Roman"/>
          <w:sz w:val="19"/>
          <w:szCs w:val="19"/>
          <w:color w:val="auto"/>
        </w:rPr>
        <w:t>(lxviii)</w:t>
      </w:r>
      <w:r>
        <w:rPr>
          <w:rFonts w:ascii="Times New Roman" w:cs="Times New Roman" w:eastAsia="Times New Roman" w:hAnsi="Times New Roman"/>
          <w:sz w:val="19"/>
          <w:szCs w:val="19"/>
          <w:u w:val="single" w:color="auto"/>
          <w:color w:val="auto"/>
        </w:rPr>
        <w:t>Lien Search</w:t>
      </w:r>
      <w:r>
        <w:rPr>
          <w:rFonts w:ascii="Times New Roman" w:cs="Times New Roman" w:eastAsia="Times New Roman" w:hAnsi="Times New Roman"/>
          <w:sz w:val="19"/>
          <w:szCs w:val="19"/>
          <w:color w:val="auto"/>
        </w:rPr>
        <w:t>. The Administrative Agent shall have received the results of customary Lien searches (including UCC and PPSA searches and a search as to bankruptcy, tax and intellectual property matters as applicable), in form and substance</w:t>
      </w:r>
    </w:p>
    <w:p>
      <w:pPr>
        <w:ind w:left="680" w:right="20"/>
        <w:spacing w:after="0" w:line="228" w:lineRule="auto"/>
        <w:rPr>
          <w:sz w:val="20"/>
          <w:szCs w:val="20"/>
          <w:color w:val="auto"/>
        </w:rPr>
      </w:pPr>
      <w:r>
        <w:rPr>
          <w:rFonts w:ascii="Times New Roman" w:cs="Times New Roman" w:eastAsia="Times New Roman" w:hAnsi="Times New Roman"/>
          <w:sz w:val="20"/>
          <w:szCs w:val="20"/>
          <w:color w:val="auto"/>
        </w:rPr>
        <w:t>reasonably satisfactory thereto, made against the Credit Parties, indicating among other things that the assets of each such Credit Party are free and clear of any Lien (except for Permitted Liens).</w:t>
      </w:r>
    </w:p>
    <w:p>
      <w:pPr>
        <w:spacing w:after="0" w:line="189" w:lineRule="exact"/>
        <w:rPr>
          <w:sz w:val="20"/>
          <w:szCs w:val="20"/>
          <w:color w:val="auto"/>
        </w:rPr>
      </w:pPr>
    </w:p>
    <w:p>
      <w:pPr>
        <w:ind w:left="1320" w:hanging="634"/>
        <w:spacing w:after="0"/>
        <w:tabs>
          <w:tab w:leader="none" w:pos="1320" w:val="left"/>
        </w:tabs>
        <w:numPr>
          <w:ilvl w:val="0"/>
          <w:numId w:val="2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[Intentionally Omitted]</w:t>
      </w:r>
      <w:r>
        <w:rPr>
          <w:rFonts w:ascii="Times New Roman" w:cs="Times New Roman" w:eastAsia="Times New Roman" w:hAnsi="Times New Roman"/>
          <w:sz w:val="20"/>
          <w:szCs w:val="20"/>
          <w:color w:val="auto"/>
        </w:rPr>
        <w:t>.</w:t>
      </w:r>
    </w:p>
    <w:p>
      <w:pPr>
        <w:spacing w:after="0" w:line="283" w:lineRule="exact"/>
        <w:rPr>
          <w:rFonts w:ascii="Times New Roman" w:cs="Times New Roman" w:eastAsia="Times New Roman" w:hAnsi="Times New Roman"/>
          <w:sz w:val="20"/>
          <w:szCs w:val="20"/>
          <w:color w:val="auto"/>
        </w:rPr>
      </w:pPr>
    </w:p>
    <w:p>
      <w:pPr>
        <w:ind w:left="1320" w:hanging="634"/>
        <w:spacing w:after="0"/>
        <w:tabs>
          <w:tab w:leader="none" w:pos="1320" w:val="left"/>
        </w:tabs>
        <w:numPr>
          <w:ilvl w:val="0"/>
          <w:numId w:val="2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Financial Matters</w:t>
      </w:r>
      <w:r>
        <w:rPr>
          <w:rFonts w:ascii="Times New Roman" w:cs="Times New Roman" w:eastAsia="Times New Roman" w:hAnsi="Times New Roman"/>
          <w:sz w:val="20"/>
          <w:szCs w:val="20"/>
          <w:color w:val="auto"/>
        </w:rPr>
        <w:t>.</w:t>
      </w:r>
    </w:p>
    <w:p>
      <w:pPr>
        <w:spacing w:after="0" w:line="283" w:lineRule="exact"/>
        <w:rPr>
          <w:sz w:val="20"/>
          <w:szCs w:val="20"/>
          <w:color w:val="auto"/>
        </w:rPr>
      </w:pPr>
    </w:p>
    <w:p>
      <w:pPr>
        <w:ind w:left="680" w:firstLine="648"/>
        <w:spacing w:after="0" w:line="215" w:lineRule="auto"/>
        <w:rPr>
          <w:sz w:val="20"/>
          <w:szCs w:val="20"/>
          <w:color w:val="auto"/>
        </w:rPr>
      </w:pPr>
      <w:r>
        <w:rPr>
          <w:rFonts w:ascii="Times New Roman" w:cs="Times New Roman" w:eastAsia="Times New Roman" w:hAnsi="Times New Roman"/>
          <w:sz w:val="20"/>
          <w:szCs w:val="20"/>
          <w:color w:val="auto"/>
        </w:rPr>
        <w:t xml:space="preserve">(lxix) </w:t>
      </w:r>
      <w:r>
        <w:rPr>
          <w:rFonts w:ascii="Times New Roman" w:cs="Times New Roman" w:eastAsia="Times New Roman" w:hAnsi="Times New Roman"/>
          <w:sz w:val="20"/>
          <w:szCs w:val="20"/>
          <w:u w:val="single" w:color="auto"/>
          <w:color w:val="auto"/>
        </w:rPr>
        <w:t>Financial Statements</w:t>
      </w:r>
      <w:r>
        <w:rPr>
          <w:rFonts w:ascii="Times New Roman" w:cs="Times New Roman" w:eastAsia="Times New Roman" w:hAnsi="Times New Roman"/>
          <w:sz w:val="20"/>
          <w:szCs w:val="20"/>
          <w:color w:val="auto"/>
        </w:rPr>
        <w:t>. The Agents shall have received (A) the audited Consolidated balance sheet of Centuri and its Subsidiaries for the Fiscal Year ended on December 31, 2020 and the related audited statements of income and retained earnings</w:t>
      </w:r>
    </w:p>
    <w:p>
      <w:pPr>
        <w:ind w:left="680"/>
        <w:spacing w:after="0" w:line="224" w:lineRule="auto"/>
        <w:rPr>
          <w:sz w:val="20"/>
          <w:szCs w:val="20"/>
          <w:color w:val="auto"/>
        </w:rPr>
      </w:pPr>
      <w:r>
        <w:rPr>
          <w:rFonts w:ascii="Times New Roman" w:cs="Times New Roman" w:eastAsia="Times New Roman" w:hAnsi="Times New Roman"/>
          <w:sz w:val="19"/>
          <w:szCs w:val="19"/>
          <w:color w:val="auto"/>
        </w:rPr>
        <w:t>and cash flows for each such Fiscal Year, (B) an unaudited Consolidated balance sheet of Centuri and its Subsidiaries for the fiscal</w:t>
      </w:r>
    </w:p>
    <w:p>
      <w:pPr>
        <w:ind w:left="680" w:right="20"/>
        <w:spacing w:after="0" w:line="204" w:lineRule="auto"/>
        <w:rPr>
          <w:sz w:val="20"/>
          <w:szCs w:val="20"/>
          <w:color w:val="auto"/>
        </w:rPr>
      </w:pPr>
      <w:r>
        <w:rPr>
          <w:rFonts w:ascii="Times New Roman" w:cs="Times New Roman" w:eastAsia="Times New Roman" w:hAnsi="Times New Roman"/>
          <w:sz w:val="20"/>
          <w:szCs w:val="20"/>
          <w:color w:val="auto"/>
        </w:rPr>
        <w:t>quarter ended on June 30, 2021 and related statements of operations for the six-month period then ended and such financial statements described in this clause (B) are publicly available,</w:t>
      </w:r>
    </w:p>
    <w:p>
      <w:pPr>
        <w:spacing w:after="0" w:line="1" w:lineRule="exact"/>
        <w:rPr>
          <w:sz w:val="20"/>
          <w:szCs w:val="20"/>
          <w:color w:val="auto"/>
        </w:rPr>
      </w:pPr>
    </w:p>
    <w:p>
      <w:pPr>
        <w:jc w:val="both"/>
        <w:ind w:left="680" w:firstLine="6"/>
        <w:spacing w:after="0" w:line="216" w:lineRule="auto"/>
        <w:tabs>
          <w:tab w:leader="none" w:pos="1227" w:val="left"/>
        </w:tabs>
        <w:numPr>
          <w:ilvl w:val="0"/>
          <w:numId w:val="2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unaudited Consolidated balance sheets and the related Consolidated statements of income and cash flows of Centuri and its Subsidiaries for each interim fiscal quarter ended after June 30, 2021 and at least 45 days prior to the Closing Date, (D) the audited Consolidated balance sheet of Drum and its Subsidiaries for the fiscal years ended December 31, 2020 and December 31, 2019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FF0000"/>
          <w:strike w:val="1"/>
        </w:rPr>
        <w:t>146960219_6</w:t>
      </w: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106</w:t>
      </w:r>
      <w:r>
        <w:rPr>
          <w:sz w:val="20"/>
          <w:szCs w:val="20"/>
          <w:color w:val="auto"/>
        </w:rPr>
        <w:tab/>
      </w: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080"/>
          </w:cols>
          <w:pgMar w:left="380" w:top="1394" w:right="439" w:bottom="1440" w:gutter="0" w:footer="0" w:header="0"/>
        </w:sectPr>
      </w:pPr>
    </w:p>
    <w:bookmarkStart w:id="189" w:name="page190"/>
    <w:bookmarkEnd w:id="189"/>
    <w:p>
      <w:pPr>
        <w:spacing w:after="0" w:line="21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related audited statements of income and retained earnings and cash flows for each such fiscal year,</w:t>
      </w:r>
    </w:p>
    <w:p>
      <w:pPr>
        <w:spacing w:after="0" w:line="8" w:lineRule="exact"/>
        <w:rPr>
          <w:sz w:val="20"/>
          <w:szCs w:val="20"/>
          <w:color w:val="auto"/>
        </w:rPr>
      </w:pPr>
    </w:p>
    <w:p>
      <w:pPr>
        <w:jc w:val="both"/>
        <w:ind w:left="680" w:firstLine="6"/>
        <w:spacing w:after="0" w:line="216" w:lineRule="auto"/>
        <w:tabs>
          <w:tab w:leader="none" w:pos="984" w:val="left"/>
        </w:tabs>
        <w:numPr>
          <w:ilvl w:val="0"/>
          <w:numId w:val="2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unaudited Consolidated balance sheet of Drum and its Subsidiaries for the fiscal quarter ended on June 30, 2021 and related statements of operations for the six-month period then ended and (F) unaudited Consolidated balance sheets and the related Consolidated statements of income and cash flows of Drum and its Subsidiaries for each interim fiscal quarter ended after June 30, 2021 and at least 45 days prior to the Closing Date.</w:t>
      </w:r>
    </w:p>
    <w:p>
      <w:pPr>
        <w:spacing w:after="0" w:line="190" w:lineRule="exact"/>
        <w:rPr>
          <w:sz w:val="20"/>
          <w:szCs w:val="20"/>
          <w:color w:val="auto"/>
        </w:rPr>
      </w:pPr>
    </w:p>
    <w:p>
      <w:pPr>
        <w:ind w:left="680" w:firstLine="648"/>
        <w:spacing w:after="0" w:line="227" w:lineRule="auto"/>
        <w:rPr>
          <w:sz w:val="20"/>
          <w:szCs w:val="20"/>
          <w:color w:val="auto"/>
        </w:rPr>
      </w:pPr>
      <w:r>
        <w:rPr>
          <w:rFonts w:ascii="Times New Roman" w:cs="Times New Roman" w:eastAsia="Times New Roman" w:hAnsi="Times New Roman"/>
          <w:sz w:val="19"/>
          <w:szCs w:val="19"/>
          <w:color w:val="auto"/>
        </w:rPr>
        <w:t xml:space="preserve">(lxx) </w:t>
      </w:r>
      <w:r>
        <w:rPr>
          <w:rFonts w:ascii="Times New Roman" w:cs="Times New Roman" w:eastAsia="Times New Roman" w:hAnsi="Times New Roman"/>
          <w:sz w:val="19"/>
          <w:szCs w:val="19"/>
          <w:u w:val="single" w:color="auto"/>
          <w:color w:val="auto"/>
        </w:rPr>
        <w:t>Financial Condition/Solvency Certificate</w:t>
      </w:r>
      <w:r>
        <w:rPr>
          <w:rFonts w:ascii="Times New Roman" w:cs="Times New Roman" w:eastAsia="Times New Roman" w:hAnsi="Times New Roman"/>
          <w:sz w:val="19"/>
          <w:szCs w:val="19"/>
          <w:color w:val="auto"/>
        </w:rPr>
        <w:t>. Centuri shall have delivered to the Administrative Agent a certificate, in form and substance satisfactory to the Administrative Agent, and certified as accurate by the chief financial officer of Centuri, that</w:t>
      </w:r>
    </w:p>
    <w:p>
      <w:pPr>
        <w:jc w:val="both"/>
        <w:ind w:left="680" w:firstLine="6"/>
        <w:spacing w:after="0" w:line="223" w:lineRule="auto"/>
        <w:tabs>
          <w:tab w:leader="none" w:pos="1013" w:val="left"/>
        </w:tabs>
        <w:numPr>
          <w:ilvl w:val="0"/>
          <w:numId w:val="2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after giving effect to the Transactions, Centuri and its Subsidiaries, on a Consolidated basis, are Solvent and (B) the financial projections previously delivered to the Agents represent the good faith estimates (utilizing reasonable assumptions) of the financial condition and operations of the Consolidated Companies.</w:t>
      </w:r>
    </w:p>
    <w:p>
      <w:pPr>
        <w:spacing w:after="0" w:line="201" w:lineRule="exact"/>
        <w:rPr>
          <w:sz w:val="20"/>
          <w:szCs w:val="20"/>
          <w:color w:val="auto"/>
        </w:rPr>
      </w:pPr>
    </w:p>
    <w:p>
      <w:pPr>
        <w:ind w:left="1340"/>
        <w:spacing w:after="0"/>
        <w:tabs>
          <w:tab w:leader="none" w:pos="1960" w:val="left"/>
        </w:tabs>
        <w:rPr>
          <w:sz w:val="20"/>
          <w:szCs w:val="20"/>
          <w:color w:val="auto"/>
        </w:rPr>
      </w:pPr>
      <w:r>
        <w:rPr>
          <w:rFonts w:ascii="Times New Roman" w:cs="Times New Roman" w:eastAsia="Times New Roman" w:hAnsi="Times New Roman"/>
          <w:sz w:val="20"/>
          <w:szCs w:val="20"/>
          <w:color w:val="auto"/>
        </w:rPr>
        <w:t>(lxxi)</w:t>
      </w:r>
      <w:r>
        <w:rPr>
          <w:sz w:val="20"/>
          <w:szCs w:val="20"/>
          <w:color w:val="auto"/>
        </w:rPr>
        <w:tab/>
      </w:r>
      <w:r>
        <w:rPr>
          <w:rFonts w:ascii="Times New Roman" w:cs="Times New Roman" w:eastAsia="Times New Roman" w:hAnsi="Times New Roman"/>
          <w:sz w:val="19"/>
          <w:szCs w:val="19"/>
          <w:u w:val="single" w:color="auto"/>
          <w:color w:val="auto"/>
        </w:rPr>
        <w:t>Payment at Closing</w:t>
      </w:r>
      <w:r>
        <w:rPr>
          <w:rFonts w:ascii="Times New Roman" w:cs="Times New Roman" w:eastAsia="Times New Roman" w:hAnsi="Times New Roman"/>
          <w:sz w:val="19"/>
          <w:szCs w:val="19"/>
          <w:color w:val="auto"/>
        </w:rPr>
        <w:t>. If an invoice has been provided to Centuri not less than two</w:t>
      </w:r>
    </w:p>
    <w:p>
      <w:pPr>
        <w:spacing w:after="0" w:line="8" w:lineRule="exact"/>
        <w:rPr>
          <w:sz w:val="20"/>
          <w:szCs w:val="20"/>
          <w:color w:val="auto"/>
        </w:rPr>
      </w:pPr>
    </w:p>
    <w:p>
      <w:pPr>
        <w:jc w:val="both"/>
        <w:ind w:left="680" w:firstLine="6"/>
        <w:spacing w:after="0" w:line="221" w:lineRule="auto"/>
        <w:tabs>
          <w:tab w:leader="none" w:pos="967" w:val="left"/>
        </w:tabs>
        <w:numPr>
          <w:ilvl w:val="0"/>
          <w:numId w:val="2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Business Days prior to the Closing Date, the Borrowers shall have paid or made arrangements to pay contemporaneously with closing (A) to the Administrative Agent, the Arrangers and the Lenders the fees set forth or referenced in </w:t>
      </w:r>
      <w:r>
        <w:rPr>
          <w:rFonts w:ascii="Times New Roman" w:cs="Times New Roman" w:eastAsia="Times New Roman" w:hAnsi="Times New Roman"/>
          <w:sz w:val="19"/>
          <w:szCs w:val="19"/>
          <w:u w:val="single" w:color="auto"/>
          <w:color w:val="auto"/>
        </w:rPr>
        <w:t>Section 5.3</w:t>
      </w:r>
      <w:r>
        <w:rPr>
          <w:rFonts w:ascii="Times New Roman" w:cs="Times New Roman" w:eastAsia="Times New Roman" w:hAnsi="Times New Roman"/>
          <w:sz w:val="19"/>
          <w:szCs w:val="19"/>
          <w:color w:val="auto"/>
        </w:rPr>
        <w:t xml:space="preserve"> and any other accrued and unpaid fees or commissions due hereunder, (B) all fees, charges and disbursements of counsel to the Administrative Agent (directly to such counsel if requested by the Administrative Agent) to the extent accrued and unpaid prior to or on the Closing Date, plus such additional amounts of such fees, charges and disbursements as shall constitute its reasonable estimate of such fees, charges and disbursements incurred or to be incurred by it through the closing proceedings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estimate shall not thereafter preclude a final settling of accounts between Centuri and the Administrative Agent) and (C) to any other Person such amount as may be due thereto in connection with the transactions contemplated hereby, including all taxes, fees and other charges in connection with the execution, delivery, recording, filing and registration of any of the Loan Documents.</w:t>
      </w:r>
    </w:p>
    <w:p>
      <w:pPr>
        <w:spacing w:after="0" w:line="192" w:lineRule="exact"/>
        <w:rPr>
          <w:sz w:val="20"/>
          <w:szCs w:val="20"/>
          <w:color w:val="auto"/>
        </w:rPr>
      </w:pPr>
    </w:p>
    <w:p>
      <w:pPr>
        <w:ind w:left="1320" w:hanging="634"/>
        <w:spacing w:after="0"/>
        <w:tabs>
          <w:tab w:leader="none" w:pos="1320" w:val="left"/>
        </w:tabs>
        <w:numPr>
          <w:ilvl w:val="0"/>
          <w:numId w:val="2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Drum Acquisition</w:t>
      </w:r>
      <w:r>
        <w:rPr>
          <w:rFonts w:ascii="Times New Roman" w:cs="Times New Roman" w:eastAsia="Times New Roman" w:hAnsi="Times New Roman"/>
          <w:sz w:val="20"/>
          <w:szCs w:val="20"/>
          <w:color w:val="auto"/>
        </w:rPr>
        <w:t>.</w:t>
      </w:r>
    </w:p>
    <w:p>
      <w:pPr>
        <w:spacing w:after="0" w:line="27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0"/>
          <w:szCs w:val="20"/>
          <w:color w:val="auto"/>
        </w:rPr>
        <w:t xml:space="preserve">(lxxii) </w:t>
      </w:r>
      <w:r>
        <w:rPr>
          <w:rFonts w:ascii="Times New Roman" w:cs="Times New Roman" w:eastAsia="Times New Roman" w:hAnsi="Times New Roman"/>
          <w:sz w:val="20"/>
          <w:szCs w:val="20"/>
          <w:u w:val="single" w:color="auto"/>
          <w:color w:val="auto"/>
        </w:rPr>
        <w:t>Consummation of the Drum Acquisition</w:t>
      </w:r>
      <w:r>
        <w:rPr>
          <w:rFonts w:ascii="Times New Roman" w:cs="Times New Roman" w:eastAsia="Times New Roman" w:hAnsi="Times New Roman"/>
          <w:sz w:val="20"/>
          <w:szCs w:val="20"/>
          <w:color w:val="auto"/>
        </w:rPr>
        <w:t>. The Drum Acquisition (including the payment of all amounts due and</w:t>
      </w:r>
    </w:p>
    <w:p>
      <w:pPr>
        <w:ind w:left="680"/>
        <w:spacing w:after="0" w:line="204" w:lineRule="auto"/>
        <w:rPr>
          <w:sz w:val="20"/>
          <w:szCs w:val="20"/>
          <w:color w:val="auto"/>
        </w:rPr>
      </w:pPr>
      <w:r>
        <w:rPr>
          <w:rFonts w:ascii="Times New Roman" w:cs="Times New Roman" w:eastAsia="Times New Roman" w:hAnsi="Times New Roman"/>
          <w:sz w:val="20"/>
          <w:szCs w:val="20"/>
          <w:color w:val="auto"/>
        </w:rPr>
        <w:t>payable in connection with the consummation of the Drum Acquisition) shall be, or shall have been, consummated in accordance with the Drum Merger Agreement without giving effect to any waivers, modifications, or consents thereof that are materially</w:t>
      </w:r>
    </w:p>
    <w:p>
      <w:pPr>
        <w:spacing w:after="0" w:line="1" w:lineRule="exact"/>
        <w:rPr>
          <w:sz w:val="20"/>
          <w:szCs w:val="20"/>
          <w:color w:val="auto"/>
        </w:rPr>
      </w:pPr>
    </w:p>
    <w:p>
      <w:pPr>
        <w:ind w:left="680"/>
        <w:spacing w:after="0" w:line="228" w:lineRule="auto"/>
        <w:rPr>
          <w:sz w:val="20"/>
          <w:szCs w:val="20"/>
          <w:color w:val="auto"/>
        </w:rPr>
      </w:pPr>
      <w:r>
        <w:rPr>
          <w:rFonts w:ascii="Times New Roman" w:cs="Times New Roman" w:eastAsia="Times New Roman" w:hAnsi="Times New Roman"/>
          <w:sz w:val="20"/>
          <w:szCs w:val="20"/>
          <w:color w:val="auto"/>
        </w:rPr>
        <w:t>adverse to the Lenders (as reasonably determined by the Agents) unless such waivers, modifications, or consents are approved in writing by the Agents.</w:t>
      </w:r>
    </w:p>
    <w:p>
      <w:pPr>
        <w:spacing w:after="0" w:line="189" w:lineRule="exact"/>
        <w:rPr>
          <w:sz w:val="20"/>
          <w:szCs w:val="20"/>
          <w:color w:val="auto"/>
        </w:rPr>
      </w:pPr>
    </w:p>
    <w:p>
      <w:pPr>
        <w:ind w:left="680" w:firstLine="648"/>
        <w:spacing w:after="0" w:line="233" w:lineRule="auto"/>
        <w:rPr>
          <w:sz w:val="20"/>
          <w:szCs w:val="20"/>
          <w:color w:val="auto"/>
        </w:rPr>
      </w:pPr>
      <w:r>
        <w:rPr>
          <w:rFonts w:ascii="Times New Roman" w:cs="Times New Roman" w:eastAsia="Times New Roman" w:hAnsi="Times New Roman"/>
          <w:sz w:val="20"/>
          <w:szCs w:val="20"/>
          <w:color w:val="auto"/>
        </w:rPr>
        <w:t>(lxxiii)</w:t>
      </w:r>
      <w:r>
        <w:rPr>
          <w:rFonts w:ascii="Times New Roman" w:cs="Times New Roman" w:eastAsia="Times New Roman" w:hAnsi="Times New Roman"/>
          <w:sz w:val="20"/>
          <w:szCs w:val="20"/>
          <w:u w:val="single" w:color="auto"/>
          <w:color w:val="auto"/>
        </w:rPr>
        <w:t>Drum Merger Agreement</w:t>
      </w:r>
      <w:r>
        <w:rPr>
          <w:rFonts w:ascii="Times New Roman" w:cs="Times New Roman" w:eastAsia="Times New Roman" w:hAnsi="Times New Roman"/>
          <w:sz w:val="20"/>
          <w:szCs w:val="20"/>
          <w:color w:val="auto"/>
        </w:rPr>
        <w:t>. The Arrangers shall have received true, correct and fully executed copies of the Drum Merger Agreement.</w:t>
      </w:r>
    </w:p>
    <w:p>
      <w:pPr>
        <w:spacing w:after="0" w:line="201" w:lineRule="exact"/>
        <w:rPr>
          <w:sz w:val="20"/>
          <w:szCs w:val="20"/>
          <w:color w:val="auto"/>
        </w:rPr>
      </w:pPr>
    </w:p>
    <w:p>
      <w:pPr>
        <w:ind w:left="680" w:firstLine="648"/>
        <w:spacing w:after="0" w:line="215" w:lineRule="auto"/>
        <w:rPr>
          <w:sz w:val="20"/>
          <w:szCs w:val="20"/>
          <w:color w:val="auto"/>
        </w:rPr>
      </w:pPr>
      <w:r>
        <w:rPr>
          <w:rFonts w:ascii="Times New Roman" w:cs="Times New Roman" w:eastAsia="Times New Roman" w:hAnsi="Times New Roman"/>
          <w:sz w:val="20"/>
          <w:szCs w:val="20"/>
          <w:color w:val="auto"/>
        </w:rPr>
        <w:t>(lxxiv)</w:t>
      </w:r>
      <w:r>
        <w:rPr>
          <w:rFonts w:ascii="Times New Roman" w:cs="Times New Roman" w:eastAsia="Times New Roman" w:hAnsi="Times New Roman"/>
          <w:sz w:val="20"/>
          <w:szCs w:val="20"/>
          <w:u w:val="single" w:color="auto"/>
          <w:color w:val="auto"/>
        </w:rPr>
        <w:t>Drum Acquisition Representations and Warranties</w:t>
      </w:r>
      <w:r>
        <w:rPr>
          <w:rFonts w:ascii="Times New Roman" w:cs="Times New Roman" w:eastAsia="Times New Roman" w:hAnsi="Times New Roman"/>
          <w:sz w:val="20"/>
          <w:szCs w:val="20"/>
          <w:color w:val="auto"/>
        </w:rPr>
        <w:t>. Each of the representations made by Drum or any of its Subsidiaries or Affiliates or with respect to Drum or its Subsidiaries or its business in the Drum Merger Agreement that are</w:t>
      </w:r>
    </w:p>
    <w:p>
      <w:pPr>
        <w:ind w:left="680"/>
        <w:spacing w:after="0" w:line="212" w:lineRule="auto"/>
        <w:rPr>
          <w:sz w:val="20"/>
          <w:szCs w:val="20"/>
          <w:color w:val="auto"/>
        </w:rPr>
      </w:pPr>
      <w:r>
        <w:rPr>
          <w:rFonts w:ascii="Times New Roman" w:cs="Times New Roman" w:eastAsia="Times New Roman" w:hAnsi="Times New Roman"/>
          <w:sz w:val="20"/>
          <w:szCs w:val="20"/>
          <w:color w:val="auto"/>
        </w:rPr>
        <w:t>material to the interests of the Lenders are accurate in all material respects (or if qualified by materiality or reference to material</w:t>
      </w:r>
    </w:p>
    <w:p>
      <w:pPr>
        <w:spacing w:after="0" w:line="1" w:lineRule="exact"/>
        <w:rPr>
          <w:sz w:val="20"/>
          <w:szCs w:val="20"/>
          <w:color w:val="auto"/>
        </w:rPr>
      </w:pPr>
    </w:p>
    <w:p>
      <w:pPr>
        <w:ind w:left="680"/>
        <w:spacing w:after="0" w:line="204" w:lineRule="auto"/>
        <w:rPr>
          <w:sz w:val="20"/>
          <w:szCs w:val="20"/>
          <w:color w:val="auto"/>
        </w:rPr>
      </w:pPr>
      <w:r>
        <w:rPr>
          <w:rFonts w:ascii="Times New Roman" w:cs="Times New Roman" w:eastAsia="Times New Roman" w:hAnsi="Times New Roman"/>
          <w:sz w:val="20"/>
          <w:szCs w:val="20"/>
          <w:color w:val="auto"/>
        </w:rPr>
        <w:t>adverse effect, in all respects), but only to the extent that in the event of an inaccuracy with respect to, or a breach of, such representations Centuri or its Affiliates have the right to terminate their respective obligations under the Drum Merger Agreement</w:t>
      </w:r>
    </w:p>
    <w:p>
      <w:pPr>
        <w:spacing w:after="0" w:line="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or otherwise decline to close the Drum Acquisition.</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FF0000"/>
          <w:strike w:val="1"/>
        </w:rPr>
        <w:t>146960219_6</w:t>
      </w: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107</w:t>
      </w:r>
      <w:r>
        <w:rPr>
          <w:sz w:val="20"/>
          <w:szCs w:val="20"/>
          <w:color w:val="auto"/>
        </w:rPr>
        <w:tab/>
      </w: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080"/>
          </w:cols>
          <w:pgMar w:left="380" w:top="1440" w:right="439" w:bottom="1440" w:gutter="0" w:footer="0" w:header="0"/>
        </w:sectPr>
      </w:pPr>
    </w:p>
    <w:bookmarkStart w:id="190" w:name="page191"/>
    <w:bookmarkEnd w:id="190"/>
    <w:p>
      <w:pPr>
        <w:jc w:val="both"/>
        <w:ind w:left="700" w:right="20" w:firstLine="648"/>
        <w:spacing w:after="0" w:line="254" w:lineRule="auto"/>
        <w:rPr>
          <w:sz w:val="20"/>
          <w:szCs w:val="20"/>
          <w:color w:val="auto"/>
        </w:rPr>
      </w:pPr>
      <w:r>
        <w:rPr>
          <w:rFonts w:ascii="Times New Roman" w:cs="Times New Roman" w:eastAsia="Times New Roman" w:hAnsi="Times New Roman"/>
          <w:sz w:val="20"/>
          <w:szCs w:val="20"/>
          <w:color w:val="auto"/>
        </w:rPr>
        <w:t xml:space="preserve">(lxxv) </w:t>
      </w:r>
      <w:r>
        <w:rPr>
          <w:rFonts w:ascii="Times New Roman" w:cs="Times New Roman" w:eastAsia="Times New Roman" w:hAnsi="Times New Roman"/>
          <w:sz w:val="20"/>
          <w:szCs w:val="20"/>
          <w:u w:val="single" w:color="auto"/>
          <w:color w:val="auto"/>
        </w:rPr>
        <w:t>No Drum Material Adverse Effect</w:t>
      </w:r>
      <w:r>
        <w:rPr>
          <w:rFonts w:ascii="Times New Roman" w:cs="Times New Roman" w:eastAsia="Times New Roman" w:hAnsi="Times New Roman"/>
          <w:sz w:val="20"/>
          <w:szCs w:val="20"/>
          <w:color w:val="auto"/>
        </w:rPr>
        <w:t>. Since the date of the Drum Merger Agreement, there shall not have occurred a Drum Material Adverse Effect or any event or condition that could reasonably be expected to have a Drum Material Adverse Effect.</w:t>
      </w:r>
    </w:p>
    <w:p>
      <w:pPr>
        <w:spacing w:after="0" w:line="201" w:lineRule="exact"/>
        <w:rPr>
          <w:sz w:val="20"/>
          <w:szCs w:val="20"/>
          <w:color w:val="auto"/>
        </w:rPr>
      </w:pPr>
    </w:p>
    <w:p>
      <w:pPr>
        <w:ind w:left="1340" w:hanging="636"/>
        <w:spacing w:after="0"/>
        <w:tabs>
          <w:tab w:leader="none" w:pos="1340" w:val="left"/>
        </w:tabs>
        <w:numPr>
          <w:ilvl w:val="0"/>
          <w:numId w:val="2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Miscellaneous</w:t>
      </w:r>
      <w:r>
        <w:rPr>
          <w:rFonts w:ascii="Times New Roman" w:cs="Times New Roman" w:eastAsia="Times New Roman" w:hAnsi="Times New Roman"/>
          <w:sz w:val="20"/>
          <w:szCs w:val="20"/>
          <w:color w:val="auto"/>
        </w:rPr>
        <w:t>.</w:t>
      </w:r>
    </w:p>
    <w:p>
      <w:pPr>
        <w:spacing w:after="0" w:line="270" w:lineRule="exact"/>
        <w:rPr>
          <w:sz w:val="20"/>
          <w:szCs w:val="20"/>
          <w:color w:val="auto"/>
        </w:rPr>
      </w:pPr>
    </w:p>
    <w:p>
      <w:pPr>
        <w:ind w:left="700" w:firstLine="648"/>
        <w:spacing w:after="0"/>
        <w:rPr>
          <w:sz w:val="20"/>
          <w:szCs w:val="20"/>
          <w:color w:val="auto"/>
        </w:rPr>
      </w:pPr>
      <w:r>
        <w:rPr>
          <w:rFonts w:ascii="Times New Roman" w:cs="Times New Roman" w:eastAsia="Times New Roman" w:hAnsi="Times New Roman"/>
          <w:sz w:val="20"/>
          <w:szCs w:val="20"/>
          <w:color w:val="auto"/>
        </w:rPr>
        <w:t>(lxxvi)</w:t>
      </w:r>
      <w:r>
        <w:rPr>
          <w:rFonts w:ascii="Times New Roman" w:cs="Times New Roman" w:eastAsia="Times New Roman" w:hAnsi="Times New Roman"/>
          <w:sz w:val="20"/>
          <w:szCs w:val="20"/>
          <w:u w:val="single" w:color="auto"/>
          <w:color w:val="auto"/>
        </w:rPr>
        <w:t>Notice of Account Designation</w:t>
      </w:r>
      <w:r>
        <w:rPr>
          <w:rFonts w:ascii="Times New Roman" w:cs="Times New Roman" w:eastAsia="Times New Roman" w:hAnsi="Times New Roman"/>
          <w:sz w:val="20"/>
          <w:szCs w:val="20"/>
          <w:color w:val="auto"/>
        </w:rPr>
        <w:t>. The Administrative Agent shall have received a Notice of Account Designation specifying the account or accounts to which the proceeds of any Loans made on or after the Closing Date are to be disbursed.</w:t>
      </w:r>
    </w:p>
    <w:p>
      <w:pPr>
        <w:spacing w:after="0" w:line="188" w:lineRule="exact"/>
        <w:rPr>
          <w:sz w:val="20"/>
          <w:szCs w:val="20"/>
          <w:color w:val="auto"/>
        </w:rPr>
      </w:pPr>
    </w:p>
    <w:p>
      <w:pPr>
        <w:ind w:left="700" w:firstLine="648"/>
        <w:spacing w:after="0" w:line="222" w:lineRule="auto"/>
        <w:rPr>
          <w:sz w:val="20"/>
          <w:szCs w:val="20"/>
          <w:color w:val="auto"/>
        </w:rPr>
      </w:pPr>
      <w:r>
        <w:rPr>
          <w:rFonts w:ascii="Times New Roman" w:cs="Times New Roman" w:eastAsia="Times New Roman" w:hAnsi="Times New Roman"/>
          <w:sz w:val="20"/>
          <w:szCs w:val="20"/>
          <w:color w:val="auto"/>
        </w:rPr>
        <w:t xml:space="preserve">(lxxvii) </w:t>
      </w:r>
      <w:r>
        <w:rPr>
          <w:rFonts w:ascii="Times New Roman" w:cs="Times New Roman" w:eastAsia="Times New Roman" w:hAnsi="Times New Roman"/>
          <w:sz w:val="20"/>
          <w:szCs w:val="20"/>
          <w:u w:val="single" w:color="auto"/>
          <w:color w:val="auto"/>
        </w:rPr>
        <w:t>Existing Indebtedness</w:t>
      </w:r>
      <w:r>
        <w:rPr>
          <w:rFonts w:ascii="Times New Roman" w:cs="Times New Roman" w:eastAsia="Times New Roman" w:hAnsi="Times New Roman"/>
          <w:sz w:val="20"/>
          <w:szCs w:val="20"/>
          <w:color w:val="auto"/>
        </w:rPr>
        <w:t>. (A) All amounts due or outstanding in respect of the Existing Credit Agreement shall have been (or substantially simultaneously with the Closing Date shall be) refinanced in full and (B) all existing Indebtedness</w:t>
      </w:r>
    </w:p>
    <w:p>
      <w:pPr>
        <w:spacing w:after="0" w:line="2" w:lineRule="exact"/>
        <w:rPr>
          <w:sz w:val="20"/>
          <w:szCs w:val="20"/>
          <w:color w:val="auto"/>
        </w:rPr>
      </w:pPr>
    </w:p>
    <w:p>
      <w:pPr>
        <w:ind w:left="700"/>
        <w:spacing w:after="0" w:line="215" w:lineRule="auto"/>
        <w:rPr>
          <w:sz w:val="20"/>
          <w:szCs w:val="20"/>
          <w:color w:val="auto"/>
        </w:rPr>
      </w:pPr>
      <w:r>
        <w:rPr>
          <w:rFonts w:ascii="Times New Roman" w:cs="Times New Roman" w:eastAsia="Times New Roman" w:hAnsi="Times New Roman"/>
          <w:sz w:val="19"/>
          <w:szCs w:val="19"/>
          <w:color w:val="auto"/>
        </w:rPr>
        <w:t xml:space="preserve">of Drum and its Subsidiaries (other than such Indebtedness that is expressly permitted to remain outstanding pursuant to the Drum Merger Agreement and permitted by </w:t>
      </w:r>
      <w:r>
        <w:rPr>
          <w:rFonts w:ascii="Times New Roman" w:cs="Times New Roman" w:eastAsia="Times New Roman" w:hAnsi="Times New Roman"/>
          <w:sz w:val="19"/>
          <w:szCs w:val="19"/>
          <w:u w:val="single" w:color="auto"/>
          <w:color w:val="auto"/>
        </w:rPr>
        <w:t>Section 9.1(c)</w:t>
      </w:r>
      <w:r>
        <w:rPr>
          <w:rFonts w:ascii="Times New Roman" w:cs="Times New Roman" w:eastAsia="Times New Roman" w:hAnsi="Times New Roman"/>
          <w:sz w:val="19"/>
          <w:szCs w:val="19"/>
          <w:color w:val="auto"/>
        </w:rPr>
        <w:t>) shall be repaid in full, all commitments (if any) in respect thereof shall have</w:t>
      </w:r>
    </w:p>
    <w:p>
      <w:pPr>
        <w:ind w:left="700"/>
        <w:spacing w:after="0" w:line="211" w:lineRule="auto"/>
        <w:rPr>
          <w:sz w:val="20"/>
          <w:szCs w:val="20"/>
          <w:color w:val="auto"/>
        </w:rPr>
      </w:pPr>
      <w:r>
        <w:rPr>
          <w:rFonts w:ascii="Times New Roman" w:cs="Times New Roman" w:eastAsia="Times New Roman" w:hAnsi="Times New Roman"/>
          <w:sz w:val="20"/>
          <w:szCs w:val="20"/>
          <w:color w:val="auto"/>
        </w:rPr>
        <w:t>been terminated and all guarantees therefor and security therefor shall be released, in each case prior to or substantially</w:t>
      </w:r>
    </w:p>
    <w:p>
      <w:pPr>
        <w:ind w:left="700"/>
        <w:spacing w:after="0" w:line="221" w:lineRule="auto"/>
        <w:rPr>
          <w:sz w:val="20"/>
          <w:szCs w:val="20"/>
          <w:color w:val="auto"/>
        </w:rPr>
      </w:pPr>
      <w:r>
        <w:rPr>
          <w:rFonts w:ascii="Times New Roman" w:cs="Times New Roman" w:eastAsia="Times New Roman" w:hAnsi="Times New Roman"/>
          <w:sz w:val="20"/>
          <w:szCs w:val="20"/>
          <w:color w:val="auto"/>
        </w:rPr>
        <w:t>concurrently with the initial Extensions of Credit hereunder and the Administrative Agent shall have received pay-off letters in form and substance satisfactory to it evidencing such repayment, termination and release.</w:t>
      </w:r>
    </w:p>
    <w:p>
      <w:pPr>
        <w:spacing w:after="0" w:line="189" w:lineRule="exact"/>
        <w:rPr>
          <w:sz w:val="20"/>
          <w:szCs w:val="20"/>
          <w:color w:val="auto"/>
        </w:rPr>
      </w:pPr>
    </w:p>
    <w:p>
      <w:pPr>
        <w:ind w:left="700" w:firstLine="648"/>
        <w:spacing w:after="0" w:line="222" w:lineRule="auto"/>
        <w:rPr>
          <w:sz w:val="20"/>
          <w:szCs w:val="20"/>
          <w:color w:val="auto"/>
        </w:rPr>
      </w:pPr>
      <w:r>
        <w:rPr>
          <w:rFonts w:ascii="Times New Roman" w:cs="Times New Roman" w:eastAsia="Times New Roman" w:hAnsi="Times New Roman"/>
          <w:sz w:val="20"/>
          <w:szCs w:val="20"/>
          <w:color w:val="auto"/>
        </w:rPr>
        <w:t xml:space="preserve">(lxxviii) </w:t>
      </w:r>
      <w:r>
        <w:rPr>
          <w:rFonts w:ascii="Times New Roman" w:cs="Times New Roman" w:eastAsia="Times New Roman" w:hAnsi="Times New Roman"/>
          <w:sz w:val="20"/>
          <w:szCs w:val="20"/>
          <w:u w:val="single" w:color="auto"/>
          <w:color w:val="auto"/>
        </w:rPr>
        <w:t>PATRIOT Act, etc</w:t>
      </w:r>
      <w:r>
        <w:rPr>
          <w:rFonts w:ascii="Times New Roman" w:cs="Times New Roman" w:eastAsia="Times New Roman" w:hAnsi="Times New Roman"/>
          <w:sz w:val="20"/>
          <w:szCs w:val="20"/>
          <w:color w:val="auto"/>
        </w:rPr>
        <w:t>. To the extent requested by the Agents or any Lender at least ten (10) Business Days prior to the Closing Date, (A) the Agents and the Lenders shall have received, at least five Business Days prior to the Closing Date</w:t>
      </w:r>
    </w:p>
    <w:p>
      <w:pPr>
        <w:spacing w:after="0" w:line="2" w:lineRule="exact"/>
        <w:rPr>
          <w:sz w:val="20"/>
          <w:szCs w:val="20"/>
          <w:color w:val="auto"/>
        </w:rPr>
      </w:pPr>
    </w:p>
    <w:p>
      <w:pPr>
        <w:ind w:left="700"/>
        <w:spacing w:after="0" w:line="204" w:lineRule="auto"/>
        <w:rPr>
          <w:sz w:val="20"/>
          <w:szCs w:val="20"/>
          <w:color w:val="auto"/>
        </w:rPr>
      </w:pPr>
      <w:r>
        <w:rPr>
          <w:rFonts w:ascii="Times New Roman" w:cs="Times New Roman" w:eastAsia="Times New Roman" w:hAnsi="Times New Roman"/>
          <w:sz w:val="20"/>
          <w:szCs w:val="20"/>
          <w:color w:val="auto"/>
        </w:rPr>
        <w:t>(or such shorter period as the Administrative Agent may agree), all documentation and other information requested by the Agents or any Lender in order to comply with requirements of any Anti-Money Laundering Laws including, without limitation, the</w:t>
      </w:r>
    </w:p>
    <w:p>
      <w:pPr>
        <w:ind w:left="700"/>
        <w:spacing w:after="0" w:line="211" w:lineRule="auto"/>
        <w:rPr>
          <w:sz w:val="20"/>
          <w:szCs w:val="20"/>
          <w:color w:val="auto"/>
        </w:rPr>
      </w:pPr>
      <w:r>
        <w:rPr>
          <w:rFonts w:ascii="Times New Roman" w:cs="Times New Roman" w:eastAsia="Times New Roman" w:hAnsi="Times New Roman"/>
          <w:sz w:val="20"/>
          <w:szCs w:val="20"/>
          <w:color w:val="auto"/>
        </w:rPr>
        <w:t>PATRIOT Act and any applicable “know your customer” rules and regulations and (B) the Borrowers shall have delivered to the</w:t>
      </w:r>
    </w:p>
    <w:p>
      <w:pPr>
        <w:spacing w:after="0" w:line="1" w:lineRule="exact"/>
        <w:rPr>
          <w:sz w:val="20"/>
          <w:szCs w:val="20"/>
          <w:color w:val="auto"/>
        </w:rPr>
      </w:pPr>
    </w:p>
    <w:p>
      <w:pPr>
        <w:ind w:left="700"/>
        <w:spacing w:after="0" w:line="204" w:lineRule="auto"/>
        <w:rPr>
          <w:sz w:val="20"/>
          <w:szCs w:val="20"/>
          <w:color w:val="auto"/>
        </w:rPr>
      </w:pPr>
      <w:r>
        <w:rPr>
          <w:rFonts w:ascii="Times New Roman" w:cs="Times New Roman" w:eastAsia="Times New Roman" w:hAnsi="Times New Roman"/>
          <w:sz w:val="20"/>
          <w:szCs w:val="20"/>
          <w:color w:val="auto"/>
        </w:rPr>
        <w:t>Agents, and directly to any Lender requesting the same, a Beneficial Ownership Certification in relation to it (or a certification that such Borrower qualifies for an express exclusion from the “legal entity customer” definition under the Beneficial Ownership</w:t>
      </w:r>
    </w:p>
    <w:p>
      <w:pPr>
        <w:spacing w:after="0" w:line="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color w:val="auto"/>
        </w:rPr>
        <w:t>Regulations), in each case at least five (5) Business Days prior to the Closing Date.</w:t>
      </w:r>
    </w:p>
    <w:p>
      <w:pPr>
        <w:spacing w:after="0" w:line="194" w:lineRule="exact"/>
        <w:rPr>
          <w:sz w:val="20"/>
          <w:szCs w:val="20"/>
          <w:color w:val="auto"/>
        </w:rPr>
      </w:pPr>
    </w:p>
    <w:p>
      <w:pPr>
        <w:ind w:left="700" w:firstLine="648"/>
        <w:spacing w:after="0" w:line="222" w:lineRule="auto"/>
        <w:rPr>
          <w:sz w:val="20"/>
          <w:szCs w:val="20"/>
          <w:color w:val="auto"/>
        </w:rPr>
      </w:pPr>
      <w:r>
        <w:rPr>
          <w:rFonts w:ascii="Times New Roman" w:cs="Times New Roman" w:eastAsia="Times New Roman" w:hAnsi="Times New Roman"/>
          <w:sz w:val="20"/>
          <w:szCs w:val="20"/>
          <w:color w:val="auto"/>
        </w:rPr>
        <w:t>(lxxix)</w:t>
      </w:r>
      <w:r>
        <w:rPr>
          <w:rFonts w:ascii="Times New Roman" w:cs="Times New Roman" w:eastAsia="Times New Roman" w:hAnsi="Times New Roman"/>
          <w:sz w:val="20"/>
          <w:szCs w:val="20"/>
          <w:u w:val="single" w:color="auto"/>
          <w:color w:val="auto"/>
        </w:rPr>
        <w:t>Other Documents</w:t>
      </w:r>
      <w:r>
        <w:rPr>
          <w:rFonts w:ascii="Times New Roman" w:cs="Times New Roman" w:eastAsia="Times New Roman" w:hAnsi="Times New Roman"/>
          <w:sz w:val="20"/>
          <w:szCs w:val="20"/>
          <w:color w:val="auto"/>
        </w:rPr>
        <w:t>. All opinions, certificates and other instruments and all proceedings in connection with the transactions contemplated by this Agreement shall be satisfactory in form and substance to the Administrative Agent. The</w:t>
      </w:r>
    </w:p>
    <w:p>
      <w:pPr>
        <w:spacing w:after="0" w:line="2" w:lineRule="exact"/>
        <w:rPr>
          <w:sz w:val="20"/>
          <w:szCs w:val="20"/>
          <w:color w:val="auto"/>
        </w:rPr>
      </w:pPr>
    </w:p>
    <w:p>
      <w:pPr>
        <w:ind w:left="700"/>
        <w:spacing w:after="0" w:line="221" w:lineRule="auto"/>
        <w:rPr>
          <w:sz w:val="20"/>
          <w:szCs w:val="20"/>
          <w:color w:val="auto"/>
        </w:rPr>
      </w:pPr>
      <w:r>
        <w:rPr>
          <w:rFonts w:ascii="Times New Roman" w:cs="Times New Roman" w:eastAsia="Times New Roman" w:hAnsi="Times New Roman"/>
          <w:sz w:val="20"/>
          <w:szCs w:val="20"/>
          <w:color w:val="auto"/>
        </w:rPr>
        <w:t>Administrative Agent shall have received copies of all other documents, certificates and instruments reasonably requested thereby, with respect to the transactions contemplated by this Agreement.</w:t>
      </w:r>
    </w:p>
    <w:p>
      <w:pPr>
        <w:spacing w:after="0" w:line="189" w:lineRule="exact"/>
        <w:rPr>
          <w:sz w:val="20"/>
          <w:szCs w:val="20"/>
          <w:color w:val="auto"/>
        </w:rPr>
      </w:pPr>
    </w:p>
    <w:p>
      <w:pPr>
        <w:jc w:val="both"/>
        <w:ind w:left="60"/>
        <w:spacing w:after="0" w:line="234" w:lineRule="auto"/>
        <w:rPr>
          <w:sz w:val="20"/>
          <w:szCs w:val="20"/>
          <w:color w:val="auto"/>
        </w:rPr>
      </w:pPr>
      <w:r>
        <w:rPr>
          <w:rFonts w:ascii="Times New Roman" w:cs="Times New Roman" w:eastAsia="Times New Roman" w:hAnsi="Times New Roman"/>
          <w:sz w:val="19"/>
          <w:szCs w:val="19"/>
          <w:color w:val="auto"/>
        </w:rPr>
        <w:t xml:space="preserve">Without limiting the generality of the provisions of </w:t>
      </w:r>
      <w:r>
        <w:rPr>
          <w:rFonts w:ascii="Times New Roman" w:cs="Times New Roman" w:eastAsia="Times New Roman" w:hAnsi="Times New Roman"/>
          <w:sz w:val="19"/>
          <w:szCs w:val="19"/>
          <w:u w:val="single" w:color="auto"/>
          <w:color w:val="auto"/>
        </w:rPr>
        <w:t>Section 11.3(c)</w:t>
      </w:r>
      <w:r>
        <w:rPr>
          <w:rFonts w:ascii="Times New Roman" w:cs="Times New Roman" w:eastAsia="Times New Roman" w:hAnsi="Times New Roman"/>
          <w:sz w:val="19"/>
          <w:szCs w:val="19"/>
          <w:color w:val="auto"/>
        </w:rPr>
        <w:t xml:space="preserve">, for purposes of determining compliance with the conditions specified in this </w:t>
      </w:r>
      <w:r>
        <w:rPr>
          <w:rFonts w:ascii="Times New Roman" w:cs="Times New Roman" w:eastAsia="Times New Roman" w:hAnsi="Times New Roman"/>
          <w:sz w:val="19"/>
          <w:szCs w:val="19"/>
          <w:u w:val="single" w:color="auto"/>
          <w:color w:val="auto"/>
        </w:rPr>
        <w:t>Section 6.1</w:t>
      </w:r>
      <w:r>
        <w:rPr>
          <w:rFonts w:ascii="Times New Roman" w:cs="Times New Roman" w:eastAsia="Times New Roman" w:hAnsi="Times New Roman"/>
          <w:sz w:val="19"/>
          <w:szCs w:val="19"/>
          <w:color w:val="auto"/>
        </w:rPr>
        <w:t>, the Administrative Agent and each Lender that has signed this Agreement shall be deemed to have consented to,</w:t>
      </w:r>
    </w:p>
    <w:p>
      <w:pPr>
        <w:spacing w:after="0" w:line="1" w:lineRule="exact"/>
        <w:rPr>
          <w:sz w:val="20"/>
          <w:szCs w:val="20"/>
          <w:color w:val="auto"/>
        </w:rPr>
      </w:pPr>
    </w:p>
    <w:p>
      <w:pPr>
        <w:ind w:left="60"/>
        <w:spacing w:after="0" w:line="204" w:lineRule="auto"/>
        <w:rPr>
          <w:sz w:val="20"/>
          <w:szCs w:val="20"/>
          <w:color w:val="auto"/>
        </w:rPr>
      </w:pPr>
      <w:r>
        <w:rPr>
          <w:rFonts w:ascii="Times New Roman" w:cs="Times New Roman" w:eastAsia="Times New Roman" w:hAnsi="Times New Roman"/>
          <w:sz w:val="20"/>
          <w:szCs w:val="20"/>
          <w:color w:val="auto"/>
        </w:rPr>
        <w:t>approved or accepted or to be satisfied with, each document or other matter required thereunder to be consented to or approved by or acceptable or satisfactory to a Lender unless the Administrative Agent shall have received notice from such Lender prior to the proposed</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Closing Date specifying its objection thereto.</w:t>
      </w:r>
    </w:p>
    <w:p>
      <w:pPr>
        <w:spacing w:after="0" w:line="194" w:lineRule="exact"/>
        <w:rPr>
          <w:sz w:val="20"/>
          <w:szCs w:val="20"/>
          <w:color w:val="auto"/>
        </w:rPr>
      </w:pPr>
    </w:p>
    <w:p>
      <w:pPr>
        <w:ind w:left="700"/>
        <w:spacing w:after="0"/>
        <w:tabs>
          <w:tab w:leader="none" w:pos="2020" w:val="left"/>
        </w:tabs>
        <w:rPr>
          <w:sz w:val="20"/>
          <w:szCs w:val="20"/>
          <w:color w:val="auto"/>
        </w:rPr>
      </w:pPr>
      <w:r>
        <w:rPr>
          <w:rFonts w:ascii="Times New Roman" w:cs="Times New Roman" w:eastAsia="Times New Roman" w:hAnsi="Times New Roman"/>
          <w:sz w:val="20"/>
          <w:szCs w:val="20"/>
          <w:color w:val="auto"/>
        </w:rPr>
        <w:t>SECTION 6.2</w:t>
      </w:r>
      <w:r>
        <w:rPr>
          <w:sz w:val="20"/>
          <w:szCs w:val="20"/>
          <w:color w:val="auto"/>
        </w:rPr>
        <w:tab/>
      </w:r>
      <w:r>
        <w:rPr>
          <w:rFonts w:ascii="Times New Roman" w:cs="Times New Roman" w:eastAsia="Times New Roman" w:hAnsi="Times New Roman"/>
          <w:sz w:val="19"/>
          <w:szCs w:val="19"/>
          <w:u w:val="single" w:color="auto"/>
          <w:color w:val="auto"/>
        </w:rPr>
        <w:t>Conditions to All Extensions of Credit</w:t>
      </w:r>
    </w:p>
    <w:p>
      <w:pPr>
        <w:spacing w:after="0" w:line="283" w:lineRule="exact"/>
        <w:rPr>
          <w:sz w:val="20"/>
          <w:szCs w:val="20"/>
          <w:color w:val="auto"/>
        </w:rPr>
      </w:pPr>
    </w:p>
    <w:p>
      <w:pPr>
        <w:jc w:val="both"/>
        <w:ind w:left="60" w:hanging="4"/>
        <w:spacing w:after="0" w:line="222" w:lineRule="auto"/>
        <w:tabs>
          <w:tab w:leader="none" w:pos="163" w:val="left"/>
        </w:tabs>
        <w:numPr>
          <w:ilvl w:val="0"/>
          <w:numId w:val="2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u w:val="single" w:color="auto"/>
          <w:color w:val="auto"/>
        </w:rPr>
        <w:t>Section 5.13</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1.12</w:t>
      </w:r>
      <w:r>
        <w:rPr>
          <w:rFonts w:ascii="Times New Roman" w:cs="Times New Roman" w:eastAsia="Times New Roman" w:hAnsi="Times New Roman"/>
          <w:sz w:val="20"/>
          <w:szCs w:val="20"/>
          <w:color w:val="auto"/>
        </w:rPr>
        <w:t xml:space="preserve"> solely with respect to any Incremental Term Loan incurred to finance a substantially concurrent Limited Condition Acquisition, the obligations of the Lenders to make or participate in any Extensions of Credit (including the initial Extension of Credit), convert or continue any Loan and/or any Issuing Lender to issue or extend any Letter of Credit are subject to the satisfaction of</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FF0000"/>
          <w:strike w:val="1"/>
        </w:rPr>
        <w:t>146960219_6</w:t>
      </w: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108</w:t>
      </w:r>
      <w:r>
        <w:rPr>
          <w:sz w:val="20"/>
          <w:szCs w:val="20"/>
          <w:color w:val="auto"/>
        </w:rPr>
        <w:tab/>
      </w: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080"/>
          </w:cols>
          <w:pgMar w:left="380" w:top="1413" w:right="439" w:bottom="1440" w:gutter="0" w:footer="0" w:header="0"/>
        </w:sectPr>
      </w:pPr>
    </w:p>
    <w:bookmarkStart w:id="191" w:name="page192"/>
    <w:bookmarkEnd w:id="191"/>
    <w:p>
      <w:pPr>
        <w:ind w:left="60"/>
        <w:spacing w:after="0"/>
        <w:rPr>
          <w:sz w:val="20"/>
          <w:szCs w:val="20"/>
          <w:color w:val="auto"/>
        </w:rPr>
      </w:pPr>
      <w:r>
        <w:rPr>
          <w:rFonts w:ascii="Times New Roman" w:cs="Times New Roman" w:eastAsia="Times New Roman" w:hAnsi="Times New Roman"/>
          <w:sz w:val="20"/>
          <w:szCs w:val="20"/>
          <w:color w:val="auto"/>
        </w:rPr>
        <w:t>the following conditions precedent on the relevant borrowing, continuation, conversion, issuance or extension date:</w:t>
      </w:r>
    </w:p>
    <w:p>
      <w:pPr>
        <w:spacing w:after="0" w:line="216" w:lineRule="exact"/>
        <w:rPr>
          <w:sz w:val="20"/>
          <w:szCs w:val="20"/>
          <w:color w:val="auto"/>
        </w:rPr>
      </w:pPr>
    </w:p>
    <w:p>
      <w:pPr>
        <w:jc w:val="both"/>
        <w:ind w:left="60" w:firstLine="644"/>
        <w:spacing w:after="0" w:line="214" w:lineRule="auto"/>
        <w:tabs>
          <w:tab w:leader="none" w:pos="1239" w:val="left"/>
        </w:tabs>
        <w:numPr>
          <w:ilvl w:val="0"/>
          <w:numId w:val="2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Continuation of Representations and Warranties</w:t>
      </w:r>
      <w:r>
        <w:rPr>
          <w:rFonts w:ascii="Times New Roman" w:cs="Times New Roman" w:eastAsia="Times New Roman" w:hAnsi="Times New Roman"/>
          <w:sz w:val="20"/>
          <w:szCs w:val="20"/>
          <w:color w:val="auto"/>
        </w:rPr>
        <w:t xml:space="preserve">. The representations and warranties contained in this Agreement and the other Loan Documents shall be true and correct in all material respects, except for any representation and warranty that is qualified by materiality or reference to Material Adverse Effect, which such representation and warranty shall be true and correct in all respects, on and as of such borrowing, continuation, conversion, issuance or extension date with the same effect as if made on and as of such date (except for any such representation and warranty that by its terms is made only as of an earlier date, which representation and warranty shall remain true and correct in all material respects as of such earlier date, except for any representation and warranty that is qualified by materiality or reference to Material Adverse Effect, which such representation and warranty shall be true and correct in all respects as of such earlier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that the only representations and warranties the accuracy of which shall be a condition to the availability of the initial Extensions of Credit on the Closing Date shall be the Specified Representations.</w:t>
      </w:r>
    </w:p>
    <w:p>
      <w:pPr>
        <w:spacing w:after="0" w:line="192" w:lineRule="exact"/>
        <w:rPr>
          <w:rFonts w:ascii="Times New Roman" w:cs="Times New Roman" w:eastAsia="Times New Roman" w:hAnsi="Times New Roman"/>
          <w:sz w:val="20"/>
          <w:szCs w:val="20"/>
          <w:color w:val="auto"/>
        </w:rPr>
      </w:pPr>
    </w:p>
    <w:p>
      <w:pPr>
        <w:jc w:val="both"/>
        <w:ind w:left="60" w:firstLine="644"/>
        <w:spacing w:after="0" w:line="222" w:lineRule="auto"/>
        <w:tabs>
          <w:tab w:leader="none" w:pos="1236" w:val="left"/>
        </w:tabs>
        <w:numPr>
          <w:ilvl w:val="0"/>
          <w:numId w:val="2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Existing Default</w:t>
      </w:r>
      <w:r>
        <w:rPr>
          <w:rFonts w:ascii="Times New Roman" w:cs="Times New Roman" w:eastAsia="Times New Roman" w:hAnsi="Times New Roman"/>
          <w:sz w:val="20"/>
          <w:szCs w:val="20"/>
          <w:color w:val="auto"/>
        </w:rPr>
        <w:t>. Except with respect to the initial Extensions of Credit on the Closing Date, no Default or Event of Default shall have occurred and be continuing (i) on the borrowing, continuation or conversion date with respect to such Loan or after giving effect to the Loans to be made, continued or converted on such date or (ii) on the issuance or extension date with respect to such Letter of Credit or after giving effect to the issuance or extension of such Letter of Credit on such date.</w:t>
      </w:r>
    </w:p>
    <w:p>
      <w:pPr>
        <w:spacing w:after="0" w:line="202" w:lineRule="exact"/>
        <w:rPr>
          <w:rFonts w:ascii="Times New Roman" w:cs="Times New Roman" w:eastAsia="Times New Roman" w:hAnsi="Times New Roman"/>
          <w:sz w:val="20"/>
          <w:szCs w:val="20"/>
          <w:color w:val="auto"/>
        </w:rPr>
      </w:pPr>
    </w:p>
    <w:p>
      <w:pPr>
        <w:jc w:val="both"/>
        <w:ind w:left="60" w:firstLine="644"/>
        <w:spacing w:after="0" w:line="254" w:lineRule="auto"/>
        <w:tabs>
          <w:tab w:leader="none" w:pos="1238" w:val="left"/>
        </w:tabs>
        <w:numPr>
          <w:ilvl w:val="0"/>
          <w:numId w:val="2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xml:space="preserve">. The Administrative Agent shall have received a Notice of Borrowing, Letter of Credit Application, or Notice of Conversion/Continuation, as applicable, from the applicable Borrower in accordance with </w:t>
      </w:r>
      <w:r>
        <w:rPr>
          <w:rFonts w:ascii="Times New Roman" w:cs="Times New Roman" w:eastAsia="Times New Roman" w:hAnsi="Times New Roman"/>
          <w:sz w:val="20"/>
          <w:szCs w:val="20"/>
          <w:u w:val="single" w:color="auto"/>
          <w:color w:val="auto"/>
        </w:rPr>
        <w:t>Section 2.3(a)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3.2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4.2</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5.2</w:t>
      </w:r>
      <w:r>
        <w:rPr>
          <w:rFonts w:ascii="Times New Roman" w:cs="Times New Roman" w:eastAsia="Times New Roman" w:hAnsi="Times New Roman"/>
          <w:sz w:val="20"/>
          <w:szCs w:val="20"/>
          <w:color w:val="auto"/>
        </w:rPr>
        <w:t>, as applicable.</w:t>
      </w:r>
    </w:p>
    <w:p>
      <w:pPr>
        <w:spacing w:after="0" w:line="255" w:lineRule="exact"/>
        <w:rPr>
          <w:rFonts w:ascii="Times New Roman" w:cs="Times New Roman" w:eastAsia="Times New Roman" w:hAnsi="Times New Roman"/>
          <w:sz w:val="20"/>
          <w:szCs w:val="20"/>
          <w:color w:val="auto"/>
        </w:rPr>
      </w:pPr>
    </w:p>
    <w:p>
      <w:pPr>
        <w:jc w:val="both"/>
        <w:ind w:left="60" w:firstLine="644"/>
        <w:spacing w:after="0" w:line="222" w:lineRule="auto"/>
        <w:tabs>
          <w:tab w:leader="none" w:pos="1236" w:val="left"/>
        </w:tabs>
        <w:numPr>
          <w:ilvl w:val="0"/>
          <w:numId w:val="2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New Swingline Loans/Letters of Credit</w:t>
      </w:r>
      <w:r>
        <w:rPr>
          <w:rFonts w:ascii="Times New Roman" w:cs="Times New Roman" w:eastAsia="Times New Roman" w:hAnsi="Times New Roman"/>
          <w:sz w:val="20"/>
          <w:szCs w:val="20"/>
          <w:color w:val="auto"/>
        </w:rPr>
        <w:t>. So long as any Lender is a Defaulting Lender, (i) no Swingline Lender shall be required to fund any Swingline Loans unless it is satisfied that it will have no Fronting Exposure after giving effect to such Swingline Loan and (ii) no Issuing Lender shall be required to issue, extend, renew or increase any Letter of Credit unless it is satisfied that it will have no Fronting Exposure after giving effect thereto.</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Each Notice of Borrowing, Letter of Credit Application, as applicable, submitted by the Borrowers shall be deemed to be a representation</w:t>
      </w:r>
    </w:p>
    <w:p>
      <w:pPr>
        <w:spacing w:after="0" w:line="6" w:lineRule="exact"/>
        <w:rPr>
          <w:sz w:val="20"/>
          <w:szCs w:val="20"/>
          <w:color w:val="auto"/>
        </w:rPr>
      </w:pPr>
    </w:p>
    <w:p>
      <w:pPr>
        <w:ind w:left="60"/>
        <w:spacing w:after="0" w:line="221" w:lineRule="auto"/>
        <w:rPr>
          <w:sz w:val="20"/>
          <w:szCs w:val="20"/>
          <w:color w:val="auto"/>
        </w:rPr>
      </w:pPr>
      <w:r>
        <w:rPr>
          <w:rFonts w:ascii="Times New Roman" w:cs="Times New Roman" w:eastAsia="Times New Roman" w:hAnsi="Times New Roman"/>
          <w:sz w:val="20"/>
          <w:szCs w:val="20"/>
          <w:color w:val="auto"/>
        </w:rPr>
        <w:t xml:space="preserve">and warranty that the conditions specified in </w:t>
      </w:r>
      <w:r>
        <w:rPr>
          <w:rFonts w:ascii="Times New Roman" w:cs="Times New Roman" w:eastAsia="Times New Roman" w:hAnsi="Times New Roman"/>
          <w:sz w:val="20"/>
          <w:szCs w:val="20"/>
          <w:u w:val="single" w:color="auto"/>
          <w:color w:val="auto"/>
        </w:rPr>
        <w:t>Sections 6.2(a)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have been satisfied on and as of the date of the applicable Extension of Credit.</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ARTICLE VII</w:t>
      </w:r>
    </w:p>
    <w:p>
      <w:pPr>
        <w:spacing w:after="0" w:line="2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REPRESENTATIONS AND WARRANTIES OF THE CREDIT PARTIES</w:t>
      </w:r>
    </w:p>
    <w:p>
      <w:pPr>
        <w:spacing w:after="0" w:line="216" w:lineRule="exact"/>
        <w:rPr>
          <w:sz w:val="20"/>
          <w:szCs w:val="20"/>
          <w:color w:val="auto"/>
        </w:rPr>
      </w:pPr>
    </w:p>
    <w:p>
      <w:pPr>
        <w:ind w:left="60" w:firstLine="648"/>
        <w:spacing w:after="0" w:line="215" w:lineRule="auto"/>
        <w:rPr>
          <w:sz w:val="20"/>
          <w:szCs w:val="20"/>
          <w:color w:val="auto"/>
        </w:rPr>
      </w:pPr>
      <w:r>
        <w:rPr>
          <w:rFonts w:ascii="Times New Roman" w:cs="Times New Roman" w:eastAsia="Times New Roman" w:hAnsi="Times New Roman"/>
          <w:sz w:val="20"/>
          <w:szCs w:val="20"/>
          <w:color w:val="auto"/>
        </w:rPr>
        <w:t>To induce the Administrative Agent and Lenders to enter into this Agreement and to induce the Lenders to make Extensions of Credit, the Credit Parties hereby represent and warrant to the Administrative Agent and the Lenders both immediately before and after</w:t>
      </w:r>
    </w:p>
    <w:p>
      <w:pPr>
        <w:spacing w:after="0" w:line="1" w:lineRule="exact"/>
        <w:rPr>
          <w:sz w:val="20"/>
          <w:szCs w:val="20"/>
          <w:color w:val="auto"/>
        </w:rPr>
      </w:pPr>
    </w:p>
    <w:p>
      <w:pPr>
        <w:ind w:left="60" w:right="20"/>
        <w:spacing w:after="0" w:line="228" w:lineRule="auto"/>
        <w:rPr>
          <w:sz w:val="20"/>
          <w:szCs w:val="20"/>
          <w:color w:val="auto"/>
        </w:rPr>
      </w:pPr>
      <w:r>
        <w:rPr>
          <w:rFonts w:ascii="Times New Roman" w:cs="Times New Roman" w:eastAsia="Times New Roman" w:hAnsi="Times New Roman"/>
          <w:sz w:val="20"/>
          <w:szCs w:val="20"/>
          <w:color w:val="auto"/>
        </w:rPr>
        <w:t xml:space="preserve">giving effect to the transactions contemplated hereunder, which representations and warranties shall be deemed made on the Closing Date and as otherwise set forth in </w:t>
      </w:r>
      <w:r>
        <w:rPr>
          <w:rFonts w:ascii="Times New Roman" w:cs="Times New Roman" w:eastAsia="Times New Roman" w:hAnsi="Times New Roman"/>
          <w:sz w:val="20"/>
          <w:szCs w:val="20"/>
          <w:u w:val="single" w:color="auto"/>
          <w:color w:val="auto"/>
        </w:rPr>
        <w:t>Section 6.2</w:t>
      </w:r>
      <w:r>
        <w:rPr>
          <w:rFonts w:ascii="Times New Roman" w:cs="Times New Roman" w:eastAsia="Times New Roman" w:hAnsi="Times New Roman"/>
          <w:sz w:val="20"/>
          <w:szCs w:val="20"/>
          <w:color w:val="auto"/>
        </w:rPr>
        <w:t>, that:</w:t>
      </w:r>
    </w:p>
    <w:p>
      <w:pPr>
        <w:spacing w:after="0" w:line="257" w:lineRule="exact"/>
        <w:rPr>
          <w:sz w:val="20"/>
          <w:szCs w:val="20"/>
          <w:color w:val="auto"/>
        </w:rPr>
      </w:pPr>
    </w:p>
    <w:p>
      <w:pPr>
        <w:ind w:left="700"/>
        <w:spacing w:after="0"/>
        <w:tabs>
          <w:tab w:leader="none" w:pos="2020" w:val="left"/>
        </w:tabs>
        <w:rPr>
          <w:sz w:val="20"/>
          <w:szCs w:val="20"/>
          <w:color w:val="auto"/>
        </w:rPr>
      </w:pPr>
      <w:r>
        <w:rPr>
          <w:rFonts w:ascii="Times New Roman" w:cs="Times New Roman" w:eastAsia="Times New Roman" w:hAnsi="Times New Roman"/>
          <w:sz w:val="20"/>
          <w:szCs w:val="20"/>
          <w:color w:val="auto"/>
        </w:rPr>
        <w:t>SECTION 7.1</w:t>
      </w:r>
      <w:r>
        <w:rPr>
          <w:sz w:val="20"/>
          <w:szCs w:val="20"/>
          <w:color w:val="auto"/>
        </w:rPr>
        <w:tab/>
      </w:r>
      <w:r>
        <w:rPr>
          <w:rFonts w:ascii="Times New Roman" w:cs="Times New Roman" w:eastAsia="Times New Roman" w:hAnsi="Times New Roman"/>
          <w:sz w:val="19"/>
          <w:szCs w:val="19"/>
          <w:u w:val="single" w:color="auto"/>
          <w:color w:val="auto"/>
        </w:rPr>
        <w:t>Organization; Power; Qualification</w:t>
      </w:r>
    </w:p>
    <w:p>
      <w:pPr>
        <w:spacing w:after="0" w:line="270" w:lineRule="exact"/>
        <w:rPr>
          <w:sz w:val="20"/>
          <w:szCs w:val="20"/>
          <w:color w:val="auto"/>
        </w:rPr>
      </w:pPr>
    </w:p>
    <w:p>
      <w:pPr>
        <w:jc w:val="both"/>
        <w:ind w:left="60" w:hanging="4"/>
        <w:spacing w:after="0" w:line="230" w:lineRule="auto"/>
        <w:tabs>
          <w:tab w:leader="none" w:pos="197" w:val="left"/>
        </w:tabs>
        <w:numPr>
          <w:ilvl w:val="0"/>
          <w:numId w:val="2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Credit Party and each Subsidiary thereof (a) is duly organized, validly existing and in good standing under the laws of the jurisdiction of its incorporation or formation, (b) has the power and authority to own its Properties and to carry on its business as now being conducted and (c) is duly qualified and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FF0000"/>
          <w:strike w:val="1"/>
        </w:rPr>
        <w:t>146960219_6</w:t>
      </w: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109</w:t>
      </w:r>
      <w:r>
        <w:rPr>
          <w:sz w:val="20"/>
          <w:szCs w:val="20"/>
          <w:color w:val="auto"/>
        </w:rPr>
        <w:tab/>
      </w: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080"/>
          </w:cols>
          <w:pgMar w:left="380" w:top="1399" w:right="439" w:bottom="1440" w:gutter="0" w:footer="0" w:header="0"/>
        </w:sectPr>
      </w:pPr>
    </w:p>
    <w:bookmarkStart w:id="192" w:name="page193"/>
    <w:bookmarkEnd w:id="192"/>
    <w:p>
      <w:pPr>
        <w:spacing w:after="0" w:line="1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to do business in each jurisdiction in which the character of its Properties or the nature of its business requires such qualification and</w:t>
      </w:r>
    </w:p>
    <w:p>
      <w:pPr>
        <w:ind w:left="60"/>
        <w:spacing w:after="0" w:line="204" w:lineRule="auto"/>
        <w:rPr>
          <w:sz w:val="20"/>
          <w:szCs w:val="20"/>
          <w:color w:val="auto"/>
        </w:rPr>
      </w:pPr>
      <w:r>
        <w:rPr>
          <w:rFonts w:ascii="Times New Roman" w:cs="Times New Roman" w:eastAsia="Times New Roman" w:hAnsi="Times New Roman"/>
          <w:sz w:val="20"/>
          <w:szCs w:val="20"/>
          <w:color w:val="auto"/>
        </w:rPr>
        <w:t>authorization, in the case of this clause (c), except to the extent failure to do so would not reasonably be expected to have a Material Adverse Effect. The jurisdictions in which each Credit Party and each Subsidiary thereof are organized and qualified to do business as of</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 xml:space="preserve">the Closing Date are described on </w:t>
      </w:r>
      <w:r>
        <w:rPr>
          <w:rFonts w:ascii="Times New Roman" w:cs="Times New Roman" w:eastAsia="Times New Roman" w:hAnsi="Times New Roman"/>
          <w:sz w:val="20"/>
          <w:szCs w:val="20"/>
          <w:u w:val="single" w:color="auto"/>
          <w:color w:val="auto"/>
        </w:rPr>
        <w:t>Schedule 7.1</w:t>
      </w:r>
      <w:r>
        <w:rPr>
          <w:rFonts w:ascii="Times New Roman" w:cs="Times New Roman" w:eastAsia="Times New Roman" w:hAnsi="Times New Roman"/>
          <w:sz w:val="20"/>
          <w:szCs w:val="20"/>
          <w:color w:val="auto"/>
        </w:rPr>
        <w:t>. No Credit Party nor any Subsidiary thereof is an Affected Financial Institution.</w:t>
      </w:r>
    </w:p>
    <w:p>
      <w:pPr>
        <w:spacing w:after="0" w:line="194" w:lineRule="exact"/>
        <w:rPr>
          <w:sz w:val="20"/>
          <w:szCs w:val="20"/>
          <w:color w:val="auto"/>
        </w:rPr>
      </w:pPr>
    </w:p>
    <w:p>
      <w:pPr>
        <w:ind w:left="700"/>
        <w:spacing w:after="0"/>
        <w:tabs>
          <w:tab w:leader="none" w:pos="2020" w:val="left"/>
        </w:tabs>
        <w:rPr>
          <w:sz w:val="20"/>
          <w:szCs w:val="20"/>
          <w:color w:val="auto"/>
        </w:rPr>
      </w:pPr>
      <w:r>
        <w:rPr>
          <w:rFonts w:ascii="Times New Roman" w:cs="Times New Roman" w:eastAsia="Times New Roman" w:hAnsi="Times New Roman"/>
          <w:sz w:val="20"/>
          <w:szCs w:val="20"/>
          <w:color w:val="auto"/>
        </w:rPr>
        <w:t>SECTION 7.2</w:t>
      </w:r>
      <w:r>
        <w:rPr>
          <w:sz w:val="20"/>
          <w:szCs w:val="20"/>
          <w:color w:val="auto"/>
        </w:rPr>
        <w:tab/>
      </w:r>
      <w:r>
        <w:rPr>
          <w:rFonts w:ascii="Times New Roman" w:cs="Times New Roman" w:eastAsia="Times New Roman" w:hAnsi="Times New Roman"/>
          <w:sz w:val="19"/>
          <w:szCs w:val="19"/>
          <w:u w:val="single" w:color="auto"/>
          <w:color w:val="auto"/>
        </w:rPr>
        <w:t>Ownership</w:t>
      </w:r>
    </w:p>
    <w:p>
      <w:pPr>
        <w:spacing w:after="0" w:line="283" w:lineRule="exact"/>
        <w:rPr>
          <w:sz w:val="20"/>
          <w:szCs w:val="20"/>
          <w:color w:val="auto"/>
        </w:rPr>
      </w:pPr>
    </w:p>
    <w:p>
      <w:pPr>
        <w:jc w:val="both"/>
        <w:ind w:left="60" w:hanging="4"/>
        <w:spacing w:after="0" w:line="215" w:lineRule="auto"/>
        <w:tabs>
          <w:tab w:leader="none" w:pos="167" w:val="left"/>
        </w:tabs>
        <w:numPr>
          <w:ilvl w:val="0"/>
          <w:numId w:val="2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Subsidiary of each Credit Party as of the Closing Date is listed on </w:t>
      </w:r>
      <w:r>
        <w:rPr>
          <w:rFonts w:ascii="Times New Roman" w:cs="Times New Roman" w:eastAsia="Times New Roman" w:hAnsi="Times New Roman"/>
          <w:sz w:val="20"/>
          <w:szCs w:val="20"/>
          <w:u w:val="single" w:color="auto"/>
          <w:color w:val="auto"/>
        </w:rPr>
        <w:t>Schedule 7.2</w:t>
      </w:r>
      <w:r>
        <w:rPr>
          <w:rFonts w:ascii="Times New Roman" w:cs="Times New Roman" w:eastAsia="Times New Roman" w:hAnsi="Times New Roman"/>
          <w:sz w:val="20"/>
          <w:szCs w:val="20"/>
          <w:color w:val="auto"/>
        </w:rPr>
        <w:t xml:space="preserve">. As of the Closing Date, the capitalization of each Credit Party and its Subsidiaries consists of the number of shares, authorized, issued and outstanding, of such classes and series, with or without par value, described on </w:t>
      </w:r>
      <w:r>
        <w:rPr>
          <w:rFonts w:ascii="Times New Roman" w:cs="Times New Roman" w:eastAsia="Times New Roman" w:hAnsi="Times New Roman"/>
          <w:sz w:val="20"/>
          <w:szCs w:val="20"/>
          <w:u w:val="single" w:color="auto"/>
          <w:color w:val="auto"/>
        </w:rPr>
        <w:t>Schedule 7.2</w:t>
      </w:r>
      <w:r>
        <w:rPr>
          <w:rFonts w:ascii="Times New Roman" w:cs="Times New Roman" w:eastAsia="Times New Roman" w:hAnsi="Times New Roman"/>
          <w:sz w:val="20"/>
          <w:szCs w:val="20"/>
          <w:color w:val="auto"/>
        </w:rPr>
        <w:t xml:space="preserve">. All outstanding shares have been duly authorized and validly issued and are fully paid and nonassessable and not subject to any preemptive or similar rights, except as described in </w:t>
      </w:r>
      <w:r>
        <w:rPr>
          <w:rFonts w:ascii="Times New Roman" w:cs="Times New Roman" w:eastAsia="Times New Roman" w:hAnsi="Times New Roman"/>
          <w:sz w:val="20"/>
          <w:szCs w:val="20"/>
          <w:u w:val="single" w:color="auto"/>
          <w:color w:val="auto"/>
        </w:rPr>
        <w:t>Schedule 7.2</w:t>
      </w:r>
      <w:r>
        <w:rPr>
          <w:rFonts w:ascii="Times New Roman" w:cs="Times New Roman" w:eastAsia="Times New Roman" w:hAnsi="Times New Roman"/>
          <w:sz w:val="20"/>
          <w:szCs w:val="20"/>
          <w:color w:val="auto"/>
        </w:rPr>
        <w:t xml:space="preserve">. As of the Closing Date, there are no outstanding stock purchase warrants, subscriptions, options, securities, instruments or other rights of any type or nature whatsoever, which are convertible into, exchangeable for or otherwise provide for or require the issuance of Equity Interests of any Credit Party or any Subsidiary thereof, except as described on </w:t>
      </w:r>
      <w:r>
        <w:rPr>
          <w:rFonts w:ascii="Times New Roman" w:cs="Times New Roman" w:eastAsia="Times New Roman" w:hAnsi="Times New Roman"/>
          <w:sz w:val="20"/>
          <w:szCs w:val="20"/>
          <w:u w:val="single" w:color="auto"/>
          <w:color w:val="auto"/>
        </w:rPr>
        <w:t>Schedule 7.2</w:t>
      </w:r>
      <w:r>
        <w:rPr>
          <w:rFonts w:ascii="Times New Roman" w:cs="Times New Roman" w:eastAsia="Times New Roman" w:hAnsi="Times New Roman"/>
          <w:sz w:val="20"/>
          <w:szCs w:val="20"/>
          <w:color w:val="auto"/>
        </w:rPr>
        <w:t>.</w:t>
      </w:r>
    </w:p>
    <w:p>
      <w:pPr>
        <w:spacing w:after="0" w:line="259" w:lineRule="exact"/>
        <w:rPr>
          <w:sz w:val="20"/>
          <w:szCs w:val="20"/>
          <w:color w:val="auto"/>
        </w:rPr>
      </w:pPr>
    </w:p>
    <w:p>
      <w:pPr>
        <w:ind w:left="700"/>
        <w:spacing w:after="0"/>
        <w:tabs>
          <w:tab w:leader="none" w:pos="2020" w:val="left"/>
        </w:tabs>
        <w:rPr>
          <w:sz w:val="20"/>
          <w:szCs w:val="20"/>
          <w:color w:val="auto"/>
        </w:rPr>
      </w:pPr>
      <w:r>
        <w:rPr>
          <w:rFonts w:ascii="Times New Roman" w:cs="Times New Roman" w:eastAsia="Times New Roman" w:hAnsi="Times New Roman"/>
          <w:sz w:val="20"/>
          <w:szCs w:val="20"/>
          <w:color w:val="auto"/>
        </w:rPr>
        <w:t>SECTION 7.3</w:t>
      </w:r>
      <w:r>
        <w:rPr>
          <w:sz w:val="20"/>
          <w:szCs w:val="20"/>
          <w:color w:val="auto"/>
        </w:rPr>
        <w:tab/>
      </w:r>
      <w:r>
        <w:rPr>
          <w:rFonts w:ascii="Times New Roman" w:cs="Times New Roman" w:eastAsia="Times New Roman" w:hAnsi="Times New Roman"/>
          <w:sz w:val="19"/>
          <w:szCs w:val="19"/>
          <w:u w:val="single" w:color="auto"/>
          <w:color w:val="auto"/>
        </w:rPr>
        <w:t>Authorization; Enforceability</w:t>
      </w:r>
    </w:p>
    <w:p>
      <w:pPr>
        <w:spacing w:after="0" w:line="283" w:lineRule="exact"/>
        <w:rPr>
          <w:sz w:val="20"/>
          <w:szCs w:val="20"/>
          <w:color w:val="auto"/>
        </w:rPr>
      </w:pPr>
    </w:p>
    <w:p>
      <w:pPr>
        <w:jc w:val="both"/>
        <w:ind w:left="60" w:hanging="4"/>
        <w:spacing w:after="0" w:line="215" w:lineRule="auto"/>
        <w:tabs>
          <w:tab w:leader="none" w:pos="174" w:val="left"/>
        </w:tabs>
        <w:numPr>
          <w:ilvl w:val="0"/>
          <w:numId w:val="2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Credit Party has the right, power and authority and has taken all necessary corporate and other action to authorize the execution, delivery and performance of this Agreement and each of the other Loan Documents to which it is a party in accordance with their respective terms. This Agreement and each of the other Loan Documents have been duly executed and delivered by the duly authorized officers of each Credit Party that is a party thereto, and each such document constitutes the legal, valid and binding obligation of each Credit Party that is a party thereto, enforceable in accordance with its terms, except as such enforceability may be limited by bankruptcy, insolvency, reorganization, moratorium or similar state, provincial, or federal Debtor Relief Laws from time to time in effect which affect the enforcement of creditors’ rights in general and the availability of equitable remedies.</w:t>
      </w:r>
    </w:p>
    <w:p>
      <w:pPr>
        <w:spacing w:after="0" w:line="178" w:lineRule="exact"/>
        <w:rPr>
          <w:sz w:val="20"/>
          <w:szCs w:val="20"/>
          <w:color w:val="auto"/>
        </w:rPr>
      </w:pPr>
    </w:p>
    <w:p>
      <w:pPr>
        <w:ind w:left="700"/>
        <w:spacing w:after="0"/>
        <w:tabs>
          <w:tab w:leader="none" w:pos="2020" w:val="left"/>
        </w:tabs>
        <w:rPr>
          <w:sz w:val="20"/>
          <w:szCs w:val="20"/>
          <w:color w:val="auto"/>
        </w:rPr>
      </w:pPr>
      <w:r>
        <w:rPr>
          <w:rFonts w:ascii="Times New Roman" w:cs="Times New Roman" w:eastAsia="Times New Roman" w:hAnsi="Times New Roman"/>
          <w:sz w:val="20"/>
          <w:szCs w:val="20"/>
          <w:color w:val="auto"/>
        </w:rPr>
        <w:t>SECTION 7.4</w:t>
      </w:r>
      <w:r>
        <w:rPr>
          <w:sz w:val="20"/>
          <w:szCs w:val="20"/>
          <w:color w:val="auto"/>
        </w:rPr>
        <w:tab/>
      </w:r>
      <w:r>
        <w:rPr>
          <w:rFonts w:ascii="Times New Roman" w:cs="Times New Roman" w:eastAsia="Times New Roman" w:hAnsi="Times New Roman"/>
          <w:sz w:val="19"/>
          <w:szCs w:val="19"/>
          <w:u w:val="single" w:color="auto"/>
          <w:color w:val="auto"/>
        </w:rPr>
        <w:t>Compliance of Agreement, Loan Documents and Borrowing with Laws, Etc</w:t>
      </w:r>
    </w:p>
    <w:p>
      <w:pPr>
        <w:spacing w:after="0" w:line="283" w:lineRule="exact"/>
        <w:rPr>
          <w:sz w:val="20"/>
          <w:szCs w:val="20"/>
          <w:color w:val="auto"/>
        </w:rPr>
      </w:pPr>
    </w:p>
    <w:p>
      <w:pPr>
        <w:jc w:val="both"/>
        <w:ind w:left="60" w:firstLine="35"/>
        <w:spacing w:after="0" w:line="211" w:lineRule="auto"/>
        <w:tabs>
          <w:tab w:leader="none" w:pos="219" w:val="left"/>
        </w:tabs>
        <w:numPr>
          <w:ilvl w:val="0"/>
          <w:numId w:val="2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execution, delivery and performance by each Credit Party of the Loan Documents to which each such Credit Party is a party, in accordance with their respective terms, the Extensions of Credit hereunder and the transactions contemplated hereby or thereby do not and will not, by the passage of time, the giving of notice or otherwise, (a) require any Governmental Approval or violate any Applicable Law relating to any Credit Party or any Subsidiary thereof where the failure to obtain such Governmental Approval or such violation could reasonably be expected to have a Material Adverse Effect, (b) conflict with, result in a breach of or constitute a default under the articles of incorporation, bylaws or other organizational documents of any Credit Party or any Subsidiary thereof, (c) conflict with, result in a breach of or constitute a default under any indenture, agreement or other instrument to which such Person is a party or by which any of its properties may be bound or any Governmental Approval relating to such Person, which could, individually or in the aggregate, reasonably be expected to have a Material Adverse Effect, (d) result in or require the creation or imposition of any Lien upon or with respect to any property now owned or hereafter acquired by such Person other than Permitted Liens or (e) other than filings or consents which have been obtained and remain in effect, require any consent or authorization of, filing with, or other act in respect of, an arbitrator or Governmental Authority and no consent of any other Person is required in connection with the execution, delivery, performance, validity or enforceability of this Agreement other than consents,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-1585595</wp:posOffset>
            </wp:positionV>
            <wp:extent cx="2540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FF0000"/>
          <w:strike w:val="1"/>
        </w:rPr>
        <w:t>146960219_6</w:t>
      </w: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119</w:t>
      </w:r>
      <w:r>
        <w:rPr>
          <w:sz w:val="20"/>
          <w:szCs w:val="20"/>
          <w:color w:val="auto"/>
        </w:rPr>
        <w:tab/>
      </w: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080"/>
          </w:cols>
          <w:pgMar w:left="380" w:top="1440" w:right="439" w:bottom="1440" w:gutter="0" w:footer="0" w:header="0"/>
        </w:sectPr>
      </w:pPr>
    </w:p>
    <w:bookmarkStart w:id="193" w:name="page194"/>
    <w:bookmarkEnd w:id="193"/>
    <w:p>
      <w:pPr>
        <w:ind w:left="80" w:right="800"/>
        <w:spacing w:after="0"/>
        <w:rPr>
          <w:sz w:val="20"/>
          <w:szCs w:val="20"/>
          <w:color w:val="auto"/>
        </w:rPr>
      </w:pPr>
      <w:r>
        <w:rPr>
          <w:rFonts w:ascii="Times New Roman" w:cs="Times New Roman" w:eastAsia="Times New Roman" w:hAnsi="Times New Roman"/>
          <w:sz w:val="20"/>
          <w:szCs w:val="20"/>
          <w:color w:val="auto"/>
        </w:rPr>
        <w:t>authorizations, filings or other acts or consents for which the failure to obtain or make could not, individually or in the aggregate, reasonably be expected to have a Material Adverse Effect.</w:t>
      </w:r>
    </w:p>
    <w:p>
      <w:pPr>
        <w:spacing w:after="0" w:line="188" w:lineRule="exact"/>
        <w:rPr>
          <w:sz w:val="20"/>
          <w:szCs w:val="20"/>
          <w:color w:val="auto"/>
        </w:rPr>
      </w:pPr>
    </w:p>
    <w:p>
      <w:pPr>
        <w:ind w:left="720"/>
        <w:spacing w:after="0"/>
        <w:tabs>
          <w:tab w:leader="none" w:pos="2040" w:val="left"/>
        </w:tabs>
        <w:rPr>
          <w:sz w:val="20"/>
          <w:szCs w:val="20"/>
          <w:color w:val="auto"/>
        </w:rPr>
      </w:pPr>
      <w:r>
        <w:rPr>
          <w:rFonts w:ascii="Times New Roman" w:cs="Times New Roman" w:eastAsia="Times New Roman" w:hAnsi="Times New Roman"/>
          <w:sz w:val="20"/>
          <w:szCs w:val="20"/>
          <w:color w:val="auto"/>
        </w:rPr>
        <w:t>SECTION 7.5</w:t>
      </w:r>
      <w:r>
        <w:rPr>
          <w:sz w:val="20"/>
          <w:szCs w:val="20"/>
          <w:color w:val="auto"/>
        </w:rPr>
        <w:tab/>
      </w:r>
      <w:r>
        <w:rPr>
          <w:rFonts w:ascii="Times New Roman" w:cs="Times New Roman" w:eastAsia="Times New Roman" w:hAnsi="Times New Roman"/>
          <w:sz w:val="19"/>
          <w:szCs w:val="19"/>
          <w:u w:val="single" w:color="auto"/>
          <w:color w:val="auto"/>
        </w:rPr>
        <w:t>Compliance with Law; Governmental Approvals</w:t>
      </w:r>
    </w:p>
    <w:p>
      <w:pPr>
        <w:spacing w:after="0" w:line="283" w:lineRule="exact"/>
        <w:rPr>
          <w:sz w:val="20"/>
          <w:szCs w:val="20"/>
          <w:color w:val="auto"/>
        </w:rPr>
      </w:pPr>
    </w:p>
    <w:p>
      <w:pPr>
        <w:jc w:val="both"/>
        <w:ind w:left="80" w:hanging="5"/>
        <w:spacing w:after="0" w:line="215" w:lineRule="auto"/>
        <w:tabs>
          <w:tab w:leader="none" w:pos="188" w:val="left"/>
        </w:tabs>
        <w:numPr>
          <w:ilvl w:val="0"/>
          <w:numId w:val="2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Credit Party and each Subsidiary thereof (a) has all Governmental Approvals required by any Applicable Law for it to conduct its business, each of which is in full force and effect, is final and not subject to review on appeal and is not the subject of any pending or, to its knowledge, threatened in writing attack by direct or collateral proceeding, (b) is in compliance with each Governmental Approval applicable to it and in compliance with all other Applicable Laws relating to it or any of its properties and (c) has timely filed all material reports, documents and other materials required to be filed by it under all Applicable Laws with any Governmental Authority and has retained all material records and documents required to be retained by it under Applicable Law except in each case (a), (b) or (c) where the failure to have, comply or file could not reasonably be expected to have a Material Adverse Effect.</w:t>
      </w:r>
    </w:p>
    <w:p>
      <w:pPr>
        <w:spacing w:after="0" w:line="178" w:lineRule="exact"/>
        <w:rPr>
          <w:sz w:val="20"/>
          <w:szCs w:val="20"/>
          <w:color w:val="auto"/>
        </w:rPr>
      </w:pPr>
    </w:p>
    <w:p>
      <w:pPr>
        <w:ind w:left="720"/>
        <w:spacing w:after="0"/>
        <w:tabs>
          <w:tab w:leader="none" w:pos="2040" w:val="left"/>
        </w:tabs>
        <w:rPr>
          <w:sz w:val="20"/>
          <w:szCs w:val="20"/>
          <w:color w:val="auto"/>
        </w:rPr>
      </w:pPr>
      <w:r>
        <w:rPr>
          <w:rFonts w:ascii="Times New Roman" w:cs="Times New Roman" w:eastAsia="Times New Roman" w:hAnsi="Times New Roman"/>
          <w:sz w:val="20"/>
          <w:szCs w:val="20"/>
          <w:color w:val="auto"/>
        </w:rPr>
        <w:t>SECTION 7.6</w:t>
      </w:r>
      <w:r>
        <w:rPr>
          <w:sz w:val="20"/>
          <w:szCs w:val="20"/>
          <w:color w:val="auto"/>
        </w:rPr>
        <w:tab/>
      </w:r>
      <w:r>
        <w:rPr>
          <w:rFonts w:ascii="Times New Roman" w:cs="Times New Roman" w:eastAsia="Times New Roman" w:hAnsi="Times New Roman"/>
          <w:sz w:val="19"/>
          <w:szCs w:val="19"/>
          <w:u w:val="single" w:color="auto"/>
          <w:color w:val="auto"/>
        </w:rPr>
        <w:t>Tax Returns and Payments</w:t>
      </w:r>
    </w:p>
    <w:p>
      <w:pPr>
        <w:spacing w:after="0" w:line="283" w:lineRule="exact"/>
        <w:rPr>
          <w:sz w:val="20"/>
          <w:szCs w:val="20"/>
          <w:color w:val="auto"/>
        </w:rPr>
      </w:pPr>
    </w:p>
    <w:p>
      <w:pPr>
        <w:jc w:val="both"/>
        <w:ind w:left="80" w:hanging="5"/>
        <w:spacing w:after="0" w:line="210" w:lineRule="auto"/>
        <w:tabs>
          <w:tab w:leader="none" w:pos="183" w:val="left"/>
        </w:tabs>
        <w:numPr>
          <w:ilvl w:val="0"/>
          <w:numId w:val="2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Credit Party and each Subsidiary thereof has duly filed or caused to be filed all federal, state, provincial, local and other tax returns required by Applicable Law to be filed, and has paid, or made adequate provision for the payment of, all federal, state, provincial, local and other taxes, assessments and governmental charges or levies upon it and its property, income, profits and assets which are due and payable (other than (a) where the failure to file, pay, or make provision could not, individually or in the aggregate, reasonably be expected to have a Material Adverse Effect, or (b) any amount the validity of which is currently being contested in good faith by appropriate proceedings and with respect to which reserves in conformity with GAAP have been provided for on the books of the relevant Credit Party). Such returns accurately reflect in all material respects all liability for taxes of any Credit Party or any Subsidiary thereof for the periods covered thereby. As of the Closing Date, except as set forth on </w:t>
      </w:r>
      <w:r>
        <w:rPr>
          <w:rFonts w:ascii="Times New Roman" w:cs="Times New Roman" w:eastAsia="Times New Roman" w:hAnsi="Times New Roman"/>
          <w:sz w:val="20"/>
          <w:szCs w:val="20"/>
          <w:u w:val="single" w:color="auto"/>
          <w:color w:val="auto"/>
        </w:rPr>
        <w:t>Schedule 7.6</w:t>
      </w:r>
      <w:r>
        <w:rPr>
          <w:rFonts w:ascii="Times New Roman" w:cs="Times New Roman" w:eastAsia="Times New Roman" w:hAnsi="Times New Roman"/>
          <w:sz w:val="20"/>
          <w:szCs w:val="20"/>
          <w:color w:val="auto"/>
        </w:rPr>
        <w:t>, there is no ongoing audit or examination or, to its knowledge, other investigation by any Governmental Authority of the tax liability of any Credit Party or any Subsidiary thereof. No Governmental Authority has asserted any Lien or other claim against any Credit Party or any Subsidiary thereof with respect to unpaid taxes which has not been discharged or resolved (other than (a) any amount the validity of which is currently being contested in good faith by appropriate proceedings and with respect to which reserves in conformity with GAAP have been provided for on the books of the relevant Credit Party or (b) Permitted Liens). The charges, accruals and reserves on the books of each Credit Party and each Subsidiary thereof in respect of federal, state, provincial, local and other taxes for all Fiscal Years and portions thereof since the organization of any Credit Party or any Subsidiary thereof are in the judgment of the Borrowers adequate, and the Borrowers do not anticipate any additional taxes or assessments for any of such years.</w:t>
      </w:r>
    </w:p>
    <w:p>
      <w:pPr>
        <w:spacing w:after="0" w:line="196" w:lineRule="exact"/>
        <w:rPr>
          <w:sz w:val="20"/>
          <w:szCs w:val="20"/>
          <w:color w:val="auto"/>
        </w:rPr>
      </w:pPr>
    </w:p>
    <w:p>
      <w:pPr>
        <w:ind w:left="720"/>
        <w:spacing w:after="0"/>
        <w:tabs>
          <w:tab w:leader="none" w:pos="2040" w:val="left"/>
        </w:tabs>
        <w:rPr>
          <w:sz w:val="20"/>
          <w:szCs w:val="20"/>
          <w:color w:val="auto"/>
        </w:rPr>
      </w:pPr>
      <w:r>
        <w:rPr>
          <w:rFonts w:ascii="Times New Roman" w:cs="Times New Roman" w:eastAsia="Times New Roman" w:hAnsi="Times New Roman"/>
          <w:sz w:val="20"/>
          <w:szCs w:val="20"/>
          <w:color w:val="auto"/>
        </w:rPr>
        <w:t>SECTION 7.7</w:t>
      </w:r>
      <w:r>
        <w:rPr>
          <w:sz w:val="20"/>
          <w:szCs w:val="20"/>
          <w:color w:val="auto"/>
        </w:rPr>
        <w:tab/>
      </w:r>
      <w:r>
        <w:rPr>
          <w:rFonts w:ascii="Times New Roman" w:cs="Times New Roman" w:eastAsia="Times New Roman" w:hAnsi="Times New Roman"/>
          <w:sz w:val="19"/>
          <w:szCs w:val="19"/>
          <w:u w:val="single" w:color="auto"/>
          <w:color w:val="auto"/>
        </w:rPr>
        <w:t>Intellectual Property Matters</w:t>
      </w:r>
    </w:p>
    <w:p>
      <w:pPr>
        <w:spacing w:after="0" w:line="283" w:lineRule="exact"/>
        <w:rPr>
          <w:sz w:val="20"/>
          <w:szCs w:val="20"/>
          <w:color w:val="auto"/>
        </w:rPr>
      </w:pPr>
    </w:p>
    <w:p>
      <w:pPr>
        <w:jc w:val="both"/>
        <w:ind w:left="80" w:hanging="5"/>
        <w:spacing w:after="0" w:line="215" w:lineRule="auto"/>
        <w:tabs>
          <w:tab w:leader="none" w:pos="183" w:val="left"/>
        </w:tabs>
        <w:numPr>
          <w:ilvl w:val="0"/>
          <w:numId w:val="2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Credit Party and each Subsidiary thereof owns or possesses rights to use all franchises, licenses, copyrights, copyright applications, patents, patent rights or licenses, patent applications, trademarks, trademark rights, service mark, service mark rights, trade names, trade name rights, copyrights and other rights with respect to the foregoing which are reasonably necessary to conduct its business, except where the failure to own or possess such rights could not, individually or in the aggregate, reasonably be expected to have a Material Adverse Effect. No event has occurred which permits, or after notice or lapse of time or both would permit, the revocation or termination of any such rights, and no Credit Party nor any Subsidiary thereof is liable to any Person for infringement under Applicable Law with respect to any such rights as a result of its business operations, except as could not, individually or in the aggregate, reasonably be expected to have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FF0000"/>
          <w:strike w:val="1"/>
        </w:rPr>
        <w:t>146960219_6</w:t>
      </w:r>
    </w:p>
    <w:p>
      <w:pPr>
        <w:spacing w:after="0"/>
        <w:rPr>
          <w:sz w:val="20"/>
          <w:szCs w:val="20"/>
          <w:color w:val="auto"/>
        </w:rPr>
      </w:pPr>
      <w:r>
        <w:rPr>
          <w:rFonts w:ascii="Times New Roman" w:cs="Times New Roman" w:eastAsia="Times New Roman" w:hAnsi="Times New Roman"/>
          <w:sz w:val="20"/>
          <w:szCs w:val="20"/>
          <w:color w:val="auto"/>
        </w:rPr>
        <w:t xml:space="preserve">111  </w:t>
      </w: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100"/>
          </w:cols>
          <w:pgMar w:left="360" w:top="1399" w:right="439" w:bottom="1440" w:gutter="0" w:footer="0" w:header="0"/>
        </w:sectPr>
      </w:pPr>
    </w:p>
    <w:bookmarkStart w:id="194" w:name="page195"/>
    <w:bookmarkEnd w:id="194"/>
    <w:p>
      <w:pPr>
        <w:ind w:left="700"/>
        <w:spacing w:after="0"/>
        <w:tabs>
          <w:tab w:leader="none" w:pos="2020" w:val="left"/>
        </w:tabs>
        <w:rPr>
          <w:sz w:val="20"/>
          <w:szCs w:val="20"/>
          <w:color w:val="auto"/>
        </w:rPr>
      </w:pPr>
      <w:r>
        <w:rPr>
          <w:rFonts w:ascii="Times New Roman" w:cs="Times New Roman" w:eastAsia="Times New Roman" w:hAnsi="Times New Roman"/>
          <w:sz w:val="20"/>
          <w:szCs w:val="20"/>
          <w:color w:val="auto"/>
        </w:rPr>
        <w:t>SECTION 7.8</w:t>
      </w:r>
      <w:r>
        <w:rPr>
          <w:sz w:val="20"/>
          <w:szCs w:val="20"/>
          <w:color w:val="auto"/>
        </w:rPr>
        <w:tab/>
      </w:r>
      <w:r>
        <w:rPr>
          <w:rFonts w:ascii="Times New Roman" w:cs="Times New Roman" w:eastAsia="Times New Roman" w:hAnsi="Times New Roman"/>
          <w:sz w:val="19"/>
          <w:szCs w:val="19"/>
          <w:u w:val="single" w:color="auto"/>
          <w:color w:val="auto"/>
        </w:rPr>
        <w:t>Environmental Matters</w:t>
      </w:r>
    </w:p>
    <w:p>
      <w:pPr>
        <w:spacing w:after="0" w:line="297" w:lineRule="exact"/>
        <w:rPr>
          <w:sz w:val="20"/>
          <w:szCs w:val="20"/>
          <w:color w:val="auto"/>
        </w:rPr>
      </w:pPr>
    </w:p>
    <w:p>
      <w:pPr>
        <w:ind w:left="60" w:right="260" w:hanging="4"/>
        <w:spacing w:after="0" w:line="269" w:lineRule="auto"/>
        <w:tabs>
          <w:tab w:leader="none" w:pos="159" w:val="left"/>
        </w:tabs>
        <w:numPr>
          <w:ilvl w:val="0"/>
          <w:numId w:val="2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where the failure of any of the following representations to be correct could not, individually or in the aggregate, reasonably be expected to have a Material Adverse Effect:</w:t>
      </w:r>
    </w:p>
    <w:p>
      <w:pPr>
        <w:spacing w:after="0" w:line="172" w:lineRule="exact"/>
        <w:rPr>
          <w:rFonts w:ascii="Times New Roman" w:cs="Times New Roman" w:eastAsia="Times New Roman" w:hAnsi="Times New Roman"/>
          <w:sz w:val="20"/>
          <w:szCs w:val="20"/>
          <w:color w:val="auto"/>
        </w:rPr>
      </w:pPr>
    </w:p>
    <w:p>
      <w:pPr>
        <w:jc w:val="both"/>
        <w:ind w:left="60" w:firstLine="644"/>
        <w:spacing w:after="0" w:line="220" w:lineRule="auto"/>
        <w:tabs>
          <w:tab w:leader="none" w:pos="1238" w:val="left"/>
        </w:tabs>
        <w:numPr>
          <w:ilvl w:val="1"/>
          <w:numId w:val="2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properties owned, leased or operated by each Credit Party and each Subsidiary thereof do not contain, and to their knowledge have not previously contained, any Hazardous Materials in amounts or concentrations which constitute or constituted a violation of applicable Environmental Laws and, to their knowledge, the properties owned, leased or operated by each Credit Party and each Subsidiary thereof in the past do not contain and have not previously contained any Hazardous Materials in amounts or concentrations which constituted a violation of applicable Environmental Laws;</w:t>
      </w:r>
    </w:p>
    <w:p>
      <w:pPr>
        <w:spacing w:after="0" w:line="187" w:lineRule="exact"/>
        <w:rPr>
          <w:rFonts w:ascii="Times New Roman" w:cs="Times New Roman" w:eastAsia="Times New Roman" w:hAnsi="Times New Roman"/>
          <w:sz w:val="20"/>
          <w:szCs w:val="20"/>
          <w:color w:val="auto"/>
        </w:rPr>
      </w:pPr>
    </w:p>
    <w:p>
      <w:pPr>
        <w:jc w:val="both"/>
        <w:ind w:left="60" w:firstLine="643"/>
        <w:spacing w:after="0" w:line="222" w:lineRule="auto"/>
        <w:tabs>
          <w:tab w:leader="none" w:pos="1235" w:val="left"/>
        </w:tabs>
        <w:numPr>
          <w:ilvl w:val="1"/>
          <w:numId w:val="2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Credit Party and each Subsidiary thereof and such properties owned, leased or operated by such Credit Party or such Subsidiary and all operations conducted in connection therewith are in compliance, and have been in compliance, with all applicable Environmental Laws, and there is no contamination at, under or about such properties or such operations which could interfere with the continued operation of such properties or impair the fair saleable value thereof;</w:t>
      </w:r>
    </w:p>
    <w:p>
      <w:pPr>
        <w:spacing w:after="0" w:line="188" w:lineRule="exact"/>
        <w:rPr>
          <w:rFonts w:ascii="Times New Roman" w:cs="Times New Roman" w:eastAsia="Times New Roman" w:hAnsi="Times New Roman"/>
          <w:sz w:val="20"/>
          <w:szCs w:val="20"/>
          <w:color w:val="auto"/>
        </w:rPr>
      </w:pPr>
    </w:p>
    <w:p>
      <w:pPr>
        <w:jc w:val="both"/>
        <w:ind w:left="60" w:right="20" w:firstLine="643"/>
        <w:spacing w:after="0" w:line="222" w:lineRule="auto"/>
        <w:tabs>
          <w:tab w:leader="none" w:pos="1238" w:val="left"/>
        </w:tabs>
        <w:numPr>
          <w:ilvl w:val="1"/>
          <w:numId w:val="2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Credit Party nor any Subsidiary thereof has received any written notice of violation, alleged violation, non-compliance, liability or potential liability regarding environmental matters, Hazardous Materials, or compliance with Environmental Laws, nor does any Credit Party or any Subsidiary thereof have knowledge or reason to believe that any such notice will be received or is being threatened;</w:t>
      </w:r>
    </w:p>
    <w:p>
      <w:pPr>
        <w:spacing w:after="0" w:line="202" w:lineRule="exact"/>
        <w:rPr>
          <w:rFonts w:ascii="Times New Roman" w:cs="Times New Roman" w:eastAsia="Times New Roman" w:hAnsi="Times New Roman"/>
          <w:sz w:val="20"/>
          <w:szCs w:val="20"/>
          <w:color w:val="auto"/>
        </w:rPr>
      </w:pPr>
    </w:p>
    <w:p>
      <w:pPr>
        <w:jc w:val="both"/>
        <w:ind w:left="60" w:firstLine="643"/>
        <w:spacing w:after="0" w:line="217" w:lineRule="auto"/>
        <w:tabs>
          <w:tab w:leader="none" w:pos="1235" w:val="left"/>
        </w:tabs>
        <w:numPr>
          <w:ilvl w:val="1"/>
          <w:numId w:val="2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knowledge of each Credit Party and each Subsidiary thereof, Hazardous Materials have not been transported or disposed of to or from the properties owned, leased or operated by any Credit Party or any Subsidiary thereof in violation of, or in a manner or to a location which could give rise to liability under, Environmental Laws, nor have any Hazardous Materials been generated, treated, stored or disposed of at, on or under any of such properties in violation of, or in a manner that could give rise to liability under, any applicable Environmental Laws;</w:t>
      </w:r>
    </w:p>
    <w:p>
      <w:pPr>
        <w:spacing w:after="0" w:line="188" w:lineRule="exact"/>
        <w:rPr>
          <w:rFonts w:ascii="Times New Roman" w:cs="Times New Roman" w:eastAsia="Times New Roman" w:hAnsi="Times New Roman"/>
          <w:sz w:val="20"/>
          <w:szCs w:val="20"/>
          <w:color w:val="auto"/>
        </w:rPr>
      </w:pPr>
    </w:p>
    <w:p>
      <w:pPr>
        <w:jc w:val="both"/>
        <w:ind w:left="60" w:firstLine="643"/>
        <w:spacing w:after="0" w:line="218" w:lineRule="auto"/>
        <w:tabs>
          <w:tab w:leader="none" w:pos="1238" w:val="left"/>
        </w:tabs>
        <w:numPr>
          <w:ilvl w:val="1"/>
          <w:numId w:val="2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judicial proceedings or governmental or administrative action is pending, or, to the knowledge of the Borrowers, threatened in writing, under any Environmental Law to which any Credit Party or any Subsidiary thereof is or will be named as a potentially responsible party with respect to such properties or operations conducted in connection therewith, nor are there any consent decrees or other decrees, consent orders, administrative orders or other orders, or other administrative or judicial requirements outstanding under any applicable Environmental Law with respect to any Credit Party, any Subsidiary thereof or such properties or such operations; and</w:t>
      </w:r>
    </w:p>
    <w:p>
      <w:pPr>
        <w:spacing w:after="0" w:line="191" w:lineRule="exact"/>
        <w:rPr>
          <w:rFonts w:ascii="Times New Roman" w:cs="Times New Roman" w:eastAsia="Times New Roman" w:hAnsi="Times New Roman"/>
          <w:sz w:val="20"/>
          <w:szCs w:val="20"/>
          <w:color w:val="auto"/>
        </w:rPr>
      </w:pPr>
    </w:p>
    <w:p>
      <w:pPr>
        <w:jc w:val="both"/>
        <w:ind w:left="60" w:firstLine="643"/>
        <w:spacing w:after="0" w:line="226" w:lineRule="auto"/>
        <w:tabs>
          <w:tab w:leader="none" w:pos="1243" w:val="left"/>
        </w:tabs>
        <w:numPr>
          <w:ilvl w:val="1"/>
          <w:numId w:val="2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has been no release, or to the best of each Borrower’s knowledge, threat of release, of Hazardous Materials at or from properties owned, leased or operated by any Credit Party or any Subsidiary, now or in the past five (5) years, in violation of or in amounts or in a manner that could give rise to liability under applicable Environmental Laws.</w:t>
      </w:r>
    </w:p>
    <w:p>
      <w:pPr>
        <w:spacing w:after="0" w:line="201" w:lineRule="exact"/>
        <w:rPr>
          <w:sz w:val="20"/>
          <w:szCs w:val="20"/>
          <w:color w:val="auto"/>
        </w:rPr>
      </w:pPr>
    </w:p>
    <w:p>
      <w:pPr>
        <w:ind w:left="700"/>
        <w:spacing w:after="0"/>
        <w:tabs>
          <w:tab w:leader="none" w:pos="2020" w:val="left"/>
        </w:tabs>
        <w:rPr>
          <w:sz w:val="20"/>
          <w:szCs w:val="20"/>
          <w:color w:val="auto"/>
        </w:rPr>
      </w:pPr>
      <w:r>
        <w:rPr>
          <w:rFonts w:ascii="Times New Roman" w:cs="Times New Roman" w:eastAsia="Times New Roman" w:hAnsi="Times New Roman"/>
          <w:sz w:val="20"/>
          <w:szCs w:val="20"/>
          <w:color w:val="auto"/>
        </w:rPr>
        <w:t>SECTION 7.9</w:t>
      </w:r>
      <w:r>
        <w:rPr>
          <w:sz w:val="20"/>
          <w:szCs w:val="20"/>
          <w:color w:val="auto"/>
        </w:rPr>
        <w:tab/>
      </w:r>
      <w:r>
        <w:rPr>
          <w:rFonts w:ascii="Times New Roman" w:cs="Times New Roman" w:eastAsia="Times New Roman" w:hAnsi="Times New Roman"/>
          <w:sz w:val="19"/>
          <w:szCs w:val="19"/>
          <w:u w:val="single" w:color="auto"/>
          <w:color w:val="auto"/>
        </w:rPr>
        <w:t>Employee Benefit Matters</w:t>
      </w:r>
      <w:r>
        <w:rPr>
          <w:rFonts w:ascii="Times New Roman" w:cs="Times New Roman" w:eastAsia="Times New Roman" w:hAnsi="Times New Roman"/>
          <w:sz w:val="19"/>
          <w:szCs w:val="19"/>
          <w:color w:val="auto"/>
        </w:rPr>
        <w:t>.</w:t>
      </w:r>
    </w:p>
    <w:p>
      <w:pPr>
        <w:spacing w:after="0" w:line="270" w:lineRule="exact"/>
        <w:rPr>
          <w:sz w:val="20"/>
          <w:szCs w:val="20"/>
          <w:color w:val="auto"/>
        </w:rPr>
      </w:pPr>
    </w:p>
    <w:p>
      <w:pPr>
        <w:ind w:left="60" w:right="20" w:firstLine="644"/>
        <w:spacing w:after="0"/>
        <w:tabs>
          <w:tab w:leader="none" w:pos="1239" w:val="left"/>
        </w:tabs>
        <w:numPr>
          <w:ilvl w:val="0"/>
          <w:numId w:val="3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As of the Closing Date, no Credit Party nor any ERISA Affiliate maintains or contributes to, or has any obligation under, any Employee Benefit Plans or Canadian Employee Benefit Plans other than those identified on </w:t>
      </w:r>
      <w:r>
        <w:rPr>
          <w:rFonts w:ascii="Times New Roman" w:cs="Times New Roman" w:eastAsia="Times New Roman" w:hAnsi="Times New Roman"/>
          <w:sz w:val="20"/>
          <w:szCs w:val="20"/>
          <w:u w:val="single" w:color="auto"/>
          <w:color w:val="auto"/>
        </w:rPr>
        <w:t>Schedule 7.9</w:t>
      </w:r>
      <w:r>
        <w:rPr>
          <w:rFonts w:ascii="Times New Roman" w:cs="Times New Roman" w:eastAsia="Times New Roman" w:hAnsi="Times New Roman"/>
          <w:sz w:val="20"/>
          <w:szCs w:val="20"/>
          <w:color w:val="auto"/>
        </w:rPr>
        <w:t>;</w:t>
      </w:r>
    </w:p>
    <w:p>
      <w:pPr>
        <w:spacing w:after="0" w:line="255" w:lineRule="exact"/>
        <w:rPr>
          <w:rFonts w:ascii="Times New Roman" w:cs="Times New Roman" w:eastAsia="Times New Roman" w:hAnsi="Times New Roman"/>
          <w:sz w:val="20"/>
          <w:szCs w:val="20"/>
          <w:color w:val="auto"/>
        </w:rPr>
      </w:pPr>
    </w:p>
    <w:p>
      <w:pPr>
        <w:ind w:left="60" w:right="360" w:firstLine="644"/>
        <w:spacing w:after="0"/>
        <w:tabs>
          <w:tab w:leader="none" w:pos="1236" w:val="left"/>
        </w:tabs>
        <w:numPr>
          <w:ilvl w:val="0"/>
          <w:numId w:val="3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Credit Party and each ERISA Affiliate is in compliance with all applicable provisions of ERISA, the Code and the regulations and published interpretations thereunder with respect to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FF0000"/>
          <w:strike w:val="1"/>
        </w:rPr>
        <w:t>146960219_6</w:t>
      </w: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112</w:t>
      </w:r>
      <w:r>
        <w:rPr>
          <w:sz w:val="20"/>
          <w:szCs w:val="20"/>
          <w:color w:val="auto"/>
        </w:rPr>
        <w:tab/>
      </w: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080"/>
          </w:cols>
          <w:pgMar w:left="380" w:top="1399" w:right="439" w:bottom="1440" w:gutter="0" w:footer="0" w:header="0"/>
        </w:sectPr>
      </w:pPr>
    </w:p>
    <w:bookmarkStart w:id="195" w:name="page196"/>
    <w:bookmarkEnd w:id="195"/>
    <w:p>
      <w:pPr>
        <w:spacing w:after="0" w:line="1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Employee Benefit Plans (and with all Canadian Pension Laws with respect to all Canadian Employee Benefit Plans) except for any</w:t>
      </w:r>
    </w:p>
    <w:p>
      <w:pPr>
        <w:ind w:left="60"/>
        <w:spacing w:after="0" w:line="204" w:lineRule="auto"/>
        <w:rPr>
          <w:sz w:val="20"/>
          <w:szCs w:val="20"/>
          <w:color w:val="auto"/>
        </w:rPr>
      </w:pPr>
      <w:r>
        <w:rPr>
          <w:rFonts w:ascii="Times New Roman" w:cs="Times New Roman" w:eastAsia="Times New Roman" w:hAnsi="Times New Roman"/>
          <w:sz w:val="20"/>
          <w:szCs w:val="20"/>
          <w:color w:val="auto"/>
        </w:rPr>
        <w:t>required amendments for which the remedial amendment period as defined in Section 401(b) of the Code has not yet expired and except where a failure to so comply could not, individually or in the aggregate, reasonably be expected to have a Material Adverse Effect. Each</w:t>
      </w:r>
    </w:p>
    <w:p>
      <w:pPr>
        <w:ind w:left="60"/>
        <w:spacing w:after="0" w:line="223" w:lineRule="auto"/>
        <w:rPr>
          <w:sz w:val="20"/>
          <w:szCs w:val="20"/>
          <w:color w:val="auto"/>
        </w:rPr>
      </w:pPr>
      <w:r>
        <w:rPr>
          <w:rFonts w:ascii="Times New Roman" w:cs="Times New Roman" w:eastAsia="Times New Roman" w:hAnsi="Times New Roman"/>
          <w:sz w:val="19"/>
          <w:szCs w:val="19"/>
          <w:color w:val="auto"/>
        </w:rPr>
        <w:t>Employee Benefit Plan that is intended to be qualified under Section 401(a) of the Code has been determined by the IRS to be so qualified,</w:t>
      </w:r>
    </w:p>
    <w:p>
      <w:pPr>
        <w:jc w:val="both"/>
        <w:ind w:left="60"/>
        <w:spacing w:after="0" w:line="215" w:lineRule="auto"/>
        <w:rPr>
          <w:sz w:val="20"/>
          <w:szCs w:val="20"/>
          <w:color w:val="auto"/>
        </w:rPr>
      </w:pPr>
      <w:r>
        <w:rPr>
          <w:rFonts w:ascii="Times New Roman" w:cs="Times New Roman" w:eastAsia="Times New Roman" w:hAnsi="Times New Roman"/>
          <w:sz w:val="19"/>
          <w:szCs w:val="19"/>
          <w:color w:val="auto"/>
        </w:rPr>
        <w:t>and each trust related to such plan has been determined to be exempt under Section 501(a) of the Code except for such plans that have not yet received determination letters but for which the remedial amendment period for submitting a determination letter has not yet expired.</w:t>
      </w:r>
    </w:p>
    <w:p>
      <w:pPr>
        <w:ind w:left="60"/>
        <w:spacing w:after="0" w:line="211" w:lineRule="auto"/>
        <w:rPr>
          <w:sz w:val="20"/>
          <w:szCs w:val="20"/>
          <w:color w:val="auto"/>
        </w:rPr>
      </w:pPr>
      <w:r>
        <w:rPr>
          <w:rFonts w:ascii="Times New Roman" w:cs="Times New Roman" w:eastAsia="Times New Roman" w:hAnsi="Times New Roman"/>
          <w:sz w:val="20"/>
          <w:szCs w:val="20"/>
          <w:color w:val="auto"/>
        </w:rPr>
        <w:t>Each Canadian Employee Benefit Plan that is intended to be registered under Canadian Pension Laws has been so registered and such</w:t>
      </w:r>
    </w:p>
    <w:p>
      <w:pPr>
        <w:ind w:left="60"/>
        <w:spacing w:after="0" w:line="204" w:lineRule="auto"/>
        <w:rPr>
          <w:sz w:val="20"/>
          <w:szCs w:val="20"/>
          <w:color w:val="auto"/>
        </w:rPr>
      </w:pPr>
      <w:r>
        <w:rPr>
          <w:rFonts w:ascii="Times New Roman" w:cs="Times New Roman" w:eastAsia="Times New Roman" w:hAnsi="Times New Roman"/>
          <w:sz w:val="20"/>
          <w:szCs w:val="20"/>
          <w:color w:val="auto"/>
        </w:rPr>
        <w:t>registration has not been revoked nor has any notice of intent to revoke such registration been received. No liability has been incurred by any Credit Party or any ERISA Affiliate which remains unsatisfied for any taxes or penalties assessed with respect to any Employee</w:t>
      </w:r>
    </w:p>
    <w:p>
      <w:pPr>
        <w:spacing w:after="0" w:line="1" w:lineRule="exact"/>
        <w:rPr>
          <w:sz w:val="20"/>
          <w:szCs w:val="20"/>
          <w:color w:val="auto"/>
        </w:rPr>
      </w:pPr>
    </w:p>
    <w:p>
      <w:pPr>
        <w:ind w:left="60"/>
        <w:spacing w:after="0" w:line="228" w:lineRule="auto"/>
        <w:rPr>
          <w:sz w:val="20"/>
          <w:szCs w:val="20"/>
          <w:color w:val="auto"/>
        </w:rPr>
      </w:pPr>
      <w:r>
        <w:rPr>
          <w:rFonts w:ascii="Times New Roman" w:cs="Times New Roman" w:eastAsia="Times New Roman" w:hAnsi="Times New Roman"/>
          <w:sz w:val="20"/>
          <w:szCs w:val="20"/>
          <w:color w:val="auto"/>
        </w:rPr>
        <w:t>Benefit Plan, Canadian Employee Benefit Plan or any Multiemployer Plan except for a liability that could not reasonably be expected to have a Material Adverse Effect;</w:t>
      </w:r>
    </w:p>
    <w:p>
      <w:pPr>
        <w:spacing w:after="0" w:line="189" w:lineRule="exact"/>
        <w:rPr>
          <w:sz w:val="20"/>
          <w:szCs w:val="20"/>
          <w:color w:val="auto"/>
        </w:rPr>
      </w:pPr>
    </w:p>
    <w:p>
      <w:pPr>
        <w:jc w:val="both"/>
        <w:ind w:left="60" w:firstLine="643"/>
        <w:spacing w:after="0" w:line="213" w:lineRule="auto"/>
        <w:tabs>
          <w:tab w:leader="none" w:pos="1238" w:val="left"/>
        </w:tabs>
        <w:numPr>
          <w:ilvl w:val="0"/>
          <w:numId w:val="3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of the Closing Date, no Pension Plan has been terminated, nor has any Pension Plan become subject to funding based benefit restrictions under Section 436 of the Code, nor has any funding waiver from the IRS been received or requested with respect to any Pension Plan, nor has any Credit Party or any ERISA Affiliate failed to make any contributions or to pay any amounts due and owing as required by Sections 412 or 430 of the Code, Section 302 of ERISA or the terms of any Pension Plan on or prior to the due dates of such contributions under Sections 412 or 430 of the Code or Section 302 of ERISA, nor has there been any event requiring any disclosure under Section 4041(c)(3)(C) or 4063(a) of ERISA with respect to any Pension Plan, nor has any Credit Party nor any Subsidiary thereof failed to make or remit any required contributions when due to any Canadian Employee Benefit Plan, nor has any solvency funding relief been elected or exercised with respect to any Canadian Pension Plan;</w:t>
      </w:r>
    </w:p>
    <w:p>
      <w:pPr>
        <w:spacing w:after="0" w:line="203" w:lineRule="exact"/>
        <w:rPr>
          <w:rFonts w:ascii="Times New Roman" w:cs="Times New Roman" w:eastAsia="Times New Roman" w:hAnsi="Times New Roman"/>
          <w:sz w:val="20"/>
          <w:szCs w:val="20"/>
          <w:color w:val="auto"/>
        </w:rPr>
      </w:pPr>
    </w:p>
    <w:p>
      <w:pPr>
        <w:jc w:val="both"/>
        <w:ind w:left="60" w:firstLine="643"/>
        <w:spacing w:after="0" w:line="215" w:lineRule="auto"/>
        <w:tabs>
          <w:tab w:leader="none" w:pos="1235" w:val="left"/>
        </w:tabs>
        <w:numPr>
          <w:ilvl w:val="0"/>
          <w:numId w:val="3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where the failure of any of the following representations to be correct could not reasonably be expected, individually or in the aggregate, to have a Material Adverse Effect, no Credit Party nor any ERISA Affiliate has: (i) engaged in a nonexempt prohibited transaction described in Section 406 of the ERISA or Section 4975 of the Code, (ii) incurred any liability to the PBGC which remains outstanding other than the payment of premiums and there are no premium payments which are due and unpaid, (iii) failed to make a required contribution or payment to a Multiemployer Plan or Canadian Multiemployer Plan, or (iv) failed to make a required installment or other required payment under Sections 412 or 430 of the Code or Canadian Pension Laws or to make a required contribution or payment under the terms of any Canadian Employee Benefit Plan;</w:t>
      </w:r>
    </w:p>
    <w:p>
      <w:pPr>
        <w:spacing w:after="0" w:line="204" w:lineRule="exact"/>
        <w:rPr>
          <w:rFonts w:ascii="Times New Roman" w:cs="Times New Roman" w:eastAsia="Times New Roman" w:hAnsi="Times New Roman"/>
          <w:sz w:val="20"/>
          <w:szCs w:val="20"/>
          <w:color w:val="auto"/>
        </w:rPr>
      </w:pPr>
    </w:p>
    <w:p>
      <w:pPr>
        <w:ind w:left="1240" w:hanging="537"/>
        <w:spacing w:after="0"/>
        <w:tabs>
          <w:tab w:leader="none" w:pos="1240" w:val="left"/>
        </w:tabs>
        <w:numPr>
          <w:ilvl w:val="0"/>
          <w:numId w:val="3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Termination Event or Canadian Termination Event has occurred or is reasonably expected to occur;</w:t>
      </w:r>
    </w:p>
    <w:p>
      <w:pPr>
        <w:spacing w:after="0" w:line="229" w:lineRule="exact"/>
        <w:rPr>
          <w:rFonts w:ascii="Times New Roman" w:cs="Times New Roman" w:eastAsia="Times New Roman" w:hAnsi="Times New Roman"/>
          <w:sz w:val="20"/>
          <w:szCs w:val="20"/>
          <w:color w:val="auto"/>
        </w:rPr>
      </w:pPr>
    </w:p>
    <w:p>
      <w:pPr>
        <w:jc w:val="both"/>
        <w:ind w:left="60" w:firstLine="643"/>
        <w:spacing w:after="0" w:line="216" w:lineRule="auto"/>
        <w:tabs>
          <w:tab w:leader="none" w:pos="1242" w:val="left"/>
        </w:tabs>
        <w:numPr>
          <w:ilvl w:val="0"/>
          <w:numId w:val="3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where the failure of any of the following representations to be correct could not reasonably be expected, individually or in the aggregate, to have a Material Adverse Effect, no proceeding, claim (other than a benefits claim in the ordinary course of business), lawsuit and/or investigation is existing or, to the best of the knowledge of each Borrower after due inquiry, threatened in writing concerning or involving (i) any employee welfare benefit plan (as defined in Section 3(1) of ERISA) currently maintained or contributed to by any Credit Party or any ERISA Affiliate, (ii) any Pension Plan or Canadian Pension Plan, or (iii) any Multiemployer Plan or Canadian Multiemployer Plan.</w:t>
      </w:r>
    </w:p>
    <w:p>
      <w:pPr>
        <w:spacing w:after="0" w:line="189" w:lineRule="exact"/>
        <w:rPr>
          <w:rFonts w:ascii="Times New Roman" w:cs="Times New Roman" w:eastAsia="Times New Roman" w:hAnsi="Times New Roman"/>
          <w:sz w:val="20"/>
          <w:szCs w:val="20"/>
          <w:color w:val="auto"/>
        </w:rPr>
      </w:pPr>
    </w:p>
    <w:p>
      <w:pPr>
        <w:ind w:left="60" w:firstLine="644"/>
        <w:spacing w:after="0"/>
        <w:tabs>
          <w:tab w:leader="none" w:pos="1236" w:val="left"/>
        </w:tabs>
        <w:numPr>
          <w:ilvl w:val="0"/>
          <w:numId w:val="3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Credit Party nor any Subsidiary thereof is a party to any contract, agreement or arrangement that could, solely as a result of the delivery of this Agreement or the consummation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FF0000"/>
          <w:strike w:val="1"/>
        </w:rPr>
        <w:t>146960219_6</w:t>
      </w: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113</w:t>
      </w:r>
      <w:r>
        <w:rPr>
          <w:sz w:val="20"/>
          <w:szCs w:val="20"/>
          <w:color w:val="auto"/>
        </w:rPr>
        <w:tab/>
      </w: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080"/>
          </w:cols>
          <w:pgMar w:left="380" w:top="1440" w:right="439" w:bottom="1440" w:gutter="0" w:footer="0" w:header="0"/>
        </w:sectPr>
      </w:pPr>
    </w:p>
    <w:bookmarkStart w:id="196" w:name="page197"/>
    <w:bookmarkEnd w:id="196"/>
    <w:p>
      <w:pPr>
        <w:spacing w:after="0" w:line="203" w:lineRule="exact"/>
        <w:rPr>
          <w:sz w:val="20"/>
          <w:szCs w:val="20"/>
          <w:color w:val="auto"/>
        </w:rPr>
      </w:pPr>
    </w:p>
    <w:p>
      <w:pPr>
        <w:ind w:left="60" w:right="360"/>
        <w:spacing w:after="0"/>
        <w:rPr>
          <w:sz w:val="20"/>
          <w:szCs w:val="20"/>
          <w:color w:val="auto"/>
        </w:rPr>
      </w:pPr>
      <w:r>
        <w:rPr>
          <w:rFonts w:ascii="Times New Roman" w:cs="Times New Roman" w:eastAsia="Times New Roman" w:hAnsi="Times New Roman"/>
          <w:sz w:val="20"/>
          <w:szCs w:val="20"/>
          <w:color w:val="auto"/>
        </w:rPr>
        <w:t>transactions contemplated hereby, result in the payment of any “excess parachute payment” within the meaning of Section 280G of the Code.</w:t>
      </w:r>
    </w:p>
    <w:p>
      <w:pPr>
        <w:spacing w:after="0" w:line="188" w:lineRule="exact"/>
        <w:rPr>
          <w:sz w:val="20"/>
          <w:szCs w:val="20"/>
          <w:color w:val="auto"/>
        </w:rPr>
      </w:pPr>
    </w:p>
    <w:p>
      <w:pPr>
        <w:ind w:left="60" w:firstLine="644"/>
        <w:spacing w:after="0"/>
        <w:tabs>
          <w:tab w:leader="none" w:pos="1236" w:val="left"/>
        </w:tabs>
        <w:numPr>
          <w:ilvl w:val="0"/>
          <w:numId w:val="3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of the Closing Date, no Credit Party nor any Subsidiary thereof has established, or commenced participation in, any Canadian Employee Benefit Plan containing a defined benefit provision.</w:t>
      </w:r>
    </w:p>
    <w:p>
      <w:pPr>
        <w:spacing w:after="0" w:line="188" w:lineRule="exact"/>
        <w:rPr>
          <w:rFonts w:ascii="Times New Roman" w:cs="Times New Roman" w:eastAsia="Times New Roman" w:hAnsi="Times New Roman"/>
          <w:sz w:val="20"/>
          <w:szCs w:val="20"/>
          <w:color w:val="auto"/>
        </w:rPr>
      </w:pPr>
    </w:p>
    <w:p>
      <w:pPr>
        <w:jc w:val="both"/>
        <w:ind w:left="60" w:right="20" w:firstLine="644"/>
        <w:spacing w:after="0" w:line="226" w:lineRule="auto"/>
        <w:tabs>
          <w:tab w:leader="none" w:pos="1246" w:val="left"/>
        </w:tabs>
        <w:numPr>
          <w:ilvl w:val="0"/>
          <w:numId w:val="3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of the Closing Date no Borrower is nor will be using “plan assets” (within the meaning of 29 CFR § 2510.3-101, as modified by Section 3(42) of ERISA) of one or more Benefit Plans in connection with the Loans, the Letters of Credit or the Commitments.</w:t>
      </w:r>
    </w:p>
    <w:p>
      <w:pPr>
        <w:spacing w:after="0" w:line="187" w:lineRule="exact"/>
        <w:rPr>
          <w:sz w:val="20"/>
          <w:szCs w:val="20"/>
          <w:color w:val="auto"/>
        </w:rPr>
      </w:pPr>
    </w:p>
    <w:p>
      <w:pPr>
        <w:ind w:left="700"/>
        <w:spacing w:after="0"/>
        <w:tabs>
          <w:tab w:leader="none" w:pos="2120" w:val="left"/>
        </w:tabs>
        <w:rPr>
          <w:sz w:val="20"/>
          <w:szCs w:val="20"/>
          <w:color w:val="auto"/>
        </w:rPr>
      </w:pPr>
      <w:r>
        <w:rPr>
          <w:rFonts w:ascii="Times New Roman" w:cs="Times New Roman" w:eastAsia="Times New Roman" w:hAnsi="Times New Roman"/>
          <w:sz w:val="20"/>
          <w:szCs w:val="20"/>
          <w:color w:val="auto"/>
        </w:rPr>
        <w:t>SECTION 7.10</w:t>
      </w:r>
      <w:r>
        <w:rPr>
          <w:sz w:val="20"/>
          <w:szCs w:val="20"/>
          <w:color w:val="auto"/>
        </w:rPr>
        <w:tab/>
      </w:r>
      <w:r>
        <w:rPr>
          <w:rFonts w:ascii="Times New Roman" w:cs="Times New Roman" w:eastAsia="Times New Roman" w:hAnsi="Times New Roman"/>
          <w:sz w:val="19"/>
          <w:szCs w:val="19"/>
          <w:u w:val="single" w:color="auto"/>
          <w:color w:val="auto"/>
        </w:rPr>
        <w:t>Margin Stock</w:t>
      </w:r>
    </w:p>
    <w:p>
      <w:pPr>
        <w:spacing w:after="0" w:line="270" w:lineRule="exact"/>
        <w:rPr>
          <w:sz w:val="20"/>
          <w:szCs w:val="20"/>
          <w:color w:val="auto"/>
        </w:rPr>
      </w:pPr>
    </w:p>
    <w:p>
      <w:pPr>
        <w:jc w:val="both"/>
        <w:ind w:left="60" w:hanging="5"/>
        <w:spacing w:after="0" w:line="214" w:lineRule="auto"/>
        <w:tabs>
          <w:tab w:leader="none" w:pos="176" w:val="left"/>
        </w:tabs>
        <w:numPr>
          <w:ilvl w:val="0"/>
          <w:numId w:val="3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Credit Party nor any Subsidiary thereof is engaged principally or as one of its activities in the business of extending credit for the purpose of “purchasing” or “carrying” any “margin stock” (as each such term is defined or used, directly or indirectly, in Regulation U of the Board of Governors of the Federal Reserve System). No part of the proceeds of any of the Loans or Letters of Credit will be used for purchasing or carrying margin stock or for any purpose which violates, or which would be inconsistent with, the provisions of Regulation T, U or X of such Board of Governors. Following the application of the proceeds of each Extension of Credit, not more than twenty-five percent (25%) of the value of the assets (either of each Borrower only or of the Consolidated Companies on a Consolidated basis) subject to the provisions of </w:t>
      </w:r>
      <w:r>
        <w:rPr>
          <w:rFonts w:ascii="Times New Roman" w:cs="Times New Roman" w:eastAsia="Times New Roman" w:hAnsi="Times New Roman"/>
          <w:sz w:val="20"/>
          <w:szCs w:val="20"/>
          <w:u w:val="single" w:color="auto"/>
          <w:color w:val="auto"/>
        </w:rPr>
        <w:t>Section 9.2</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9.5</w:t>
      </w:r>
      <w:r>
        <w:rPr>
          <w:rFonts w:ascii="Times New Roman" w:cs="Times New Roman" w:eastAsia="Times New Roman" w:hAnsi="Times New Roman"/>
          <w:sz w:val="20"/>
          <w:szCs w:val="20"/>
          <w:color w:val="auto"/>
        </w:rPr>
        <w:t xml:space="preserve"> or subject to any restriction contained in any agreement or instrument between any Borrower and any Lender or any Affiliate of any Lender relating to Indebtedness in excess of the Threshold Amount will be “margin stock”.</w:t>
      </w:r>
    </w:p>
    <w:p>
      <w:pPr>
        <w:spacing w:after="0" w:line="193" w:lineRule="exact"/>
        <w:rPr>
          <w:sz w:val="20"/>
          <w:szCs w:val="20"/>
          <w:color w:val="auto"/>
        </w:rPr>
      </w:pPr>
    </w:p>
    <w:p>
      <w:pPr>
        <w:ind w:left="700"/>
        <w:spacing w:after="0"/>
        <w:tabs>
          <w:tab w:leader="none" w:pos="2100" w:val="left"/>
        </w:tabs>
        <w:rPr>
          <w:sz w:val="20"/>
          <w:szCs w:val="20"/>
          <w:color w:val="auto"/>
        </w:rPr>
      </w:pPr>
      <w:r>
        <w:rPr>
          <w:rFonts w:ascii="Times New Roman" w:cs="Times New Roman" w:eastAsia="Times New Roman" w:hAnsi="Times New Roman"/>
          <w:sz w:val="20"/>
          <w:szCs w:val="20"/>
          <w:color w:val="auto"/>
        </w:rPr>
        <w:t>SECTION 7.11</w:t>
      </w:r>
      <w:r>
        <w:rPr>
          <w:sz w:val="20"/>
          <w:szCs w:val="20"/>
          <w:color w:val="auto"/>
        </w:rPr>
        <w:tab/>
      </w:r>
      <w:r>
        <w:rPr>
          <w:rFonts w:ascii="Times New Roman" w:cs="Times New Roman" w:eastAsia="Times New Roman" w:hAnsi="Times New Roman"/>
          <w:sz w:val="19"/>
          <w:szCs w:val="19"/>
          <w:u w:val="single" w:color="auto"/>
          <w:color w:val="auto"/>
        </w:rPr>
        <w:t>Government Regulation</w:t>
      </w:r>
    </w:p>
    <w:p>
      <w:pPr>
        <w:spacing w:after="0" w:line="283" w:lineRule="exact"/>
        <w:rPr>
          <w:sz w:val="20"/>
          <w:szCs w:val="20"/>
          <w:color w:val="auto"/>
        </w:rPr>
      </w:pPr>
    </w:p>
    <w:p>
      <w:pPr>
        <w:jc w:val="both"/>
        <w:ind w:left="60" w:hanging="4"/>
        <w:spacing w:after="0" w:line="222" w:lineRule="auto"/>
        <w:tabs>
          <w:tab w:leader="none" w:pos="160" w:val="left"/>
        </w:tabs>
        <w:numPr>
          <w:ilvl w:val="0"/>
          <w:numId w:val="3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Credit Party nor any Subsidiary thereof is an “investment company” or a company “controlled” by an “investment company” (as each such term is defined or used in the Investment Company Act) and no Credit Party nor any Subsidiary thereof is, or after giving effect to any Extension of Credit will be, subject to regulation under the Interstate Commerce Act, or any other Applicable Law which limits its ability to incur or consummate the transactions contemplated hereby.</w:t>
      </w:r>
    </w:p>
    <w:p>
      <w:pPr>
        <w:spacing w:after="0" w:line="189" w:lineRule="exact"/>
        <w:rPr>
          <w:sz w:val="20"/>
          <w:szCs w:val="20"/>
          <w:color w:val="auto"/>
        </w:rPr>
      </w:pPr>
    </w:p>
    <w:p>
      <w:pPr>
        <w:ind w:left="700"/>
        <w:spacing w:after="0"/>
        <w:tabs>
          <w:tab w:leader="none" w:pos="2120" w:val="left"/>
        </w:tabs>
        <w:rPr>
          <w:sz w:val="20"/>
          <w:szCs w:val="20"/>
          <w:color w:val="auto"/>
        </w:rPr>
      </w:pPr>
      <w:r>
        <w:rPr>
          <w:rFonts w:ascii="Times New Roman" w:cs="Times New Roman" w:eastAsia="Times New Roman" w:hAnsi="Times New Roman"/>
          <w:sz w:val="20"/>
          <w:szCs w:val="20"/>
          <w:color w:val="auto"/>
        </w:rPr>
        <w:t>SECTION 7.12</w:t>
      </w:r>
      <w:r>
        <w:rPr>
          <w:sz w:val="20"/>
          <w:szCs w:val="20"/>
          <w:color w:val="auto"/>
        </w:rPr>
        <w:tab/>
      </w:r>
      <w:r>
        <w:rPr>
          <w:rFonts w:ascii="Times New Roman" w:cs="Times New Roman" w:eastAsia="Times New Roman" w:hAnsi="Times New Roman"/>
          <w:sz w:val="19"/>
          <w:szCs w:val="19"/>
          <w:u w:val="single" w:color="auto"/>
          <w:color w:val="auto"/>
        </w:rPr>
        <w:t>[Intentionally Omitted]</w:t>
      </w:r>
    </w:p>
    <w:p>
      <w:pPr>
        <w:spacing w:after="0" w:line="2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w:t>
      </w:r>
    </w:p>
    <w:p>
      <w:pPr>
        <w:spacing w:after="0" w:line="283" w:lineRule="exact"/>
        <w:rPr>
          <w:sz w:val="20"/>
          <w:szCs w:val="20"/>
          <w:color w:val="auto"/>
        </w:rPr>
      </w:pPr>
    </w:p>
    <w:p>
      <w:pPr>
        <w:ind w:left="700"/>
        <w:spacing w:after="0"/>
        <w:tabs>
          <w:tab w:leader="none" w:pos="2120" w:val="left"/>
        </w:tabs>
        <w:rPr>
          <w:sz w:val="20"/>
          <w:szCs w:val="20"/>
          <w:color w:val="auto"/>
        </w:rPr>
      </w:pPr>
      <w:r>
        <w:rPr>
          <w:rFonts w:ascii="Times New Roman" w:cs="Times New Roman" w:eastAsia="Times New Roman" w:hAnsi="Times New Roman"/>
          <w:sz w:val="20"/>
          <w:szCs w:val="20"/>
          <w:color w:val="auto"/>
        </w:rPr>
        <w:t>SECTION 7.13</w:t>
      </w:r>
      <w:r>
        <w:rPr>
          <w:sz w:val="20"/>
          <w:szCs w:val="20"/>
          <w:color w:val="auto"/>
        </w:rPr>
        <w:tab/>
      </w:r>
      <w:r>
        <w:rPr>
          <w:rFonts w:ascii="Times New Roman" w:cs="Times New Roman" w:eastAsia="Times New Roman" w:hAnsi="Times New Roman"/>
          <w:sz w:val="19"/>
          <w:szCs w:val="19"/>
          <w:u w:val="single" w:color="auto"/>
          <w:color w:val="auto"/>
        </w:rPr>
        <w:t>Employee Relations</w:t>
      </w:r>
    </w:p>
    <w:p>
      <w:pPr>
        <w:spacing w:after="0" w:line="270" w:lineRule="exact"/>
        <w:rPr>
          <w:sz w:val="20"/>
          <w:szCs w:val="20"/>
          <w:color w:val="auto"/>
        </w:rPr>
      </w:pPr>
    </w:p>
    <w:p>
      <w:pPr>
        <w:jc w:val="both"/>
        <w:ind w:left="60" w:hanging="4"/>
        <w:spacing w:after="0" w:line="222" w:lineRule="auto"/>
        <w:tabs>
          <w:tab w:leader="none" w:pos="177" w:val="left"/>
        </w:tabs>
        <w:numPr>
          <w:ilvl w:val="0"/>
          <w:numId w:val="3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As of the Closing Date, no Credit Party nor any Subsidiary thereof is party to any collective bargaining agreement, nor has any labor union been recognized as the representative of its employees except as set forth on </w:t>
      </w:r>
      <w:r>
        <w:rPr>
          <w:rFonts w:ascii="Times New Roman" w:cs="Times New Roman" w:eastAsia="Times New Roman" w:hAnsi="Times New Roman"/>
          <w:sz w:val="20"/>
          <w:szCs w:val="20"/>
          <w:u w:val="single" w:color="auto"/>
          <w:color w:val="auto"/>
        </w:rPr>
        <w:t>Schedule 7.13</w:t>
      </w:r>
      <w:r>
        <w:rPr>
          <w:rFonts w:ascii="Times New Roman" w:cs="Times New Roman" w:eastAsia="Times New Roman" w:hAnsi="Times New Roman"/>
          <w:sz w:val="20"/>
          <w:szCs w:val="20"/>
          <w:color w:val="auto"/>
        </w:rPr>
        <w:t>. No Borrower knows of any pending, threatened in writing or contemplated strikes, work stoppage or other collective labor disputes involving its employees or those of its Subsidiaries that, individually or in the aggregate, could reasonably be expected to have a Material Adverse Effect.</w:t>
      </w:r>
    </w:p>
    <w:p>
      <w:pPr>
        <w:spacing w:after="0" w:line="202" w:lineRule="exact"/>
        <w:rPr>
          <w:sz w:val="20"/>
          <w:szCs w:val="20"/>
          <w:color w:val="auto"/>
        </w:rPr>
      </w:pPr>
    </w:p>
    <w:p>
      <w:pPr>
        <w:ind w:left="700"/>
        <w:spacing w:after="0"/>
        <w:tabs>
          <w:tab w:leader="none" w:pos="2120" w:val="left"/>
        </w:tabs>
        <w:rPr>
          <w:sz w:val="20"/>
          <w:szCs w:val="20"/>
          <w:color w:val="auto"/>
        </w:rPr>
      </w:pPr>
      <w:r>
        <w:rPr>
          <w:rFonts w:ascii="Times New Roman" w:cs="Times New Roman" w:eastAsia="Times New Roman" w:hAnsi="Times New Roman"/>
          <w:sz w:val="20"/>
          <w:szCs w:val="20"/>
          <w:color w:val="auto"/>
        </w:rPr>
        <w:t>SECTION 7.14</w:t>
      </w:r>
      <w:r>
        <w:rPr>
          <w:sz w:val="20"/>
          <w:szCs w:val="20"/>
          <w:color w:val="auto"/>
        </w:rPr>
        <w:tab/>
      </w:r>
      <w:r>
        <w:rPr>
          <w:rFonts w:ascii="Times New Roman" w:cs="Times New Roman" w:eastAsia="Times New Roman" w:hAnsi="Times New Roman"/>
          <w:sz w:val="19"/>
          <w:szCs w:val="19"/>
          <w:u w:val="single" w:color="auto"/>
          <w:color w:val="auto"/>
        </w:rPr>
        <w:t>Burdensome Provisions</w:t>
      </w:r>
    </w:p>
    <w:p>
      <w:pPr>
        <w:spacing w:after="0" w:line="270" w:lineRule="exact"/>
        <w:rPr>
          <w:sz w:val="20"/>
          <w:szCs w:val="20"/>
          <w:color w:val="auto"/>
        </w:rPr>
      </w:pPr>
    </w:p>
    <w:p>
      <w:pPr>
        <w:jc w:val="both"/>
        <w:ind w:left="60" w:hanging="5"/>
        <w:spacing w:after="0" w:line="222" w:lineRule="auto"/>
        <w:tabs>
          <w:tab w:leader="none" w:pos="172" w:val="left"/>
        </w:tabs>
        <w:numPr>
          <w:ilvl w:val="0"/>
          <w:numId w:val="3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Subsidiary is party to any agreement or instrument or otherwise subject to any restriction or encumbrance that restricts or limits its ability to make dividend payments or other distributions in respect of its Equity Interests to any Consolidated Company or to transfer any of its assets or properties to any Consolidated Company in each case other than existing under or by reason of the Loan Documents or Applicable Law.</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FF0000"/>
          <w:strike w:val="1"/>
        </w:rPr>
        <w:t>146960219_6</w:t>
      </w: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114</w:t>
      </w:r>
      <w:r>
        <w:rPr>
          <w:sz w:val="20"/>
          <w:szCs w:val="20"/>
          <w:color w:val="auto"/>
        </w:rPr>
        <w:tab/>
      </w: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080"/>
          </w:cols>
          <w:pgMar w:left="380" w:top="1440" w:right="439" w:bottom="1440" w:gutter="0" w:footer="0" w:header="0"/>
        </w:sectPr>
      </w:pPr>
    </w:p>
    <w:bookmarkStart w:id="197" w:name="page198"/>
    <w:bookmarkEnd w:id="197"/>
    <w:p>
      <w:pPr>
        <w:ind w:left="720"/>
        <w:spacing w:after="0"/>
        <w:tabs>
          <w:tab w:leader="none" w:pos="2140" w:val="left"/>
        </w:tabs>
        <w:rPr>
          <w:sz w:val="20"/>
          <w:szCs w:val="20"/>
          <w:color w:val="auto"/>
        </w:rPr>
      </w:pPr>
      <w:r>
        <w:rPr>
          <w:rFonts w:ascii="Times New Roman" w:cs="Times New Roman" w:eastAsia="Times New Roman" w:hAnsi="Times New Roman"/>
          <w:sz w:val="20"/>
          <w:szCs w:val="20"/>
          <w:color w:val="auto"/>
        </w:rPr>
        <w:t>SECTION 7.15</w:t>
      </w:r>
      <w:r>
        <w:rPr>
          <w:sz w:val="20"/>
          <w:szCs w:val="20"/>
          <w:color w:val="auto"/>
        </w:rPr>
        <w:tab/>
      </w:r>
      <w:r>
        <w:rPr>
          <w:rFonts w:ascii="Times New Roman" w:cs="Times New Roman" w:eastAsia="Times New Roman" w:hAnsi="Times New Roman"/>
          <w:sz w:val="19"/>
          <w:szCs w:val="19"/>
          <w:u w:val="single" w:color="auto"/>
          <w:color w:val="auto"/>
        </w:rPr>
        <w:t>Financial Statements</w:t>
      </w:r>
    </w:p>
    <w:p>
      <w:pPr>
        <w:spacing w:after="0" w:line="283" w:lineRule="exact"/>
        <w:rPr>
          <w:sz w:val="20"/>
          <w:szCs w:val="20"/>
          <w:color w:val="auto"/>
        </w:rPr>
      </w:pPr>
    </w:p>
    <w:p>
      <w:pPr>
        <w:jc w:val="both"/>
        <w:ind w:left="80" w:hanging="5"/>
        <w:spacing w:after="0" w:line="222" w:lineRule="auto"/>
        <w:tabs>
          <w:tab w:leader="none" w:pos="194" w:val="left"/>
        </w:tabs>
        <w:numPr>
          <w:ilvl w:val="0"/>
          <w:numId w:val="3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audited and unaudited financial statements delivered pursuant to </w:t>
      </w:r>
      <w:r>
        <w:rPr>
          <w:rFonts w:ascii="Times New Roman" w:cs="Times New Roman" w:eastAsia="Times New Roman" w:hAnsi="Times New Roman"/>
          <w:sz w:val="19"/>
          <w:szCs w:val="19"/>
          <w:u w:val="single" w:color="auto"/>
          <w:color w:val="auto"/>
        </w:rPr>
        <w:t>Section 6.1(e)(i)</w:t>
      </w:r>
      <w:r>
        <w:rPr>
          <w:rFonts w:ascii="Times New Roman" w:cs="Times New Roman" w:eastAsia="Times New Roman" w:hAnsi="Times New Roman"/>
          <w:sz w:val="19"/>
          <w:szCs w:val="19"/>
          <w:color w:val="auto"/>
        </w:rPr>
        <w:t xml:space="preserve"> are complete and correct and fairly present on a Consolidated basis the assets, liabilities and financial position of the Consolidated Companies as at such dates, and the results of the operations and changes of financial position for the periods then ended (other than customary year-end adjustments for unaudited financial statements and the absence of footnote disclosures for unaudited financial statements). All such financial statements, including the related schedules and notes thereto, have been prepared in accordance with GAAP. Such financial statements show all material indebtedness and other material liabilities, direct or contingent, of the Consolidated Companies as of the date thereof, including material liabilities for taxes, material commitments, and Indebtedness, in each case, to the extent required to be disclosed under GAAP. The projections delivered to the Administrative Agent and the Arrangers prior to the Closing Date were prepared in good faith on the basis of the assumptions stated therein, which assumptions are believed to be reasonable in light of then existing conditions except that such financial projections and statements shall be subject to normal year end closing and audit adjustments (it being recognized by the Lenders that projections are not to be viewed as facts and that the actual results during the period or periods covered by such projections may vary from such projections).</w:t>
      </w:r>
    </w:p>
    <w:p>
      <w:pPr>
        <w:spacing w:after="0" w:line="194" w:lineRule="exact"/>
        <w:rPr>
          <w:sz w:val="20"/>
          <w:szCs w:val="20"/>
          <w:color w:val="auto"/>
        </w:rPr>
      </w:pPr>
    </w:p>
    <w:p>
      <w:pPr>
        <w:ind w:left="720"/>
        <w:spacing w:after="0"/>
        <w:tabs>
          <w:tab w:leader="none" w:pos="2140" w:val="left"/>
        </w:tabs>
        <w:rPr>
          <w:sz w:val="20"/>
          <w:szCs w:val="20"/>
          <w:color w:val="auto"/>
        </w:rPr>
      </w:pPr>
      <w:r>
        <w:rPr>
          <w:rFonts w:ascii="Times New Roman" w:cs="Times New Roman" w:eastAsia="Times New Roman" w:hAnsi="Times New Roman"/>
          <w:sz w:val="20"/>
          <w:szCs w:val="20"/>
          <w:color w:val="auto"/>
        </w:rPr>
        <w:t>SECTION 7.16</w:t>
      </w:r>
      <w:r>
        <w:rPr>
          <w:sz w:val="20"/>
          <w:szCs w:val="20"/>
          <w:color w:val="auto"/>
        </w:rPr>
        <w:tab/>
      </w:r>
      <w:r>
        <w:rPr>
          <w:rFonts w:ascii="Times New Roman" w:cs="Times New Roman" w:eastAsia="Times New Roman" w:hAnsi="Times New Roman"/>
          <w:sz w:val="19"/>
          <w:szCs w:val="19"/>
          <w:u w:val="single" w:color="auto"/>
          <w:color w:val="auto"/>
        </w:rPr>
        <w:t>No Material Adverse Change</w:t>
      </w:r>
    </w:p>
    <w:p>
      <w:pPr>
        <w:spacing w:after="0" w:line="283" w:lineRule="exact"/>
        <w:rPr>
          <w:sz w:val="20"/>
          <w:szCs w:val="20"/>
          <w:color w:val="auto"/>
        </w:rPr>
      </w:pPr>
    </w:p>
    <w:p>
      <w:pPr>
        <w:jc w:val="both"/>
        <w:ind w:left="80" w:right="20" w:hanging="5"/>
        <w:spacing w:after="0" w:line="226" w:lineRule="auto"/>
        <w:tabs>
          <w:tab w:leader="none" w:pos="183" w:val="left"/>
        </w:tabs>
        <w:numPr>
          <w:ilvl w:val="0"/>
          <w:numId w:val="3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Since December 31, 2020, there has been no material adverse change in the properties, business, operations, or financial condition of the Consolidated Companies and no event has occurred or condition arisen, either individually or in the aggregate, that could reasonably be expected to have a Material Adverse Effect.</w:t>
      </w:r>
    </w:p>
    <w:p>
      <w:pPr>
        <w:spacing w:after="0" w:line="187" w:lineRule="exact"/>
        <w:rPr>
          <w:sz w:val="20"/>
          <w:szCs w:val="20"/>
          <w:color w:val="auto"/>
        </w:rPr>
      </w:pPr>
    </w:p>
    <w:p>
      <w:pPr>
        <w:ind w:left="720"/>
        <w:spacing w:after="0"/>
        <w:tabs>
          <w:tab w:leader="none" w:pos="2140" w:val="left"/>
        </w:tabs>
        <w:rPr>
          <w:sz w:val="20"/>
          <w:szCs w:val="20"/>
          <w:color w:val="auto"/>
        </w:rPr>
      </w:pPr>
      <w:r>
        <w:rPr>
          <w:rFonts w:ascii="Times New Roman" w:cs="Times New Roman" w:eastAsia="Times New Roman" w:hAnsi="Times New Roman"/>
          <w:sz w:val="20"/>
          <w:szCs w:val="20"/>
          <w:color w:val="auto"/>
        </w:rPr>
        <w:t>SECTION 7.17</w:t>
      </w:r>
      <w:r>
        <w:rPr>
          <w:sz w:val="20"/>
          <w:szCs w:val="20"/>
          <w:color w:val="auto"/>
        </w:rPr>
        <w:tab/>
      </w:r>
      <w:r>
        <w:rPr>
          <w:rFonts w:ascii="Times New Roman" w:cs="Times New Roman" w:eastAsia="Times New Roman" w:hAnsi="Times New Roman"/>
          <w:sz w:val="19"/>
          <w:szCs w:val="19"/>
          <w:u w:val="single" w:color="auto"/>
          <w:color w:val="auto"/>
        </w:rPr>
        <w:t>Solvency</w:t>
      </w:r>
    </w:p>
    <w:p>
      <w:pPr>
        <w:spacing w:after="0" w:line="28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 The Borrowers and their respective Subsidiaries, on a Consolidated basis, are Solvent.</w:t>
      </w:r>
    </w:p>
    <w:p>
      <w:pPr>
        <w:spacing w:after="0" w:line="216" w:lineRule="exact"/>
        <w:rPr>
          <w:sz w:val="20"/>
          <w:szCs w:val="20"/>
          <w:color w:val="auto"/>
        </w:rPr>
      </w:pPr>
    </w:p>
    <w:p>
      <w:pPr>
        <w:ind w:left="720"/>
        <w:spacing w:after="0"/>
        <w:tabs>
          <w:tab w:leader="none" w:pos="2140" w:val="left"/>
        </w:tabs>
        <w:rPr>
          <w:sz w:val="20"/>
          <w:szCs w:val="20"/>
          <w:color w:val="auto"/>
        </w:rPr>
      </w:pPr>
      <w:r>
        <w:rPr>
          <w:rFonts w:ascii="Times New Roman" w:cs="Times New Roman" w:eastAsia="Times New Roman" w:hAnsi="Times New Roman"/>
          <w:sz w:val="20"/>
          <w:szCs w:val="20"/>
          <w:color w:val="auto"/>
        </w:rPr>
        <w:t>SECTION 7.18</w:t>
      </w:r>
      <w:r>
        <w:rPr>
          <w:sz w:val="20"/>
          <w:szCs w:val="20"/>
          <w:color w:val="auto"/>
        </w:rPr>
        <w:tab/>
      </w:r>
      <w:r>
        <w:rPr>
          <w:rFonts w:ascii="Times New Roman" w:cs="Times New Roman" w:eastAsia="Times New Roman" w:hAnsi="Times New Roman"/>
          <w:sz w:val="19"/>
          <w:szCs w:val="19"/>
          <w:u w:val="single" w:color="auto"/>
          <w:color w:val="auto"/>
        </w:rPr>
        <w:t>Title to Properties</w:t>
      </w:r>
    </w:p>
    <w:p>
      <w:pPr>
        <w:spacing w:after="0" w:line="283" w:lineRule="exact"/>
        <w:rPr>
          <w:sz w:val="20"/>
          <w:szCs w:val="20"/>
          <w:color w:val="auto"/>
        </w:rPr>
      </w:pPr>
    </w:p>
    <w:p>
      <w:pPr>
        <w:jc w:val="both"/>
        <w:ind w:left="80" w:hanging="5"/>
        <w:spacing w:after="0" w:line="217" w:lineRule="auto"/>
        <w:tabs>
          <w:tab w:leader="none" w:pos="179" w:val="left"/>
        </w:tabs>
        <w:numPr>
          <w:ilvl w:val="0"/>
          <w:numId w:val="3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As of the Closing Date, the real property listed on </w:t>
      </w:r>
      <w:r>
        <w:rPr>
          <w:rFonts w:ascii="Times New Roman" w:cs="Times New Roman" w:eastAsia="Times New Roman" w:hAnsi="Times New Roman"/>
          <w:sz w:val="20"/>
          <w:szCs w:val="20"/>
          <w:u w:val="single" w:color="auto"/>
          <w:color w:val="auto"/>
        </w:rPr>
        <w:t>Schedule 7.18</w:t>
      </w:r>
      <w:r>
        <w:rPr>
          <w:rFonts w:ascii="Times New Roman" w:cs="Times New Roman" w:eastAsia="Times New Roman" w:hAnsi="Times New Roman"/>
          <w:sz w:val="20"/>
          <w:szCs w:val="20"/>
          <w:color w:val="auto"/>
        </w:rPr>
        <w:t xml:space="preserve"> constitutes all of the real property that is owned, leased, or subleased by any Credit Party or any of its Subsidiaries. Each Credit Party and each Subsidiary thereof has such title to the real property owned or leased by it as is necessary or desirable to the conduct of its business and valid and legal title to all of its personal property and assets, except those which have been disposed of by such Credit Party or such Subsidiary subsequent to such date which dispositions have been in the ordinary course of business or as otherwise expressly permitted hereunder.</w:t>
      </w:r>
    </w:p>
    <w:p>
      <w:pPr>
        <w:spacing w:after="0" w:line="202" w:lineRule="exact"/>
        <w:rPr>
          <w:sz w:val="20"/>
          <w:szCs w:val="20"/>
          <w:color w:val="auto"/>
        </w:rPr>
      </w:pPr>
    </w:p>
    <w:p>
      <w:pPr>
        <w:ind w:left="720"/>
        <w:spacing w:after="0"/>
        <w:tabs>
          <w:tab w:leader="none" w:pos="2140" w:val="left"/>
        </w:tabs>
        <w:rPr>
          <w:sz w:val="20"/>
          <w:szCs w:val="20"/>
          <w:color w:val="auto"/>
        </w:rPr>
      </w:pPr>
      <w:r>
        <w:rPr>
          <w:rFonts w:ascii="Times New Roman" w:cs="Times New Roman" w:eastAsia="Times New Roman" w:hAnsi="Times New Roman"/>
          <w:sz w:val="20"/>
          <w:szCs w:val="20"/>
          <w:color w:val="auto"/>
        </w:rPr>
        <w:t>SECTION 7.19</w:t>
      </w:r>
      <w:r>
        <w:rPr>
          <w:sz w:val="20"/>
          <w:szCs w:val="20"/>
          <w:color w:val="auto"/>
        </w:rPr>
        <w:tab/>
      </w:r>
      <w:r>
        <w:rPr>
          <w:rFonts w:ascii="Times New Roman" w:cs="Times New Roman" w:eastAsia="Times New Roman" w:hAnsi="Times New Roman"/>
          <w:sz w:val="19"/>
          <w:szCs w:val="19"/>
          <w:u w:val="single" w:color="auto"/>
          <w:color w:val="auto"/>
        </w:rPr>
        <w:t>Litigation</w:t>
      </w:r>
    </w:p>
    <w:p>
      <w:pPr>
        <w:spacing w:after="0" w:line="270" w:lineRule="exact"/>
        <w:rPr>
          <w:sz w:val="20"/>
          <w:szCs w:val="20"/>
          <w:color w:val="auto"/>
        </w:rPr>
      </w:pPr>
    </w:p>
    <w:p>
      <w:pPr>
        <w:jc w:val="both"/>
        <w:ind w:left="80" w:hanging="4"/>
        <w:spacing w:after="0" w:line="222" w:lineRule="auto"/>
        <w:tabs>
          <w:tab w:leader="none" w:pos="190" w:val="left"/>
        </w:tabs>
        <w:numPr>
          <w:ilvl w:val="0"/>
          <w:numId w:val="3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are no actions, suits or proceedings pending nor, to the knowledge of any Borrower, threatened in writing against or in any other way relating adversely to or affecting any Credit Party or any Subsidiary thereof or any of their respective properties in any court or before any arbitrator of any kind or before or by any Governmental Authority that could reasonably be expected to have a Material Adverse Effect.</w:t>
      </w:r>
    </w:p>
    <w:p>
      <w:pPr>
        <w:spacing w:after="0" w:line="202" w:lineRule="exact"/>
        <w:rPr>
          <w:sz w:val="20"/>
          <w:szCs w:val="20"/>
          <w:color w:val="auto"/>
        </w:rPr>
      </w:pPr>
    </w:p>
    <w:p>
      <w:pPr>
        <w:ind w:left="720"/>
        <w:spacing w:after="0"/>
        <w:tabs>
          <w:tab w:leader="none" w:pos="2140" w:val="left"/>
        </w:tabs>
        <w:rPr>
          <w:sz w:val="20"/>
          <w:szCs w:val="20"/>
          <w:color w:val="auto"/>
        </w:rPr>
      </w:pPr>
      <w:r>
        <w:rPr>
          <w:rFonts w:ascii="Times New Roman" w:cs="Times New Roman" w:eastAsia="Times New Roman" w:hAnsi="Times New Roman"/>
          <w:sz w:val="20"/>
          <w:szCs w:val="20"/>
          <w:color w:val="auto"/>
        </w:rPr>
        <w:t>SECTION 7.20</w:t>
      </w:r>
      <w:r>
        <w:rPr>
          <w:sz w:val="20"/>
          <w:szCs w:val="20"/>
          <w:color w:val="auto"/>
        </w:rPr>
        <w:tab/>
      </w:r>
      <w:r>
        <w:rPr>
          <w:rFonts w:ascii="Times New Roman" w:cs="Times New Roman" w:eastAsia="Times New Roman" w:hAnsi="Times New Roman"/>
          <w:sz w:val="19"/>
          <w:szCs w:val="19"/>
          <w:u w:val="single" w:color="auto"/>
          <w:color w:val="auto"/>
        </w:rPr>
        <w:t>Anti-Corruption Laws and Sanctions</w:t>
      </w:r>
    </w:p>
    <w:p>
      <w:pPr>
        <w:spacing w:after="0" w:line="28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80" w:right="240" w:firstLine="644"/>
        <w:spacing w:after="0" w:line="233" w:lineRule="auto"/>
        <w:tabs>
          <w:tab w:leader="none" w:pos="1258" w:val="left"/>
        </w:tabs>
        <w:numPr>
          <w:ilvl w:val="0"/>
          <w:numId w:val="3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None of (i) the Borrowers, any Subsidiary of any Borrower or, to the knowledge of any Borrower or any such Subsidiary, any of their respective directors, officers or employees, or (ii) to the</w:t>
      </w:r>
    </w:p>
    <w:p>
      <w:pPr>
        <w:spacing w:after="0" w:line="26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115</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146960219_6</w:t>
      </w:r>
    </w:p>
    <w:p>
      <w:pPr>
        <w:spacing w:after="0"/>
        <w:rPr>
          <w:sz w:val="20"/>
          <w:szCs w:val="20"/>
          <w:color w:val="auto"/>
        </w:rPr>
      </w:pP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100"/>
          </w:cols>
          <w:pgMar w:left="360" w:top="1399" w:right="439" w:bottom="1440" w:gutter="0" w:footer="0" w:header="0"/>
        </w:sectPr>
      </w:pPr>
    </w:p>
    <w:bookmarkStart w:id="198" w:name="page199"/>
    <w:bookmarkEnd w:id="198"/>
    <w:p>
      <w:pPr>
        <w:ind w:left="80"/>
        <w:spacing w:after="0"/>
        <w:rPr>
          <w:sz w:val="20"/>
          <w:szCs w:val="20"/>
          <w:color w:val="auto"/>
        </w:rPr>
      </w:pPr>
      <w:r>
        <w:rPr>
          <w:rFonts w:ascii="Times New Roman" w:cs="Times New Roman" w:eastAsia="Times New Roman" w:hAnsi="Times New Roman"/>
          <w:sz w:val="19"/>
          <w:szCs w:val="19"/>
          <w:color w:val="auto"/>
        </w:rPr>
        <w:t>knowledge of any Borrower, any agent of any Borrower or any Subsidiary of any Borrower that will act in any capacity in connection with</w:t>
      </w:r>
    </w:p>
    <w:p>
      <w:pPr>
        <w:spacing w:after="0" w:line="6" w:lineRule="exact"/>
        <w:rPr>
          <w:sz w:val="20"/>
          <w:szCs w:val="20"/>
          <w:color w:val="auto"/>
        </w:rPr>
      </w:pPr>
    </w:p>
    <w:p>
      <w:pPr>
        <w:jc w:val="both"/>
        <w:ind w:left="80"/>
        <w:spacing w:after="0" w:line="215" w:lineRule="auto"/>
        <w:rPr>
          <w:sz w:val="20"/>
          <w:szCs w:val="20"/>
          <w:color w:val="auto"/>
        </w:rPr>
      </w:pPr>
      <w:r>
        <w:rPr>
          <w:rFonts w:ascii="Times New Roman" w:cs="Times New Roman" w:eastAsia="Times New Roman" w:hAnsi="Times New Roman"/>
          <w:sz w:val="19"/>
          <w:szCs w:val="19"/>
          <w:color w:val="auto"/>
        </w:rPr>
        <w:t>or benefit from the credit facilities established hereby, (A) is a Sanctioned Person or currently the subject or target of any Sanctions, (B) is controlled by or is acting on behalf of a Sanctioned Person, (C) has its assets located in a Sanctioned Country, (D) is under administrative,</w:t>
      </w:r>
    </w:p>
    <w:p>
      <w:pPr>
        <w:ind w:left="80"/>
        <w:spacing w:after="0" w:line="211" w:lineRule="auto"/>
        <w:rPr>
          <w:sz w:val="20"/>
          <w:szCs w:val="20"/>
          <w:color w:val="auto"/>
        </w:rPr>
      </w:pPr>
      <w:r>
        <w:rPr>
          <w:rFonts w:ascii="Times New Roman" w:cs="Times New Roman" w:eastAsia="Times New Roman" w:hAnsi="Times New Roman"/>
          <w:sz w:val="20"/>
          <w:szCs w:val="20"/>
          <w:color w:val="auto"/>
        </w:rPr>
        <w:t>civil or criminal investigation for an alleged violation of, or received notice from or made a voluntary disclosure to any governmental</w:t>
      </w:r>
    </w:p>
    <w:p>
      <w:pPr>
        <w:ind w:left="80"/>
        <w:spacing w:after="0" w:line="215" w:lineRule="auto"/>
        <w:rPr>
          <w:sz w:val="20"/>
          <w:szCs w:val="20"/>
          <w:color w:val="auto"/>
        </w:rPr>
      </w:pPr>
      <w:r>
        <w:rPr>
          <w:rFonts w:ascii="Times New Roman" w:cs="Times New Roman" w:eastAsia="Times New Roman" w:hAnsi="Times New Roman"/>
          <w:sz w:val="19"/>
          <w:szCs w:val="19"/>
          <w:color w:val="auto"/>
        </w:rPr>
        <w:t>entity regarding a possible violation of, Anti-Corruption Laws, Anti-Money Laundering Laws or Sanctions by a governmental authority that enforces Sanctions or any Anti-Corruption Laws or Anti-Money Laundering Laws, or (E) directly or indirectly derives revenues from</w:t>
      </w:r>
    </w:p>
    <w:p>
      <w:pPr>
        <w:ind w:left="80"/>
        <w:spacing w:after="0"/>
        <w:rPr>
          <w:sz w:val="20"/>
          <w:szCs w:val="20"/>
          <w:color w:val="auto"/>
        </w:rPr>
      </w:pPr>
      <w:r>
        <w:rPr>
          <w:rFonts w:ascii="Times New Roman" w:cs="Times New Roman" w:eastAsia="Times New Roman" w:hAnsi="Times New Roman"/>
          <w:sz w:val="20"/>
          <w:szCs w:val="20"/>
          <w:color w:val="auto"/>
        </w:rPr>
        <w:t>investments in, or transactions with, Sanctioned Persons.</w:t>
      </w:r>
    </w:p>
    <w:p>
      <w:pPr>
        <w:spacing w:after="0" w:line="194" w:lineRule="exact"/>
        <w:rPr>
          <w:sz w:val="20"/>
          <w:szCs w:val="20"/>
          <w:color w:val="auto"/>
        </w:rPr>
      </w:pPr>
    </w:p>
    <w:p>
      <w:pPr>
        <w:jc w:val="both"/>
        <w:ind w:left="80" w:firstLine="644"/>
        <w:spacing w:after="0" w:line="230" w:lineRule="auto"/>
        <w:tabs>
          <w:tab w:leader="none" w:pos="1256" w:val="left"/>
        </w:tabs>
        <w:numPr>
          <w:ilvl w:val="0"/>
          <w:numId w:val="3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Borrower and its Subsidiaries has implemented and maintains in effect policies and procedures designed to ensure compliance by such Borrower and its Subsidiaries and their respective directors, officers, employees, agents and Controlled Affiliates with all Anti-Corruption Laws, Anti-Money Laundering Laws and applicable Sanctions.</w:t>
      </w:r>
    </w:p>
    <w:p>
      <w:pPr>
        <w:spacing w:after="0" w:line="189" w:lineRule="exact"/>
        <w:rPr>
          <w:rFonts w:ascii="Times New Roman" w:cs="Times New Roman" w:eastAsia="Times New Roman" w:hAnsi="Times New Roman"/>
          <w:sz w:val="20"/>
          <w:szCs w:val="20"/>
          <w:color w:val="auto"/>
        </w:rPr>
      </w:pPr>
    </w:p>
    <w:p>
      <w:pPr>
        <w:jc w:val="both"/>
        <w:ind w:left="80" w:firstLine="643"/>
        <w:spacing w:after="0" w:line="226" w:lineRule="auto"/>
        <w:tabs>
          <w:tab w:leader="none" w:pos="1258" w:val="left"/>
        </w:tabs>
        <w:numPr>
          <w:ilvl w:val="0"/>
          <w:numId w:val="3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Borrower and its Subsidiaries, each director, officer, and to the knowledge of such Borrower, employee, agent and Affiliate of such Borrower and each such Subsidiary, is in compliance with all Anti-Corruption Laws, Anti-Money Laundering Laws in all material respects and applicable Sanctions.</w:t>
      </w:r>
    </w:p>
    <w:p>
      <w:pPr>
        <w:spacing w:after="0" w:line="187" w:lineRule="exact"/>
        <w:rPr>
          <w:rFonts w:ascii="Times New Roman" w:cs="Times New Roman" w:eastAsia="Times New Roman" w:hAnsi="Times New Roman"/>
          <w:sz w:val="20"/>
          <w:szCs w:val="20"/>
          <w:color w:val="auto"/>
        </w:rPr>
      </w:pPr>
    </w:p>
    <w:p>
      <w:pPr>
        <w:ind w:left="80" w:firstLine="644"/>
        <w:spacing w:after="0"/>
        <w:tabs>
          <w:tab w:leader="none" w:pos="1256" w:val="left"/>
        </w:tabs>
        <w:numPr>
          <w:ilvl w:val="0"/>
          <w:numId w:val="3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proceeds of any Extension of Credit have been used, directly or indirectly, by any Borrower, any of its Subsidiaries or any of its or their respective directors, officers, employees and agents in violation of </w:t>
      </w:r>
      <w:r>
        <w:rPr>
          <w:rFonts w:ascii="Times New Roman" w:cs="Times New Roman" w:eastAsia="Times New Roman" w:hAnsi="Times New Roman"/>
          <w:sz w:val="20"/>
          <w:szCs w:val="20"/>
          <w:u w:val="single" w:color="auto"/>
          <w:color w:val="auto"/>
        </w:rPr>
        <w:t>Section 8.15</w:t>
      </w:r>
      <w:r>
        <w:rPr>
          <w:rFonts w:ascii="Times New Roman" w:cs="Times New Roman" w:eastAsia="Times New Roman" w:hAnsi="Times New Roman"/>
          <w:sz w:val="20"/>
          <w:szCs w:val="20"/>
          <w:color w:val="auto"/>
        </w:rPr>
        <w:t>.</w:t>
      </w:r>
    </w:p>
    <w:p>
      <w:pPr>
        <w:spacing w:after="0" w:line="256" w:lineRule="exact"/>
        <w:rPr>
          <w:sz w:val="20"/>
          <w:szCs w:val="20"/>
          <w:color w:val="auto"/>
        </w:rPr>
      </w:pPr>
    </w:p>
    <w:p>
      <w:pPr>
        <w:ind w:left="720"/>
        <w:spacing w:after="0"/>
        <w:tabs>
          <w:tab w:leader="none" w:pos="2140" w:val="left"/>
        </w:tabs>
        <w:rPr>
          <w:sz w:val="20"/>
          <w:szCs w:val="20"/>
          <w:color w:val="auto"/>
        </w:rPr>
      </w:pPr>
      <w:r>
        <w:rPr>
          <w:rFonts w:ascii="Times New Roman" w:cs="Times New Roman" w:eastAsia="Times New Roman" w:hAnsi="Times New Roman"/>
          <w:sz w:val="20"/>
          <w:szCs w:val="20"/>
          <w:color w:val="auto"/>
        </w:rPr>
        <w:t>SECTION 7.21</w:t>
      </w:r>
      <w:r>
        <w:rPr>
          <w:sz w:val="20"/>
          <w:szCs w:val="20"/>
          <w:color w:val="auto"/>
        </w:rPr>
        <w:tab/>
      </w:r>
      <w:r>
        <w:rPr>
          <w:rFonts w:ascii="Times New Roman" w:cs="Times New Roman" w:eastAsia="Times New Roman" w:hAnsi="Times New Roman"/>
          <w:sz w:val="19"/>
          <w:szCs w:val="19"/>
          <w:u w:val="single" w:color="auto"/>
          <w:color w:val="auto"/>
        </w:rPr>
        <w:t>Absence of Defaults</w:t>
      </w:r>
    </w:p>
    <w:p>
      <w:pPr>
        <w:spacing w:after="0" w:line="270" w:lineRule="exact"/>
        <w:rPr>
          <w:sz w:val="20"/>
          <w:szCs w:val="20"/>
          <w:color w:val="auto"/>
        </w:rPr>
      </w:pPr>
    </w:p>
    <w:p>
      <w:pPr>
        <w:jc w:val="both"/>
        <w:ind w:left="80" w:hanging="4"/>
        <w:spacing w:after="0" w:line="218" w:lineRule="auto"/>
        <w:tabs>
          <w:tab w:leader="none" w:pos="183" w:val="left"/>
        </w:tabs>
        <w:numPr>
          <w:ilvl w:val="0"/>
          <w:numId w:val="3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event has occurred or is continuing (a) which constitutes a Default or an Event of Default, or (b) which constitutes, or which with the passage of time or giving of notice or both would constitute, a default or event of default by any Credit Party or any Subsidiary thereof under any judgment, decree or order to which any Credit Party or any Subsidiary thereof is a party or by which any Credit Party or any Subsidiary thereof or any of their respective properties may be bound or which would require any Credit Party or any Subsidiary thereof to make any payment thereunder prior to the scheduled maturity date therefor that, in any case under this clause (b), could, either individually or in the aggregate, reasonably be expected to have a Material Adverse Effect.</w:t>
      </w:r>
    </w:p>
    <w:p>
      <w:pPr>
        <w:spacing w:after="0" w:line="191" w:lineRule="exact"/>
        <w:rPr>
          <w:sz w:val="20"/>
          <w:szCs w:val="20"/>
          <w:color w:val="auto"/>
        </w:rPr>
      </w:pPr>
    </w:p>
    <w:p>
      <w:pPr>
        <w:ind w:left="720"/>
        <w:spacing w:after="0"/>
        <w:tabs>
          <w:tab w:leader="none" w:pos="2140" w:val="left"/>
        </w:tabs>
        <w:rPr>
          <w:sz w:val="20"/>
          <w:szCs w:val="20"/>
          <w:color w:val="auto"/>
        </w:rPr>
      </w:pPr>
      <w:r>
        <w:rPr>
          <w:rFonts w:ascii="Times New Roman" w:cs="Times New Roman" w:eastAsia="Times New Roman" w:hAnsi="Times New Roman"/>
          <w:sz w:val="20"/>
          <w:szCs w:val="20"/>
          <w:color w:val="auto"/>
        </w:rPr>
        <w:t>SECTION 7.22</w:t>
      </w:r>
      <w:r>
        <w:rPr>
          <w:sz w:val="20"/>
          <w:szCs w:val="20"/>
          <w:color w:val="auto"/>
        </w:rPr>
        <w:tab/>
      </w:r>
      <w:r>
        <w:rPr>
          <w:rFonts w:ascii="Times New Roman" w:cs="Times New Roman" w:eastAsia="Times New Roman" w:hAnsi="Times New Roman"/>
          <w:sz w:val="19"/>
          <w:szCs w:val="19"/>
          <w:u w:val="single" w:color="auto"/>
          <w:color w:val="auto"/>
        </w:rPr>
        <w:t>Senior Indebtedness Status</w:t>
      </w:r>
    </w:p>
    <w:p>
      <w:pPr>
        <w:spacing w:after="0" w:line="283" w:lineRule="exact"/>
        <w:rPr>
          <w:sz w:val="20"/>
          <w:szCs w:val="20"/>
          <w:color w:val="auto"/>
        </w:rPr>
      </w:pPr>
    </w:p>
    <w:p>
      <w:pPr>
        <w:jc w:val="both"/>
        <w:ind w:left="80" w:hanging="5"/>
        <w:spacing w:after="0" w:line="217" w:lineRule="auto"/>
        <w:tabs>
          <w:tab w:leader="none" w:pos="181" w:val="left"/>
        </w:tabs>
        <w:numPr>
          <w:ilvl w:val="0"/>
          <w:numId w:val="3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Obligations of each Credit Party and each Subsidiary thereof under this Agreement and each of the other Loan Documents ranks and shall continue to rank at least senior in priority of payment to all Subordinated Indebtedness and pari passu in priority of payment with all senior unsecured Indebtedness of each such Person and, to the extent required to be so designated to constitute “Senior Indebtedness” (or the equivalent), has been so designated as “Senior Indebtedness” (or the equivalent) under all instruments and documents, now or in the future, relating to all Subordinated Indebtedness and all senior unsecured Indebtedness of such Person.</w:t>
      </w:r>
    </w:p>
    <w:p>
      <w:pPr>
        <w:spacing w:after="0" w:line="189" w:lineRule="exact"/>
        <w:rPr>
          <w:sz w:val="20"/>
          <w:szCs w:val="20"/>
          <w:color w:val="auto"/>
        </w:rPr>
      </w:pPr>
    </w:p>
    <w:p>
      <w:pPr>
        <w:ind w:left="720"/>
        <w:spacing w:after="0"/>
        <w:tabs>
          <w:tab w:leader="none" w:pos="2140" w:val="left"/>
        </w:tabs>
        <w:rPr>
          <w:sz w:val="20"/>
          <w:szCs w:val="20"/>
          <w:color w:val="auto"/>
        </w:rPr>
      </w:pPr>
      <w:r>
        <w:rPr>
          <w:rFonts w:ascii="Times New Roman" w:cs="Times New Roman" w:eastAsia="Times New Roman" w:hAnsi="Times New Roman"/>
          <w:sz w:val="20"/>
          <w:szCs w:val="20"/>
          <w:color w:val="auto"/>
        </w:rPr>
        <w:t>SECTION 7.23</w:t>
      </w:r>
      <w:r>
        <w:rPr>
          <w:sz w:val="20"/>
          <w:szCs w:val="20"/>
          <w:color w:val="auto"/>
        </w:rPr>
        <w:tab/>
      </w:r>
      <w:r>
        <w:rPr>
          <w:rFonts w:ascii="Times New Roman" w:cs="Times New Roman" w:eastAsia="Times New Roman" w:hAnsi="Times New Roman"/>
          <w:sz w:val="19"/>
          <w:szCs w:val="19"/>
          <w:u w:val="single" w:color="auto"/>
          <w:color w:val="auto"/>
        </w:rPr>
        <w:t>Disclosure</w:t>
      </w:r>
    </w:p>
    <w:p>
      <w:pPr>
        <w:spacing w:after="0" w:line="283" w:lineRule="exact"/>
        <w:rPr>
          <w:sz w:val="20"/>
          <w:szCs w:val="20"/>
          <w:color w:val="auto"/>
        </w:rPr>
      </w:pPr>
    </w:p>
    <w:p>
      <w:pPr>
        <w:jc w:val="both"/>
        <w:ind w:left="80" w:hanging="4"/>
        <w:spacing w:after="0" w:line="222" w:lineRule="auto"/>
        <w:tabs>
          <w:tab w:leader="none" w:pos="180" w:val="left"/>
        </w:tabs>
        <w:numPr>
          <w:ilvl w:val="0"/>
          <w:numId w:val="3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Credit Party and each Subsidiary thereof has disclosed to the Administrative Agent and the Lenders all agreements, instruments and corporate or other restrictions to which any Credit Party and any Subsidiary thereof are subject, and all other matters known to them, that, individually or in the aggregate, could reasonably be expected to result in a Material Adverse Effect. No financial statement, material report, material certificate or other material information furnished (whether in writing or orally) by or on behalf of</w:t>
      </w:r>
    </w:p>
    <w:p>
      <w:pPr>
        <w:spacing w:after="0" w:line="25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116</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146960219_6</w:t>
      </w:r>
    </w:p>
    <w:p>
      <w:pPr>
        <w:spacing w:after="0"/>
        <w:rPr>
          <w:sz w:val="20"/>
          <w:szCs w:val="20"/>
          <w:color w:val="auto"/>
        </w:rPr>
      </w:pP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100"/>
          </w:cols>
          <w:pgMar w:left="360" w:top="1399" w:right="439" w:bottom="1440" w:gutter="0" w:footer="0" w:header="0"/>
        </w:sectPr>
      </w:pPr>
    </w:p>
    <w:bookmarkStart w:id="199" w:name="page200"/>
    <w:bookmarkEnd w:id="199"/>
    <w:p>
      <w:pPr>
        <w:ind w:left="80"/>
        <w:spacing w:after="0"/>
        <w:rPr>
          <w:sz w:val="20"/>
          <w:szCs w:val="20"/>
          <w:color w:val="auto"/>
        </w:rPr>
      </w:pPr>
      <w:r>
        <w:rPr>
          <w:rFonts w:ascii="Times New Roman" w:cs="Times New Roman" w:eastAsia="Times New Roman" w:hAnsi="Times New Roman"/>
          <w:sz w:val="20"/>
          <w:szCs w:val="20"/>
          <w:color w:val="auto"/>
        </w:rPr>
        <w:t>any Credit Party or any Subsidiary thereof to the Administrative Agent or any Lender in connection with the transactions contemplated</w:t>
      </w:r>
    </w:p>
    <w:p>
      <w:pPr>
        <w:ind w:left="80"/>
        <w:spacing w:after="0" w:line="204" w:lineRule="auto"/>
        <w:rPr>
          <w:sz w:val="20"/>
          <w:szCs w:val="20"/>
          <w:color w:val="auto"/>
        </w:rPr>
      </w:pPr>
      <w:r>
        <w:rPr>
          <w:rFonts w:ascii="Times New Roman" w:cs="Times New Roman" w:eastAsia="Times New Roman" w:hAnsi="Times New Roman"/>
          <w:sz w:val="20"/>
          <w:szCs w:val="20"/>
          <w:color w:val="auto"/>
        </w:rPr>
        <w:t>hereby and the negotiation of this Agreement or delivered hereunder (as modified or supplemented by other information so furnished), taken together as a whole, contains any untrue statement of a material fact or omits to state any material fact necessary to make the</w:t>
      </w:r>
    </w:p>
    <w:p>
      <w:pPr>
        <w:ind w:left="80"/>
        <w:spacing w:after="0" w:line="211" w:lineRule="auto"/>
        <w:rPr>
          <w:sz w:val="20"/>
          <w:szCs w:val="20"/>
          <w:color w:val="auto"/>
        </w:rPr>
      </w:pPr>
      <w:r>
        <w:rPr>
          <w:rFonts w:ascii="Times New Roman" w:cs="Times New Roman" w:eastAsia="Times New Roman" w:hAnsi="Times New Roman"/>
          <w:sz w:val="20"/>
          <w:szCs w:val="20"/>
          <w:color w:val="auto"/>
        </w:rPr>
        <w:t xml:space="preserve">statements therein, in the light of the circumstances under which they were made, not misleading;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with respect to projected</w:t>
      </w:r>
    </w:p>
    <w:p>
      <w:pPr>
        <w:spacing w:after="0" w:line="1" w:lineRule="exact"/>
        <w:rPr>
          <w:sz w:val="20"/>
          <w:szCs w:val="20"/>
          <w:color w:val="auto"/>
        </w:rPr>
      </w:pPr>
    </w:p>
    <w:p>
      <w:pPr>
        <w:ind w:left="80"/>
        <w:spacing w:after="0" w:line="215" w:lineRule="auto"/>
        <w:rPr>
          <w:sz w:val="20"/>
          <w:szCs w:val="20"/>
          <w:color w:val="auto"/>
        </w:rPr>
      </w:pPr>
      <w:r>
        <w:rPr>
          <w:rFonts w:ascii="Times New Roman" w:cs="Times New Roman" w:eastAsia="Times New Roman" w:hAnsi="Times New Roman"/>
          <w:sz w:val="19"/>
          <w:szCs w:val="19"/>
          <w:color w:val="auto"/>
        </w:rPr>
        <w:t>financial information, pro forma financial information, estimated financial information and other projected or estimated information, such information was prepared in good faith based upon assumptions believed to be reasonable at the time (it being recognized by the Lenders</w:t>
      </w:r>
    </w:p>
    <w:p>
      <w:pPr>
        <w:ind w:left="80"/>
        <w:spacing w:after="0" w:line="211" w:lineRule="auto"/>
        <w:rPr>
          <w:sz w:val="20"/>
          <w:szCs w:val="20"/>
          <w:color w:val="auto"/>
        </w:rPr>
      </w:pPr>
      <w:r>
        <w:rPr>
          <w:rFonts w:ascii="Times New Roman" w:cs="Times New Roman" w:eastAsia="Times New Roman" w:hAnsi="Times New Roman"/>
          <w:sz w:val="20"/>
          <w:szCs w:val="20"/>
          <w:color w:val="auto"/>
        </w:rPr>
        <w:t>that projections are not to be viewed as facts and that the actual results during the period or periods covered by such projections may vary</w:t>
      </w:r>
    </w:p>
    <w:p>
      <w:pPr>
        <w:ind w:left="80"/>
        <w:spacing w:after="0" w:line="221" w:lineRule="auto"/>
        <w:rPr>
          <w:sz w:val="20"/>
          <w:szCs w:val="20"/>
          <w:color w:val="auto"/>
        </w:rPr>
      </w:pPr>
      <w:r>
        <w:rPr>
          <w:rFonts w:ascii="Times New Roman" w:cs="Times New Roman" w:eastAsia="Times New Roman" w:hAnsi="Times New Roman"/>
          <w:sz w:val="20"/>
          <w:szCs w:val="20"/>
          <w:color w:val="auto"/>
        </w:rPr>
        <w:t>from such projections). As of the Closing Date, all of the information included in the Beneficial Ownership Certification, if applicable, is true and correct.</w:t>
      </w:r>
    </w:p>
    <w:p>
      <w:pPr>
        <w:spacing w:after="0" w:line="202" w:lineRule="exact"/>
        <w:rPr>
          <w:sz w:val="20"/>
          <w:szCs w:val="20"/>
          <w:color w:val="auto"/>
        </w:rPr>
      </w:pPr>
    </w:p>
    <w:p>
      <w:pPr>
        <w:ind w:left="720"/>
        <w:spacing w:after="0"/>
        <w:tabs>
          <w:tab w:leader="none" w:pos="2140" w:val="left"/>
        </w:tabs>
        <w:rPr>
          <w:sz w:val="20"/>
          <w:szCs w:val="20"/>
          <w:color w:val="auto"/>
        </w:rPr>
      </w:pPr>
      <w:r>
        <w:rPr>
          <w:rFonts w:ascii="Times New Roman" w:cs="Times New Roman" w:eastAsia="Times New Roman" w:hAnsi="Times New Roman"/>
          <w:sz w:val="20"/>
          <w:szCs w:val="20"/>
          <w:color w:val="auto"/>
        </w:rPr>
        <w:t>SECTION 7.24</w:t>
      </w:r>
      <w:r>
        <w:rPr>
          <w:sz w:val="20"/>
          <w:szCs w:val="20"/>
          <w:color w:val="auto"/>
        </w:rPr>
        <w:tab/>
      </w:r>
      <w:r>
        <w:rPr>
          <w:rFonts w:ascii="Times New Roman" w:cs="Times New Roman" w:eastAsia="Times New Roman" w:hAnsi="Times New Roman"/>
          <w:sz w:val="19"/>
          <w:szCs w:val="19"/>
          <w:u w:val="single" w:color="auto"/>
          <w:color w:val="auto"/>
        </w:rPr>
        <w:t>Insurance</w:t>
      </w:r>
    </w:p>
    <w:p>
      <w:pPr>
        <w:spacing w:after="0" w:line="270" w:lineRule="exact"/>
        <w:rPr>
          <w:sz w:val="20"/>
          <w:szCs w:val="20"/>
          <w:color w:val="auto"/>
        </w:rPr>
      </w:pPr>
    </w:p>
    <w:p>
      <w:pPr>
        <w:jc w:val="both"/>
        <w:ind w:left="80" w:hanging="5"/>
        <w:spacing w:after="0" w:line="230" w:lineRule="auto"/>
        <w:tabs>
          <w:tab w:leader="none" w:pos="192" w:val="left"/>
        </w:tabs>
        <w:numPr>
          <w:ilvl w:val="0"/>
          <w:numId w:val="3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Credit Parties and their Subsidiaries are insured by financially sound and reputable insurance companies against at least such risks and in at least such amounts as are customarily maintained by similar businesses and as may be required by Applicable Law (including, without limitation, hazard and business interruption insurance).</w:t>
      </w:r>
    </w:p>
    <w:p>
      <w:pPr>
        <w:spacing w:after="0" w:line="3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ARTICLE VIII</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AFFIRMATIVE COVENANTS</w:t>
      </w:r>
    </w:p>
    <w:p>
      <w:pPr>
        <w:spacing w:after="0" w:line="216" w:lineRule="exact"/>
        <w:rPr>
          <w:sz w:val="20"/>
          <w:szCs w:val="20"/>
          <w:color w:val="auto"/>
        </w:rPr>
      </w:pPr>
    </w:p>
    <w:p>
      <w:pPr>
        <w:ind w:left="80" w:firstLine="648"/>
        <w:spacing w:after="0" w:line="215" w:lineRule="auto"/>
        <w:rPr>
          <w:sz w:val="20"/>
          <w:szCs w:val="20"/>
          <w:color w:val="auto"/>
        </w:rPr>
      </w:pPr>
      <w:r>
        <w:rPr>
          <w:rFonts w:ascii="Times New Roman" w:cs="Times New Roman" w:eastAsia="Times New Roman" w:hAnsi="Times New Roman"/>
          <w:sz w:val="20"/>
          <w:szCs w:val="20"/>
          <w:color w:val="auto"/>
        </w:rPr>
        <w:t>Until all of the Obligations (other than contingent indemnification obligations not then due) have been paid and satisfied in full in cash, all Letters of Credit have been terminated or expired (or been Cash Collateralized) and the Commitments terminated, each Credit</w:t>
      </w:r>
    </w:p>
    <w:p>
      <w:pPr>
        <w:spacing w:after="0" w:line="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Party will, and will cause each of its Subsidiaries to:</w:t>
      </w:r>
    </w:p>
    <w:p>
      <w:pPr>
        <w:spacing w:after="0" w:line="194" w:lineRule="exact"/>
        <w:rPr>
          <w:sz w:val="20"/>
          <w:szCs w:val="20"/>
          <w:color w:val="auto"/>
        </w:rPr>
      </w:pPr>
    </w:p>
    <w:p>
      <w:pPr>
        <w:ind w:left="720"/>
        <w:spacing w:after="0"/>
        <w:tabs>
          <w:tab w:leader="none" w:pos="2040" w:val="left"/>
        </w:tabs>
        <w:rPr>
          <w:sz w:val="20"/>
          <w:szCs w:val="20"/>
          <w:color w:val="auto"/>
        </w:rPr>
      </w:pPr>
      <w:r>
        <w:rPr>
          <w:rFonts w:ascii="Times New Roman" w:cs="Times New Roman" w:eastAsia="Times New Roman" w:hAnsi="Times New Roman"/>
          <w:sz w:val="20"/>
          <w:szCs w:val="20"/>
          <w:color w:val="auto"/>
        </w:rPr>
        <w:t>SECTION 8.1</w:t>
      </w:r>
      <w:r>
        <w:rPr>
          <w:sz w:val="20"/>
          <w:szCs w:val="20"/>
          <w:color w:val="auto"/>
        </w:rPr>
        <w:tab/>
      </w:r>
      <w:r>
        <w:rPr>
          <w:rFonts w:ascii="Times New Roman" w:cs="Times New Roman" w:eastAsia="Times New Roman" w:hAnsi="Times New Roman"/>
          <w:sz w:val="19"/>
          <w:szCs w:val="19"/>
          <w:u w:val="single" w:color="auto"/>
          <w:color w:val="auto"/>
        </w:rPr>
        <w:t>Financial Statements and Budgets</w:t>
      </w:r>
    </w:p>
    <w:p>
      <w:pPr>
        <w:spacing w:after="0" w:line="283" w:lineRule="exact"/>
        <w:rPr>
          <w:sz w:val="20"/>
          <w:szCs w:val="20"/>
          <w:color w:val="auto"/>
        </w:rPr>
      </w:pPr>
    </w:p>
    <w:p>
      <w:pPr>
        <w:ind w:left="80" w:right="640" w:hanging="4"/>
        <w:spacing w:after="0"/>
        <w:tabs>
          <w:tab w:leader="none" w:pos="179" w:val="left"/>
        </w:tabs>
        <w:numPr>
          <w:ilvl w:val="0"/>
          <w:numId w:val="3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Deliver to the Administrative Agent, in form and detail satisfactory to the Administrative Agent (which shall promptly make such information available to the Lenders in accordance with its customary practice):</w:t>
      </w:r>
    </w:p>
    <w:p>
      <w:pPr>
        <w:spacing w:after="0" w:line="188" w:lineRule="exact"/>
        <w:rPr>
          <w:rFonts w:ascii="Times New Roman" w:cs="Times New Roman" w:eastAsia="Times New Roman" w:hAnsi="Times New Roman"/>
          <w:sz w:val="20"/>
          <w:szCs w:val="20"/>
          <w:color w:val="auto"/>
        </w:rPr>
      </w:pPr>
    </w:p>
    <w:p>
      <w:pPr>
        <w:jc w:val="both"/>
        <w:ind w:left="80" w:firstLine="644"/>
        <w:spacing w:after="0" w:line="222" w:lineRule="auto"/>
        <w:tabs>
          <w:tab w:leader="none" w:pos="1258" w:val="left"/>
        </w:tabs>
        <w:numPr>
          <w:ilvl w:val="1"/>
          <w:numId w:val="3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Annual Financial Statements</w:t>
      </w:r>
      <w:r>
        <w:rPr>
          <w:rFonts w:ascii="Times New Roman" w:cs="Times New Roman" w:eastAsia="Times New Roman" w:hAnsi="Times New Roman"/>
          <w:sz w:val="19"/>
          <w:szCs w:val="19"/>
          <w:color w:val="auto"/>
        </w:rPr>
        <w:t>. As soon as practicable and in any event within ninety (90) days (or, if earlier, on the date of any required public filing thereof) after the end of each Fiscal Year (commencing with the Fiscal Year ending December 31, 2021), an audited Consolidated balance sheet of the Consolidated Companies as of the close of such Fiscal Year and audited Consolidated statements of income, retained earnings and cash flows including the notes thereto and a report containing management’s discussion and analysis of such financial statements, all in reasonable detail setting forth in comparative form the corresponding figures as of the end of and for the preceding Fiscal Year and prepared in accordance with GAAP and, if applicable, containing disclosure of the effect on the financial position or results of operations of any change in the application of accounting principles and practices during the year. Such annual financial statements shall be audited by an independent certified public accounting firm of recognized national standing acceptable to the Administrative Agent, and accompanied by a report and opinion thereon by such certified public accountants prepared in accordance with generally accepted auditing standards that is not subject to any “going concern” or similar qualification or exception or any qualification as to the scope of such audit or with respect to accounting principles followed by the Consolidated Companies not in accordance with GAAP.</w:t>
      </w:r>
    </w:p>
    <w:p>
      <w:pPr>
        <w:spacing w:after="0" w:line="220" w:lineRule="exact"/>
        <w:rPr>
          <w:rFonts w:ascii="Times New Roman" w:cs="Times New Roman" w:eastAsia="Times New Roman" w:hAnsi="Times New Roman"/>
          <w:sz w:val="19"/>
          <w:szCs w:val="19"/>
          <w:color w:val="auto"/>
        </w:rPr>
      </w:pPr>
    </w:p>
    <w:p>
      <w:pPr>
        <w:ind w:left="1360" w:hanging="636"/>
        <w:spacing w:after="0"/>
        <w:tabs>
          <w:tab w:leader="none" w:pos="1360" w:val="left"/>
        </w:tabs>
        <w:numPr>
          <w:ilvl w:val="1"/>
          <w:numId w:val="3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Quarterly Financial Statements</w:t>
      </w:r>
      <w:r>
        <w:rPr>
          <w:rFonts w:ascii="Times New Roman" w:cs="Times New Roman" w:eastAsia="Times New Roman" w:hAnsi="Times New Roman"/>
          <w:sz w:val="20"/>
          <w:szCs w:val="20"/>
          <w:color w:val="auto"/>
        </w:rPr>
        <w:t>. As soon as practicable and in any event within forty-five</w:t>
      </w:r>
    </w:p>
    <w:p>
      <w:pPr>
        <w:spacing w:after="0" w:line="22" w:lineRule="exact"/>
        <w:rPr>
          <w:sz w:val="20"/>
          <w:szCs w:val="20"/>
          <w:color w:val="auto"/>
        </w:rPr>
      </w:pPr>
    </w:p>
    <w:p>
      <w:pPr>
        <w:ind w:left="5440" w:right="2480" w:hanging="5364"/>
        <w:spacing w:after="0" w:line="556" w:lineRule="auto"/>
        <w:tabs>
          <w:tab w:leader="none" w:pos="456" w:val="left"/>
        </w:tabs>
        <w:numPr>
          <w:ilvl w:val="0"/>
          <w:numId w:val="3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days (or, if earlier, on the date of any required public filing thereof) after the end of the first three fiscal 117</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146960219_6</w:t>
      </w:r>
    </w:p>
    <w:p>
      <w:pPr>
        <w:spacing w:after="0"/>
        <w:rPr>
          <w:sz w:val="20"/>
          <w:szCs w:val="20"/>
          <w:color w:val="auto"/>
        </w:rPr>
      </w:pP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100"/>
          </w:cols>
          <w:pgMar w:left="360" w:top="1394" w:right="439" w:bottom="1440" w:gutter="0" w:footer="0" w:header="0"/>
        </w:sectPr>
      </w:pPr>
    </w:p>
    <w:bookmarkStart w:id="200" w:name="page201"/>
    <w:bookmarkEnd w:id="200"/>
    <w:p>
      <w:pPr>
        <w:ind w:left="60"/>
        <w:spacing w:after="0"/>
        <w:rPr>
          <w:sz w:val="20"/>
          <w:szCs w:val="20"/>
          <w:color w:val="auto"/>
        </w:rPr>
      </w:pPr>
      <w:r>
        <w:rPr>
          <w:rFonts w:ascii="Times New Roman" w:cs="Times New Roman" w:eastAsia="Times New Roman" w:hAnsi="Times New Roman"/>
          <w:sz w:val="20"/>
          <w:szCs w:val="20"/>
          <w:color w:val="auto"/>
        </w:rPr>
        <w:t>quarters of each Fiscal Year (commencing with the fiscal quarter ended September 30, 2021), an unaudited Consolidated balance sheet of</w:t>
      </w:r>
    </w:p>
    <w:p>
      <w:pPr>
        <w:ind w:left="60"/>
        <w:spacing w:after="0" w:line="215" w:lineRule="auto"/>
        <w:rPr>
          <w:sz w:val="20"/>
          <w:szCs w:val="20"/>
          <w:color w:val="auto"/>
        </w:rPr>
      </w:pPr>
      <w:r>
        <w:rPr>
          <w:rFonts w:ascii="Times New Roman" w:cs="Times New Roman" w:eastAsia="Times New Roman" w:hAnsi="Times New Roman"/>
          <w:sz w:val="19"/>
          <w:szCs w:val="19"/>
          <w:color w:val="auto"/>
        </w:rPr>
        <w:t>the Consolidated Companies as of the close of such fiscal quarter and unaudited Consolidated statements of income, retained earnings and cash flows and a report containing management’s discussion and analysis of such financial statements for the fiscal quarter then ended and</w:t>
      </w:r>
    </w:p>
    <w:p>
      <w:pPr>
        <w:ind w:left="60"/>
        <w:spacing w:after="0" w:line="211" w:lineRule="auto"/>
        <w:rPr>
          <w:sz w:val="20"/>
          <w:szCs w:val="20"/>
          <w:color w:val="auto"/>
        </w:rPr>
      </w:pPr>
      <w:r>
        <w:rPr>
          <w:rFonts w:ascii="Times New Roman" w:cs="Times New Roman" w:eastAsia="Times New Roman" w:hAnsi="Times New Roman"/>
          <w:sz w:val="20"/>
          <w:szCs w:val="20"/>
          <w:color w:val="auto"/>
        </w:rPr>
        <w:t>that portion of the Fiscal Year then ended, including the notes thereto, all in reasonable detail setting forth in comparative form the</w:t>
      </w:r>
    </w:p>
    <w:p>
      <w:pPr>
        <w:ind w:left="60" w:right="20"/>
        <w:spacing w:after="0" w:line="215" w:lineRule="auto"/>
        <w:rPr>
          <w:sz w:val="20"/>
          <w:szCs w:val="20"/>
          <w:color w:val="auto"/>
        </w:rPr>
      </w:pPr>
      <w:r>
        <w:rPr>
          <w:rFonts w:ascii="Times New Roman" w:cs="Times New Roman" w:eastAsia="Times New Roman" w:hAnsi="Times New Roman"/>
          <w:sz w:val="19"/>
          <w:szCs w:val="19"/>
          <w:color w:val="auto"/>
        </w:rPr>
        <w:t>corresponding figures as of the end of and for the corresponding period in the preceding Fiscal Year and prepared by Centuri in accordance with GAAP and, if applicable, containing disclosure of the effect on the financial position or results of operations of any change in the</w:t>
      </w:r>
    </w:p>
    <w:p>
      <w:pPr>
        <w:ind w:left="60"/>
        <w:spacing w:after="0" w:line="211" w:lineRule="auto"/>
        <w:rPr>
          <w:sz w:val="20"/>
          <w:szCs w:val="20"/>
          <w:color w:val="auto"/>
        </w:rPr>
      </w:pPr>
      <w:r>
        <w:rPr>
          <w:rFonts w:ascii="Times New Roman" w:cs="Times New Roman" w:eastAsia="Times New Roman" w:hAnsi="Times New Roman"/>
          <w:sz w:val="20"/>
          <w:szCs w:val="20"/>
          <w:color w:val="auto"/>
        </w:rPr>
        <w:t>application of accounting principles and practices during the period, and certified by the chief financial officer of Centuri to present fairly</w:t>
      </w:r>
    </w:p>
    <w:p>
      <w:pPr>
        <w:ind w:left="60"/>
        <w:spacing w:after="0" w:line="215" w:lineRule="auto"/>
        <w:rPr>
          <w:sz w:val="20"/>
          <w:szCs w:val="20"/>
          <w:color w:val="auto"/>
        </w:rPr>
      </w:pPr>
      <w:r>
        <w:rPr>
          <w:rFonts w:ascii="Times New Roman" w:cs="Times New Roman" w:eastAsia="Times New Roman" w:hAnsi="Times New Roman"/>
          <w:sz w:val="19"/>
          <w:szCs w:val="19"/>
          <w:color w:val="auto"/>
        </w:rPr>
        <w:t>in all material respects the financial condition of the Consolidated Companies on a Consolidated basis as of their respective dates and the results of operations of the Consolidated Companies for the respective periods then ended, subject to normal year-end adjustments and the</w:t>
      </w:r>
    </w:p>
    <w:p>
      <w:pPr>
        <w:ind w:left="60"/>
        <w:spacing w:after="0"/>
        <w:rPr>
          <w:sz w:val="20"/>
          <w:szCs w:val="20"/>
          <w:color w:val="auto"/>
        </w:rPr>
      </w:pPr>
      <w:r>
        <w:rPr>
          <w:rFonts w:ascii="Times New Roman" w:cs="Times New Roman" w:eastAsia="Times New Roman" w:hAnsi="Times New Roman"/>
          <w:sz w:val="20"/>
          <w:szCs w:val="20"/>
          <w:color w:val="auto"/>
        </w:rPr>
        <w:t>absence of footnotes.</w:t>
      </w:r>
    </w:p>
    <w:p>
      <w:pPr>
        <w:spacing w:after="0" w:line="194" w:lineRule="exact"/>
        <w:rPr>
          <w:sz w:val="20"/>
          <w:szCs w:val="20"/>
          <w:color w:val="auto"/>
        </w:rPr>
      </w:pPr>
    </w:p>
    <w:p>
      <w:pPr>
        <w:jc w:val="both"/>
        <w:ind w:left="60" w:firstLine="644"/>
        <w:spacing w:after="0" w:line="213" w:lineRule="auto"/>
        <w:tabs>
          <w:tab w:leader="none" w:pos="1238" w:val="left"/>
        </w:tabs>
        <w:numPr>
          <w:ilvl w:val="0"/>
          <w:numId w:val="3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Annual Budget</w:t>
      </w:r>
      <w:r>
        <w:rPr>
          <w:rFonts w:ascii="Times New Roman" w:cs="Times New Roman" w:eastAsia="Times New Roman" w:hAnsi="Times New Roman"/>
          <w:sz w:val="20"/>
          <w:szCs w:val="20"/>
          <w:color w:val="auto"/>
        </w:rPr>
        <w:t xml:space="preserve">. As soon as practicable and in any event within sixty (60) days after the end of each Fiscal Year (commencing with the Fiscal Year ending December 31, 2021), an operating and capital budget of the Consolidated Companies for the ensuing four (4) fiscal quarters, such budget to be prepared in accordance with GAAP and to include, on a quarterly basis, the following: a quarterly operating and capital budget, a projected income statement, statement of cash flows and balance sheet, calculations demonstrating projected compliance with the financial covenants set forth in </w:t>
      </w:r>
      <w:r>
        <w:rPr>
          <w:rFonts w:ascii="Times New Roman" w:cs="Times New Roman" w:eastAsia="Times New Roman" w:hAnsi="Times New Roman"/>
          <w:sz w:val="20"/>
          <w:szCs w:val="20"/>
          <w:u w:val="single" w:color="auto"/>
          <w:color w:val="auto"/>
        </w:rPr>
        <w:t>Section 9.13</w:t>
      </w:r>
      <w:r>
        <w:rPr>
          <w:rFonts w:ascii="Times New Roman" w:cs="Times New Roman" w:eastAsia="Times New Roman" w:hAnsi="Times New Roman"/>
          <w:sz w:val="20"/>
          <w:szCs w:val="20"/>
          <w:color w:val="auto"/>
        </w:rPr>
        <w:t xml:space="preserve"> and a report containing management’s discussion and analysis of such budget with a reasonable disclosure of the key assumptions and drivers with respect to such budget, accompanied by a certificate from a Responsible Officer of Centuri to the effect that such budget contains good faith estimates (utilizing assumptions believed to be reasonable at the time of delivery of such budget) of the financial condition and operations of the Consolidated Companies for such period.</w:t>
      </w:r>
    </w:p>
    <w:p>
      <w:pPr>
        <w:spacing w:after="0" w:line="202" w:lineRule="exact"/>
        <w:rPr>
          <w:sz w:val="20"/>
          <w:szCs w:val="20"/>
          <w:color w:val="auto"/>
        </w:rPr>
      </w:pPr>
    </w:p>
    <w:p>
      <w:pPr>
        <w:ind w:left="700"/>
        <w:spacing w:after="0"/>
        <w:tabs>
          <w:tab w:leader="none" w:pos="2020" w:val="left"/>
        </w:tabs>
        <w:rPr>
          <w:sz w:val="20"/>
          <w:szCs w:val="20"/>
          <w:color w:val="auto"/>
        </w:rPr>
      </w:pPr>
      <w:r>
        <w:rPr>
          <w:rFonts w:ascii="Times New Roman" w:cs="Times New Roman" w:eastAsia="Times New Roman" w:hAnsi="Times New Roman"/>
          <w:sz w:val="20"/>
          <w:szCs w:val="20"/>
          <w:color w:val="auto"/>
        </w:rPr>
        <w:t>SECTION 8.2</w:t>
      </w:r>
      <w:r>
        <w:rPr>
          <w:sz w:val="20"/>
          <w:szCs w:val="20"/>
          <w:color w:val="auto"/>
        </w:rPr>
        <w:tab/>
      </w:r>
      <w:r>
        <w:rPr>
          <w:rFonts w:ascii="Times New Roman" w:cs="Times New Roman" w:eastAsia="Times New Roman" w:hAnsi="Times New Roman"/>
          <w:sz w:val="19"/>
          <w:szCs w:val="19"/>
          <w:u w:val="single" w:color="auto"/>
          <w:color w:val="auto"/>
        </w:rPr>
        <w:t>Certificates; Other Reports</w:t>
      </w:r>
    </w:p>
    <w:p>
      <w:pPr>
        <w:spacing w:after="0" w:line="283" w:lineRule="exact"/>
        <w:rPr>
          <w:sz w:val="20"/>
          <w:szCs w:val="20"/>
          <w:color w:val="auto"/>
        </w:rPr>
      </w:pPr>
    </w:p>
    <w:p>
      <w:pPr>
        <w:ind w:left="60" w:right="680" w:hanging="4"/>
        <w:spacing w:after="0" w:line="233" w:lineRule="auto"/>
        <w:tabs>
          <w:tab w:leader="none" w:pos="159" w:val="left"/>
        </w:tabs>
        <w:numPr>
          <w:ilvl w:val="0"/>
          <w:numId w:val="3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Deliver to the Administrative Agent (which shall promptly make such information available to the Lenders in accordance with its customary practice):</w:t>
      </w:r>
    </w:p>
    <w:p>
      <w:pPr>
        <w:spacing w:after="0" w:line="187" w:lineRule="exact"/>
        <w:rPr>
          <w:rFonts w:ascii="Times New Roman" w:cs="Times New Roman" w:eastAsia="Times New Roman" w:hAnsi="Times New Roman"/>
          <w:sz w:val="20"/>
          <w:szCs w:val="20"/>
          <w:color w:val="auto"/>
        </w:rPr>
      </w:pPr>
    </w:p>
    <w:p>
      <w:pPr>
        <w:jc w:val="both"/>
        <w:ind w:left="60" w:firstLine="644"/>
        <w:spacing w:after="0" w:line="230" w:lineRule="auto"/>
        <w:tabs>
          <w:tab w:leader="none" w:pos="1238" w:val="left"/>
        </w:tabs>
        <w:numPr>
          <w:ilvl w:val="1"/>
          <w:numId w:val="3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at each time financial statements are delivered pursuant to </w:t>
      </w:r>
      <w:r>
        <w:rPr>
          <w:rFonts w:ascii="Times New Roman" w:cs="Times New Roman" w:eastAsia="Times New Roman" w:hAnsi="Times New Roman"/>
          <w:sz w:val="19"/>
          <w:szCs w:val="19"/>
          <w:u w:val="single" w:color="auto"/>
          <w:color w:val="auto"/>
        </w:rPr>
        <w:t>Sections 8.1(a)</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and at such other times as the Administrative Agent shall reasonably request, a duly completed Officer’s Compliance Certificate signed by the chief executive officer, chief financial officer, treasurer or controller of Centuri, which will include, as of the date of such financial statements, (i) calculations showing compliance with the financial covenants set forth in Section 9.13, (ii) determination of the “Applicable Margin”, (iii) calculations of Immaterial Subsidiaries and (iv) a reasonably detailed calculation of the Available Amount; and, if requested by the Administrative Agent, work-in-progress reports in a form consistent with that provided by Centuri in connection with the Existing Credit Agreement;</w:t>
      </w:r>
    </w:p>
    <w:p>
      <w:pPr>
        <w:spacing w:after="0" w:line="174" w:lineRule="exact"/>
        <w:rPr>
          <w:rFonts w:ascii="Times New Roman" w:cs="Times New Roman" w:eastAsia="Times New Roman" w:hAnsi="Times New Roman"/>
          <w:sz w:val="19"/>
          <w:szCs w:val="19"/>
          <w:color w:val="auto"/>
        </w:rPr>
      </w:pPr>
    </w:p>
    <w:p>
      <w:pPr>
        <w:ind w:left="1340" w:hanging="636"/>
        <w:spacing w:after="0"/>
        <w:tabs>
          <w:tab w:leader="none" w:pos="1340" w:val="left"/>
        </w:tabs>
        <w:numPr>
          <w:ilvl w:val="1"/>
          <w:numId w:val="3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[intentionally omitted];</w:t>
      </w:r>
    </w:p>
    <w:p>
      <w:pPr>
        <w:spacing w:after="0" w:line="229" w:lineRule="exact"/>
        <w:rPr>
          <w:rFonts w:ascii="Times New Roman" w:cs="Times New Roman" w:eastAsia="Times New Roman" w:hAnsi="Times New Roman"/>
          <w:sz w:val="20"/>
          <w:szCs w:val="20"/>
          <w:color w:val="auto"/>
        </w:rPr>
      </w:pPr>
    </w:p>
    <w:p>
      <w:pPr>
        <w:jc w:val="both"/>
        <w:ind w:left="60" w:firstLine="644"/>
        <w:spacing w:after="0" w:line="226" w:lineRule="auto"/>
        <w:tabs>
          <w:tab w:leader="none" w:pos="1239" w:val="left"/>
        </w:tabs>
        <w:numPr>
          <w:ilvl w:val="1"/>
          <w:numId w:val="3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upon receipt thereof, copies of all reports, if any, submitted to any Credit Party, any Subsidiary thereof or any of their respective boards of directors by their respective independent public accountants in connection with their auditing function, including, without limitation, any management report and any management responses thereto;</w:t>
      </w:r>
    </w:p>
    <w:p>
      <w:pPr>
        <w:spacing w:after="0" w:line="187" w:lineRule="exact"/>
        <w:rPr>
          <w:rFonts w:ascii="Times New Roman" w:cs="Times New Roman" w:eastAsia="Times New Roman" w:hAnsi="Times New Roman"/>
          <w:sz w:val="20"/>
          <w:szCs w:val="20"/>
          <w:color w:val="auto"/>
        </w:rPr>
      </w:pPr>
    </w:p>
    <w:p>
      <w:pPr>
        <w:ind w:left="1340" w:hanging="636"/>
        <w:spacing w:after="0"/>
        <w:tabs>
          <w:tab w:leader="none" w:pos="1340" w:val="left"/>
        </w:tabs>
        <w:numPr>
          <w:ilvl w:val="1"/>
          <w:numId w:val="3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[intentionally omitted];</w:t>
      </w:r>
    </w:p>
    <w:p>
      <w:pPr>
        <w:spacing w:after="0" w:line="215" w:lineRule="exact"/>
        <w:rPr>
          <w:rFonts w:ascii="Times New Roman" w:cs="Times New Roman" w:eastAsia="Times New Roman" w:hAnsi="Times New Roman"/>
          <w:sz w:val="20"/>
          <w:szCs w:val="20"/>
          <w:color w:val="auto"/>
        </w:rPr>
      </w:pPr>
    </w:p>
    <w:p>
      <w:pPr>
        <w:jc w:val="both"/>
        <w:ind w:left="60" w:firstLine="644"/>
        <w:spacing w:after="0" w:line="230" w:lineRule="auto"/>
        <w:tabs>
          <w:tab w:leader="none" w:pos="1239" w:val="left"/>
        </w:tabs>
        <w:numPr>
          <w:ilvl w:val="1"/>
          <w:numId w:val="3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after the assertion or occurrence thereof, notice of any action or proceeding against or of any noncompliance by any Credit Party or any Subsidiary thereof with any Environmental Law that could reasonably be expected to have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FF0000"/>
          <w:strike w:val="1"/>
        </w:rPr>
        <w:t>146960219_6</w:t>
      </w: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118</w:t>
      </w:r>
      <w:r>
        <w:rPr>
          <w:sz w:val="20"/>
          <w:szCs w:val="20"/>
          <w:color w:val="auto"/>
        </w:rPr>
        <w:tab/>
      </w: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080"/>
          </w:cols>
          <w:pgMar w:left="380" w:top="1394" w:right="439" w:bottom="1440" w:gutter="0" w:footer="0" w:header="0"/>
        </w:sectPr>
      </w:pPr>
    </w:p>
    <w:bookmarkStart w:id="201" w:name="page202"/>
    <w:bookmarkEnd w:id="201"/>
    <w:p>
      <w:pPr>
        <w:spacing w:after="0" w:line="203" w:lineRule="exact"/>
        <w:rPr>
          <w:sz w:val="20"/>
          <w:szCs w:val="20"/>
          <w:color w:val="auto"/>
        </w:rPr>
      </w:pPr>
    </w:p>
    <w:p>
      <w:pPr>
        <w:ind w:left="1340" w:hanging="636"/>
        <w:spacing w:after="0"/>
        <w:tabs>
          <w:tab w:leader="none" w:pos="1340" w:val="left"/>
        </w:tabs>
        <w:numPr>
          <w:ilvl w:val="1"/>
          <w:numId w:val="3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[intentionally omitted];</w:t>
      </w:r>
    </w:p>
    <w:p>
      <w:pPr>
        <w:spacing w:after="0" w:line="215" w:lineRule="exact"/>
        <w:rPr>
          <w:rFonts w:ascii="Times New Roman" w:cs="Times New Roman" w:eastAsia="Times New Roman" w:hAnsi="Times New Roman"/>
          <w:sz w:val="20"/>
          <w:szCs w:val="20"/>
          <w:color w:val="auto"/>
        </w:rPr>
      </w:pPr>
    </w:p>
    <w:p>
      <w:pPr>
        <w:jc w:val="both"/>
        <w:ind w:left="60" w:firstLine="644"/>
        <w:spacing w:after="0" w:line="222" w:lineRule="auto"/>
        <w:tabs>
          <w:tab w:leader="none" w:pos="1236" w:val="left"/>
        </w:tabs>
        <w:numPr>
          <w:ilvl w:val="1"/>
          <w:numId w:val="3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and in any event within five (5) Business Days after receipt thereof by any Consolidated Company, copies of each notice or other correspondence received from the SEC (or comparable agency in any applicable non-U.S. jurisdiction) concerning any investigation or possible investigation or other inquiry by such agency regarding financial or other operational results of such Consolidated Company;</w:t>
      </w:r>
    </w:p>
    <w:p>
      <w:pPr>
        <w:spacing w:after="0" w:line="202" w:lineRule="exact"/>
        <w:rPr>
          <w:rFonts w:ascii="Times New Roman" w:cs="Times New Roman" w:eastAsia="Times New Roman" w:hAnsi="Times New Roman"/>
          <w:sz w:val="20"/>
          <w:szCs w:val="20"/>
          <w:color w:val="auto"/>
        </w:rPr>
      </w:pPr>
    </w:p>
    <w:p>
      <w:pPr>
        <w:jc w:val="both"/>
        <w:ind w:left="60" w:firstLine="644"/>
        <w:spacing w:after="0" w:line="274" w:lineRule="auto"/>
        <w:tabs>
          <w:tab w:leader="none" w:pos="1236" w:val="left"/>
        </w:tabs>
        <w:numPr>
          <w:ilvl w:val="1"/>
          <w:numId w:val="3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promptly upon the request thereof, such other information and documentation required by bank regulatory authorities under applicable Anti-Money Laundering Laws (including, without limitation, any applicable “know your customer” rules and regulations, the PATRIOT Act and Canadian AML Laws), as from time to time reasonably requested by the Administrative Agent or any Lender;</w:t>
      </w:r>
    </w:p>
    <w:p>
      <w:pPr>
        <w:spacing w:after="0" w:line="183" w:lineRule="exact"/>
        <w:rPr>
          <w:rFonts w:ascii="Times New Roman" w:cs="Times New Roman" w:eastAsia="Times New Roman" w:hAnsi="Times New Roman"/>
          <w:sz w:val="19"/>
          <w:szCs w:val="19"/>
          <w:color w:val="auto"/>
        </w:rPr>
      </w:pPr>
    </w:p>
    <w:p>
      <w:pPr>
        <w:jc w:val="both"/>
        <w:ind w:left="60" w:firstLine="644"/>
        <w:spacing w:after="0" w:line="222" w:lineRule="auto"/>
        <w:tabs>
          <w:tab w:leader="none" w:pos="1246" w:val="left"/>
        </w:tabs>
        <w:numPr>
          <w:ilvl w:val="1"/>
          <w:numId w:val="3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(i) notice of the establishment, or intent to establish, a new Canadian Employee Benefit Plan that contains a defined benefit provision, or any change to an existing Canadian Employee Benefit Plan to include a defined benefit provision, or (ii) notice of the acquisition of an interest in any Person if such Person sponsors, administers, participates in, or has any liability in respect of any Canadian Employee Benefit Plan that contains a defined benefit provision;</w:t>
      </w:r>
    </w:p>
    <w:p>
      <w:pPr>
        <w:spacing w:after="0" w:line="188" w:lineRule="exact"/>
        <w:rPr>
          <w:rFonts w:ascii="Times New Roman" w:cs="Times New Roman" w:eastAsia="Times New Roman" w:hAnsi="Times New Roman"/>
          <w:sz w:val="20"/>
          <w:szCs w:val="20"/>
          <w:color w:val="auto"/>
        </w:rPr>
      </w:pPr>
    </w:p>
    <w:p>
      <w:pPr>
        <w:jc w:val="both"/>
        <w:ind w:left="60" w:firstLine="643"/>
        <w:spacing w:after="0" w:line="210" w:lineRule="auto"/>
        <w:tabs>
          <w:tab w:leader="none" w:pos="1246" w:val="left"/>
        </w:tabs>
        <w:numPr>
          <w:ilvl w:val="1"/>
          <w:numId w:val="3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(i) copies of all actuarial reports and any other material reports with respect to each Canadian Employee Benefit Plan as filed by a Credit Party with any applicable Governmental Authority, (ii) a current calculation of the Credit Parties’ aggregate Canadian Pension Plan Unfunded Liabilities pursuant to a valuation or report in a form and substance reasonably satisfactory to the Administrative Agent, when available on an annual basis or upon the reasonable request of the Administrative Agent (such additional request not to be made more than one time per calendar year), (iii) promptly after receipt thereof, a copy of any material direction, order, notice or ruling that any Credit Party receives from any applicable Governmental Authority with respect to any Canadian Employee Benefit Plan,</w:t>
      </w:r>
    </w:p>
    <w:p>
      <w:pPr>
        <w:spacing w:after="0" w:line="3" w:lineRule="exact"/>
        <w:rPr>
          <w:rFonts w:ascii="Times New Roman" w:cs="Times New Roman" w:eastAsia="Times New Roman" w:hAnsi="Times New Roman"/>
          <w:sz w:val="20"/>
          <w:szCs w:val="20"/>
          <w:color w:val="auto"/>
        </w:rPr>
      </w:pPr>
    </w:p>
    <w:p>
      <w:pPr>
        <w:ind w:left="600" w:hanging="545"/>
        <w:spacing w:after="0"/>
        <w:tabs>
          <w:tab w:leader="none" w:pos="600" w:val="left"/>
        </w:tabs>
        <w:numPr>
          <w:ilvl w:val="0"/>
          <w:numId w:val="3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notification within thirty (30) days of any increases having a cost to one or more of the Credit Parties in excess of the Threshold</w:t>
      </w:r>
    </w:p>
    <w:p>
      <w:pPr>
        <w:ind w:left="60"/>
        <w:spacing w:after="0" w:line="246" w:lineRule="auto"/>
        <w:rPr>
          <w:sz w:val="20"/>
          <w:szCs w:val="20"/>
          <w:color w:val="auto"/>
        </w:rPr>
      </w:pPr>
      <w:r>
        <w:rPr>
          <w:rFonts w:ascii="Times New Roman" w:cs="Times New Roman" w:eastAsia="Times New Roman" w:hAnsi="Times New Roman"/>
          <w:sz w:val="20"/>
          <w:szCs w:val="20"/>
          <w:color w:val="auto"/>
        </w:rPr>
        <w:t>Amount per annum in the aggregate in the benefits of any Canadian Employee Benefit Plan, and (v) notification of the existence of any report which discloses a Canadian Pension Plan Unfunded Liability; and</w:t>
      </w:r>
    </w:p>
    <w:p>
      <w:pPr>
        <w:spacing w:after="0" w:line="222" w:lineRule="exact"/>
        <w:rPr>
          <w:sz w:val="20"/>
          <w:szCs w:val="20"/>
          <w:color w:val="auto"/>
        </w:rPr>
      </w:pPr>
    </w:p>
    <w:p>
      <w:pPr>
        <w:ind w:left="60" w:right="20" w:firstLine="643"/>
        <w:spacing w:after="0" w:line="269" w:lineRule="auto"/>
        <w:tabs>
          <w:tab w:leader="none" w:pos="988" w:val="left"/>
        </w:tabs>
        <w:numPr>
          <w:ilvl w:val="0"/>
          <w:numId w:val="3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other information regarding the operations, business affairs and financial condition of any Credit Party or any Subsidiary thereof as the Administrative Agent or any Lender may reasonably request.</w:t>
      </w:r>
    </w:p>
    <w:p>
      <w:pPr>
        <w:spacing w:after="0" w:line="16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Each Borrower hereby acknowledges that (a) the Administrative Agent and/or the Arrangers will make available to the Lenders and the</w:t>
      </w:r>
    </w:p>
    <w:p>
      <w:pPr>
        <w:ind w:left="60"/>
        <w:spacing w:after="0" w:line="215" w:lineRule="auto"/>
        <w:rPr>
          <w:sz w:val="20"/>
          <w:szCs w:val="20"/>
          <w:color w:val="auto"/>
        </w:rPr>
      </w:pPr>
      <w:r>
        <w:rPr>
          <w:rFonts w:ascii="Times New Roman" w:cs="Times New Roman" w:eastAsia="Times New Roman" w:hAnsi="Times New Roman"/>
          <w:sz w:val="19"/>
          <w:szCs w:val="19"/>
          <w:color w:val="auto"/>
        </w:rPr>
        <w:t>Issuing Lenders materials and/or information provided by or on behalf of the Borrowers hereunder (collectively, “</w:t>
      </w:r>
      <w:r>
        <w:rPr>
          <w:rFonts w:ascii="Times New Roman" w:cs="Times New Roman" w:eastAsia="Times New Roman" w:hAnsi="Times New Roman"/>
          <w:sz w:val="19"/>
          <w:szCs w:val="19"/>
          <w:u w:val="single" w:color="auto"/>
          <w:color w:val="auto"/>
        </w:rPr>
        <w:t>Borrower Materials</w:t>
      </w:r>
      <w:r>
        <w:rPr>
          <w:rFonts w:ascii="Times New Roman" w:cs="Times New Roman" w:eastAsia="Times New Roman" w:hAnsi="Times New Roman"/>
          <w:sz w:val="19"/>
          <w:szCs w:val="19"/>
          <w:color w:val="auto"/>
        </w:rPr>
        <w:t>”) by posting the Borrower Materials on Debt Domain, IntraLinks, SyndTrak Online or another similar electronic system (the “</w:t>
      </w:r>
      <w:r>
        <w:rPr>
          <w:rFonts w:ascii="Times New Roman" w:cs="Times New Roman" w:eastAsia="Times New Roman" w:hAnsi="Times New Roman"/>
          <w:sz w:val="19"/>
          <w:szCs w:val="19"/>
          <w:u w:val="single" w:color="auto"/>
          <w:color w:val="auto"/>
        </w:rPr>
        <w:t>Platform</w:t>
      </w:r>
      <w:r>
        <w:rPr>
          <w:rFonts w:ascii="Times New Roman" w:cs="Times New Roman" w:eastAsia="Times New Roman" w:hAnsi="Times New Roman"/>
          <w:sz w:val="19"/>
          <w:szCs w:val="19"/>
          <w:color w:val="auto"/>
        </w:rPr>
        <w:t>”) and</w:t>
      </w:r>
    </w:p>
    <w:p>
      <w:pPr>
        <w:jc w:val="both"/>
        <w:ind w:left="60" w:hanging="5"/>
        <w:spacing w:after="0" w:line="206" w:lineRule="auto"/>
        <w:tabs>
          <w:tab w:leader="none" w:pos="358" w:val="left"/>
        </w:tabs>
        <w:numPr>
          <w:ilvl w:val="0"/>
          <w:numId w:val="3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certain of the Lenders may be “public-side” Lenders (</w:t>
      </w:r>
      <w:r>
        <w:rPr>
          <w:rFonts w:ascii="Times New Roman" w:cs="Times New Roman" w:eastAsia="Times New Roman" w:hAnsi="Times New Roman"/>
          <w:sz w:val="20"/>
          <w:szCs w:val="20"/>
          <w:u w:val="single" w:color="auto"/>
          <w:color w:val="auto"/>
        </w:rPr>
        <w:t>i.e.</w:t>
      </w:r>
      <w:r>
        <w:rPr>
          <w:rFonts w:ascii="Times New Roman" w:cs="Times New Roman" w:eastAsia="Times New Roman" w:hAnsi="Times New Roman"/>
          <w:sz w:val="20"/>
          <w:szCs w:val="20"/>
          <w:color w:val="auto"/>
        </w:rPr>
        <w:t>, Lenders that do not wish to receive material non-public information with respect to the Borrowers or their respective securities) (each, a “</w:t>
      </w:r>
      <w:r>
        <w:rPr>
          <w:rFonts w:ascii="Times New Roman" w:cs="Times New Roman" w:eastAsia="Times New Roman" w:hAnsi="Times New Roman"/>
          <w:sz w:val="20"/>
          <w:szCs w:val="20"/>
          <w:u w:val="single" w:color="auto"/>
          <w:color w:val="auto"/>
        </w:rPr>
        <w:t>Public Lender</w:t>
      </w:r>
      <w:r>
        <w:rPr>
          <w:rFonts w:ascii="Times New Roman" w:cs="Times New Roman" w:eastAsia="Times New Roman" w:hAnsi="Times New Roman"/>
          <w:sz w:val="20"/>
          <w:szCs w:val="20"/>
          <w:color w:val="auto"/>
        </w:rPr>
        <w:t>”). Each Borrower hereby agrees that it will use commercially reasonable efforts to identify that portion of the Borrower Materials that may be distributed to the Public Lenders and that</w:t>
      </w:r>
    </w:p>
    <w:p>
      <w:pPr>
        <w:spacing w:after="0" w:line="1" w:lineRule="exact"/>
        <w:rPr>
          <w:rFonts w:ascii="Times New Roman" w:cs="Times New Roman" w:eastAsia="Times New Roman" w:hAnsi="Times New Roman"/>
          <w:sz w:val="20"/>
          <w:szCs w:val="20"/>
          <w:color w:val="auto"/>
        </w:rPr>
      </w:pPr>
    </w:p>
    <w:p>
      <w:pPr>
        <w:jc w:val="both"/>
        <w:ind w:left="60" w:hanging="5"/>
        <w:spacing w:after="0" w:line="215" w:lineRule="auto"/>
        <w:tabs>
          <w:tab w:leader="none" w:pos="402" w:val="left"/>
        </w:tabs>
        <w:numPr>
          <w:ilvl w:val="0"/>
          <w:numId w:val="3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such Borrower Materials shall be clearly and conspicuously marked “PUBLIC” which, at a minimum, shall mean that the word “PUBLIC” shall appear prominently on the first page thereof; (x) by marking Borrower Materials “PUBLIC,” each Borrower shall be deemed to have authorized the Administrative Agent, the Arrangers, the Issuing Lenders and the Lenders to treat such Borrower Materials as not containing any material non- public information (although it may be sensitive and proprietary) with respect to such Borrower or its securities for purposes of United States Federal and state securities laws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to the</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FF0000"/>
          <w:strike w:val="1"/>
        </w:rPr>
        <w:t>146960219_6</w:t>
      </w: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119</w:t>
      </w:r>
      <w:r>
        <w:rPr>
          <w:sz w:val="20"/>
          <w:szCs w:val="20"/>
          <w:color w:val="auto"/>
        </w:rPr>
        <w:tab/>
      </w: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080"/>
          </w:cols>
          <w:pgMar w:left="380" w:top="1440" w:right="439" w:bottom="1440" w:gutter="0" w:footer="0" w:header="0"/>
        </w:sectPr>
      </w:pPr>
    </w:p>
    <w:bookmarkStart w:id="202" w:name="page203"/>
    <w:bookmarkEnd w:id="202"/>
    <w:p>
      <w:pPr>
        <w:ind w:left="60"/>
        <w:spacing w:after="0"/>
        <w:rPr>
          <w:sz w:val="20"/>
          <w:szCs w:val="20"/>
          <w:color w:val="auto"/>
        </w:rPr>
      </w:pPr>
      <w:r>
        <w:rPr>
          <w:rFonts w:ascii="Times New Roman" w:cs="Times New Roman" w:eastAsia="Times New Roman" w:hAnsi="Times New Roman"/>
          <w:sz w:val="20"/>
          <w:szCs w:val="20"/>
          <w:color w:val="auto"/>
        </w:rPr>
        <w:t xml:space="preserve">extent such Borrower Materials constitute Information, they shall be treated as set forth in </w:t>
      </w:r>
      <w:r>
        <w:rPr>
          <w:rFonts w:ascii="Times New Roman" w:cs="Times New Roman" w:eastAsia="Times New Roman" w:hAnsi="Times New Roman"/>
          <w:sz w:val="20"/>
          <w:szCs w:val="20"/>
          <w:u w:val="single" w:color="auto"/>
          <w:color w:val="auto"/>
        </w:rPr>
        <w:t>Section 12.10</w:t>
      </w:r>
      <w:r>
        <w:rPr>
          <w:rFonts w:ascii="Times New Roman" w:cs="Times New Roman" w:eastAsia="Times New Roman" w:hAnsi="Times New Roman"/>
          <w:sz w:val="20"/>
          <w:szCs w:val="20"/>
          <w:color w:val="auto"/>
        </w:rPr>
        <w:t>);</w:t>
      </w:r>
    </w:p>
    <w:p>
      <w:pPr>
        <w:spacing w:after="0" w:line="22" w:lineRule="exact"/>
        <w:rPr>
          <w:sz w:val="20"/>
          <w:szCs w:val="20"/>
          <w:color w:val="auto"/>
        </w:rPr>
      </w:pPr>
    </w:p>
    <w:p>
      <w:pPr>
        <w:jc w:val="both"/>
        <w:ind w:left="60" w:hanging="2"/>
        <w:spacing w:after="0" w:line="242" w:lineRule="auto"/>
        <w:tabs>
          <w:tab w:leader="none" w:pos="615" w:val="left"/>
        </w:tabs>
        <w:numPr>
          <w:ilvl w:val="0"/>
          <w:numId w:val="3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Borrower Materials marked “PUBLIC” are permitted to be made available through a portion of the Platform designated “Public Investor;” and (z) the Administrative Agent and the Arrangers shall be entitled to treat any Borrower Materials that are not marked “PUBLIC” as being suitable only for posting on a portion of the Platform not designated “Public Investor.”</w:t>
      </w:r>
    </w:p>
    <w:p>
      <w:pPr>
        <w:spacing w:after="0" w:line="200" w:lineRule="exact"/>
        <w:rPr>
          <w:sz w:val="20"/>
          <w:szCs w:val="20"/>
          <w:color w:val="auto"/>
        </w:rPr>
      </w:pPr>
    </w:p>
    <w:p>
      <w:pPr>
        <w:ind w:left="700"/>
        <w:spacing w:after="0"/>
        <w:tabs>
          <w:tab w:leader="none" w:pos="2020" w:val="left"/>
        </w:tabs>
        <w:rPr>
          <w:sz w:val="20"/>
          <w:szCs w:val="20"/>
          <w:color w:val="auto"/>
        </w:rPr>
      </w:pPr>
      <w:r>
        <w:rPr>
          <w:rFonts w:ascii="Times New Roman" w:cs="Times New Roman" w:eastAsia="Times New Roman" w:hAnsi="Times New Roman"/>
          <w:sz w:val="20"/>
          <w:szCs w:val="20"/>
          <w:color w:val="auto"/>
        </w:rPr>
        <w:t>SECTION 8.3</w:t>
      </w:r>
      <w:r>
        <w:rPr>
          <w:sz w:val="20"/>
          <w:szCs w:val="20"/>
          <w:color w:val="auto"/>
        </w:rPr>
        <w:tab/>
      </w:r>
      <w:r>
        <w:rPr>
          <w:rFonts w:ascii="Times New Roman" w:cs="Times New Roman" w:eastAsia="Times New Roman" w:hAnsi="Times New Roman"/>
          <w:sz w:val="19"/>
          <w:szCs w:val="19"/>
          <w:u w:val="single" w:color="auto"/>
          <w:color w:val="auto"/>
        </w:rPr>
        <w:t>Notice of Litigation and Other Matters</w:t>
      </w:r>
    </w:p>
    <w:p>
      <w:pPr>
        <w:spacing w:after="0" w:line="283" w:lineRule="exact"/>
        <w:rPr>
          <w:sz w:val="20"/>
          <w:szCs w:val="20"/>
          <w:color w:val="auto"/>
        </w:rPr>
      </w:pPr>
    </w:p>
    <w:p>
      <w:pPr>
        <w:jc w:val="both"/>
        <w:ind w:left="60" w:hanging="2"/>
        <w:spacing w:after="0" w:line="226" w:lineRule="auto"/>
        <w:tabs>
          <w:tab w:leader="none" w:pos="162" w:val="left"/>
        </w:tabs>
        <w:numPr>
          <w:ilvl w:val="0"/>
          <w:numId w:val="3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(but in no event later than ten (10) Business Days after any Responsible Officer of any Credit Party obtains knowledge thereof) notify the Administrative Agent in writing of (which shall promptly make such information available to the Lenders in accordance with its customary practice):</w:t>
      </w:r>
    </w:p>
    <w:p>
      <w:pPr>
        <w:sectPr>
          <w:pgSz w:w="11900" w:h="16838" w:orient="portrait"/>
          <w:cols w:equalWidth="0" w:num="1">
            <w:col w:w="11100"/>
          </w:cols>
          <w:pgMar w:left="360" w:top="1413" w:right="439" w:bottom="1440" w:gutter="0" w:footer="0" w:header="0"/>
        </w:sectPr>
      </w:pPr>
    </w:p>
    <w:p>
      <w:pPr>
        <w:spacing w:after="0" w:line="20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(ab)</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occurrence of any Default or Event of Default;</w:t>
      </w:r>
    </w:p>
    <w:p>
      <w:pPr>
        <w:spacing w:after="0" w:line="200" w:lineRule="exact"/>
        <w:rPr>
          <w:sz w:val="20"/>
          <w:szCs w:val="20"/>
          <w:color w:val="auto"/>
        </w:rPr>
      </w:pPr>
    </w:p>
    <w:p>
      <w:pPr>
        <w:sectPr>
          <w:pgSz w:w="11900" w:h="16838" w:orient="portrait"/>
          <w:cols w:equalWidth="0" w:num="2">
            <w:col w:w="1020" w:space="240"/>
            <w:col w:w="9840"/>
          </w:cols>
          <w:pgMar w:left="360" w:top="1413" w:right="439" w:bottom="1440" w:gutter="0" w:footer="0" w:header="0"/>
          <w:type w:val="continuous"/>
        </w:sectPr>
      </w:pPr>
    </w:p>
    <w:p>
      <w:pPr>
        <w:spacing w:after="0" w:line="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color w:val="auto"/>
        </w:rPr>
        <w:t>(ac)</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commencement of all proceedings and investigations by or before any Governmental Authority and all actions and</w:t>
      </w:r>
    </w:p>
    <w:p>
      <w:pPr>
        <w:spacing w:after="0" w:line="28" w:lineRule="exact"/>
        <w:rPr>
          <w:sz w:val="20"/>
          <w:szCs w:val="20"/>
          <w:color w:val="auto"/>
        </w:rPr>
      </w:pPr>
    </w:p>
    <w:p>
      <w:pPr>
        <w:sectPr>
          <w:pgSz w:w="11900" w:h="16838" w:orient="portrait"/>
          <w:cols w:equalWidth="0" w:num="2">
            <w:col w:w="1020" w:space="240"/>
            <w:col w:w="9840"/>
          </w:cols>
          <w:pgMar w:left="360" w:top="1413" w:right="439" w:bottom="1440" w:gutter="0" w:footer="0" w:header="0"/>
          <w:type w:val="continuous"/>
        </w:sectPr>
      </w:pPr>
    </w:p>
    <w:p>
      <w:pPr>
        <w:jc w:val="both"/>
        <w:ind w:left="60"/>
        <w:spacing w:after="0" w:line="186" w:lineRule="auto"/>
        <w:rPr>
          <w:sz w:val="20"/>
          <w:szCs w:val="20"/>
          <w:color w:val="auto"/>
        </w:rPr>
      </w:pPr>
      <w:r>
        <w:rPr>
          <w:rFonts w:ascii="Times New Roman" w:cs="Times New Roman" w:eastAsia="Times New Roman" w:hAnsi="Times New Roman"/>
          <w:sz w:val="20"/>
          <w:szCs w:val="20"/>
          <w:color w:val="auto"/>
        </w:rPr>
        <w:t>proceedings in any court or before any arbitrator against or involving any Credit Party or any Subsidiary thereof or any of their respective properties, assets or businesses in each case that if adversely determined could reasonably be expected to result in a Material Adverse</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Effect;</w:t>
      </w:r>
    </w:p>
    <w:p>
      <w:pPr>
        <w:spacing w:after="0" w:line="207" w:lineRule="exact"/>
        <w:rPr>
          <w:sz w:val="20"/>
          <w:szCs w:val="20"/>
          <w:color w:val="auto"/>
        </w:rPr>
      </w:pPr>
    </w:p>
    <w:p>
      <w:pPr>
        <w:jc w:val="both"/>
        <w:ind w:left="60" w:firstLine="648"/>
        <w:spacing w:after="0" w:line="254" w:lineRule="auto"/>
        <w:rPr>
          <w:sz w:val="20"/>
          <w:szCs w:val="20"/>
          <w:color w:val="auto"/>
        </w:rPr>
      </w:pPr>
      <w:r>
        <w:rPr>
          <w:rFonts w:ascii="Times New Roman" w:cs="Times New Roman" w:eastAsia="Times New Roman" w:hAnsi="Times New Roman"/>
          <w:sz w:val="20"/>
          <w:szCs w:val="20"/>
          <w:color w:val="auto"/>
        </w:rPr>
        <w:t>(ad) any notice of any violation received by any Credit Party or any Subsidiary thereof from any Governmental Authority including, without limitation, any notice of violation of Environmental Laws which in any such case could reasonably be expected to have a Material Adverse Effect;</w:t>
      </w:r>
    </w:p>
    <w:p>
      <w:pPr>
        <w:sectPr>
          <w:pgSz w:w="11900" w:h="16838" w:orient="portrait"/>
          <w:cols w:equalWidth="0" w:num="1">
            <w:col w:w="11100"/>
          </w:cols>
          <w:pgMar w:left="360" w:top="1413" w:right="439" w:bottom="1440" w:gutter="0" w:footer="0" w:header="0"/>
          <w:type w:val="continuous"/>
        </w:sectPr>
      </w:pPr>
    </w:p>
    <w:p>
      <w:pPr>
        <w:spacing w:after="0" w:line="20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color w:val="auto"/>
        </w:rPr>
        <w:t>(ae)</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any labor controversy that has resulted in, or threatens to result in, a strike or other work action against any Credit Party or</w:t>
      </w:r>
    </w:p>
    <w:p>
      <w:pPr>
        <w:spacing w:after="0" w:line="28" w:lineRule="exact"/>
        <w:rPr>
          <w:sz w:val="20"/>
          <w:szCs w:val="20"/>
          <w:color w:val="auto"/>
        </w:rPr>
      </w:pPr>
    </w:p>
    <w:p>
      <w:pPr>
        <w:sectPr>
          <w:pgSz w:w="11900" w:h="16838" w:orient="portrait"/>
          <w:cols w:equalWidth="0" w:num="2">
            <w:col w:w="1020" w:space="240"/>
            <w:col w:w="9840"/>
          </w:cols>
          <w:pgMar w:left="360" w:top="1413" w:right="439" w:bottom="1440" w:gutter="0" w:footer="0" w:header="0"/>
          <w:type w:val="continuous"/>
        </w:sectPr>
      </w:pPr>
    </w:p>
    <w:p>
      <w:pPr>
        <w:ind w:left="60"/>
        <w:spacing w:after="0"/>
        <w:rPr>
          <w:sz w:val="20"/>
          <w:szCs w:val="20"/>
          <w:color w:val="auto"/>
        </w:rPr>
      </w:pPr>
      <w:r>
        <w:rPr>
          <w:rFonts w:ascii="Times New Roman" w:cs="Times New Roman" w:eastAsia="Times New Roman" w:hAnsi="Times New Roman"/>
          <w:sz w:val="20"/>
          <w:szCs w:val="20"/>
          <w:color w:val="auto"/>
        </w:rPr>
        <w:t>any Subsidiary thereof which could reasonably be expected to have a Material Adverse Effect;</w:t>
      </w:r>
    </w:p>
    <w:p>
      <w:pPr>
        <w:spacing w:after="0" w:line="214" w:lineRule="exact"/>
        <w:rPr>
          <w:sz w:val="20"/>
          <w:szCs w:val="20"/>
          <w:color w:val="auto"/>
        </w:rPr>
      </w:pPr>
    </w:p>
    <w:p>
      <w:pPr>
        <w:ind w:left="60" w:right="20" w:firstLine="648"/>
        <w:spacing w:after="0" w:line="233" w:lineRule="auto"/>
        <w:rPr>
          <w:sz w:val="20"/>
          <w:szCs w:val="20"/>
          <w:color w:val="auto"/>
        </w:rPr>
      </w:pPr>
      <w:r>
        <w:rPr>
          <w:rFonts w:ascii="Times New Roman" w:cs="Times New Roman" w:eastAsia="Times New Roman" w:hAnsi="Times New Roman"/>
          <w:sz w:val="20"/>
          <w:szCs w:val="20"/>
          <w:color w:val="auto"/>
        </w:rPr>
        <w:t>(af) any attachment, judgment, lien (other than Permitted Liens), levy or order exceeding the Threshold Amount that may be assessed against or threatened in writing against any Credit Party or any Subsidiary thereof;</w:t>
      </w:r>
    </w:p>
    <w:p>
      <w:pPr>
        <w:sectPr>
          <w:pgSz w:w="11900" w:h="16838" w:orient="portrait"/>
          <w:cols w:equalWidth="0" w:num="1">
            <w:col w:w="11100"/>
          </w:cols>
          <w:pgMar w:left="360" w:top="1413" w:right="439" w:bottom="1440" w:gutter="0" w:footer="0" w:header="0"/>
          <w:type w:val="continuous"/>
        </w:sectPr>
      </w:pPr>
    </w:p>
    <w:p>
      <w:pPr>
        <w:spacing w:after="0" w:line="20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(ag)</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any event which constitutes or which with the passage of time or giving of notice or both would constitute a default or event</w:t>
      </w:r>
    </w:p>
    <w:p>
      <w:pPr>
        <w:spacing w:after="0" w:line="40" w:lineRule="exact"/>
        <w:rPr>
          <w:sz w:val="20"/>
          <w:szCs w:val="20"/>
          <w:color w:val="auto"/>
        </w:rPr>
      </w:pPr>
    </w:p>
    <w:p>
      <w:pPr>
        <w:sectPr>
          <w:pgSz w:w="11900" w:h="16838" w:orient="portrait"/>
          <w:cols w:equalWidth="0" w:num="2">
            <w:col w:w="1020" w:space="240"/>
            <w:col w:w="9840"/>
          </w:cols>
          <w:pgMar w:left="360" w:top="1413" w:right="439" w:bottom="1440" w:gutter="0" w:footer="0" w:header="0"/>
          <w:type w:val="continuous"/>
        </w:sectPr>
      </w:pPr>
    </w:p>
    <w:p>
      <w:pPr>
        <w:ind w:left="60"/>
        <w:spacing w:after="0" w:line="239" w:lineRule="auto"/>
        <w:rPr>
          <w:sz w:val="20"/>
          <w:szCs w:val="20"/>
          <w:color w:val="auto"/>
        </w:rPr>
      </w:pPr>
      <w:r>
        <w:rPr>
          <w:rFonts w:ascii="Times New Roman" w:cs="Times New Roman" w:eastAsia="Times New Roman" w:hAnsi="Times New Roman"/>
          <w:sz w:val="20"/>
          <w:szCs w:val="20"/>
          <w:color w:val="auto"/>
        </w:rPr>
        <w:t>of default under any contract or other agreement, written or oral, of any Credit Party or any of its Subsidiaries involving monetary liability of or to any such Person in an amount in excess of $35,000,000 per annum;</w:t>
      </w:r>
    </w:p>
    <w:p>
      <w:pPr>
        <w:spacing w:after="0" w:line="215" w:lineRule="exact"/>
        <w:rPr>
          <w:sz w:val="20"/>
          <w:szCs w:val="20"/>
          <w:color w:val="auto"/>
        </w:rPr>
      </w:pPr>
    </w:p>
    <w:p>
      <w:pPr>
        <w:ind w:left="60" w:firstLine="648"/>
        <w:spacing w:after="0" w:line="227" w:lineRule="auto"/>
        <w:rPr>
          <w:sz w:val="20"/>
          <w:szCs w:val="20"/>
          <w:color w:val="auto"/>
        </w:rPr>
      </w:pPr>
      <w:r>
        <w:rPr>
          <w:rFonts w:ascii="Times New Roman" w:cs="Times New Roman" w:eastAsia="Times New Roman" w:hAnsi="Times New Roman"/>
          <w:sz w:val="19"/>
          <w:szCs w:val="19"/>
          <w:color w:val="auto"/>
        </w:rPr>
        <w:t>(ah) (i) any unfavorable determination letter from the IRS regarding the qualification of an Employee Benefit Plan under Section 401(a) of the Code (along with a copy thereof), (ii) all notices received by any Credit Party or any ERISA Affiliate of the PBGC’s intent to</w:t>
      </w:r>
    </w:p>
    <w:p>
      <w:pPr>
        <w:ind w:left="60"/>
        <w:spacing w:after="0" w:line="211" w:lineRule="auto"/>
        <w:rPr>
          <w:sz w:val="20"/>
          <w:szCs w:val="20"/>
          <w:color w:val="auto"/>
        </w:rPr>
      </w:pPr>
      <w:r>
        <w:rPr>
          <w:rFonts w:ascii="Times New Roman" w:cs="Times New Roman" w:eastAsia="Times New Roman" w:hAnsi="Times New Roman"/>
          <w:sz w:val="20"/>
          <w:szCs w:val="20"/>
          <w:color w:val="auto"/>
        </w:rPr>
        <w:t>terminate any Pension Plan or to have a trustee appointed to administer any Pension Plan, (iii) all notices received by any Credit Party or</w:t>
      </w:r>
    </w:p>
    <w:p>
      <w:pPr>
        <w:spacing w:after="0" w:line="1" w:lineRule="exact"/>
        <w:rPr>
          <w:sz w:val="20"/>
          <w:szCs w:val="20"/>
          <w:color w:val="auto"/>
        </w:rPr>
      </w:pPr>
    </w:p>
    <w:p>
      <w:pPr>
        <w:ind w:left="60"/>
        <w:spacing w:after="0" w:line="204" w:lineRule="auto"/>
        <w:rPr>
          <w:sz w:val="20"/>
          <w:szCs w:val="20"/>
          <w:color w:val="auto"/>
        </w:rPr>
      </w:pPr>
      <w:r>
        <w:rPr>
          <w:rFonts w:ascii="Times New Roman" w:cs="Times New Roman" w:eastAsia="Times New Roman" w:hAnsi="Times New Roman"/>
          <w:sz w:val="20"/>
          <w:szCs w:val="20"/>
          <w:color w:val="auto"/>
        </w:rPr>
        <w:t>any ERISA Affiliate from a Multiemployer Plan sponsor concerning the imposition or amount of withdrawal liability pursuant to Section 4202 of ERISA and (iv) the Borrowers obtaining knowledge or reason to know that any Credit Party or any ERISA Affiliate has filed or</w:t>
      </w:r>
    </w:p>
    <w:p>
      <w:pPr>
        <w:ind w:left="60"/>
        <w:spacing w:after="0" w:line="211" w:lineRule="auto"/>
        <w:rPr>
          <w:sz w:val="20"/>
          <w:szCs w:val="20"/>
          <w:color w:val="auto"/>
        </w:rPr>
      </w:pPr>
      <w:r>
        <w:rPr>
          <w:rFonts w:ascii="Times New Roman" w:cs="Times New Roman" w:eastAsia="Times New Roman" w:hAnsi="Times New Roman"/>
          <w:sz w:val="20"/>
          <w:szCs w:val="20"/>
          <w:color w:val="auto"/>
        </w:rPr>
        <w:t>intends to file a notice of intent to terminate any Pension Plan under a distress termination within the meaning of Section 4041(c) of</w:t>
      </w:r>
    </w:p>
    <w:p>
      <w:pPr>
        <w:spacing w:after="0" w:line="1" w:lineRule="exact"/>
        <w:rPr>
          <w:sz w:val="20"/>
          <w:szCs w:val="20"/>
          <w:color w:val="auto"/>
        </w:rPr>
      </w:pPr>
    </w:p>
    <w:p>
      <w:pPr>
        <w:ind w:left="60"/>
        <w:spacing w:after="0" w:line="215" w:lineRule="auto"/>
        <w:rPr>
          <w:sz w:val="20"/>
          <w:szCs w:val="20"/>
          <w:color w:val="auto"/>
        </w:rPr>
      </w:pPr>
      <w:r>
        <w:rPr>
          <w:rFonts w:ascii="Times New Roman" w:cs="Times New Roman" w:eastAsia="Times New Roman" w:hAnsi="Times New Roman"/>
          <w:sz w:val="19"/>
          <w:szCs w:val="19"/>
          <w:color w:val="auto"/>
        </w:rPr>
        <w:t>ERISA, or any notice of intent to terminate in whole or in part any Canadian Employee Benefit Plan under Canadian Pension Laws or otherwise that, in each case, is filed with or by the PBGC or other Governmental Authority applicable to Canadian Employee Benefit Plans</w:t>
      </w:r>
    </w:p>
    <w:p>
      <w:pPr>
        <w:ind w:left="60"/>
        <w:spacing w:after="0"/>
        <w:rPr>
          <w:sz w:val="20"/>
          <w:szCs w:val="20"/>
          <w:color w:val="auto"/>
        </w:rPr>
      </w:pPr>
      <w:r>
        <w:rPr>
          <w:rFonts w:ascii="Times New Roman" w:cs="Times New Roman" w:eastAsia="Times New Roman" w:hAnsi="Times New Roman"/>
          <w:sz w:val="20"/>
          <w:szCs w:val="20"/>
          <w:color w:val="auto"/>
        </w:rPr>
        <w:t>by any Credit Party or any ERISA Affiliate or otherwise received by any Credit Party or any ERISA Affiliate; and</w:t>
      </w:r>
    </w:p>
    <w:p>
      <w:pPr>
        <w:spacing w:after="0" w:line="194" w:lineRule="exact"/>
        <w:rPr>
          <w:sz w:val="20"/>
          <w:szCs w:val="20"/>
          <w:color w:val="auto"/>
        </w:rPr>
      </w:pPr>
    </w:p>
    <w:p>
      <w:pPr>
        <w:ind w:left="60" w:right="20" w:firstLine="648"/>
        <w:spacing w:after="0"/>
        <w:rPr>
          <w:sz w:val="20"/>
          <w:szCs w:val="20"/>
          <w:color w:val="auto"/>
        </w:rPr>
      </w:pPr>
      <w:r>
        <w:rPr>
          <w:rFonts w:ascii="Times New Roman" w:cs="Times New Roman" w:eastAsia="Times New Roman" w:hAnsi="Times New Roman"/>
          <w:sz w:val="20"/>
          <w:szCs w:val="20"/>
          <w:color w:val="auto"/>
        </w:rPr>
        <w:t xml:space="preserve">(ai) any event which makes any of the representations set forth in </w:t>
      </w:r>
      <w:r>
        <w:rPr>
          <w:rFonts w:ascii="Times New Roman" w:cs="Times New Roman" w:eastAsia="Times New Roman" w:hAnsi="Times New Roman"/>
          <w:sz w:val="20"/>
          <w:szCs w:val="20"/>
          <w:u w:val="single" w:color="auto"/>
          <w:color w:val="auto"/>
        </w:rPr>
        <w:t>Article VII</w:t>
      </w:r>
      <w:r>
        <w:rPr>
          <w:rFonts w:ascii="Times New Roman" w:cs="Times New Roman" w:eastAsia="Times New Roman" w:hAnsi="Times New Roman"/>
          <w:sz w:val="20"/>
          <w:szCs w:val="20"/>
          <w:color w:val="auto"/>
        </w:rPr>
        <w:t xml:space="preserve"> that is subject to materiality or Material Adverse Effect qualifications inaccurate in any respect or any event which makes</w:t>
      </w:r>
    </w:p>
    <w:p>
      <w:pPr>
        <w:spacing w:after="0" w:line="25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120</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146960219_6</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100"/>
          </w:cols>
          <w:pgMar w:left="360" w:top="1413" w:right="439" w:bottom="1440" w:gutter="0" w:footer="0" w:header="0"/>
          <w:type w:val="continuous"/>
        </w:sectPr>
      </w:pPr>
    </w:p>
    <w:bookmarkStart w:id="203" w:name="page204"/>
    <w:bookmarkEnd w:id="203"/>
    <w:p>
      <w:pPr>
        <w:ind w:left="60" w:right="240"/>
        <w:spacing w:after="0"/>
        <w:rPr>
          <w:sz w:val="20"/>
          <w:szCs w:val="20"/>
          <w:color w:val="auto"/>
        </w:rPr>
      </w:pPr>
      <w:r>
        <w:rPr>
          <w:rFonts w:ascii="Times New Roman" w:cs="Times New Roman" w:eastAsia="Times New Roman" w:hAnsi="Times New Roman"/>
          <w:sz w:val="20"/>
          <w:szCs w:val="20"/>
          <w:color w:val="auto"/>
        </w:rPr>
        <w:t xml:space="preserve">any of the representations set forth in </w:t>
      </w:r>
      <w:r>
        <w:rPr>
          <w:rFonts w:ascii="Times New Roman" w:cs="Times New Roman" w:eastAsia="Times New Roman" w:hAnsi="Times New Roman"/>
          <w:sz w:val="20"/>
          <w:szCs w:val="20"/>
          <w:u w:val="single" w:color="auto"/>
          <w:color w:val="auto"/>
        </w:rPr>
        <w:t>Article VII</w:t>
      </w:r>
      <w:r>
        <w:rPr>
          <w:rFonts w:ascii="Times New Roman" w:cs="Times New Roman" w:eastAsia="Times New Roman" w:hAnsi="Times New Roman"/>
          <w:sz w:val="20"/>
          <w:szCs w:val="20"/>
          <w:color w:val="auto"/>
        </w:rPr>
        <w:t xml:space="preserve"> that is not subject to materiality or Material Adverse Effect qualifications inaccurate in any material respect.</w:t>
      </w:r>
    </w:p>
    <w:p>
      <w:pPr>
        <w:spacing w:after="0" w:line="18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color w:val="auto"/>
        </w:rPr>
        <w:t xml:space="preserve">Each notice pursuant to </w:t>
      </w:r>
      <w:r>
        <w:rPr>
          <w:rFonts w:ascii="Times New Roman" w:cs="Times New Roman" w:eastAsia="Times New Roman" w:hAnsi="Times New Roman"/>
          <w:sz w:val="20"/>
          <w:szCs w:val="20"/>
          <w:u w:val="single" w:color="auto"/>
          <w:color w:val="auto"/>
        </w:rPr>
        <w:t>Section 8.3</w:t>
      </w:r>
      <w:r>
        <w:rPr>
          <w:rFonts w:ascii="Times New Roman" w:cs="Times New Roman" w:eastAsia="Times New Roman" w:hAnsi="Times New Roman"/>
          <w:sz w:val="20"/>
          <w:szCs w:val="20"/>
          <w:color w:val="auto"/>
        </w:rPr>
        <w:t xml:space="preserve"> shall be accompanied by a statement of a Responsible Officer of Centuri setting forth details</w:t>
      </w:r>
    </w:p>
    <w:p>
      <w:pPr>
        <w:ind w:left="60"/>
        <w:spacing w:after="0" w:line="204" w:lineRule="auto"/>
        <w:rPr>
          <w:sz w:val="20"/>
          <w:szCs w:val="20"/>
          <w:color w:val="auto"/>
        </w:rPr>
      </w:pPr>
      <w:r>
        <w:rPr>
          <w:rFonts w:ascii="Times New Roman" w:cs="Times New Roman" w:eastAsia="Times New Roman" w:hAnsi="Times New Roman"/>
          <w:sz w:val="20"/>
          <w:szCs w:val="20"/>
          <w:color w:val="auto"/>
        </w:rPr>
        <w:t xml:space="preserve">of the occurrence referred to therein and stating what action Centuri has taken and proposes to take with respect thereto. Each notice pursuant to </w:t>
      </w:r>
      <w:r>
        <w:rPr>
          <w:rFonts w:ascii="Times New Roman" w:cs="Times New Roman" w:eastAsia="Times New Roman" w:hAnsi="Times New Roman"/>
          <w:sz w:val="20"/>
          <w:szCs w:val="20"/>
          <w:u w:val="single" w:color="auto"/>
          <w:color w:val="auto"/>
        </w:rPr>
        <w:t>Section 8.3(a)</w:t>
      </w:r>
      <w:r>
        <w:rPr>
          <w:rFonts w:ascii="Times New Roman" w:cs="Times New Roman" w:eastAsia="Times New Roman" w:hAnsi="Times New Roman"/>
          <w:sz w:val="20"/>
          <w:szCs w:val="20"/>
          <w:color w:val="auto"/>
        </w:rPr>
        <w:t xml:space="preserve"> shall describe with particularity any and all provisions of this Agreement and any other Loan Document that</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have been breached.</w:t>
      </w:r>
    </w:p>
    <w:p>
      <w:pPr>
        <w:spacing w:after="0" w:line="194" w:lineRule="exact"/>
        <w:rPr>
          <w:sz w:val="20"/>
          <w:szCs w:val="20"/>
          <w:color w:val="auto"/>
        </w:rPr>
      </w:pPr>
    </w:p>
    <w:p>
      <w:pPr>
        <w:ind w:left="700"/>
        <w:spacing w:after="0"/>
        <w:tabs>
          <w:tab w:leader="none" w:pos="2020" w:val="left"/>
        </w:tabs>
        <w:rPr>
          <w:sz w:val="20"/>
          <w:szCs w:val="20"/>
          <w:color w:val="auto"/>
        </w:rPr>
      </w:pPr>
      <w:r>
        <w:rPr>
          <w:rFonts w:ascii="Times New Roman" w:cs="Times New Roman" w:eastAsia="Times New Roman" w:hAnsi="Times New Roman"/>
          <w:sz w:val="20"/>
          <w:szCs w:val="20"/>
          <w:color w:val="auto"/>
        </w:rPr>
        <w:t>SECTION 8.4</w:t>
      </w:r>
      <w:r>
        <w:rPr>
          <w:sz w:val="20"/>
          <w:szCs w:val="20"/>
          <w:color w:val="auto"/>
        </w:rPr>
        <w:tab/>
      </w:r>
      <w:r>
        <w:rPr>
          <w:rFonts w:ascii="Times New Roman" w:cs="Times New Roman" w:eastAsia="Times New Roman" w:hAnsi="Times New Roman"/>
          <w:sz w:val="19"/>
          <w:szCs w:val="19"/>
          <w:u w:val="single" w:color="auto"/>
          <w:color w:val="auto"/>
        </w:rPr>
        <w:t>Preservation of Corporate Existence and Related Matters</w:t>
      </w:r>
    </w:p>
    <w:p>
      <w:pPr>
        <w:spacing w:after="0" w:line="283" w:lineRule="exact"/>
        <w:rPr>
          <w:sz w:val="20"/>
          <w:szCs w:val="20"/>
          <w:color w:val="auto"/>
        </w:rPr>
      </w:pPr>
    </w:p>
    <w:p>
      <w:pPr>
        <w:jc w:val="both"/>
        <w:ind w:left="60" w:hanging="4"/>
        <w:spacing w:after="0" w:line="237" w:lineRule="auto"/>
        <w:tabs>
          <w:tab w:leader="none" w:pos="197" w:val="left"/>
        </w:tabs>
        <w:numPr>
          <w:ilvl w:val="0"/>
          <w:numId w:val="3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Except as permitted by </w:t>
      </w:r>
      <w:r>
        <w:rPr>
          <w:rFonts w:ascii="Times New Roman" w:cs="Times New Roman" w:eastAsia="Times New Roman" w:hAnsi="Times New Roman"/>
          <w:sz w:val="19"/>
          <w:szCs w:val="19"/>
          <w:u w:val="single" w:color="auto"/>
          <w:color w:val="auto"/>
        </w:rPr>
        <w:t>Section 9.4</w:t>
      </w:r>
      <w:r>
        <w:rPr>
          <w:rFonts w:ascii="Times New Roman" w:cs="Times New Roman" w:eastAsia="Times New Roman" w:hAnsi="Times New Roman"/>
          <w:sz w:val="19"/>
          <w:szCs w:val="19"/>
          <w:color w:val="auto"/>
        </w:rPr>
        <w:t>, preserve and maintain its separate corporate existence and all rights, franchises, licenses and privileges necessary to the conduct of its business, and qualify and remain qualified as a foreign corporation or other entity and authorized to do business in each jurisdiction in which the failure to so qualify could reasonably be expected to have a Material Adverse Effect.</w:t>
      </w:r>
    </w:p>
    <w:p>
      <w:pPr>
        <w:spacing w:after="0" w:line="190" w:lineRule="exact"/>
        <w:rPr>
          <w:sz w:val="20"/>
          <w:szCs w:val="20"/>
          <w:color w:val="auto"/>
        </w:rPr>
      </w:pPr>
    </w:p>
    <w:p>
      <w:pPr>
        <w:ind w:left="700"/>
        <w:spacing w:after="0"/>
        <w:tabs>
          <w:tab w:leader="none" w:pos="2020" w:val="left"/>
        </w:tabs>
        <w:rPr>
          <w:sz w:val="20"/>
          <w:szCs w:val="20"/>
          <w:color w:val="auto"/>
        </w:rPr>
      </w:pPr>
      <w:r>
        <w:rPr>
          <w:rFonts w:ascii="Times New Roman" w:cs="Times New Roman" w:eastAsia="Times New Roman" w:hAnsi="Times New Roman"/>
          <w:sz w:val="20"/>
          <w:szCs w:val="20"/>
          <w:color w:val="auto"/>
        </w:rPr>
        <w:t>SECTION 8.5</w:t>
      </w:r>
      <w:r>
        <w:rPr>
          <w:sz w:val="20"/>
          <w:szCs w:val="20"/>
          <w:color w:val="auto"/>
        </w:rPr>
        <w:tab/>
      </w:r>
      <w:r>
        <w:rPr>
          <w:rFonts w:ascii="Times New Roman" w:cs="Times New Roman" w:eastAsia="Times New Roman" w:hAnsi="Times New Roman"/>
          <w:sz w:val="19"/>
          <w:szCs w:val="19"/>
          <w:u w:val="single" w:color="auto"/>
          <w:color w:val="auto"/>
        </w:rPr>
        <w:t>Maintenance of Property and Licenses</w:t>
      </w:r>
      <w:r>
        <w:rPr>
          <w:rFonts w:ascii="Times New Roman" w:cs="Times New Roman" w:eastAsia="Times New Roman" w:hAnsi="Times New Roman"/>
          <w:sz w:val="19"/>
          <w:szCs w:val="19"/>
          <w:color w:val="auto"/>
        </w:rPr>
        <w:t>.</w:t>
      </w:r>
    </w:p>
    <w:p>
      <w:pPr>
        <w:spacing w:after="0" w:line="283" w:lineRule="exact"/>
        <w:rPr>
          <w:sz w:val="20"/>
          <w:szCs w:val="20"/>
          <w:color w:val="auto"/>
        </w:rPr>
      </w:pPr>
    </w:p>
    <w:p>
      <w:pPr>
        <w:jc w:val="both"/>
        <w:ind w:left="60" w:firstLine="644"/>
        <w:spacing w:after="0" w:line="216" w:lineRule="auto"/>
        <w:tabs>
          <w:tab w:leader="none" w:pos="1239" w:val="left"/>
        </w:tabs>
        <w:numPr>
          <w:ilvl w:val="0"/>
          <w:numId w:val="3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Protect and preserve all Properties necessary in and material to its business, including copyrights, patents, trade names, service marks and trademarks; maintain in good working order and condition, ordinary wear and tear excepted, all buildings, equipment and other tangible real and personal property; and from time to time make or cause to be made all repairs, renewals and replacements thereof and additions to such Property necessary for the conduct of its business, so that the business carried on in connection therewith may be conducted in a commercially reasonable manner, in each case except as such action or inaction could not reasonably be expected to result in a Material Adverse Effect.</w:t>
      </w:r>
    </w:p>
    <w:p>
      <w:pPr>
        <w:spacing w:after="0" w:line="189" w:lineRule="exact"/>
        <w:rPr>
          <w:rFonts w:ascii="Times New Roman" w:cs="Times New Roman" w:eastAsia="Times New Roman" w:hAnsi="Times New Roman"/>
          <w:sz w:val="20"/>
          <w:szCs w:val="20"/>
          <w:color w:val="auto"/>
        </w:rPr>
      </w:pPr>
    </w:p>
    <w:p>
      <w:pPr>
        <w:jc w:val="both"/>
        <w:ind w:left="60" w:firstLine="644"/>
        <w:spacing w:after="0" w:line="237" w:lineRule="auto"/>
        <w:tabs>
          <w:tab w:leader="none" w:pos="1236" w:val="left"/>
        </w:tabs>
        <w:numPr>
          <w:ilvl w:val="0"/>
          <w:numId w:val="3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Maintain, in full force and effect in all material respects, each and every material license, permit, certification, qualification, approval or franchise issued by any Governmental Authority (each a “</w:t>
      </w:r>
      <w:r>
        <w:rPr>
          <w:rFonts w:ascii="Times New Roman" w:cs="Times New Roman" w:eastAsia="Times New Roman" w:hAnsi="Times New Roman"/>
          <w:sz w:val="19"/>
          <w:szCs w:val="19"/>
          <w:u w:val="single" w:color="auto"/>
          <w:color w:val="auto"/>
        </w:rPr>
        <w:t>License</w:t>
      </w:r>
      <w:r>
        <w:rPr>
          <w:rFonts w:ascii="Times New Roman" w:cs="Times New Roman" w:eastAsia="Times New Roman" w:hAnsi="Times New Roman"/>
          <w:sz w:val="19"/>
          <w:szCs w:val="19"/>
          <w:color w:val="auto"/>
        </w:rPr>
        <w:t>”) required for each of them to conduct their respective businesses as presently conducted, except where the failure to do so could not reasonably be expected to have a Material Adverse Effect.</w:t>
      </w:r>
    </w:p>
    <w:p>
      <w:pPr>
        <w:spacing w:after="0" w:line="203" w:lineRule="exact"/>
        <w:rPr>
          <w:sz w:val="20"/>
          <w:szCs w:val="20"/>
          <w:color w:val="auto"/>
        </w:rPr>
      </w:pPr>
    </w:p>
    <w:p>
      <w:pPr>
        <w:ind w:left="700"/>
        <w:spacing w:after="0"/>
        <w:tabs>
          <w:tab w:leader="none" w:pos="2020" w:val="left"/>
        </w:tabs>
        <w:rPr>
          <w:sz w:val="20"/>
          <w:szCs w:val="20"/>
          <w:color w:val="auto"/>
        </w:rPr>
      </w:pPr>
      <w:r>
        <w:rPr>
          <w:rFonts w:ascii="Times New Roman" w:cs="Times New Roman" w:eastAsia="Times New Roman" w:hAnsi="Times New Roman"/>
          <w:sz w:val="20"/>
          <w:szCs w:val="20"/>
          <w:color w:val="auto"/>
        </w:rPr>
        <w:t>SECTION 8.6</w:t>
      </w:r>
      <w:r>
        <w:rPr>
          <w:sz w:val="20"/>
          <w:szCs w:val="20"/>
          <w:color w:val="auto"/>
        </w:rPr>
        <w:tab/>
      </w:r>
      <w:r>
        <w:rPr>
          <w:rFonts w:ascii="Times New Roman" w:cs="Times New Roman" w:eastAsia="Times New Roman" w:hAnsi="Times New Roman"/>
          <w:sz w:val="19"/>
          <w:szCs w:val="19"/>
          <w:u w:val="single" w:color="auto"/>
          <w:color w:val="auto"/>
        </w:rPr>
        <w:t>Insurance</w:t>
      </w:r>
    </w:p>
    <w:p>
      <w:pPr>
        <w:spacing w:after="0" w:line="270" w:lineRule="exact"/>
        <w:rPr>
          <w:sz w:val="20"/>
          <w:szCs w:val="20"/>
          <w:color w:val="auto"/>
        </w:rPr>
      </w:pPr>
    </w:p>
    <w:p>
      <w:pPr>
        <w:jc w:val="both"/>
        <w:ind w:left="60" w:hanging="4"/>
        <w:spacing w:after="0" w:line="213" w:lineRule="auto"/>
        <w:tabs>
          <w:tab w:leader="none" w:pos="169" w:val="left"/>
        </w:tabs>
        <w:numPr>
          <w:ilvl w:val="0"/>
          <w:numId w:val="3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 insurance with financially sound and reputable insurance companies against at least such risks and in at least such amounts as are customarily maintained by similar businesses and as may be required by Applicable Law (including, without limitation, hazard and business interruption insurance). All such insurance shall, (a) provide that no cancellation or material modification thereof shall be effective until at least 30 days after receipt by the Administrative Agent of written notice thereof (except as a result of non- payment of premium in which case only 10 days’ prior written notice shall be required) and (b) name the Administrative Agent as an additional insured party (or in the case of each casualty insurance policy, name the Administrative Agent as lender’s loss payee) thereunder. On the Closing Date and from time to time thereafter deliver to the Administrative Agent upon its request information in reasonable detail as to the insurance then in effect, stating the names of the insurance companies, the amounts and rates of the insurance, the dates of the expiration thereof and the properties and risks covered thereby.</w:t>
      </w:r>
    </w:p>
    <w:p>
      <w:pPr>
        <w:spacing w:after="0" w:line="188" w:lineRule="exact"/>
        <w:rPr>
          <w:sz w:val="20"/>
          <w:szCs w:val="20"/>
          <w:color w:val="auto"/>
        </w:rPr>
      </w:pPr>
    </w:p>
    <w:p>
      <w:pPr>
        <w:ind w:left="700"/>
        <w:spacing w:after="0"/>
        <w:tabs>
          <w:tab w:leader="none" w:pos="2020" w:val="left"/>
        </w:tabs>
        <w:rPr>
          <w:sz w:val="20"/>
          <w:szCs w:val="20"/>
          <w:color w:val="auto"/>
        </w:rPr>
      </w:pPr>
      <w:r>
        <w:rPr>
          <w:rFonts w:ascii="Times New Roman" w:cs="Times New Roman" w:eastAsia="Times New Roman" w:hAnsi="Times New Roman"/>
          <w:sz w:val="20"/>
          <w:szCs w:val="20"/>
          <w:color w:val="auto"/>
        </w:rPr>
        <w:t>SECTION 8.7</w:t>
      </w:r>
      <w:r>
        <w:rPr>
          <w:sz w:val="20"/>
          <w:szCs w:val="20"/>
          <w:color w:val="auto"/>
        </w:rPr>
        <w:tab/>
      </w:r>
      <w:r>
        <w:rPr>
          <w:rFonts w:ascii="Times New Roman" w:cs="Times New Roman" w:eastAsia="Times New Roman" w:hAnsi="Times New Roman"/>
          <w:sz w:val="19"/>
          <w:szCs w:val="19"/>
          <w:u w:val="single" w:color="auto"/>
          <w:color w:val="auto"/>
        </w:rPr>
        <w:t>Accounting Methods and Financial Records</w:t>
      </w:r>
    </w:p>
    <w:p>
      <w:pPr>
        <w:spacing w:after="0" w:line="283" w:lineRule="exact"/>
        <w:rPr>
          <w:sz w:val="20"/>
          <w:szCs w:val="20"/>
          <w:color w:val="auto"/>
        </w:rPr>
      </w:pPr>
    </w:p>
    <w:p>
      <w:pPr>
        <w:jc w:val="both"/>
        <w:ind w:left="60" w:hanging="4"/>
        <w:spacing w:after="0" w:line="226" w:lineRule="auto"/>
        <w:tabs>
          <w:tab w:leader="none" w:pos="161" w:val="left"/>
        </w:tabs>
        <w:numPr>
          <w:ilvl w:val="0"/>
          <w:numId w:val="3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 a system of accounting, and keep proper books, records and accounts (which shall be true and complete in all material respects) as may be required or as may be necessary to permit the preparation of financial statements in accordance with GAAP and in compliance with the regulations of any Governmental Authority having jurisdiction over it or any of its Properties.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FF0000"/>
          <w:strike w:val="1"/>
        </w:rPr>
        <w:t>146960219_6</w:t>
      </w: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121</w:t>
      </w:r>
      <w:r>
        <w:rPr>
          <w:sz w:val="20"/>
          <w:szCs w:val="20"/>
          <w:color w:val="auto"/>
        </w:rPr>
        <w:tab/>
      </w: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080"/>
          </w:cols>
          <w:pgMar w:left="380" w:top="1399" w:right="439" w:bottom="1440" w:gutter="0" w:footer="0" w:header="0"/>
        </w:sectPr>
      </w:pPr>
    </w:p>
    <w:bookmarkStart w:id="204" w:name="page205"/>
    <w:bookmarkEnd w:id="204"/>
    <w:p>
      <w:pPr>
        <w:ind w:left="680"/>
        <w:spacing w:after="0"/>
        <w:tabs>
          <w:tab w:leader="none" w:pos="2000" w:val="left"/>
        </w:tabs>
        <w:rPr>
          <w:sz w:val="20"/>
          <w:szCs w:val="20"/>
          <w:color w:val="auto"/>
        </w:rPr>
      </w:pPr>
      <w:r>
        <w:rPr>
          <w:rFonts w:ascii="Times New Roman" w:cs="Times New Roman" w:eastAsia="Times New Roman" w:hAnsi="Times New Roman"/>
          <w:sz w:val="20"/>
          <w:szCs w:val="20"/>
          <w:color w:val="auto"/>
        </w:rPr>
        <w:t>SECTION 8.8</w:t>
      </w:r>
      <w:r>
        <w:rPr>
          <w:sz w:val="20"/>
          <w:szCs w:val="20"/>
          <w:color w:val="auto"/>
        </w:rPr>
        <w:tab/>
      </w:r>
      <w:r>
        <w:rPr>
          <w:rFonts w:ascii="Times New Roman" w:cs="Times New Roman" w:eastAsia="Times New Roman" w:hAnsi="Times New Roman"/>
          <w:sz w:val="19"/>
          <w:szCs w:val="19"/>
          <w:u w:val="single" w:color="auto"/>
          <w:color w:val="auto"/>
        </w:rPr>
        <w:t>Payment of Taxes and Other Obligations</w:t>
      </w:r>
    </w:p>
    <w:p>
      <w:pPr>
        <w:spacing w:after="0" w:line="283" w:lineRule="exact"/>
        <w:rPr>
          <w:sz w:val="20"/>
          <w:szCs w:val="20"/>
          <w:color w:val="auto"/>
        </w:rPr>
      </w:pPr>
    </w:p>
    <w:p>
      <w:pPr>
        <w:jc w:val="both"/>
        <w:ind w:left="40" w:hanging="2"/>
        <w:spacing w:after="0" w:line="226" w:lineRule="auto"/>
        <w:tabs>
          <w:tab w:leader="none" w:pos="149" w:val="left"/>
        </w:tabs>
        <w:numPr>
          <w:ilvl w:val="0"/>
          <w:numId w:val="3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 and perform (a) all taxes, assessments and other governmental charges that may be levied or assessed upon it or any of its Property and (b) all other Indebtedness, obligations and liabilities in accordance with customary trade practices, except where the failure to pay or perform such items described in clauses (a) or</w:t>
      </w:r>
    </w:p>
    <w:p>
      <w:pPr>
        <w:spacing w:after="0" w:line="66" w:lineRule="exact"/>
        <w:rPr>
          <w:sz w:val="20"/>
          <w:szCs w:val="20"/>
          <w:color w:val="auto"/>
        </w:rPr>
      </w:pPr>
    </w:p>
    <w:p>
      <w:pPr>
        <w:ind w:left="680" w:hanging="642"/>
        <w:spacing w:after="0"/>
        <w:tabs>
          <w:tab w:leader="none" w:pos="680" w:val="left"/>
        </w:tabs>
        <w:numPr>
          <w:ilvl w:val="0"/>
          <w:numId w:val="3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this Section could not reasonably be expected to have a Material Adverse Effect. SECTION</w:t>
      </w:r>
    </w:p>
    <w:p>
      <w:pPr>
        <w:spacing w:after="0" w:line="216" w:lineRule="exact"/>
        <w:rPr>
          <w:sz w:val="20"/>
          <w:szCs w:val="20"/>
          <w:color w:val="auto"/>
        </w:rPr>
      </w:pPr>
    </w:p>
    <w:p>
      <w:pPr>
        <w:ind w:left="680"/>
        <w:spacing w:after="0"/>
        <w:tabs>
          <w:tab w:leader="none" w:pos="1120" w:val="left"/>
        </w:tabs>
        <w:rPr>
          <w:sz w:val="20"/>
          <w:szCs w:val="20"/>
          <w:color w:val="auto"/>
        </w:rPr>
      </w:pPr>
      <w:r>
        <w:rPr>
          <w:rFonts w:ascii="Times New Roman" w:cs="Times New Roman" w:eastAsia="Times New Roman" w:hAnsi="Times New Roman"/>
          <w:sz w:val="20"/>
          <w:szCs w:val="20"/>
          <w:color w:val="auto"/>
        </w:rPr>
        <w:t>8.9</w:t>
      </w:r>
      <w:r>
        <w:rPr>
          <w:sz w:val="20"/>
          <w:szCs w:val="20"/>
          <w:color w:val="auto"/>
        </w:rPr>
        <w:tab/>
      </w:r>
      <w:r>
        <w:rPr>
          <w:rFonts w:ascii="Times New Roman" w:cs="Times New Roman" w:eastAsia="Times New Roman" w:hAnsi="Times New Roman"/>
          <w:sz w:val="19"/>
          <w:szCs w:val="19"/>
          <w:u w:val="single" w:color="auto"/>
          <w:color w:val="auto"/>
        </w:rPr>
        <w:t>Compliance with Laws and Approvals</w:t>
      </w:r>
    </w:p>
    <w:p>
      <w:pPr>
        <w:spacing w:after="0" w:line="94" w:lineRule="exact"/>
        <w:rPr>
          <w:sz w:val="20"/>
          <w:szCs w:val="20"/>
          <w:color w:val="auto"/>
        </w:rPr>
      </w:pPr>
    </w:p>
    <w:p>
      <w:pPr>
        <w:jc w:val="both"/>
        <w:ind w:left="40" w:hanging="2"/>
        <w:spacing w:after="0" w:line="230" w:lineRule="auto"/>
        <w:tabs>
          <w:tab w:leader="none" w:pos="194" w:val="left"/>
        </w:tabs>
        <w:numPr>
          <w:ilvl w:val="0"/>
          <w:numId w:val="3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Observe and remain in compliance in all material respects with all Applicable Laws and maintain in full force and effect all Governmental Approvals, in each case applicable to the conduct of its business except where the failure to do so could not reasonably be expected to have a Material Adverse Effect.</w:t>
      </w:r>
    </w:p>
    <w:p>
      <w:pPr>
        <w:spacing w:after="0" w:line="176" w:lineRule="exact"/>
        <w:rPr>
          <w:sz w:val="20"/>
          <w:szCs w:val="20"/>
          <w:color w:val="auto"/>
        </w:rPr>
      </w:pPr>
    </w:p>
    <w:p>
      <w:pPr>
        <w:ind w:left="680"/>
        <w:spacing w:after="0"/>
        <w:tabs>
          <w:tab w:leader="none" w:pos="2100" w:val="left"/>
        </w:tabs>
        <w:rPr>
          <w:sz w:val="20"/>
          <w:szCs w:val="20"/>
          <w:color w:val="auto"/>
        </w:rPr>
      </w:pPr>
      <w:r>
        <w:rPr>
          <w:rFonts w:ascii="Times New Roman" w:cs="Times New Roman" w:eastAsia="Times New Roman" w:hAnsi="Times New Roman"/>
          <w:sz w:val="20"/>
          <w:szCs w:val="20"/>
          <w:color w:val="auto"/>
        </w:rPr>
        <w:t>SECTION 8.10</w:t>
      </w:r>
      <w:r>
        <w:rPr>
          <w:sz w:val="20"/>
          <w:szCs w:val="20"/>
          <w:color w:val="auto"/>
        </w:rPr>
        <w:tab/>
      </w:r>
      <w:r>
        <w:rPr>
          <w:rFonts w:ascii="Times New Roman" w:cs="Times New Roman" w:eastAsia="Times New Roman" w:hAnsi="Times New Roman"/>
          <w:sz w:val="19"/>
          <w:szCs w:val="19"/>
          <w:u w:val="single" w:color="auto"/>
          <w:color w:val="auto"/>
        </w:rPr>
        <w:t>Environmental Laws</w:t>
      </w:r>
    </w:p>
    <w:p>
      <w:pPr>
        <w:spacing w:after="0" w:line="283" w:lineRule="exact"/>
        <w:rPr>
          <w:sz w:val="20"/>
          <w:szCs w:val="20"/>
          <w:color w:val="auto"/>
        </w:rPr>
      </w:pPr>
    </w:p>
    <w:p>
      <w:pPr>
        <w:jc w:val="both"/>
        <w:ind w:left="40" w:hanging="2"/>
        <w:spacing w:after="0" w:line="210" w:lineRule="auto"/>
        <w:tabs>
          <w:tab w:leader="none" w:pos="139" w:val="left"/>
        </w:tabs>
        <w:numPr>
          <w:ilvl w:val="0"/>
          <w:numId w:val="3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addition to and without limiting the generality of </w:t>
      </w:r>
      <w:r>
        <w:rPr>
          <w:rFonts w:ascii="Times New Roman" w:cs="Times New Roman" w:eastAsia="Times New Roman" w:hAnsi="Times New Roman"/>
          <w:sz w:val="20"/>
          <w:szCs w:val="20"/>
          <w:u w:val="single" w:color="auto"/>
          <w:color w:val="auto"/>
        </w:rPr>
        <w:t>Section 8.9</w:t>
      </w:r>
      <w:r>
        <w:rPr>
          <w:rFonts w:ascii="Times New Roman" w:cs="Times New Roman" w:eastAsia="Times New Roman" w:hAnsi="Times New Roman"/>
          <w:sz w:val="20"/>
          <w:szCs w:val="20"/>
          <w:color w:val="auto"/>
        </w:rPr>
        <w:t>, (a) comply with, and take commercially reasonable efforts to ensure such compliance by all tenants and subtenants with all applicable Environmental Laws and obtain and comply with and maintain, and take commercially reasonable efforts to ensure that all tenants and subtenants, if any, obtain and comply with and maintain, any and all licenses, approvals, notifications, registrations or permits required by applicable Environmental Laws, except with respect to any matters that could not reasonably be expected to result in a Material Adverse Effect, (b) conduct and complete all investigations, studies, sampling and testing, and all remedial, removal and other actions required under Environmental Laws, and promptly comply with all lawful orders and directives of any Governmental Authority regarding Environmental Laws, and (c) defend, indemnify and hold harmless the Administrative Agent and the Lenders, and their respective parents, Subsidiaries, Affiliates, employees, agents, officers and directors, from and against any claims, demands, penalties, fines, liabilities, settlements, damages, costs and expenses of whatever kind or nature known or unknown, contingent or otherwise, arising out of, or in any way relating to the presence of Hazardous Materials, or the violation of, noncompliance with or liability under any Environmental Laws applicable to the operations of the Consolidated Companies, or any orders, requirements or demands of Governmental Authorities related thereto, including, without limitation, reasonable attorney’s and consultant’s fees, investigation and laboratory fees, response costs, court costs and litigation expenses, except to the extent that any of the foregoing directly result from the gross negligence, willful misconduct or breach in bad faith of obligations of the party seeking indemnification therefor, as determined by a court of competent jurisdiction by final nonappealable judgment.</w:t>
      </w:r>
    </w:p>
    <w:p>
      <w:pPr>
        <w:spacing w:after="0" w:line="208" w:lineRule="exact"/>
        <w:rPr>
          <w:sz w:val="20"/>
          <w:szCs w:val="20"/>
          <w:color w:val="auto"/>
        </w:rPr>
      </w:pPr>
    </w:p>
    <w:p>
      <w:pPr>
        <w:ind w:left="680"/>
        <w:spacing w:after="0"/>
        <w:tabs>
          <w:tab w:leader="none" w:pos="2080" w:val="left"/>
        </w:tabs>
        <w:rPr>
          <w:sz w:val="20"/>
          <w:szCs w:val="20"/>
          <w:color w:val="auto"/>
        </w:rPr>
      </w:pPr>
      <w:r>
        <w:rPr>
          <w:rFonts w:ascii="Times New Roman" w:cs="Times New Roman" w:eastAsia="Times New Roman" w:hAnsi="Times New Roman"/>
          <w:sz w:val="20"/>
          <w:szCs w:val="20"/>
          <w:color w:val="auto"/>
        </w:rPr>
        <w:t>SECTION 8.11</w:t>
      </w:r>
      <w:r>
        <w:rPr>
          <w:sz w:val="20"/>
          <w:szCs w:val="20"/>
          <w:color w:val="auto"/>
        </w:rPr>
        <w:tab/>
      </w:r>
      <w:r>
        <w:rPr>
          <w:rFonts w:ascii="Times New Roman" w:cs="Times New Roman" w:eastAsia="Times New Roman" w:hAnsi="Times New Roman"/>
          <w:sz w:val="19"/>
          <w:szCs w:val="19"/>
          <w:u w:val="single" w:color="auto"/>
          <w:color w:val="auto"/>
        </w:rPr>
        <w:t>Compliance with ERISA and Canadian Pension Laws</w:t>
      </w:r>
    </w:p>
    <w:p>
      <w:pPr>
        <w:spacing w:after="0" w:line="270" w:lineRule="exact"/>
        <w:rPr>
          <w:sz w:val="20"/>
          <w:szCs w:val="20"/>
          <w:color w:val="auto"/>
        </w:rPr>
      </w:pPr>
    </w:p>
    <w:p>
      <w:pPr>
        <w:jc w:val="both"/>
        <w:ind w:left="40" w:hanging="2"/>
        <w:spacing w:after="0" w:line="212" w:lineRule="auto"/>
        <w:tabs>
          <w:tab w:leader="none" w:pos="139" w:val="left"/>
        </w:tabs>
        <w:numPr>
          <w:ilvl w:val="0"/>
          <w:numId w:val="3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addition to and without limiting the generality of </w:t>
      </w:r>
      <w:r>
        <w:rPr>
          <w:rFonts w:ascii="Times New Roman" w:cs="Times New Roman" w:eastAsia="Times New Roman" w:hAnsi="Times New Roman"/>
          <w:sz w:val="20"/>
          <w:szCs w:val="20"/>
          <w:u w:val="single" w:color="auto"/>
          <w:color w:val="auto"/>
        </w:rPr>
        <w:t>Section 8.9</w:t>
      </w:r>
      <w:r>
        <w:rPr>
          <w:rFonts w:ascii="Times New Roman" w:cs="Times New Roman" w:eastAsia="Times New Roman" w:hAnsi="Times New Roman"/>
          <w:sz w:val="20"/>
          <w:szCs w:val="20"/>
          <w:color w:val="auto"/>
        </w:rPr>
        <w:t>, (a) except where the failure to so comply could not, individually or in the aggregate, reasonably be expected to have a Material Adverse Effect, (i) comply with applicable provisions of ERISA, the Code and the regulations and published interpretations thereunder with respect to all Employee Benefit Plans and with Canadian Pension Laws with respect to all Canadian Employee Benefit Plans, (ii) not take any action or fail to take action the result of which could reasonably be expected to result in a liability to the PBGC or to a Multiemployer Plan or to a Canadian Multiemployer Plan, (iii) not participate in any prohibited transaction that could result in any civil penalty under ERISA or tax under the Code or any penalty or tax under Canadian Pension Laws and (iv) operate each Employee Benefit Plan in such a manner that will not incur any tax liability under Section 4980B of the Code or any liability to any qualified beneficiary as defined in Section 4980B of the Code, (b) comply with and perform in all material respects all of their obligations, including any fiduciary, funding, investment and administration obligations, under and in respect of each Canadian Employee Benefit Plan</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FF0000"/>
          <w:strike w:val="1"/>
        </w:rPr>
        <w:t>146960219_6</w:t>
      </w: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122</w:t>
      </w:r>
      <w:r>
        <w:rPr>
          <w:sz w:val="20"/>
          <w:szCs w:val="20"/>
          <w:color w:val="auto"/>
        </w:rPr>
        <w:tab/>
      </w: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080"/>
          </w:cols>
          <w:pgMar w:left="380" w:top="1399" w:right="439" w:bottom="1440" w:gutter="0" w:footer="0" w:header="0"/>
        </w:sectPr>
      </w:pPr>
    </w:p>
    <w:bookmarkStart w:id="205" w:name="page206"/>
    <w:bookmarkEnd w:id="205"/>
    <w:p>
      <w:pPr>
        <w:ind w:left="60"/>
        <w:spacing w:after="0"/>
        <w:rPr>
          <w:sz w:val="20"/>
          <w:szCs w:val="20"/>
          <w:color w:val="auto"/>
        </w:rPr>
      </w:pPr>
      <w:r>
        <w:rPr>
          <w:rFonts w:ascii="Times New Roman" w:cs="Times New Roman" w:eastAsia="Times New Roman" w:hAnsi="Times New Roman"/>
          <w:sz w:val="20"/>
          <w:szCs w:val="20"/>
          <w:color w:val="auto"/>
        </w:rPr>
        <w:t>under the terms thereof, any funding agreements, and all Applicable Laws, and (c) furnish to the Administrative Agent upon the</w:t>
      </w:r>
    </w:p>
    <w:p>
      <w:pPr>
        <w:ind w:left="60"/>
        <w:spacing w:after="0" w:line="204" w:lineRule="auto"/>
        <w:rPr>
          <w:sz w:val="20"/>
          <w:szCs w:val="20"/>
          <w:color w:val="auto"/>
        </w:rPr>
      </w:pPr>
      <w:r>
        <w:rPr>
          <w:rFonts w:ascii="Times New Roman" w:cs="Times New Roman" w:eastAsia="Times New Roman" w:hAnsi="Times New Roman"/>
          <w:sz w:val="20"/>
          <w:szCs w:val="20"/>
          <w:color w:val="auto"/>
        </w:rPr>
        <w:t>Administrative Agent’s request such additional information about any Employee Benefit Plan or Canadian Employee Benefit Plan as may be reasonably requested by the Administrative Agent. No Credit Party nor any Subsidiary shall at any time terminate or wind-up a</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Canadian Employee Benefit Plan unless there are no Canadian Pension Plan Unfunded Liabilities in excess of the Threshold Amount.</w:t>
      </w:r>
    </w:p>
    <w:p>
      <w:pPr>
        <w:spacing w:after="0" w:line="194" w:lineRule="exact"/>
        <w:rPr>
          <w:sz w:val="20"/>
          <w:szCs w:val="20"/>
          <w:color w:val="auto"/>
        </w:rPr>
      </w:pPr>
    </w:p>
    <w:p>
      <w:pPr>
        <w:ind w:left="700"/>
        <w:spacing w:after="0"/>
        <w:tabs>
          <w:tab w:leader="none" w:pos="2120" w:val="left"/>
        </w:tabs>
        <w:rPr>
          <w:sz w:val="20"/>
          <w:szCs w:val="20"/>
          <w:color w:val="auto"/>
        </w:rPr>
      </w:pPr>
      <w:r>
        <w:rPr>
          <w:rFonts w:ascii="Times New Roman" w:cs="Times New Roman" w:eastAsia="Times New Roman" w:hAnsi="Times New Roman"/>
          <w:sz w:val="20"/>
          <w:szCs w:val="20"/>
          <w:color w:val="auto"/>
        </w:rPr>
        <w:t>SECTION 8.12</w:t>
      </w:r>
      <w:r>
        <w:rPr>
          <w:sz w:val="20"/>
          <w:szCs w:val="20"/>
          <w:color w:val="auto"/>
        </w:rPr>
        <w:tab/>
      </w:r>
      <w:r>
        <w:rPr>
          <w:rFonts w:ascii="Times New Roman" w:cs="Times New Roman" w:eastAsia="Times New Roman" w:hAnsi="Times New Roman"/>
          <w:sz w:val="19"/>
          <w:szCs w:val="19"/>
          <w:u w:val="single" w:color="auto"/>
          <w:color w:val="auto"/>
        </w:rPr>
        <w:t>Maintenance of Debt Ratings</w:t>
      </w:r>
    </w:p>
    <w:p>
      <w:pPr>
        <w:spacing w:after="0" w:line="283" w:lineRule="exact"/>
        <w:rPr>
          <w:sz w:val="20"/>
          <w:szCs w:val="20"/>
          <w:color w:val="auto"/>
        </w:rPr>
      </w:pPr>
    </w:p>
    <w:p>
      <w:pPr>
        <w:ind w:left="700" w:right="5700" w:hanging="644"/>
        <w:spacing w:after="0" w:line="494" w:lineRule="auto"/>
        <w:tabs>
          <w:tab w:leader="none" w:pos="151" w:val="left"/>
        </w:tabs>
        <w:numPr>
          <w:ilvl w:val="0"/>
          <w:numId w:val="3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Use commercially reasonable efforts to maintain all Debt Ratings. SECTION 8.13 </w:t>
      </w:r>
      <w:r>
        <w:rPr>
          <w:rFonts w:ascii="Times New Roman" w:cs="Times New Roman" w:eastAsia="Times New Roman" w:hAnsi="Times New Roman"/>
          <w:sz w:val="20"/>
          <w:szCs w:val="20"/>
          <w:u w:val="single" w:color="auto"/>
          <w:color w:val="auto"/>
        </w:rPr>
        <w:t>Visits and Inspections</w:t>
      </w:r>
    </w:p>
    <w:p>
      <w:pPr>
        <w:spacing w:after="0" w:line="12" w:lineRule="exact"/>
        <w:rPr>
          <w:sz w:val="20"/>
          <w:szCs w:val="20"/>
          <w:color w:val="auto"/>
        </w:rPr>
      </w:pPr>
    </w:p>
    <w:p>
      <w:pPr>
        <w:jc w:val="both"/>
        <w:ind w:left="60" w:hanging="5"/>
        <w:spacing w:after="0" w:line="212" w:lineRule="auto"/>
        <w:tabs>
          <w:tab w:leader="none" w:pos="183" w:val="left"/>
        </w:tabs>
        <w:numPr>
          <w:ilvl w:val="0"/>
          <w:numId w:val="3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Permit representatives of the Administrative Agent or any Lender, from time to time upon prior reasonable notice and at such times during normal business hours, all at the expense of the Borrowers, to visit and inspect its properties; inspect, audit and make extracts from its books, records and files, including, but not limited to, management letters prepared by independent accountants; and discuss with its principal officers, and its independent accountants, its business, assets, liabilities, financial condition, results of operations and business prospects;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excluding any such visits and inspections during the continuation of an Event of Default, the Administrative Agent shall not exercise such rights more often than one (1) time during any calendar year at the Borrowers’ expense;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further that upon the occurrence and during the continuance of an Event of Default, the Administrative Agent or any Lender may do any of the foregoing at the expense of the Borrowers at any time without advance notice. Upon the request of the Administrative Agent or the Required Lenders, participate in a meeting of the Administrative Agent and Lenders once during each Fiscal Year, which meeting will be held at Centuri’s corporate offices (or such other location as may be agreed to by Centuri and the Administrative Agent) at such time as may be agreed by Centuri and the Administrative Agent.</w:t>
      </w:r>
    </w:p>
    <w:p>
      <w:pPr>
        <w:spacing w:after="0" w:line="195" w:lineRule="exact"/>
        <w:rPr>
          <w:sz w:val="20"/>
          <w:szCs w:val="20"/>
          <w:color w:val="auto"/>
        </w:rPr>
      </w:pPr>
    </w:p>
    <w:p>
      <w:pPr>
        <w:ind w:left="700"/>
        <w:spacing w:after="0"/>
        <w:tabs>
          <w:tab w:leader="none" w:pos="2120" w:val="left"/>
        </w:tabs>
        <w:rPr>
          <w:sz w:val="20"/>
          <w:szCs w:val="20"/>
          <w:color w:val="auto"/>
        </w:rPr>
      </w:pPr>
      <w:r>
        <w:rPr>
          <w:rFonts w:ascii="Times New Roman" w:cs="Times New Roman" w:eastAsia="Times New Roman" w:hAnsi="Times New Roman"/>
          <w:sz w:val="20"/>
          <w:szCs w:val="20"/>
          <w:color w:val="auto"/>
        </w:rPr>
        <w:t>SECTION 8.14</w:t>
      </w:r>
      <w:r>
        <w:rPr>
          <w:sz w:val="20"/>
          <w:szCs w:val="20"/>
          <w:color w:val="auto"/>
        </w:rPr>
        <w:tab/>
      </w:r>
      <w:r>
        <w:rPr>
          <w:rFonts w:ascii="Times New Roman" w:cs="Times New Roman" w:eastAsia="Times New Roman" w:hAnsi="Times New Roman"/>
          <w:sz w:val="19"/>
          <w:szCs w:val="19"/>
          <w:u w:val="single" w:color="auto"/>
          <w:color w:val="auto"/>
        </w:rPr>
        <w:t>Additional Subsidiaries and Collateral</w:t>
      </w:r>
      <w:r>
        <w:rPr>
          <w:rFonts w:ascii="Times New Roman" w:cs="Times New Roman" w:eastAsia="Times New Roman" w:hAnsi="Times New Roman"/>
          <w:sz w:val="19"/>
          <w:szCs w:val="19"/>
          <w:color w:val="auto"/>
        </w:rPr>
        <w:t>.</w:t>
      </w:r>
    </w:p>
    <w:p>
      <w:pPr>
        <w:spacing w:after="0" w:line="278" w:lineRule="exact"/>
        <w:rPr>
          <w:sz w:val="20"/>
          <w:szCs w:val="20"/>
          <w:color w:val="auto"/>
        </w:rPr>
      </w:pPr>
    </w:p>
    <w:p>
      <w:pPr>
        <w:ind w:left="700"/>
        <w:spacing w:after="0"/>
        <w:tabs>
          <w:tab w:leader="none" w:pos="1220" w:val="left"/>
        </w:tabs>
        <w:rPr>
          <w:sz w:val="20"/>
          <w:szCs w:val="20"/>
          <w:color w:val="auto"/>
        </w:rPr>
      </w:pPr>
      <w:r>
        <w:rPr>
          <w:rFonts w:ascii="Times New Roman" w:cs="Times New Roman" w:eastAsia="Times New Roman" w:hAnsi="Times New Roman"/>
          <w:sz w:val="20"/>
          <w:szCs w:val="20"/>
          <w:color w:val="auto"/>
        </w:rPr>
        <w:t>(aj)</w:t>
      </w:r>
      <w:r>
        <w:rPr>
          <w:sz w:val="20"/>
          <w:szCs w:val="20"/>
          <w:color w:val="auto"/>
        </w:rPr>
        <w:tab/>
      </w:r>
      <w:r>
        <w:rPr>
          <w:rFonts w:ascii="Times New Roman" w:cs="Times New Roman" w:eastAsia="Times New Roman" w:hAnsi="Times New Roman"/>
          <w:sz w:val="20"/>
          <w:szCs w:val="20"/>
          <w:u w:val="single" w:color="auto"/>
          <w:color w:val="auto"/>
        </w:rPr>
        <w:t>Additional US Subsidiaries</w:t>
      </w:r>
      <w:r>
        <w:rPr>
          <w:rFonts w:ascii="Times New Roman" w:cs="Times New Roman" w:eastAsia="Times New Roman" w:hAnsi="Times New Roman"/>
          <w:sz w:val="20"/>
          <w:szCs w:val="20"/>
          <w:color w:val="auto"/>
        </w:rPr>
        <w:t>. Promptly after (x) the creation or acquisition (including by statutory division) of any US</w:t>
      </w:r>
    </w:p>
    <w:p>
      <w:pPr>
        <w:ind w:left="60"/>
        <w:spacing w:after="0" w:line="204" w:lineRule="auto"/>
        <w:rPr>
          <w:sz w:val="20"/>
          <w:szCs w:val="20"/>
          <w:color w:val="auto"/>
        </w:rPr>
      </w:pPr>
      <w:r>
        <w:rPr>
          <w:rFonts w:ascii="Times New Roman" w:cs="Times New Roman" w:eastAsia="Times New Roman" w:hAnsi="Times New Roman"/>
          <w:sz w:val="20"/>
          <w:szCs w:val="20"/>
          <w:color w:val="auto"/>
        </w:rPr>
        <w:t>Subsidiary (other than an Excluded Subsidiary), (y) any US Subsidiary that is an Excluded Subsidiary failing to constitute an Excluded Subsidiary or (z) the re-designation of any Immaterial Subsidiary (and, in any event, within thirty (30) days after such event, as such time</w:t>
      </w:r>
    </w:p>
    <w:p>
      <w:pPr>
        <w:ind w:left="60"/>
        <w:spacing w:after="0" w:line="211" w:lineRule="auto"/>
        <w:rPr>
          <w:sz w:val="20"/>
          <w:szCs w:val="20"/>
          <w:color w:val="auto"/>
        </w:rPr>
      </w:pPr>
      <w:r>
        <w:rPr>
          <w:rFonts w:ascii="Times New Roman" w:cs="Times New Roman" w:eastAsia="Times New Roman" w:hAnsi="Times New Roman"/>
          <w:sz w:val="20"/>
          <w:szCs w:val="20"/>
          <w:color w:val="auto"/>
        </w:rPr>
        <w:t>period may be extended by the Administrative Agent in its sole discretion) cause such Person to (i) either (A) become a US Subsidiary</w:t>
      </w:r>
    </w:p>
    <w:p>
      <w:pPr>
        <w:spacing w:after="0" w:line="1" w:lineRule="exact"/>
        <w:rPr>
          <w:sz w:val="20"/>
          <w:szCs w:val="20"/>
          <w:color w:val="auto"/>
        </w:rPr>
      </w:pPr>
    </w:p>
    <w:p>
      <w:pPr>
        <w:ind w:left="60"/>
        <w:spacing w:after="0" w:line="204" w:lineRule="auto"/>
        <w:rPr>
          <w:sz w:val="20"/>
          <w:szCs w:val="20"/>
          <w:color w:val="auto"/>
        </w:rPr>
      </w:pPr>
      <w:r>
        <w:rPr>
          <w:rFonts w:ascii="Times New Roman" w:cs="Times New Roman" w:eastAsia="Times New Roman" w:hAnsi="Times New Roman"/>
          <w:sz w:val="20"/>
          <w:szCs w:val="20"/>
          <w:color w:val="auto"/>
        </w:rPr>
        <w:t>Guarantor by delivering to the Administrative Agent a duly executed supplement to the US Credit Party Guaranty Agreement or such other document as the Administrative Agent shall deem appropriate for such purpose, or (B) become an Additional Borrower in</w:t>
      </w:r>
    </w:p>
    <w:p>
      <w:pPr>
        <w:ind w:left="60"/>
        <w:spacing w:after="0" w:line="211" w:lineRule="auto"/>
        <w:rPr>
          <w:sz w:val="20"/>
          <w:szCs w:val="20"/>
          <w:color w:val="auto"/>
        </w:rPr>
      </w:pPr>
      <w:r>
        <w:rPr>
          <w:rFonts w:ascii="Times New Roman" w:cs="Times New Roman" w:eastAsia="Times New Roman" w:hAnsi="Times New Roman"/>
          <w:sz w:val="20"/>
          <w:szCs w:val="20"/>
          <w:color w:val="auto"/>
        </w:rPr>
        <w:t xml:space="preserve">compliance with </w:t>
      </w:r>
      <w:r>
        <w:rPr>
          <w:rFonts w:ascii="Times New Roman" w:cs="Times New Roman" w:eastAsia="Times New Roman" w:hAnsi="Times New Roman"/>
          <w:sz w:val="20"/>
          <w:szCs w:val="20"/>
          <w:u w:val="single" w:color="auto"/>
          <w:color w:val="auto"/>
        </w:rPr>
        <w:t>Section 5.17</w:t>
      </w:r>
      <w:r>
        <w:rPr>
          <w:rFonts w:ascii="Times New Roman" w:cs="Times New Roman" w:eastAsia="Times New Roman" w:hAnsi="Times New Roman"/>
          <w:sz w:val="20"/>
          <w:szCs w:val="20"/>
          <w:color w:val="auto"/>
        </w:rPr>
        <w:t>, (ii) grant a security interest, to secure all Secured Obligations, in all Collateral (subject to the exceptions</w:t>
      </w:r>
    </w:p>
    <w:p>
      <w:pPr>
        <w:spacing w:after="0" w:line="1" w:lineRule="exact"/>
        <w:rPr>
          <w:sz w:val="20"/>
          <w:szCs w:val="20"/>
          <w:color w:val="auto"/>
        </w:rPr>
      </w:pPr>
    </w:p>
    <w:p>
      <w:pPr>
        <w:ind w:left="60"/>
        <w:spacing w:after="0" w:line="204" w:lineRule="auto"/>
        <w:rPr>
          <w:sz w:val="20"/>
          <w:szCs w:val="20"/>
          <w:color w:val="auto"/>
        </w:rPr>
      </w:pPr>
      <w:r>
        <w:rPr>
          <w:rFonts w:ascii="Times New Roman" w:cs="Times New Roman" w:eastAsia="Times New Roman" w:hAnsi="Times New Roman"/>
          <w:sz w:val="20"/>
          <w:szCs w:val="20"/>
          <w:color w:val="auto"/>
        </w:rPr>
        <w:t>specified in the US Collateral Agreement) owned by such US Subsidiary by delivering to the Administrative Agent a duly executed supplement to each applicable Security Document or such other document as the Administrative Agent shall deem appropriate for such</w:t>
      </w:r>
    </w:p>
    <w:p>
      <w:pPr>
        <w:ind w:left="60"/>
        <w:spacing w:after="0" w:line="211" w:lineRule="auto"/>
        <w:rPr>
          <w:sz w:val="20"/>
          <w:szCs w:val="20"/>
          <w:color w:val="auto"/>
        </w:rPr>
      </w:pPr>
      <w:r>
        <w:rPr>
          <w:rFonts w:ascii="Times New Roman" w:cs="Times New Roman" w:eastAsia="Times New Roman" w:hAnsi="Times New Roman"/>
          <w:sz w:val="20"/>
          <w:szCs w:val="20"/>
          <w:color w:val="auto"/>
        </w:rPr>
        <w:t>purpose and comply with the terms of each applicable Security Document, (iii) deliver to the Administrative Agent such opinions,</w:t>
      </w:r>
    </w:p>
    <w:p>
      <w:pPr>
        <w:spacing w:after="0" w:line="1" w:lineRule="exact"/>
        <w:rPr>
          <w:sz w:val="20"/>
          <w:szCs w:val="20"/>
          <w:color w:val="auto"/>
        </w:rPr>
      </w:pPr>
    </w:p>
    <w:p>
      <w:pPr>
        <w:ind w:left="60" w:right="20"/>
        <w:spacing w:after="0" w:line="204" w:lineRule="auto"/>
        <w:rPr>
          <w:sz w:val="20"/>
          <w:szCs w:val="20"/>
          <w:color w:val="auto"/>
        </w:rPr>
      </w:pPr>
      <w:r>
        <w:rPr>
          <w:rFonts w:ascii="Times New Roman" w:cs="Times New Roman" w:eastAsia="Times New Roman" w:hAnsi="Times New Roman"/>
          <w:sz w:val="20"/>
          <w:szCs w:val="20"/>
          <w:color w:val="auto"/>
        </w:rPr>
        <w:t xml:space="preserve">documents and certificates referred to in </w:t>
      </w:r>
      <w:r>
        <w:rPr>
          <w:rFonts w:ascii="Times New Roman" w:cs="Times New Roman" w:eastAsia="Times New Roman" w:hAnsi="Times New Roman"/>
          <w:sz w:val="20"/>
          <w:szCs w:val="20"/>
          <w:u w:val="single" w:color="auto"/>
          <w:color w:val="auto"/>
        </w:rPr>
        <w:t>Section 6.1</w:t>
      </w:r>
      <w:r>
        <w:rPr>
          <w:rFonts w:ascii="Times New Roman" w:cs="Times New Roman" w:eastAsia="Times New Roman" w:hAnsi="Times New Roman"/>
          <w:sz w:val="20"/>
          <w:szCs w:val="20"/>
          <w:color w:val="auto"/>
        </w:rPr>
        <w:t xml:space="preserve"> as may be reasonably requested by the Administrative Agent, (iv) deliver to the Administrative Agent such original certificated Equity Interests or other certificates and stock or other transfer powers evidencing the</w:t>
      </w:r>
    </w:p>
    <w:p>
      <w:pPr>
        <w:ind w:left="60"/>
        <w:spacing w:after="0" w:line="211" w:lineRule="auto"/>
        <w:rPr>
          <w:sz w:val="20"/>
          <w:szCs w:val="20"/>
          <w:color w:val="auto"/>
        </w:rPr>
      </w:pPr>
      <w:r>
        <w:rPr>
          <w:rFonts w:ascii="Times New Roman" w:cs="Times New Roman" w:eastAsia="Times New Roman" w:hAnsi="Times New Roman"/>
          <w:sz w:val="20"/>
          <w:szCs w:val="20"/>
          <w:color w:val="auto"/>
        </w:rPr>
        <w:t>Equity Interests of such Person, (v) deliver to the Administrative Agent such updated Schedules to the Loan Documents as requested by</w:t>
      </w:r>
    </w:p>
    <w:p>
      <w:pPr>
        <w:spacing w:after="0" w:line="1" w:lineRule="exact"/>
        <w:rPr>
          <w:sz w:val="20"/>
          <w:szCs w:val="20"/>
          <w:color w:val="auto"/>
        </w:rPr>
      </w:pPr>
    </w:p>
    <w:p>
      <w:pPr>
        <w:ind w:left="60"/>
        <w:spacing w:after="0" w:line="221" w:lineRule="auto"/>
        <w:rPr>
          <w:sz w:val="20"/>
          <w:szCs w:val="20"/>
          <w:color w:val="auto"/>
        </w:rPr>
      </w:pPr>
      <w:r>
        <w:rPr>
          <w:rFonts w:ascii="Times New Roman" w:cs="Times New Roman" w:eastAsia="Times New Roman" w:hAnsi="Times New Roman"/>
          <w:sz w:val="20"/>
          <w:szCs w:val="20"/>
          <w:color w:val="auto"/>
        </w:rPr>
        <w:t>the Administrative Agent with respect to such Person, and (vi) deliver to the Administrative Agent such other documents as may be reasonably requested by the Administrative Agent, all in form, content and scope reasonably satisfactory to the Administrative Agent.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FF0000"/>
          <w:strike w:val="1"/>
        </w:rPr>
        <w:t>146960219_6</w:t>
      </w: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123</w:t>
      </w:r>
      <w:r>
        <w:rPr>
          <w:sz w:val="20"/>
          <w:szCs w:val="20"/>
          <w:color w:val="auto"/>
        </w:rPr>
        <w:tab/>
      </w: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080"/>
          </w:cols>
          <w:pgMar w:left="380" w:top="1394" w:right="439" w:bottom="1440" w:gutter="0" w:footer="0" w:header="0"/>
        </w:sectPr>
      </w:pPr>
    </w:p>
    <w:bookmarkStart w:id="206" w:name="page207"/>
    <w:bookmarkEnd w:id="206"/>
    <w:p>
      <w:pPr>
        <w:jc w:val="both"/>
        <w:ind w:left="40" w:firstLine="646"/>
        <w:spacing w:after="0" w:line="210" w:lineRule="auto"/>
        <w:tabs>
          <w:tab w:leader="none" w:pos="1245" w:val="left"/>
        </w:tabs>
        <w:numPr>
          <w:ilvl w:val="1"/>
          <w:numId w:val="3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Additional Canadian Subsidiaries</w:t>
      </w:r>
      <w:r>
        <w:rPr>
          <w:rFonts w:ascii="Times New Roman" w:cs="Times New Roman" w:eastAsia="Times New Roman" w:hAnsi="Times New Roman"/>
          <w:sz w:val="20"/>
          <w:szCs w:val="20"/>
          <w:color w:val="auto"/>
        </w:rPr>
        <w:t xml:space="preserve">. Promptly after (x) the creation or acquisition of any Canadian Subsidiary (other than an Excluded Subsidiary), (y) any Canadian Subsidiary that is an Excluded Subsidiary failing to constitute an Excluded Subsidiary or (z) the re-designation of any Immaterial Subsidiary (and in any event within thirty (30) days after such event, as such time period may be extended by the Administrative Agent in its sole discretion) cause such Canadian Subsidiary to (i) either (A) become a Canadian Subsidiary Guarantor by delivering to the Administrative Agent a duly executed supplement to the Canadian Credit Party Guarantee Agreement or such other document as the Administrative Agent shall deem appropriate for such purpose, or (B) become an Additional Borrower in compliance with </w:t>
      </w:r>
      <w:r>
        <w:rPr>
          <w:rFonts w:ascii="Times New Roman" w:cs="Times New Roman" w:eastAsia="Times New Roman" w:hAnsi="Times New Roman"/>
          <w:sz w:val="20"/>
          <w:szCs w:val="20"/>
          <w:u w:val="single" w:color="auto"/>
          <w:color w:val="auto"/>
        </w:rPr>
        <w:t>Section 5.17</w:t>
      </w:r>
      <w:r>
        <w:rPr>
          <w:rFonts w:ascii="Times New Roman" w:cs="Times New Roman" w:eastAsia="Times New Roman" w:hAnsi="Times New Roman"/>
          <w:sz w:val="20"/>
          <w:szCs w:val="20"/>
          <w:color w:val="auto"/>
        </w:rPr>
        <w:t xml:space="preserve">, (ii) grant a security interest, to secure all Canadian Secured Obligations, in all Collateral (subject to the exceptions specified in the Canadian Collateral Agreement) owned by such Canadian Subsidiary by delivering to the Administrative Agent a duly executed supplement to each applicable Security Document or such other document as the Administrative Agent shall deem appropriate for such purpose and comply with the terms of each applicable Security Document, (iii) deliver to the Administrative Agent such opinions, documents and certificates referred to in </w:t>
      </w:r>
      <w:r>
        <w:rPr>
          <w:rFonts w:ascii="Times New Roman" w:cs="Times New Roman" w:eastAsia="Times New Roman" w:hAnsi="Times New Roman"/>
          <w:sz w:val="20"/>
          <w:szCs w:val="20"/>
          <w:u w:val="single" w:color="auto"/>
          <w:color w:val="auto"/>
        </w:rPr>
        <w:t>Section 6.1</w:t>
      </w:r>
      <w:r>
        <w:rPr>
          <w:rFonts w:ascii="Times New Roman" w:cs="Times New Roman" w:eastAsia="Times New Roman" w:hAnsi="Times New Roman"/>
          <w:sz w:val="20"/>
          <w:szCs w:val="20"/>
          <w:color w:val="auto"/>
        </w:rPr>
        <w:t xml:space="preserve"> as may be reasonably requested by the Administrative Agent, (iv) deliver to the Administrative Agent such original certificated Equity Interests or other certificates and stock or other transfer powers evidencing the Equity Interests of such Person, (v) deliver to the Administrative Agent such updated Schedules to the Loan Documents as requested by the Administrative Agent with respect to such Person, and (vi) deliver to the Administrative Agent such other documents as may be reasonably requested by the Administrative Agent, all in form, content and scope reasonably satisfactory to the Administrative Agent.</w:t>
      </w:r>
    </w:p>
    <w:p>
      <w:pPr>
        <w:spacing w:after="0" w:line="195" w:lineRule="exact"/>
        <w:rPr>
          <w:rFonts w:ascii="Times New Roman" w:cs="Times New Roman" w:eastAsia="Times New Roman" w:hAnsi="Times New Roman"/>
          <w:sz w:val="20"/>
          <w:szCs w:val="20"/>
          <w:color w:val="auto"/>
        </w:rPr>
      </w:pPr>
    </w:p>
    <w:p>
      <w:pPr>
        <w:jc w:val="both"/>
        <w:ind w:left="40" w:firstLine="646"/>
        <w:spacing w:after="0" w:line="209" w:lineRule="auto"/>
        <w:tabs>
          <w:tab w:leader="none" w:pos="1243" w:val="left"/>
        </w:tabs>
        <w:numPr>
          <w:ilvl w:val="1"/>
          <w:numId w:val="3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Additional First Tier Foreign Subsidiaries</w:t>
      </w:r>
      <w:r>
        <w:rPr>
          <w:rFonts w:ascii="Times New Roman" w:cs="Times New Roman" w:eastAsia="Times New Roman" w:hAnsi="Times New Roman"/>
          <w:sz w:val="20"/>
          <w:szCs w:val="20"/>
          <w:color w:val="auto"/>
        </w:rPr>
        <w:t>. Notify the Administrative Agent promptly after any Person becomes a First Tier Foreign Subsidiary, and at the request of the Administrative Agent, promptly thereafter (and, in any event, within forty-five (45) days after such request, as such time period may be extended by the Administrative Agent in its sole discretion), cause (i) the applicable US Credit Party to deliver to the Administrative Agent Security Documents pledging (A) as security for the US Secured Obligations, sixty-six percent (66%) of the total outstanding voting Equity Interests (and one hundred percent (100%) of the non-voting Equity Interests) of any such new First Tier Foreign Subsidiary and (B) as security for the Canadian Secured Obligations, one hundred percent (100%) of the Equity Interests of any such new First Tier Foreign Subsidiary and, in each case, a consent thereto executed by such new First Tier Foreign Subsidiary (including, without limitation, if applicable, original stock certificates (or the equivalent thereof pursuant to the Applicable Laws and practices of any relevant foreign jurisdiction) evidencing the Equity Interests of such new First Tier Foreign Subsidiary, together with an appropriate undated stock power for each certificate duly executed in blank by the registered owner thereof),</w:t>
      </w:r>
    </w:p>
    <w:p>
      <w:pPr>
        <w:spacing w:after="0" w:line="3" w:lineRule="exact"/>
        <w:rPr>
          <w:rFonts w:ascii="Times New Roman" w:cs="Times New Roman" w:eastAsia="Times New Roman" w:hAnsi="Times New Roman"/>
          <w:sz w:val="20"/>
          <w:szCs w:val="20"/>
          <w:color w:val="auto"/>
        </w:rPr>
      </w:pPr>
    </w:p>
    <w:p>
      <w:pPr>
        <w:jc w:val="both"/>
        <w:ind w:left="40" w:hanging="2"/>
        <w:spacing w:after="0" w:line="212" w:lineRule="auto"/>
        <w:tabs>
          <w:tab w:leader="none" w:pos="592" w:val="left"/>
        </w:tabs>
        <w:numPr>
          <w:ilvl w:val="0"/>
          <w:numId w:val="3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such Person to deliver to the Administrative Agent such opinions, documents and certificates referred to in </w:t>
      </w:r>
      <w:r>
        <w:rPr>
          <w:rFonts w:ascii="Times New Roman" w:cs="Times New Roman" w:eastAsia="Times New Roman" w:hAnsi="Times New Roman"/>
          <w:sz w:val="20"/>
          <w:szCs w:val="20"/>
          <w:u w:val="single" w:color="auto"/>
          <w:color w:val="auto"/>
        </w:rPr>
        <w:t>Section 6.1</w:t>
      </w:r>
      <w:r>
        <w:rPr>
          <w:rFonts w:ascii="Times New Roman" w:cs="Times New Roman" w:eastAsia="Times New Roman" w:hAnsi="Times New Roman"/>
          <w:sz w:val="20"/>
          <w:szCs w:val="20"/>
          <w:color w:val="auto"/>
        </w:rPr>
        <w:t xml:space="preserve"> as may be reasonably requested by the Administrative Agent, (iii) such Person to deliver to the Administrative Agent such updated Schedules to the Loan Documents as requested by the Administrative Agent with regard to such Person and (iv) such Person to deliver to the Administrative Agent such other documents as may be reasonably requested by the Administrative Agent, all in form, content and scope reasonably satisfactory to the Administrative Agent.</w:t>
      </w:r>
    </w:p>
    <w:p>
      <w:pPr>
        <w:spacing w:after="0" w:line="191" w:lineRule="exact"/>
        <w:rPr>
          <w:sz w:val="20"/>
          <w:szCs w:val="20"/>
          <w:color w:val="auto"/>
        </w:rPr>
      </w:pPr>
    </w:p>
    <w:p>
      <w:pPr>
        <w:ind w:left="40" w:firstLine="648"/>
        <w:spacing w:after="0" w:line="234" w:lineRule="auto"/>
        <w:rPr>
          <w:sz w:val="20"/>
          <w:szCs w:val="20"/>
          <w:color w:val="auto"/>
        </w:rPr>
      </w:pPr>
      <w:r>
        <w:rPr>
          <w:rFonts w:ascii="Times New Roman" w:cs="Times New Roman" w:eastAsia="Times New Roman" w:hAnsi="Times New Roman"/>
          <w:sz w:val="19"/>
          <w:szCs w:val="19"/>
          <w:color w:val="auto"/>
        </w:rPr>
        <w:t xml:space="preserve">(ak) </w:t>
      </w:r>
      <w:r>
        <w:rPr>
          <w:rFonts w:ascii="Times New Roman" w:cs="Times New Roman" w:eastAsia="Times New Roman" w:hAnsi="Times New Roman"/>
          <w:sz w:val="19"/>
          <w:szCs w:val="19"/>
          <w:u w:val="single" w:color="auto"/>
          <w:color w:val="auto"/>
        </w:rPr>
        <w:t>Merger Subsidiaries</w:t>
      </w:r>
      <w:r>
        <w:rPr>
          <w:rFonts w:ascii="Times New Roman" w:cs="Times New Roman" w:eastAsia="Times New Roman" w:hAnsi="Times New Roman"/>
          <w:sz w:val="19"/>
          <w:szCs w:val="19"/>
          <w:color w:val="auto"/>
        </w:rPr>
        <w:t>. Notwithstanding the foregoing, to the extent any new Subsidiary is created solely for the purpose of consummating a merger transaction pursuant to a Permitted Acquisition, and such new Subsidiary at no time holds any assets or liabilities</w:t>
      </w:r>
    </w:p>
    <w:p>
      <w:pPr>
        <w:spacing w:after="0" w:line="1" w:lineRule="exact"/>
        <w:rPr>
          <w:sz w:val="20"/>
          <w:szCs w:val="20"/>
          <w:color w:val="auto"/>
        </w:rPr>
      </w:pPr>
    </w:p>
    <w:p>
      <w:pPr>
        <w:ind w:left="40"/>
        <w:spacing w:after="0" w:line="215" w:lineRule="auto"/>
        <w:rPr>
          <w:sz w:val="20"/>
          <w:szCs w:val="20"/>
          <w:color w:val="auto"/>
        </w:rPr>
      </w:pPr>
      <w:r>
        <w:rPr>
          <w:rFonts w:ascii="Times New Roman" w:cs="Times New Roman" w:eastAsia="Times New Roman" w:hAnsi="Times New Roman"/>
          <w:sz w:val="19"/>
          <w:szCs w:val="19"/>
          <w:color w:val="auto"/>
        </w:rPr>
        <w:t xml:space="preserve">other than any merger consideration contributed to it contemporaneously with the closing of such merger transaction, such new Subsidiary shall not be required to take the actions set forth in </w:t>
      </w:r>
      <w:r>
        <w:rPr>
          <w:rFonts w:ascii="Times New Roman" w:cs="Times New Roman" w:eastAsia="Times New Roman" w:hAnsi="Times New Roman"/>
          <w:sz w:val="19"/>
          <w:szCs w:val="19"/>
          <w:u w:val="single" w:color="auto"/>
          <w:color w:val="auto"/>
        </w:rPr>
        <w:t>Section 8.14(a)</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as applicable, until the consummation of such Permitted</w:t>
      </w:r>
    </w:p>
    <w:p>
      <w:pPr>
        <w:ind w:left="40"/>
        <w:spacing w:after="0" w:line="222" w:lineRule="auto"/>
        <w:rPr>
          <w:sz w:val="20"/>
          <w:szCs w:val="20"/>
          <w:color w:val="auto"/>
        </w:rPr>
      </w:pPr>
      <w:r>
        <w:rPr>
          <w:rFonts w:ascii="Times New Roman" w:cs="Times New Roman" w:eastAsia="Times New Roman" w:hAnsi="Times New Roman"/>
          <w:sz w:val="19"/>
          <w:szCs w:val="19"/>
          <w:color w:val="auto"/>
        </w:rPr>
        <w:t xml:space="preserve">Acquisition (at which time, the surviving entity of the respective merger transaction shall be required to so comply with </w:t>
      </w:r>
      <w:r>
        <w:rPr>
          <w:rFonts w:ascii="Times New Roman" w:cs="Times New Roman" w:eastAsia="Times New Roman" w:hAnsi="Times New Roman"/>
          <w:sz w:val="19"/>
          <w:szCs w:val="19"/>
          <w:u w:val="single" w:color="auto"/>
          <w:color w:val="auto"/>
        </w:rPr>
        <w:t>Section 8.14(a)</w:t>
      </w:r>
      <w:r>
        <w:rPr>
          <w:rFonts w:ascii="Times New Roman" w:cs="Times New Roman" w:eastAsia="Times New Roman" w:hAnsi="Times New Roman"/>
          <w:sz w:val="19"/>
          <w:szCs w:val="19"/>
          <w:color w:val="auto"/>
        </w:rPr>
        <w:t xml:space="preserve"> or</w:t>
      </w:r>
    </w:p>
    <w:p>
      <w:pPr>
        <w:ind w:left="40" w:right="20"/>
        <w:spacing w:after="0" w:line="221" w:lineRule="auto"/>
        <w:rPr>
          <w:sz w:val="20"/>
          <w:szCs w:val="20"/>
          <w:color w:val="auto"/>
        </w:rPr>
      </w:pP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as applicable, within ten (10) Business Days of the consummation of such Permitted Acquisition, as such time period may be extended by the Administrative Agent in its sole discretion).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FF0000"/>
          <w:strike w:val="1"/>
        </w:rPr>
        <w:t>146960219_6</w:t>
      </w: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124</w:t>
      </w:r>
      <w:r>
        <w:rPr>
          <w:sz w:val="20"/>
          <w:szCs w:val="20"/>
          <w:color w:val="auto"/>
        </w:rPr>
        <w:tab/>
      </w: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080"/>
          </w:cols>
          <w:pgMar w:left="380" w:top="1399" w:right="439" w:bottom="1440" w:gutter="0" w:footer="0" w:header="0"/>
        </w:sectPr>
      </w:pPr>
    </w:p>
    <w:bookmarkStart w:id="207" w:name="page208"/>
    <w:bookmarkEnd w:id="207"/>
    <w:p>
      <w:pPr>
        <w:jc w:val="both"/>
        <w:ind w:left="60" w:firstLine="644"/>
        <w:spacing w:after="0" w:line="211" w:lineRule="auto"/>
        <w:tabs>
          <w:tab w:leader="none" w:pos="1238" w:val="left"/>
        </w:tabs>
        <w:numPr>
          <w:ilvl w:val="0"/>
          <w:numId w:val="3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Additional Collateral</w:t>
      </w:r>
      <w:r>
        <w:rPr>
          <w:rFonts w:ascii="Times New Roman" w:cs="Times New Roman" w:eastAsia="Times New Roman" w:hAnsi="Times New Roman"/>
          <w:sz w:val="20"/>
          <w:szCs w:val="20"/>
          <w:color w:val="auto"/>
        </w:rPr>
        <w:t>. After the Closing Date, Centuri will notify the Administrative Agent in writing promptly upon any Credit Party’s acquisition (including any acquisition by statutory division) or ownership of any Collateral not already covered by the US Collateral Agreement or Canadian Collateral Agreement, as applicable (such acquisition or ownership being herein called an “</w:t>
      </w:r>
      <w:r>
        <w:rPr>
          <w:rFonts w:ascii="Times New Roman" w:cs="Times New Roman" w:eastAsia="Times New Roman" w:hAnsi="Times New Roman"/>
          <w:sz w:val="20"/>
          <w:szCs w:val="20"/>
          <w:u w:val="single" w:color="auto"/>
          <w:color w:val="auto"/>
        </w:rPr>
        <w:t>Additional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Collateral Event</w:t>
      </w:r>
      <w:r>
        <w:rPr>
          <w:rFonts w:ascii="Times New Roman" w:cs="Times New Roman" w:eastAsia="Times New Roman" w:hAnsi="Times New Roman"/>
          <w:sz w:val="20"/>
          <w:szCs w:val="20"/>
          <w:color w:val="auto"/>
        </w:rPr>
        <w:t>” and the property so acquired or owned being herein called “</w:t>
      </w:r>
      <w:r>
        <w:rPr>
          <w:rFonts w:ascii="Times New Roman" w:cs="Times New Roman" w:eastAsia="Times New Roman" w:hAnsi="Times New Roman"/>
          <w:sz w:val="20"/>
          <w:szCs w:val="20"/>
          <w:u w:val="single" w:color="auto"/>
          <w:color w:val="auto"/>
        </w:rPr>
        <w:t>Additional Collateral</w:t>
      </w:r>
      <w:r>
        <w:rPr>
          <w:rFonts w:ascii="Times New Roman" w:cs="Times New Roman" w:eastAsia="Times New Roman" w:hAnsi="Times New Roman"/>
          <w:sz w:val="20"/>
          <w:szCs w:val="20"/>
          <w:color w:val="auto"/>
        </w:rPr>
        <w:t>”). As soon as practicable and in any event within thirty (30) days (or such longer period as the Administrative Agent shall agree) after an Additional Collateral Event, the applicable Credit Party shall (i) execute and deliver or cause to be executed and delivered Security Documents, in form and substance reasonably satisfactory to Administrative Agent, in favor of Administrative Agent and duly executed by the applicable Credit Party, covering and effecting and granting a first-priority Lien (subject to Permitted Liens) upon the applicable Additional Collateral, and such other documents (including, without limitation, certificates and legal opinions, all in form and substance reasonably satisfactory to Administrative Agent) as may be reasonably required by Administrative Agent in connection with the execution and delivery of such Security Documents and (ii) deliver or cause to be delivered by the Consolidated Companies such other documents or certificates consistent with the terms of this Agreement and relating to the transactions contemplated hereby as Administrative Agent may reasonably request.</w:t>
      </w:r>
    </w:p>
    <w:p>
      <w:pPr>
        <w:spacing w:after="0" w:line="193" w:lineRule="exact"/>
        <w:rPr>
          <w:sz w:val="20"/>
          <w:szCs w:val="20"/>
          <w:color w:val="auto"/>
        </w:rPr>
      </w:pPr>
    </w:p>
    <w:p>
      <w:pPr>
        <w:ind w:left="700"/>
        <w:spacing w:after="0"/>
        <w:tabs>
          <w:tab w:leader="none" w:pos="2120" w:val="left"/>
        </w:tabs>
        <w:rPr>
          <w:sz w:val="20"/>
          <w:szCs w:val="20"/>
          <w:color w:val="auto"/>
        </w:rPr>
      </w:pPr>
      <w:r>
        <w:rPr>
          <w:rFonts w:ascii="Times New Roman" w:cs="Times New Roman" w:eastAsia="Times New Roman" w:hAnsi="Times New Roman"/>
          <w:sz w:val="20"/>
          <w:szCs w:val="20"/>
          <w:color w:val="auto"/>
        </w:rPr>
        <w:t>SECTION 8.15</w:t>
      </w:r>
      <w:r>
        <w:rPr>
          <w:sz w:val="20"/>
          <w:szCs w:val="20"/>
          <w:color w:val="auto"/>
        </w:rPr>
        <w:tab/>
      </w:r>
      <w:r>
        <w:rPr>
          <w:rFonts w:ascii="Times New Roman" w:cs="Times New Roman" w:eastAsia="Times New Roman" w:hAnsi="Times New Roman"/>
          <w:sz w:val="19"/>
          <w:szCs w:val="19"/>
          <w:u w:val="single" w:color="auto"/>
          <w:color w:val="auto"/>
        </w:rPr>
        <w:t>Use of Proceeds</w:t>
      </w:r>
    </w:p>
    <w:p>
      <w:pPr>
        <w:spacing w:after="0" w:line="270" w:lineRule="exact"/>
        <w:rPr>
          <w:sz w:val="20"/>
          <w:szCs w:val="20"/>
          <w:color w:val="auto"/>
        </w:rPr>
      </w:pPr>
    </w:p>
    <w:p>
      <w:pPr>
        <w:jc w:val="both"/>
        <w:ind w:left="60" w:hanging="4"/>
        <w:spacing w:after="0" w:line="226" w:lineRule="auto"/>
        <w:tabs>
          <w:tab w:leader="none" w:pos="161" w:val="left"/>
        </w:tabs>
        <w:numPr>
          <w:ilvl w:val="0"/>
          <w:numId w:val="3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Borrowers shall use the proceeds of the Extensions of Credit (a) to finance the Transactions, (b) pay fees, commissions and expenses in connection with the Transactions, and (c) for working capital and general corporate purposes of the Consolidated Companies, including the payment of certain fees and expenses incurred in connection with the Transactions and this Agreement. No Borrower will request any Extension of Credit, nor shall any Borrower use, and each Borrower shall ensure that its Subsidiaries and its or their respective directors, officers, employees and agents shall not use, the proceeds of any Extension of Credit (i) in furtherance of an offer, payment, promise to pay, or authorization of the payment or giving of money, or anything else of value, to any Person in violation of any Anti-Corruption Laws, (ii) for the purpose of funding, financing or facilitating any activities, business or transaction of or with any Sanctioned Person, or in any Sanctioned Country or (iii) in any manner that would result in the violation of any Sanctions applicable to any party hereto.</w:t>
      </w:r>
    </w:p>
    <w:p>
      <w:pPr>
        <w:spacing w:after="0" w:line="190" w:lineRule="exact"/>
        <w:rPr>
          <w:sz w:val="20"/>
          <w:szCs w:val="20"/>
          <w:color w:val="auto"/>
        </w:rPr>
      </w:pPr>
    </w:p>
    <w:p>
      <w:pPr>
        <w:ind w:left="700"/>
        <w:spacing w:after="0"/>
        <w:tabs>
          <w:tab w:leader="none" w:pos="2120" w:val="left"/>
        </w:tabs>
        <w:rPr>
          <w:sz w:val="20"/>
          <w:szCs w:val="20"/>
          <w:color w:val="auto"/>
        </w:rPr>
      </w:pPr>
      <w:r>
        <w:rPr>
          <w:rFonts w:ascii="Times New Roman" w:cs="Times New Roman" w:eastAsia="Times New Roman" w:hAnsi="Times New Roman"/>
          <w:sz w:val="20"/>
          <w:szCs w:val="20"/>
          <w:color w:val="auto"/>
        </w:rPr>
        <w:t>SECTION 8.16</w:t>
      </w:r>
      <w:r>
        <w:rPr>
          <w:sz w:val="20"/>
          <w:szCs w:val="20"/>
          <w:color w:val="auto"/>
        </w:rPr>
        <w:tab/>
      </w:r>
      <w:r>
        <w:rPr>
          <w:rFonts w:ascii="Times New Roman" w:cs="Times New Roman" w:eastAsia="Times New Roman" w:hAnsi="Times New Roman"/>
          <w:sz w:val="19"/>
          <w:szCs w:val="19"/>
          <w:u w:val="single" w:color="auto"/>
          <w:color w:val="auto"/>
        </w:rPr>
        <w:t>Corporate Governance</w:t>
      </w:r>
    </w:p>
    <w:p>
      <w:pPr>
        <w:spacing w:after="0" w:line="283" w:lineRule="exact"/>
        <w:rPr>
          <w:sz w:val="20"/>
          <w:szCs w:val="20"/>
          <w:color w:val="auto"/>
        </w:rPr>
      </w:pPr>
    </w:p>
    <w:p>
      <w:pPr>
        <w:jc w:val="both"/>
        <w:ind w:left="60" w:hanging="4"/>
        <w:spacing w:after="0" w:line="215" w:lineRule="auto"/>
        <w:tabs>
          <w:tab w:leader="none" w:pos="182" w:val="left"/>
        </w:tabs>
        <w:numPr>
          <w:ilvl w:val="0"/>
          <w:numId w:val="3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Maintain entity records and books of account separate from those of any other entity which is an Affiliate of such entity, (b) not commingle its funds or assets with those of any other entity which is an Affiliate of such entity (except pursuant to cash management systems reasonably acceptable to the Administrative Agent) and (c) provide that its board of directors (or equivalent governing body) will hold all appropriate meetings, or act by unanimous written consent, to authorize and approve such entity’s actions, which meetings will be separate from those of any other entity which is an Affiliate of such entity;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Centuri and Southwest Administrators, Inc. shall be permitted, at the request of Centuri, to (x) maintain entity records and books of account that are not separate and (y) commingle their funds and assets on an as needed basis to conduct the Consolidated Companies’ business in its ordinary course consistent with past practices.</w:t>
      </w:r>
    </w:p>
    <w:p>
      <w:pPr>
        <w:spacing w:after="0" w:line="174" w:lineRule="exact"/>
        <w:rPr>
          <w:sz w:val="20"/>
          <w:szCs w:val="20"/>
          <w:color w:val="auto"/>
        </w:rPr>
      </w:pPr>
    </w:p>
    <w:p>
      <w:pPr>
        <w:ind w:left="700"/>
        <w:spacing w:after="0"/>
        <w:tabs>
          <w:tab w:leader="none" w:pos="2120" w:val="left"/>
        </w:tabs>
        <w:rPr>
          <w:sz w:val="20"/>
          <w:szCs w:val="20"/>
          <w:color w:val="auto"/>
        </w:rPr>
      </w:pPr>
      <w:r>
        <w:rPr>
          <w:rFonts w:ascii="Times New Roman" w:cs="Times New Roman" w:eastAsia="Times New Roman" w:hAnsi="Times New Roman"/>
          <w:sz w:val="20"/>
          <w:szCs w:val="20"/>
          <w:color w:val="auto"/>
        </w:rPr>
        <w:t>SECTION 8.17</w:t>
      </w:r>
      <w:r>
        <w:rPr>
          <w:sz w:val="20"/>
          <w:szCs w:val="20"/>
          <w:color w:val="auto"/>
        </w:rPr>
        <w:tab/>
      </w:r>
      <w:r>
        <w:rPr>
          <w:rFonts w:ascii="Times New Roman" w:cs="Times New Roman" w:eastAsia="Times New Roman" w:hAnsi="Times New Roman"/>
          <w:sz w:val="19"/>
          <w:szCs w:val="19"/>
          <w:u w:val="single" w:color="auto"/>
          <w:color w:val="auto"/>
        </w:rPr>
        <w:t>Further Assurances</w:t>
      </w:r>
    </w:p>
    <w:p>
      <w:pPr>
        <w:spacing w:after="0" w:line="283" w:lineRule="exact"/>
        <w:rPr>
          <w:sz w:val="20"/>
          <w:szCs w:val="20"/>
          <w:color w:val="auto"/>
        </w:rPr>
      </w:pPr>
    </w:p>
    <w:p>
      <w:pPr>
        <w:jc w:val="both"/>
        <w:ind w:left="60" w:hanging="5"/>
        <w:spacing w:after="0" w:line="222" w:lineRule="auto"/>
        <w:tabs>
          <w:tab w:leader="none" w:pos="162" w:val="left"/>
        </w:tabs>
        <w:numPr>
          <w:ilvl w:val="0"/>
          <w:numId w:val="3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any and all further documents, financing statements, agreements and instruments, and take all such further actions (including the filing and recording of financing statements and other documents), which may be required under any Applicable Law, or which the Administrative Agent or the Required Lenders may reasonably request, to effectuate the transactions contemplated by the Loan Documents or to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FF0000"/>
          <w:strike w:val="1"/>
        </w:rPr>
        <w:t>146960219_6</w:t>
      </w: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125</w:t>
      </w:r>
      <w:r>
        <w:rPr>
          <w:sz w:val="20"/>
          <w:szCs w:val="20"/>
          <w:color w:val="auto"/>
        </w:rPr>
        <w:tab/>
      </w: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080"/>
          </w:cols>
          <w:pgMar w:left="380" w:top="1399" w:right="439" w:bottom="1440" w:gutter="0" w:footer="0" w:header="0"/>
        </w:sectPr>
      </w:pPr>
    </w:p>
    <w:bookmarkStart w:id="208" w:name="page209"/>
    <w:bookmarkEnd w:id="208"/>
    <w:p>
      <w:pPr>
        <w:spacing w:after="0" w:line="203" w:lineRule="exact"/>
        <w:rPr>
          <w:sz w:val="20"/>
          <w:szCs w:val="20"/>
          <w:color w:val="auto"/>
        </w:rPr>
      </w:pPr>
    </w:p>
    <w:p>
      <w:pPr>
        <w:ind w:left="60" w:right="320"/>
        <w:spacing w:after="0"/>
        <w:rPr>
          <w:sz w:val="20"/>
          <w:szCs w:val="20"/>
          <w:color w:val="auto"/>
        </w:rPr>
      </w:pPr>
      <w:r>
        <w:rPr>
          <w:rFonts w:ascii="Times New Roman" w:cs="Times New Roman" w:eastAsia="Times New Roman" w:hAnsi="Times New Roman"/>
          <w:sz w:val="20"/>
          <w:szCs w:val="20"/>
          <w:color w:val="auto"/>
        </w:rPr>
        <w:t>preserve, protect or perfect the Liens created or intended to be created by the Security Documents or the validity or priority of any such Lien, all at the expense of the Credit Parties.</w:t>
      </w:r>
    </w:p>
    <w:p>
      <w:pPr>
        <w:spacing w:after="0" w:line="188" w:lineRule="exact"/>
        <w:rPr>
          <w:sz w:val="20"/>
          <w:szCs w:val="20"/>
          <w:color w:val="auto"/>
        </w:rPr>
      </w:pPr>
    </w:p>
    <w:p>
      <w:pPr>
        <w:ind w:left="60" w:right="180" w:firstLine="648"/>
        <w:spacing w:after="0"/>
        <w:rPr>
          <w:sz w:val="20"/>
          <w:szCs w:val="20"/>
          <w:color w:val="auto"/>
        </w:rPr>
      </w:pPr>
      <w:r>
        <w:rPr>
          <w:rFonts w:ascii="Times New Roman" w:cs="Times New Roman" w:eastAsia="Times New Roman" w:hAnsi="Times New Roman"/>
          <w:sz w:val="20"/>
          <w:szCs w:val="20"/>
          <w:color w:val="auto"/>
        </w:rPr>
        <w:t xml:space="preserve">SECTION 8.18 </w:t>
      </w:r>
      <w:r>
        <w:rPr>
          <w:rFonts w:ascii="Times New Roman" w:cs="Times New Roman" w:eastAsia="Times New Roman" w:hAnsi="Times New Roman"/>
          <w:sz w:val="20"/>
          <w:szCs w:val="20"/>
          <w:u w:val="single" w:color="auto"/>
          <w:color w:val="auto"/>
        </w:rPr>
        <w:t>Compliance with Anti-Corruption Laws; Beneficial Ownership Regulation, Anti-Money Laundering Laws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Sanctions</w:t>
      </w:r>
    </w:p>
    <w:p>
      <w:pPr>
        <w:spacing w:after="0" w:line="242" w:lineRule="exact"/>
        <w:rPr>
          <w:sz w:val="20"/>
          <w:szCs w:val="20"/>
          <w:color w:val="auto"/>
        </w:rPr>
      </w:pPr>
    </w:p>
    <w:p>
      <w:pPr>
        <w:jc w:val="both"/>
        <w:ind w:left="60" w:hanging="4"/>
        <w:spacing w:after="0" w:line="215" w:lineRule="auto"/>
        <w:tabs>
          <w:tab w:leader="none" w:pos="201" w:val="left"/>
        </w:tabs>
        <w:numPr>
          <w:ilvl w:val="0"/>
          <w:numId w:val="3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Borrower will maintain in effect and enforce policies and procedures designed to ensure compliance by such Borrower, its Subsidiaries and their respective directors, officers, employees and agents (a) in all material respects with Anti-Corruption Laws and applicable Sanctions, (b) notify the Administrative Agent and each Lender that previously received a Beneficial Ownership Certification of any change in the information provided in the Beneficial Ownership Certification that would result in a change to the list of beneficial owners identified therein and (c) promptly upon the reasonable request of the Administrative Agent or any Lender, provide the Administrative Agent or such Lender, as the case may be, any information or documentation requested by it for purposes of complying with the Beneficial Ownership Regulation.</w:t>
      </w:r>
    </w:p>
    <w:p>
      <w:pPr>
        <w:spacing w:after="0" w:line="191" w:lineRule="exact"/>
        <w:rPr>
          <w:sz w:val="20"/>
          <w:szCs w:val="20"/>
          <w:color w:val="auto"/>
        </w:rPr>
      </w:pPr>
    </w:p>
    <w:p>
      <w:pPr>
        <w:ind w:left="700"/>
        <w:spacing w:after="0"/>
        <w:tabs>
          <w:tab w:leader="none" w:pos="2120" w:val="left"/>
        </w:tabs>
        <w:rPr>
          <w:sz w:val="20"/>
          <w:szCs w:val="20"/>
          <w:color w:val="auto"/>
        </w:rPr>
      </w:pPr>
      <w:r>
        <w:rPr>
          <w:rFonts w:ascii="Times New Roman" w:cs="Times New Roman" w:eastAsia="Times New Roman" w:hAnsi="Times New Roman"/>
          <w:sz w:val="20"/>
          <w:szCs w:val="20"/>
          <w:color w:val="auto"/>
        </w:rPr>
        <w:t>SECTION 8.19</w:t>
      </w:r>
      <w:r>
        <w:rPr>
          <w:sz w:val="20"/>
          <w:szCs w:val="20"/>
          <w:color w:val="auto"/>
        </w:rPr>
        <w:tab/>
      </w:r>
      <w:r>
        <w:rPr>
          <w:rFonts w:ascii="Times New Roman" w:cs="Times New Roman" w:eastAsia="Times New Roman" w:hAnsi="Times New Roman"/>
          <w:sz w:val="19"/>
          <w:szCs w:val="19"/>
          <w:u w:val="single" w:color="auto"/>
          <w:color w:val="auto"/>
        </w:rPr>
        <w:t>Post-Closing Matters</w:t>
      </w:r>
    </w:p>
    <w:p>
      <w:pPr>
        <w:spacing w:after="0" w:line="297" w:lineRule="exact"/>
        <w:rPr>
          <w:sz w:val="20"/>
          <w:szCs w:val="20"/>
          <w:color w:val="auto"/>
        </w:rPr>
      </w:pPr>
    </w:p>
    <w:p>
      <w:pPr>
        <w:ind w:left="60" w:right="380" w:hanging="4"/>
        <w:spacing w:after="0" w:line="269" w:lineRule="auto"/>
        <w:tabs>
          <w:tab w:leader="none" w:pos="159" w:val="left"/>
        </w:tabs>
        <w:numPr>
          <w:ilvl w:val="0"/>
          <w:numId w:val="3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Execute and deliver the documents and complete the tasks set forth on </w:t>
      </w:r>
      <w:r>
        <w:rPr>
          <w:rFonts w:ascii="Times New Roman" w:cs="Times New Roman" w:eastAsia="Times New Roman" w:hAnsi="Times New Roman"/>
          <w:sz w:val="20"/>
          <w:szCs w:val="20"/>
          <w:u w:val="single" w:color="auto"/>
          <w:color w:val="auto"/>
        </w:rPr>
        <w:t>Schedule 8.19</w:t>
      </w:r>
      <w:r>
        <w:rPr>
          <w:rFonts w:ascii="Times New Roman" w:cs="Times New Roman" w:eastAsia="Times New Roman" w:hAnsi="Times New Roman"/>
          <w:sz w:val="20"/>
          <w:szCs w:val="20"/>
          <w:color w:val="auto"/>
        </w:rPr>
        <w:t>, in each case within the time limits specified on such schedule.</w:t>
      </w:r>
    </w:p>
    <w:p>
      <w:pPr>
        <w:spacing w:after="0" w:line="308"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0"/>
          <w:szCs w:val="20"/>
          <w:color w:val="auto"/>
        </w:rPr>
        <w:t>ARTICLE IX NEGATIVE COVENANTS</w:t>
      </w:r>
    </w:p>
    <w:p>
      <w:pPr>
        <w:spacing w:after="0" w:line="108" w:lineRule="exact"/>
        <w:rPr>
          <w:sz w:val="20"/>
          <w:szCs w:val="20"/>
          <w:color w:val="auto"/>
        </w:rPr>
      </w:pPr>
    </w:p>
    <w:p>
      <w:pPr>
        <w:jc w:val="both"/>
        <w:ind w:left="60" w:firstLine="649"/>
        <w:spacing w:after="0" w:line="254" w:lineRule="auto"/>
        <w:rPr>
          <w:sz w:val="20"/>
          <w:szCs w:val="20"/>
          <w:color w:val="auto"/>
        </w:rPr>
      </w:pPr>
      <w:r>
        <w:rPr>
          <w:sz w:val="1"/>
          <w:szCs w:val="1"/>
          <w:color w:val="auto"/>
        </w:rPr>
        <w:drawing>
          <wp:inline distT="0" distB="0" distL="0" distR="0">
            <wp:extent cx="68580" cy="60325"/>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68580" cy="60325"/>
                    </a:xfrm>
                    <a:prstGeom prst="rect">
                      <a:avLst/>
                    </a:prstGeom>
                    <a:noFill/>
                    <a:ln>
                      <a:noFill/>
                    </a:ln>
                  </pic:spPr>
                </pic:pic>
              </a:graphicData>
            </a:graphic>
          </wp:inline>
        </w:drawing>
      </w:r>
      <w:r>
        <w:rPr>
          <w:rFonts w:ascii="Times New Roman" w:cs="Times New Roman" w:eastAsia="Times New Roman" w:hAnsi="Times New Roman"/>
          <w:sz w:val="20"/>
          <w:szCs w:val="20"/>
          <w:color w:val="auto"/>
        </w:rPr>
        <w:t>Until all of the Obligations (other than contingent, indemnification obligations not then due) have been paid and satisfied in full in cash, all Letters of Credit have been terminated or expired (or been Cash Collateralized) and the Commitments terminated, the Credit Parties will not, and will not permit any of their respective Subsidiaries to</w:t>
      </w:r>
      <w:r>
        <w:rPr>
          <w:rFonts w:ascii="Times New Roman" w:cs="Times New Roman" w:eastAsia="Times New Roman" w:hAnsi="Times New Roman"/>
          <w:sz w:val="20"/>
          <w:szCs w:val="20"/>
          <w:color w:val="FF0000"/>
        </w:rPr>
        <w:t>.</w:t>
      </w:r>
      <w:r>
        <w:rPr>
          <w:rFonts w:ascii="Times New Roman" w:cs="Times New Roman" w:eastAsia="Times New Roman" w:hAnsi="Times New Roman"/>
          <w:sz w:val="20"/>
          <w:szCs w:val="20"/>
          <w:color w:val="0000FF"/>
        </w:rPr>
        <w:t>:</w:t>
      </w:r>
    </w:p>
    <w:p>
      <w:pPr>
        <w:spacing w:after="0" w:line="255" w:lineRule="exact"/>
        <w:rPr>
          <w:sz w:val="20"/>
          <w:szCs w:val="20"/>
          <w:color w:val="auto"/>
        </w:rPr>
      </w:pPr>
    </w:p>
    <w:p>
      <w:pPr>
        <w:ind w:left="700"/>
        <w:spacing w:after="0"/>
        <w:tabs>
          <w:tab w:leader="none" w:pos="2020" w:val="left"/>
        </w:tabs>
        <w:rPr>
          <w:sz w:val="20"/>
          <w:szCs w:val="20"/>
          <w:color w:val="auto"/>
        </w:rPr>
      </w:pPr>
      <w:r>
        <w:rPr>
          <w:rFonts w:ascii="Times New Roman" w:cs="Times New Roman" w:eastAsia="Times New Roman" w:hAnsi="Times New Roman"/>
          <w:sz w:val="20"/>
          <w:szCs w:val="20"/>
          <w:color w:val="auto"/>
        </w:rPr>
        <w:t>SECTION 9.1</w:t>
      </w:r>
      <w:r>
        <w:rPr>
          <w:sz w:val="20"/>
          <w:szCs w:val="20"/>
          <w:color w:val="auto"/>
        </w:rPr>
        <w:tab/>
      </w:r>
      <w:r>
        <w:rPr>
          <w:rFonts w:ascii="Times New Roman" w:cs="Times New Roman" w:eastAsia="Times New Roman" w:hAnsi="Times New Roman"/>
          <w:sz w:val="19"/>
          <w:szCs w:val="19"/>
          <w:u w:val="single" w:color="auto"/>
          <w:color w:val="auto"/>
        </w:rPr>
        <w:t>Indebtedness</w:t>
      </w:r>
    </w:p>
    <w:p>
      <w:pPr>
        <w:spacing w:after="0" w:line="283" w:lineRule="exact"/>
        <w:rPr>
          <w:sz w:val="20"/>
          <w:szCs w:val="20"/>
          <w:color w:val="auto"/>
        </w:rPr>
      </w:pPr>
    </w:p>
    <w:p>
      <w:pPr>
        <w:ind w:left="160" w:hanging="104"/>
        <w:spacing w:after="0"/>
        <w:tabs>
          <w:tab w:leader="none" w:pos="160" w:val="left"/>
        </w:tabs>
        <w:numPr>
          <w:ilvl w:val="0"/>
          <w:numId w:val="3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Create, incur, assume or suffer to exist any Indebtedness except:</w:t>
      </w:r>
    </w:p>
    <w:p>
      <w:pPr>
        <w:spacing w:after="0" w:line="229" w:lineRule="exact"/>
        <w:rPr>
          <w:rFonts w:ascii="Times New Roman" w:cs="Times New Roman" w:eastAsia="Times New Roman" w:hAnsi="Times New Roman"/>
          <w:sz w:val="20"/>
          <w:szCs w:val="20"/>
          <w:color w:val="auto"/>
        </w:rPr>
      </w:pPr>
    </w:p>
    <w:p>
      <w:pPr>
        <w:ind w:left="1240" w:hanging="536"/>
        <w:spacing w:after="0"/>
        <w:tabs>
          <w:tab w:leader="none" w:pos="1240" w:val="left"/>
        </w:tabs>
        <w:numPr>
          <w:ilvl w:val="1"/>
          <w:numId w:val="3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Obligations;</w:t>
      </w:r>
    </w:p>
    <w:p>
      <w:pPr>
        <w:spacing w:after="0" w:line="215" w:lineRule="exact"/>
        <w:rPr>
          <w:rFonts w:ascii="Times New Roman" w:cs="Times New Roman" w:eastAsia="Times New Roman" w:hAnsi="Times New Roman"/>
          <w:sz w:val="20"/>
          <w:szCs w:val="20"/>
          <w:color w:val="auto"/>
        </w:rPr>
      </w:pPr>
    </w:p>
    <w:p>
      <w:pPr>
        <w:jc w:val="both"/>
        <w:ind w:left="60" w:right="20" w:firstLine="644"/>
        <w:spacing w:after="0" w:line="226" w:lineRule="auto"/>
        <w:tabs>
          <w:tab w:leader="none" w:pos="1236" w:val="left"/>
        </w:tabs>
        <w:numPr>
          <w:ilvl w:val="1"/>
          <w:numId w:val="3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and obligations owing (i) under Hedge Agreements entered into in order to manage existing or anticipated interest rate, exchange rate or commodity price risks and not for speculative purposes, or (ii) to Cash Management Banks pursuant to Cash Management Agreements entered into in the ordinary course of business;</w:t>
      </w:r>
    </w:p>
    <w:p>
      <w:pPr>
        <w:spacing w:after="0" w:line="187" w:lineRule="exact"/>
        <w:rPr>
          <w:rFonts w:ascii="Times New Roman" w:cs="Times New Roman" w:eastAsia="Times New Roman" w:hAnsi="Times New Roman"/>
          <w:sz w:val="20"/>
          <w:szCs w:val="20"/>
          <w:color w:val="auto"/>
        </w:rPr>
      </w:pPr>
    </w:p>
    <w:p>
      <w:pPr>
        <w:jc w:val="both"/>
        <w:ind w:left="60" w:firstLine="644"/>
        <w:spacing w:after="0" w:line="221" w:lineRule="auto"/>
        <w:tabs>
          <w:tab w:leader="none" w:pos="1238" w:val="left"/>
        </w:tabs>
        <w:numPr>
          <w:ilvl w:val="1"/>
          <w:numId w:val="3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Indebtedness existing on the Closing Date and listed on </w:t>
      </w:r>
      <w:r>
        <w:rPr>
          <w:rFonts w:ascii="Times New Roman" w:cs="Times New Roman" w:eastAsia="Times New Roman" w:hAnsi="Times New Roman"/>
          <w:sz w:val="19"/>
          <w:szCs w:val="19"/>
          <w:u w:val="single" w:color="auto"/>
          <w:color w:val="auto"/>
        </w:rPr>
        <w:t>Schedule 9.1</w:t>
      </w:r>
      <w:r>
        <w:rPr>
          <w:rFonts w:ascii="Times New Roman" w:cs="Times New Roman" w:eastAsia="Times New Roman" w:hAnsi="Times New Roman"/>
          <w:sz w:val="19"/>
          <w:szCs w:val="19"/>
          <w:color w:val="auto"/>
        </w:rPr>
        <w:t xml:space="preserve">, and any refinancings, refundings, renewals or extensions thereof;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the principal amount of such Indebtedness is not increased at the time of such refinancing, refunding, renewal or extension except by an amount equal to a reasonable premium or other reasonable amount paid, and fees and expenses reasonably incurred, in connection with such refinancing and by an amount equal to any existing commitments unutilized thereunder, (ii) the final maturity date and Weighted Average Life to Maturity of such refinancing, refunding, renewal or extension shall not be prior to or shorter than that applicable to the Indebtedness prior to such refinancing, refunding, renewal or extension and (iii) any refinancing, refunding, renewal or extension of any Subordinated Indebtedness shall be (A) on subordination terms at least as favorable to the Lenders,</w:t>
      </w:r>
    </w:p>
    <w:p>
      <w:pPr>
        <w:spacing w:after="0" w:line="4" w:lineRule="exact"/>
        <w:rPr>
          <w:rFonts w:ascii="Times New Roman" w:cs="Times New Roman" w:eastAsia="Times New Roman" w:hAnsi="Times New Roman"/>
          <w:sz w:val="19"/>
          <w:szCs w:val="19"/>
          <w:color w:val="auto"/>
        </w:rPr>
      </w:pPr>
    </w:p>
    <w:p>
      <w:pPr>
        <w:ind w:left="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(B) no more restrictive on the Consolidated Companies than the Subordinated Indebtedness being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FF0000"/>
          <w:strike w:val="1"/>
        </w:rPr>
        <w:t>146960219_6</w:t>
      </w: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126</w:t>
      </w:r>
      <w:r>
        <w:rPr>
          <w:sz w:val="20"/>
          <w:szCs w:val="20"/>
          <w:color w:val="auto"/>
        </w:rPr>
        <w:tab/>
      </w: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080"/>
          </w:cols>
          <w:pgMar w:left="380" w:top="1440" w:right="439" w:bottom="1440" w:gutter="0" w:footer="0" w:header="0"/>
        </w:sectPr>
      </w:pPr>
    </w:p>
    <w:bookmarkStart w:id="209" w:name="page210"/>
    <w:bookmarkEnd w:id="209"/>
    <w:p>
      <w:pPr>
        <w:spacing w:after="0" w:line="203" w:lineRule="exact"/>
        <w:rPr>
          <w:sz w:val="20"/>
          <w:szCs w:val="20"/>
          <w:color w:val="auto"/>
        </w:rPr>
      </w:pPr>
    </w:p>
    <w:p>
      <w:pPr>
        <w:ind w:left="60" w:right="460"/>
        <w:spacing w:after="0"/>
        <w:rPr>
          <w:sz w:val="20"/>
          <w:szCs w:val="20"/>
          <w:color w:val="auto"/>
        </w:rPr>
      </w:pPr>
      <w:r>
        <w:rPr>
          <w:rFonts w:ascii="Times New Roman" w:cs="Times New Roman" w:eastAsia="Times New Roman" w:hAnsi="Times New Roman"/>
          <w:sz w:val="20"/>
          <w:szCs w:val="20"/>
          <w:color w:val="auto"/>
        </w:rPr>
        <w:t>refinanced, refunded, renewed or extended and (C) in an amount not less than the amount outstanding at the time of such refinancing, refunding, renewal or extension;</w:t>
      </w:r>
    </w:p>
    <w:p>
      <w:pPr>
        <w:spacing w:after="0" w:line="202" w:lineRule="exact"/>
        <w:rPr>
          <w:sz w:val="20"/>
          <w:szCs w:val="20"/>
          <w:color w:val="auto"/>
        </w:rPr>
      </w:pPr>
    </w:p>
    <w:p>
      <w:pPr>
        <w:jc w:val="both"/>
        <w:ind w:left="60" w:firstLine="643"/>
        <w:spacing w:after="0" w:line="254" w:lineRule="auto"/>
        <w:tabs>
          <w:tab w:leader="none" w:pos="1235" w:val="left"/>
        </w:tabs>
        <w:numPr>
          <w:ilvl w:val="1"/>
          <w:numId w:val="3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Capital Lease Obligations and purchase money Indebtedness, in each case incurred in the ordinary course of business of the Consolidated Companies in an aggregate amount not to exceed at any time outstanding the greater of (i) $200,000,000 and (ii) 7.5% of Consolidated Total Assets;</w:t>
      </w:r>
    </w:p>
    <w:p>
      <w:pPr>
        <w:spacing w:after="0" w:line="182" w:lineRule="exact"/>
        <w:rPr>
          <w:rFonts w:ascii="Times New Roman" w:cs="Times New Roman" w:eastAsia="Times New Roman" w:hAnsi="Times New Roman"/>
          <w:sz w:val="20"/>
          <w:szCs w:val="20"/>
          <w:color w:val="auto"/>
        </w:rPr>
      </w:pPr>
    </w:p>
    <w:p>
      <w:pPr>
        <w:ind w:left="1240" w:hanging="537"/>
        <w:spacing w:after="0"/>
        <w:tabs>
          <w:tab w:leader="none" w:pos="1240" w:val="left"/>
        </w:tabs>
        <w:numPr>
          <w:ilvl w:val="1"/>
          <w:numId w:val="3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Guaranty Obligations with respect to Indebtedness permitted pursuant to subsections (a) through (d), (g), (j) and (k) of this</w:t>
      </w:r>
    </w:p>
    <w:p>
      <w:pPr>
        <w:ind w:left="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w:t>
      </w:r>
    </w:p>
    <w:p>
      <w:pPr>
        <w:spacing w:after="0" w:line="193" w:lineRule="exact"/>
        <w:rPr>
          <w:rFonts w:ascii="Times New Roman" w:cs="Times New Roman" w:eastAsia="Times New Roman" w:hAnsi="Times New Roman"/>
          <w:sz w:val="20"/>
          <w:szCs w:val="20"/>
          <w:color w:val="auto"/>
        </w:rPr>
      </w:pPr>
    </w:p>
    <w:p>
      <w:pPr>
        <w:ind w:left="60" w:right="20" w:firstLine="643"/>
        <w:spacing w:after="0"/>
        <w:tabs>
          <w:tab w:leader="none" w:pos="1243" w:val="left"/>
        </w:tabs>
        <w:numPr>
          <w:ilvl w:val="1"/>
          <w:numId w:val="3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arising from the honoring by a bank or other financial institution of a check, draft or other similar instrument drawn against insufficient funds in the ordinary course of business;</w:t>
      </w:r>
    </w:p>
    <w:p>
      <w:pPr>
        <w:spacing w:after="0" w:line="188" w:lineRule="exact"/>
        <w:rPr>
          <w:rFonts w:ascii="Times New Roman" w:cs="Times New Roman" w:eastAsia="Times New Roman" w:hAnsi="Times New Roman"/>
          <w:sz w:val="20"/>
          <w:szCs w:val="20"/>
          <w:color w:val="auto"/>
        </w:rPr>
      </w:pPr>
    </w:p>
    <w:p>
      <w:pPr>
        <w:jc w:val="both"/>
        <w:ind w:left="60" w:firstLine="643"/>
        <w:spacing w:after="0" w:line="226" w:lineRule="auto"/>
        <w:tabs>
          <w:tab w:leader="none" w:pos="1235" w:val="left"/>
        </w:tabs>
        <w:numPr>
          <w:ilvl w:val="1"/>
          <w:numId w:val="3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under performance bonds, surety bonds, release, appeal and similar bonds, statutory obligations or with respect to workers’ compensation claims, in each case incurred in the ordinary course of business, and reimbursement obligations in respect of any of the foregoing;</w:t>
      </w:r>
    </w:p>
    <w:p>
      <w:pPr>
        <w:spacing w:after="0" w:line="200" w:lineRule="exact"/>
        <w:rPr>
          <w:rFonts w:ascii="Times New Roman" w:cs="Times New Roman" w:eastAsia="Times New Roman" w:hAnsi="Times New Roman"/>
          <w:sz w:val="20"/>
          <w:szCs w:val="20"/>
          <w:color w:val="auto"/>
        </w:rPr>
      </w:pPr>
    </w:p>
    <w:p>
      <w:pPr>
        <w:jc w:val="both"/>
        <w:ind w:left="60" w:firstLine="644"/>
        <w:spacing w:after="0" w:line="213" w:lineRule="auto"/>
        <w:tabs>
          <w:tab w:leader="none" w:pos="1236" w:val="left"/>
        </w:tabs>
        <w:numPr>
          <w:ilvl w:val="1"/>
          <w:numId w:val="3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unsecured intercompany Indebtedness (i) owed by any US Credit Party to another US Credit Party, (ii) owed by any Canadian Credit Party to another Canadian Credit Party, (iii) owed by any US Credit Party to any Canadian Credit Party, (iv) owed by any Canadian Credit Party to any US Credit Party in an aggregate amount not to exceed at any time outstanding the greater of (x) $50,000,000 and (y) 2.0% of Consolidated Total Assets, and (v) owed by or to any Non-Credit Party Subsidiary by or to any Credit Party or another Non-Credit Party Subsidiary,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aggregate amount of such Indebtedness owed by a Non-Credit Party Subsidiary to a Credit Party shall not exceed at any time outstanding the greater of (x) $50,000,000 and (y) 2.0% of Consolidated Total Assets,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any such Indebtedness owed by a Credit Party to a Non-Credit Party Subsidiary shall be subordinated to the Obligations on terms reasonably satisfactory to the Administrative Agent;</w:t>
      </w:r>
    </w:p>
    <w:p>
      <w:pPr>
        <w:spacing w:after="0" w:line="189" w:lineRule="exact"/>
        <w:rPr>
          <w:rFonts w:ascii="Times New Roman" w:cs="Times New Roman" w:eastAsia="Times New Roman" w:hAnsi="Times New Roman"/>
          <w:sz w:val="20"/>
          <w:szCs w:val="20"/>
          <w:color w:val="auto"/>
        </w:rPr>
      </w:pPr>
    </w:p>
    <w:p>
      <w:pPr>
        <w:jc w:val="both"/>
        <w:ind w:left="60" w:firstLine="644"/>
        <w:spacing w:after="0" w:line="212" w:lineRule="auto"/>
        <w:tabs>
          <w:tab w:leader="none" w:pos="1246" w:val="left"/>
        </w:tabs>
        <w:numPr>
          <w:ilvl w:val="1"/>
          <w:numId w:val="3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of a Person existing at the time such Person became a Subsidiary or assets were acquired from such Person in connection with an Investment permitted pursuant to </w:t>
      </w:r>
      <w:r>
        <w:rPr>
          <w:rFonts w:ascii="Times New Roman" w:cs="Times New Roman" w:eastAsia="Times New Roman" w:hAnsi="Times New Roman"/>
          <w:sz w:val="20"/>
          <w:szCs w:val="20"/>
          <w:u w:val="single" w:color="auto"/>
          <w:color w:val="auto"/>
        </w:rPr>
        <w:t>Section 9.3</w:t>
      </w:r>
      <w:r>
        <w:rPr>
          <w:rFonts w:ascii="Times New Roman" w:cs="Times New Roman" w:eastAsia="Times New Roman" w:hAnsi="Times New Roman"/>
          <w:sz w:val="20"/>
          <w:szCs w:val="20"/>
          <w:color w:val="auto"/>
        </w:rPr>
        <w:t xml:space="preserve">, to the extent that (i) such Indebtedness was not incurred in connection with, or in contemplation of, such Person becoming a Subsidiary or the acquisition of such assets, (ii) neither Centuri nor any Subsidiary thereof (other than such Person or any other Person that such Person merges with or that acquires the assets of such Person) shall have any liability or other obligation with respect to such Indebtedness and (iii) Centuri is in compliance on a pro forma basis with a Consolidated Net Leverage Ratio </w:t>
      </w:r>
      <w:r>
        <w:rPr>
          <w:rFonts w:ascii="Times New Roman" w:cs="Times New Roman" w:eastAsia="Times New Roman" w:hAnsi="Times New Roman"/>
          <w:sz w:val="20"/>
          <w:szCs w:val="20"/>
          <w:color w:val="FF0000"/>
          <w:strike w:val="1"/>
        </w:rPr>
        <w:t>at least 0.50</w:t>
      </w:r>
      <w:r>
        <w:rPr>
          <w:rFonts w:ascii="Times New Roman" w:cs="Times New Roman" w:eastAsia="Times New Roman" w:hAnsi="Times New Roman"/>
          <w:sz w:val="20"/>
          <w:szCs w:val="20"/>
          <w:u w:val="single" w:color="auto"/>
          <w:color w:val="0000FF"/>
        </w:rPr>
        <w:t>of (A) 5.00</w:t>
      </w:r>
      <w:r>
        <w:rPr>
          <w:rFonts w:ascii="Times New Roman" w:cs="Times New Roman" w:eastAsia="Times New Roman" w:hAnsi="Times New Roman"/>
          <w:sz w:val="20"/>
          <w:szCs w:val="20"/>
          <w:color w:val="auto"/>
        </w:rPr>
        <w:t xml:space="preserve"> to 1.00 </w:t>
      </w:r>
      <w:r>
        <w:rPr>
          <w:rFonts w:ascii="Times New Roman" w:cs="Times New Roman" w:eastAsia="Times New Roman" w:hAnsi="Times New Roman"/>
          <w:sz w:val="20"/>
          <w:szCs w:val="20"/>
          <w:color w:val="FF0000"/>
          <w:strike w:val="1"/>
        </w:rPr>
        <w:t>below</w:t>
      </w:r>
      <w:r>
        <w:rPr>
          <w:rFonts w:ascii="Times New Roman" w:cs="Times New Roman" w:eastAsia="Times New Roman" w:hAnsi="Times New Roman"/>
          <w:sz w:val="20"/>
          <w:szCs w:val="20"/>
          <w:u w:val="single" w:color="auto"/>
          <w:color w:val="0000FF"/>
        </w:rPr>
        <w:t>for</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color w:val="FF0000"/>
          <w:strike w:val="1"/>
        </w:rPr>
        <w:t>then applicable covenant level required pursuant to Section 9.13</w:t>
      </w:r>
      <w:r>
        <w:rPr>
          <w:rFonts w:ascii="Times New Roman" w:cs="Times New Roman" w:eastAsia="Times New Roman" w:hAnsi="Times New Roman"/>
          <w:sz w:val="20"/>
          <w:szCs w:val="20"/>
          <w:u w:val="single" w:color="auto"/>
          <w:color w:val="0000FF"/>
        </w:rPr>
        <w:t>period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beginning on September 30, 2022 through and including December 30, 2022, (B) 4.25 to 1.00 for the period beginning on December 31, 2022 through and including December 30, 2022 and</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FF0000"/>
          <w:strike w:val="1"/>
        </w:rPr>
        <w:t>b</w:t>
      </w:r>
      <w:r>
        <w:rPr>
          <w:rFonts w:ascii="Times New Roman" w:cs="Times New Roman" w:eastAsia="Times New Roman" w:hAnsi="Times New Roman"/>
          <w:sz w:val="20"/>
          <w:szCs w:val="20"/>
          <w:u w:val="single" w:color="auto"/>
          <w:color w:val="0000FF"/>
        </w:rPr>
        <w:t>C</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u w:val="single" w:color="auto"/>
          <w:color w:val="0000FF"/>
        </w:rPr>
        <w:t>3.50 to 1.00 for the period beginning on December 31, 2023 and thereafter</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 xml:space="preserve">determined as of the most recently ended four consecutive fiscal quarter period for which financial statements and the related Officer’s Compliance Certificate have been delivered pursuant to </w:t>
      </w:r>
      <w:r>
        <w:rPr>
          <w:rFonts w:ascii="Times New Roman" w:cs="Times New Roman" w:eastAsia="Times New Roman" w:hAnsi="Times New Roman"/>
          <w:sz w:val="20"/>
          <w:szCs w:val="20"/>
          <w:u w:val="single" w:color="auto"/>
          <w:color w:val="000000"/>
        </w:rPr>
        <w:t>Sections 8.1(a)</w:t>
      </w:r>
      <w:r>
        <w:rPr>
          <w:rFonts w:ascii="Times New Roman" w:cs="Times New Roman" w:eastAsia="Times New Roman" w:hAnsi="Times New Roman"/>
          <w:sz w:val="20"/>
          <w:szCs w:val="20"/>
          <w:color w:val="000000"/>
        </w:rPr>
        <w:t xml:space="preserve"> or </w:t>
      </w:r>
      <w:r>
        <w:rPr>
          <w:rFonts w:ascii="Times New Roman" w:cs="Times New Roman" w:eastAsia="Times New Roman" w:hAnsi="Times New Roman"/>
          <w:sz w:val="20"/>
          <w:szCs w:val="20"/>
          <w:u w:val="single" w:color="auto"/>
          <w:color w:val="000000"/>
        </w:rPr>
        <w:t>(b)</w:t>
      </w:r>
      <w:r>
        <w:rPr>
          <w:rFonts w:ascii="Times New Roman" w:cs="Times New Roman" w:eastAsia="Times New Roman" w:hAnsi="Times New Roman"/>
          <w:sz w:val="20"/>
          <w:szCs w:val="20"/>
          <w:color w:val="000000"/>
        </w:rPr>
        <w:t xml:space="preserve"> and </w:t>
      </w:r>
      <w:r>
        <w:rPr>
          <w:rFonts w:ascii="Times New Roman" w:cs="Times New Roman" w:eastAsia="Times New Roman" w:hAnsi="Times New Roman"/>
          <w:sz w:val="20"/>
          <w:szCs w:val="20"/>
          <w:u w:val="single" w:color="auto"/>
          <w:color w:val="000000"/>
        </w:rPr>
        <w:t>8.2(a)</w:t>
      </w:r>
      <w:r>
        <w:rPr>
          <w:rFonts w:ascii="Times New Roman" w:cs="Times New Roman" w:eastAsia="Times New Roman" w:hAnsi="Times New Roman"/>
          <w:sz w:val="20"/>
          <w:szCs w:val="20"/>
          <w:color w:val="000000"/>
        </w:rPr>
        <w:t>;</w:t>
      </w:r>
    </w:p>
    <w:p>
      <w:pPr>
        <w:spacing w:after="0" w:line="258" w:lineRule="exact"/>
        <w:rPr>
          <w:rFonts w:ascii="Times New Roman" w:cs="Times New Roman" w:eastAsia="Times New Roman" w:hAnsi="Times New Roman"/>
          <w:sz w:val="20"/>
          <w:szCs w:val="20"/>
          <w:color w:val="auto"/>
        </w:rPr>
      </w:pPr>
    </w:p>
    <w:p>
      <w:pPr>
        <w:ind w:left="1240" w:hanging="536"/>
        <w:spacing w:after="0"/>
        <w:tabs>
          <w:tab w:leader="none" w:pos="1240" w:val="left"/>
        </w:tabs>
        <w:numPr>
          <w:ilvl w:val="1"/>
          <w:numId w:val="3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unsecured Indebtedness of Centuri and its Subsidiaries;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in the case of each incurrence of such Indebtedness,</w:t>
      </w:r>
    </w:p>
    <w:p>
      <w:pPr>
        <w:jc w:val="both"/>
        <w:ind w:left="60" w:hanging="4"/>
        <w:spacing w:after="0" w:line="212" w:lineRule="auto"/>
        <w:tabs>
          <w:tab w:leader="none" w:pos="307" w:val="left"/>
        </w:tabs>
        <w:numPr>
          <w:ilvl w:val="0"/>
          <w:numId w:val="3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Default or Event of Default shall have occurred and be continuing or would be caused by the incurrence of such Indebtedness, (ii) the Administrative Agent shall have received satisfactory written evidence that, after giving effect to the incurrence of such Indebtedness and the receipt and application of the proceeds thereof, Centuri is in compliance on a pro forma basis with </w:t>
      </w:r>
      <w:r>
        <w:rPr>
          <w:rFonts w:ascii="Times New Roman" w:cs="Times New Roman" w:eastAsia="Times New Roman" w:hAnsi="Times New Roman"/>
          <w:sz w:val="20"/>
          <w:szCs w:val="20"/>
          <w:color w:val="FF0000"/>
          <w:strike w:val="1"/>
        </w:rPr>
        <w:t>the financial covenants set forth</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FF0000"/>
          <w:strike w:val="1"/>
        </w:rPr>
        <w:t>in Section 9.13</w:t>
      </w:r>
      <w:r>
        <w:rPr>
          <w:rFonts w:ascii="Times New Roman" w:cs="Times New Roman" w:eastAsia="Times New Roman" w:hAnsi="Times New Roman"/>
          <w:sz w:val="20"/>
          <w:szCs w:val="20"/>
          <w:u w:val="single" w:color="auto"/>
          <w:color w:val="0000FF"/>
          <w:strike w:val="1"/>
        </w:rPr>
        <w:t>(A) a Consolidated Interest Coverage Ratio of 2.50 to 1.00 and (B) a Consolidated Net Leverage Ratio of (1) 5.50 to 1.00</w:t>
      </w:r>
      <w:r>
        <w:rPr>
          <w:rFonts w:ascii="Times New Roman" w:cs="Times New Roman" w:eastAsia="Times New Roman" w:hAnsi="Times New Roman"/>
          <w:sz w:val="20"/>
          <w:szCs w:val="20"/>
          <w:color w:val="FF0000"/>
          <w:strike w:val="1"/>
        </w:rPr>
        <w:t xml:space="preserve"> </w:t>
      </w:r>
      <w:r>
        <w:rPr>
          <w:rFonts w:ascii="Times New Roman" w:cs="Times New Roman" w:eastAsia="Times New Roman" w:hAnsi="Times New Roman"/>
          <w:sz w:val="20"/>
          <w:szCs w:val="20"/>
          <w:u w:val="single" w:color="auto"/>
          <w:color w:val="0000FF"/>
          <w:strike w:val="1"/>
        </w:rPr>
        <w:t>for the period beginning on September 30, 2022 through and including December 30, 2022, (2) 4.75 to 1.00 for the period beginning on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FF0000"/>
          <w:strike w:val="1"/>
        </w:rPr>
        <w:t>146960219_6</w:t>
      </w: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127</w:t>
      </w:r>
      <w:r>
        <w:rPr>
          <w:sz w:val="20"/>
          <w:szCs w:val="20"/>
          <w:color w:val="auto"/>
        </w:rPr>
        <w:tab/>
      </w: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080"/>
          </w:cols>
          <w:pgMar w:left="380" w:top="1440" w:right="439" w:bottom="1440" w:gutter="0" w:footer="0" w:header="0"/>
        </w:sectPr>
      </w:pPr>
    </w:p>
    <w:bookmarkStart w:id="210" w:name="page211"/>
    <w:bookmarkEnd w:id="210"/>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u w:val="single" w:color="auto"/>
          <w:color w:val="0000FF"/>
        </w:rPr>
        <w:t>through and including December 30, 2023 and (3) 4.00 to 1.00 for the period beginning on December 31, 2023 and thereafter, in each case</w:t>
      </w:r>
      <w:r>
        <w:rPr>
          <w:rFonts w:ascii="Times New Roman" w:cs="Times New Roman" w:eastAsia="Times New Roman" w:hAnsi="Times New Roman"/>
          <w:sz w:val="19"/>
          <w:szCs w:val="19"/>
          <w:color w:val="000000"/>
        </w:rPr>
        <w:t>,</w:t>
      </w:r>
    </w:p>
    <w:p>
      <w:pPr>
        <w:spacing w:after="0" w:line="6" w:lineRule="exact"/>
        <w:rPr>
          <w:sz w:val="20"/>
          <w:szCs w:val="20"/>
          <w:color w:val="auto"/>
        </w:rPr>
      </w:pPr>
    </w:p>
    <w:p>
      <w:pPr>
        <w:ind w:left="60"/>
        <w:spacing w:after="0" w:line="204" w:lineRule="auto"/>
        <w:rPr>
          <w:sz w:val="20"/>
          <w:szCs w:val="20"/>
          <w:color w:val="auto"/>
        </w:rPr>
      </w:pPr>
      <w:r>
        <w:rPr>
          <w:rFonts w:ascii="Times New Roman" w:cs="Times New Roman" w:eastAsia="Times New Roman" w:hAnsi="Times New Roman"/>
          <w:sz w:val="20"/>
          <w:szCs w:val="20"/>
          <w:color w:val="auto"/>
        </w:rPr>
        <w:t xml:space="preserve">determined as of the most recently ended four consecutive fiscal quarter period for which financial statements and the related Officer’s Compliance Certificate have been delivered pursuant to </w:t>
      </w:r>
      <w:r>
        <w:rPr>
          <w:rFonts w:ascii="Times New Roman" w:cs="Times New Roman" w:eastAsia="Times New Roman" w:hAnsi="Times New Roman"/>
          <w:sz w:val="20"/>
          <w:szCs w:val="20"/>
          <w:u w:val="single" w:color="auto"/>
          <w:color w:val="auto"/>
        </w:rPr>
        <w:t>Sections 8.1(a)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8.2(a)</w:t>
      </w:r>
      <w:r>
        <w:rPr>
          <w:rFonts w:ascii="Times New Roman" w:cs="Times New Roman" w:eastAsia="Times New Roman" w:hAnsi="Times New Roman"/>
          <w:sz w:val="20"/>
          <w:szCs w:val="20"/>
          <w:color w:val="auto"/>
        </w:rPr>
        <w:t>, (iii) such Indebtedness does not mature prior to</w:t>
      </w:r>
    </w:p>
    <w:p>
      <w:pPr>
        <w:ind w:left="60"/>
        <w:spacing w:after="0" w:line="211" w:lineRule="auto"/>
        <w:rPr>
          <w:sz w:val="20"/>
          <w:szCs w:val="20"/>
          <w:color w:val="auto"/>
        </w:rPr>
      </w:pPr>
      <w:r>
        <w:rPr>
          <w:rFonts w:ascii="Times New Roman" w:cs="Times New Roman" w:eastAsia="Times New Roman" w:hAnsi="Times New Roman"/>
          <w:sz w:val="20"/>
          <w:szCs w:val="20"/>
          <w:color w:val="auto"/>
        </w:rPr>
        <w:t>the date that is 91 days after the then latest maturity of the Commitments and Loans, (iv) the Weighted Average Life to Maturity of such</w:t>
      </w:r>
    </w:p>
    <w:p>
      <w:pPr>
        <w:spacing w:after="0" w:line="1" w:lineRule="exact"/>
        <w:rPr>
          <w:sz w:val="20"/>
          <w:szCs w:val="20"/>
          <w:color w:val="auto"/>
        </w:rPr>
      </w:pPr>
    </w:p>
    <w:p>
      <w:pPr>
        <w:jc w:val="both"/>
        <w:ind w:left="60" w:right="20"/>
        <w:spacing w:after="0" w:line="204" w:lineRule="auto"/>
        <w:rPr>
          <w:sz w:val="20"/>
          <w:szCs w:val="20"/>
          <w:color w:val="auto"/>
        </w:rPr>
      </w:pPr>
      <w:r>
        <w:rPr>
          <w:rFonts w:ascii="Times New Roman" w:cs="Times New Roman" w:eastAsia="Times New Roman" w:hAnsi="Times New Roman"/>
          <w:sz w:val="20"/>
          <w:szCs w:val="20"/>
          <w:color w:val="auto"/>
        </w:rPr>
        <w:t>Indebtedness shall not be shorter than the remaining Weighted Average Life to Maturity of the Term Loans then outstanding and (v) the terms of such Indebtedness reflect market terms (taken as a whole) at the time of issuance and (other than pricing, fees, rate floors,</w:t>
      </w:r>
    </w:p>
    <w:p>
      <w:pPr>
        <w:ind w:left="60"/>
        <w:spacing w:after="0" w:line="211" w:lineRule="auto"/>
        <w:rPr>
          <w:sz w:val="20"/>
          <w:szCs w:val="20"/>
          <w:color w:val="auto"/>
        </w:rPr>
      </w:pPr>
      <w:r>
        <w:rPr>
          <w:rFonts w:ascii="Times New Roman" w:cs="Times New Roman" w:eastAsia="Times New Roman" w:hAnsi="Times New Roman"/>
          <w:sz w:val="20"/>
          <w:szCs w:val="20"/>
          <w:color w:val="auto"/>
        </w:rPr>
        <w:t>premiums and optional prepayment or redemption provisions (and, if applicable, subordination terms)), taken as a whole, are not</w:t>
      </w:r>
    </w:p>
    <w:p>
      <w:pPr>
        <w:spacing w:after="0" w:line="1" w:lineRule="exact"/>
        <w:rPr>
          <w:sz w:val="20"/>
          <w:szCs w:val="20"/>
          <w:color w:val="auto"/>
        </w:rPr>
      </w:pPr>
    </w:p>
    <w:p>
      <w:pPr>
        <w:ind w:left="60"/>
        <w:spacing w:after="0" w:line="204" w:lineRule="auto"/>
        <w:rPr>
          <w:sz w:val="20"/>
          <w:szCs w:val="20"/>
          <w:color w:val="auto"/>
        </w:rPr>
      </w:pPr>
      <w:r>
        <w:rPr>
          <w:rFonts w:ascii="Times New Roman" w:cs="Times New Roman" w:eastAsia="Times New Roman" w:hAnsi="Times New Roman"/>
          <w:sz w:val="20"/>
          <w:szCs w:val="20"/>
          <w:color w:val="auto"/>
        </w:rPr>
        <w:t>materially more restrictive (as determined by Centuri in good faith) on Centuri and its Subsidiaries than the terms and conditions of this Agreement, taken as a whole, other than covenants which do not have effect until after the then latest maturity date of the Commitments</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and Loans;</w:t>
      </w:r>
    </w:p>
    <w:p>
      <w:pPr>
        <w:spacing w:after="0" w:line="207" w:lineRule="exact"/>
        <w:rPr>
          <w:sz w:val="20"/>
          <w:szCs w:val="20"/>
          <w:color w:val="auto"/>
        </w:rPr>
      </w:pPr>
    </w:p>
    <w:p>
      <w:pPr>
        <w:ind w:left="60" w:right="20" w:firstLine="644"/>
        <w:spacing w:after="0" w:line="269" w:lineRule="auto"/>
        <w:tabs>
          <w:tab w:leader="none" w:pos="1236" w:val="left"/>
        </w:tabs>
        <w:numPr>
          <w:ilvl w:val="0"/>
          <w:numId w:val="3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Attributable Indebtedness incurred pursuant to Permitted Receivables Transactions in an aggregate amount not to exceed at any time outstanding the greater of (i) $150,000,000 and (ii) 6.0% of Consolidated Total Assets;</w:t>
      </w:r>
    </w:p>
    <w:p>
      <w:pPr>
        <w:spacing w:after="0" w:line="186" w:lineRule="exact"/>
        <w:rPr>
          <w:rFonts w:ascii="Times New Roman" w:cs="Times New Roman" w:eastAsia="Times New Roman" w:hAnsi="Times New Roman"/>
          <w:sz w:val="20"/>
          <w:szCs w:val="20"/>
          <w:color w:val="auto"/>
        </w:rPr>
      </w:pPr>
    </w:p>
    <w:p>
      <w:pPr>
        <w:jc w:val="both"/>
        <w:ind w:left="60" w:firstLine="644"/>
        <w:spacing w:after="0" w:line="226" w:lineRule="auto"/>
        <w:tabs>
          <w:tab w:leader="none" w:pos="1246" w:val="left"/>
        </w:tabs>
        <w:numPr>
          <w:ilvl w:val="0"/>
          <w:numId w:val="3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Indebtedness of any Credit Party or any Subsidiary thereof not otherwise permitted pursuant to this Section in an aggregate principal amount not to exceed at any time outstanding the greater of (i) $100,000,000 and (ii) 4.0% of Consolidated Total Assets; and</w:t>
      </w:r>
    </w:p>
    <w:p>
      <w:pPr>
        <w:spacing w:after="0" w:line="187" w:lineRule="exact"/>
        <w:rPr>
          <w:rFonts w:ascii="Times New Roman" w:cs="Times New Roman" w:eastAsia="Times New Roman" w:hAnsi="Times New Roman"/>
          <w:sz w:val="20"/>
          <w:szCs w:val="20"/>
          <w:color w:val="auto"/>
        </w:rPr>
      </w:pPr>
    </w:p>
    <w:p>
      <w:pPr>
        <w:jc w:val="both"/>
        <w:ind w:left="60" w:firstLine="644"/>
        <w:spacing w:after="0" w:line="222" w:lineRule="auto"/>
        <w:tabs>
          <w:tab w:leader="none" w:pos="1237" w:val="left"/>
        </w:tabs>
        <w:numPr>
          <w:ilvl w:val="0"/>
          <w:numId w:val="3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of the Credit Parties in respect of one or more series of senior secured first lien notes that are issued in a public offering, Rule 144A or other private placement under the Securities Act, or a bridge financing in lieu of the foregoing that otherwise converts into permanent Incremental Equivalent Indebtedness (as defined below), that are secured by the Collateral on a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basis and issued by the Credit Parties in lieu of Incremental Term Loans (“</w:t>
      </w:r>
      <w:r>
        <w:rPr>
          <w:rFonts w:ascii="Times New Roman" w:cs="Times New Roman" w:eastAsia="Times New Roman" w:hAnsi="Times New Roman"/>
          <w:sz w:val="20"/>
          <w:szCs w:val="20"/>
          <w:u w:val="single" w:color="auto"/>
          <w:color w:val="auto"/>
        </w:rPr>
        <w:t>Incremental Equivalent Indebtedness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w:t>
      </w:r>
    </w:p>
    <w:p>
      <w:pPr>
        <w:spacing w:after="0" w:line="270" w:lineRule="exact"/>
        <w:rPr>
          <w:sz w:val="20"/>
          <w:szCs w:val="20"/>
          <w:color w:val="auto"/>
        </w:rPr>
      </w:pPr>
    </w:p>
    <w:p>
      <w:pPr>
        <w:ind w:left="860" w:firstLine="487"/>
        <w:spacing w:after="0" w:line="250" w:lineRule="auto"/>
        <w:rPr>
          <w:sz w:val="20"/>
          <w:szCs w:val="20"/>
          <w:color w:val="auto"/>
        </w:rPr>
      </w:pPr>
      <w:r>
        <w:rPr>
          <w:rFonts w:ascii="Times New Roman" w:cs="Times New Roman" w:eastAsia="Times New Roman" w:hAnsi="Times New Roman"/>
          <w:sz w:val="20"/>
          <w:szCs w:val="20"/>
          <w:color w:val="auto"/>
        </w:rPr>
        <w:t xml:space="preserve">(lxxx) the aggregate principal amount of such Indebtedness incurred under this clause (m) shall not, together with the aggregate principal amount of all Incremental Increases incurred pursuant to </w:t>
      </w:r>
      <w:r>
        <w:rPr>
          <w:rFonts w:ascii="Times New Roman" w:cs="Times New Roman" w:eastAsia="Times New Roman" w:hAnsi="Times New Roman"/>
          <w:sz w:val="20"/>
          <w:szCs w:val="20"/>
          <w:u w:val="single" w:color="auto"/>
          <w:color w:val="auto"/>
        </w:rPr>
        <w:t>Section 5.13</w:t>
      </w:r>
      <w:r>
        <w:rPr>
          <w:rFonts w:ascii="Times New Roman" w:cs="Times New Roman" w:eastAsia="Times New Roman" w:hAnsi="Times New Roman"/>
          <w:sz w:val="20"/>
          <w:szCs w:val="20"/>
          <w:color w:val="auto"/>
        </w:rPr>
        <w:t>, exceed the amount set forth in</w:t>
      </w:r>
    </w:p>
    <w:p>
      <w:pPr>
        <w:spacing w:after="0" w:line="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u w:val="single" w:color="auto"/>
          <w:color w:val="auto"/>
        </w:rPr>
        <w:t>Section 5.13(a)</w:t>
      </w:r>
      <w:r>
        <w:rPr>
          <w:rFonts w:ascii="Times New Roman" w:cs="Times New Roman" w:eastAsia="Times New Roman" w:hAnsi="Times New Roman"/>
          <w:sz w:val="20"/>
          <w:szCs w:val="20"/>
          <w:color w:val="auto"/>
        </w:rPr>
        <w:t>;</w:t>
      </w:r>
    </w:p>
    <w:p>
      <w:pPr>
        <w:spacing w:after="0" w:line="275" w:lineRule="exact"/>
        <w:rPr>
          <w:sz w:val="20"/>
          <w:szCs w:val="20"/>
          <w:color w:val="auto"/>
        </w:rPr>
      </w:pPr>
    </w:p>
    <w:p>
      <w:pPr>
        <w:ind w:left="860" w:firstLine="486"/>
        <w:spacing w:after="0" w:line="227" w:lineRule="auto"/>
        <w:rPr>
          <w:sz w:val="20"/>
          <w:szCs w:val="20"/>
          <w:color w:val="auto"/>
        </w:rPr>
      </w:pPr>
      <w:r>
        <w:rPr>
          <w:rFonts w:ascii="Times New Roman" w:cs="Times New Roman" w:eastAsia="Times New Roman" w:hAnsi="Times New Roman"/>
          <w:sz w:val="19"/>
          <w:szCs w:val="19"/>
          <w:color w:val="auto"/>
        </w:rPr>
        <w:t xml:space="preserve">(lxxxi)subject to </w:t>
      </w:r>
      <w:r>
        <w:rPr>
          <w:rFonts w:ascii="Times New Roman" w:cs="Times New Roman" w:eastAsia="Times New Roman" w:hAnsi="Times New Roman"/>
          <w:sz w:val="19"/>
          <w:szCs w:val="19"/>
          <w:u w:val="single" w:color="auto"/>
          <w:color w:val="auto"/>
        </w:rPr>
        <w:t>Section 1.12</w:t>
      </w:r>
      <w:r>
        <w:rPr>
          <w:rFonts w:ascii="Times New Roman" w:cs="Times New Roman" w:eastAsia="Times New Roman" w:hAnsi="Times New Roman"/>
          <w:sz w:val="19"/>
          <w:szCs w:val="19"/>
          <w:color w:val="auto"/>
        </w:rPr>
        <w:t xml:space="preserve"> in the case of any Incremental Equivalent Indebtedness incurred to finance a substantially concurrent Limited Condition Acquisition, immediately after giving effect to the incurrence of such Indebtedness and the use of</w:t>
      </w:r>
    </w:p>
    <w:p>
      <w:pPr>
        <w:ind w:left="860"/>
        <w:spacing w:after="0"/>
        <w:rPr>
          <w:sz w:val="20"/>
          <w:szCs w:val="20"/>
          <w:color w:val="auto"/>
        </w:rPr>
      </w:pPr>
      <w:r>
        <w:rPr>
          <w:rFonts w:ascii="Times New Roman" w:cs="Times New Roman" w:eastAsia="Times New Roman" w:hAnsi="Times New Roman"/>
          <w:sz w:val="20"/>
          <w:szCs w:val="20"/>
          <w:color w:val="auto"/>
        </w:rPr>
        <w:t>proceeds thereof, no Default or Event of Default shall have occurred and be continuing or would result therefrom;</w:t>
      </w:r>
    </w:p>
    <w:p>
      <w:pPr>
        <w:spacing w:after="0" w:line="194" w:lineRule="exact"/>
        <w:rPr>
          <w:sz w:val="20"/>
          <w:szCs w:val="20"/>
          <w:color w:val="auto"/>
        </w:rPr>
      </w:pPr>
    </w:p>
    <w:p>
      <w:pPr>
        <w:ind w:left="860" w:right="20" w:firstLine="487"/>
        <w:spacing w:after="0" w:line="222" w:lineRule="auto"/>
        <w:rPr>
          <w:sz w:val="20"/>
          <w:szCs w:val="20"/>
          <w:color w:val="auto"/>
        </w:rPr>
      </w:pPr>
      <w:r>
        <w:rPr>
          <w:rFonts w:ascii="Times New Roman" w:cs="Times New Roman" w:eastAsia="Times New Roman" w:hAnsi="Times New Roman"/>
          <w:sz w:val="20"/>
          <w:szCs w:val="20"/>
          <w:color w:val="auto"/>
        </w:rPr>
        <w:t>(lxxxii) the stated maturity date of such Indebtedness shall be no earlier than, and the terms of such Indebtedness shall not provide for any scheduled payment, mandatory repayment or redemption or sinking fund or similar obligations at any</w:t>
      </w:r>
    </w:p>
    <w:p>
      <w:pPr>
        <w:spacing w:after="0" w:line="2" w:lineRule="exact"/>
        <w:rPr>
          <w:sz w:val="20"/>
          <w:szCs w:val="20"/>
          <w:color w:val="auto"/>
        </w:rPr>
      </w:pPr>
    </w:p>
    <w:p>
      <w:pPr>
        <w:ind w:left="860"/>
        <w:spacing w:after="0" w:line="204" w:lineRule="auto"/>
        <w:rPr>
          <w:sz w:val="20"/>
          <w:szCs w:val="20"/>
          <w:color w:val="auto"/>
        </w:rPr>
      </w:pPr>
      <w:r>
        <w:rPr>
          <w:rFonts w:ascii="Times New Roman" w:cs="Times New Roman" w:eastAsia="Times New Roman" w:hAnsi="Times New Roman"/>
          <w:sz w:val="20"/>
          <w:szCs w:val="20"/>
          <w:color w:val="auto"/>
        </w:rPr>
        <w:t xml:space="preserve">time prior to the latest maturity date of the Loans and Commitments in effect at the time of such incurrence;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Indebtedness may have scheduled payments, mandatory repayments or redemptions or similar obligations prior to its stated</w:t>
      </w:r>
    </w:p>
    <w:p>
      <w:pPr>
        <w:ind w:left="860"/>
        <w:spacing w:after="0" w:line="211" w:lineRule="auto"/>
        <w:rPr>
          <w:sz w:val="20"/>
          <w:szCs w:val="20"/>
          <w:color w:val="auto"/>
        </w:rPr>
      </w:pPr>
      <w:r>
        <w:rPr>
          <w:rFonts w:ascii="Times New Roman" w:cs="Times New Roman" w:eastAsia="Times New Roman" w:hAnsi="Times New Roman"/>
          <w:sz w:val="20"/>
          <w:szCs w:val="20"/>
          <w:color w:val="auto"/>
        </w:rPr>
        <w:t>maturity so long as (x) such Indebtedness does not have a shorter Weighted Average Life to Maturity than the remaining</w:t>
      </w:r>
    </w:p>
    <w:p>
      <w:pPr>
        <w:spacing w:after="0" w:line="1" w:lineRule="exact"/>
        <w:rPr>
          <w:sz w:val="20"/>
          <w:szCs w:val="20"/>
          <w:color w:val="auto"/>
        </w:rPr>
      </w:pPr>
    </w:p>
    <w:p>
      <w:pPr>
        <w:ind w:left="860"/>
        <w:spacing w:after="0" w:line="215" w:lineRule="auto"/>
        <w:rPr>
          <w:sz w:val="20"/>
          <w:szCs w:val="20"/>
          <w:color w:val="auto"/>
        </w:rPr>
      </w:pPr>
      <w:r>
        <w:rPr>
          <w:rFonts w:ascii="Times New Roman" w:cs="Times New Roman" w:eastAsia="Times New Roman" w:hAnsi="Times New Roman"/>
          <w:sz w:val="19"/>
          <w:szCs w:val="19"/>
          <w:color w:val="auto"/>
        </w:rPr>
        <w:t>Weighted Average Life to Maturity of any Class of Term Loans then outstanding at the time of incurrence, (y) any mandatory prepayment (other than scheduled amortization payments which shall be determined by the applicable Borrower and the lenders</w:t>
      </w:r>
    </w:p>
    <w:p>
      <w:pPr>
        <w:jc w:val="both"/>
        <w:ind w:left="860"/>
        <w:spacing w:after="0" w:line="204" w:lineRule="auto"/>
        <w:rPr>
          <w:sz w:val="20"/>
          <w:szCs w:val="20"/>
          <w:color w:val="auto"/>
        </w:rPr>
      </w:pPr>
      <w:r>
        <w:rPr>
          <w:rFonts w:ascii="Times New Roman" w:cs="Times New Roman" w:eastAsia="Times New Roman" w:hAnsi="Times New Roman"/>
          <w:sz w:val="20"/>
          <w:szCs w:val="20"/>
          <w:color w:val="auto"/>
        </w:rPr>
        <w:t xml:space="preserve">of such Indebtedness) of such Indebtedness shall be made on a </w:t>
      </w:r>
      <w:r>
        <w:rPr>
          <w:rFonts w:ascii="Times New Roman" w:cs="Times New Roman" w:eastAsia="Times New Roman" w:hAnsi="Times New Roman"/>
          <w:sz w:val="20"/>
          <w:szCs w:val="20"/>
          <w:u w:val="single" w:color="auto"/>
          <w:color w:val="auto"/>
        </w:rPr>
        <w:t>pro rata</w:t>
      </w:r>
      <w:r>
        <w:rPr>
          <w:rFonts w:ascii="Times New Roman" w:cs="Times New Roman" w:eastAsia="Times New Roman" w:hAnsi="Times New Roman"/>
          <w:sz w:val="20"/>
          <w:szCs w:val="20"/>
          <w:color w:val="auto"/>
        </w:rPr>
        <w:t xml:space="preserve"> basis with all then existing Term Loans, except that the applicable Borrower and the lenders of such Indebtedness may, in their sole discretion, elect to prepay or receive, as applicable,</w:t>
      </w:r>
    </w:p>
    <w:p>
      <w:pPr>
        <w:spacing w:after="0" w:line="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any prepayments on a less than pro rata basis (but not on a greater than pro rata basis)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FF0000"/>
          <w:strike w:val="1"/>
        </w:rPr>
        <w:t>146960219_6</w:t>
      </w: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128</w:t>
      </w:r>
      <w:r>
        <w:rPr>
          <w:sz w:val="20"/>
          <w:szCs w:val="20"/>
          <w:color w:val="auto"/>
        </w:rPr>
        <w:tab/>
      </w: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080"/>
          </w:cols>
          <w:pgMar w:left="380" w:top="1440" w:right="439" w:bottom="1440" w:gutter="0" w:footer="0" w:header="0"/>
        </w:sectPr>
      </w:pPr>
    </w:p>
    <w:bookmarkStart w:id="211" w:name="page212"/>
    <w:bookmarkEnd w:id="211"/>
    <w:p>
      <w:pPr>
        <w:ind w:left="840"/>
        <w:spacing w:after="0"/>
        <w:rPr>
          <w:sz w:val="20"/>
          <w:szCs w:val="20"/>
          <w:color w:val="auto"/>
        </w:rPr>
      </w:pPr>
      <w:r>
        <w:rPr>
          <w:rFonts w:ascii="Times New Roman" w:cs="Times New Roman" w:eastAsia="Times New Roman" w:hAnsi="Times New Roman"/>
          <w:sz w:val="20"/>
          <w:szCs w:val="20"/>
          <w:color w:val="auto"/>
        </w:rPr>
        <w:t>and (z) such mandatory repayments or redemptions or similar obligations are no more restrictive on the applicable Borrower or</w:t>
      </w:r>
    </w:p>
    <w:p>
      <w:pPr>
        <w:jc w:val="both"/>
        <w:ind w:left="840"/>
        <w:spacing w:after="0" w:line="215" w:lineRule="auto"/>
        <w:rPr>
          <w:sz w:val="20"/>
          <w:szCs w:val="20"/>
          <w:color w:val="auto"/>
        </w:rPr>
      </w:pPr>
      <w:r>
        <w:rPr>
          <w:rFonts w:ascii="Times New Roman" w:cs="Times New Roman" w:eastAsia="Times New Roman" w:hAnsi="Times New Roman"/>
          <w:sz w:val="19"/>
          <w:szCs w:val="19"/>
          <w:color w:val="auto"/>
        </w:rPr>
        <w:t xml:space="preserve">its Subsidiaries than the provisions of </w:t>
      </w:r>
      <w:r>
        <w:rPr>
          <w:rFonts w:ascii="Times New Roman" w:cs="Times New Roman" w:eastAsia="Times New Roman" w:hAnsi="Times New Roman"/>
          <w:sz w:val="19"/>
          <w:szCs w:val="19"/>
          <w:u w:val="single" w:color="auto"/>
          <w:color w:val="auto"/>
        </w:rPr>
        <w:t>Section 4.4(b)</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restrictions of this clause (iii) shall not apply to the extent such Indebtedness constitutes a customary bridge or similar facility that is to be automatically converted or exchanged into notes</w:t>
      </w:r>
    </w:p>
    <w:p>
      <w:pPr>
        <w:ind w:left="840"/>
        <w:spacing w:after="0" w:line="211" w:lineRule="auto"/>
        <w:rPr>
          <w:sz w:val="20"/>
          <w:szCs w:val="20"/>
          <w:color w:val="auto"/>
        </w:rPr>
      </w:pPr>
      <w:r>
        <w:rPr>
          <w:rFonts w:ascii="Times New Roman" w:cs="Times New Roman" w:eastAsia="Times New Roman" w:hAnsi="Times New Roman"/>
          <w:sz w:val="20"/>
          <w:szCs w:val="20"/>
          <w:color w:val="auto"/>
        </w:rPr>
        <w:t>or other permitted Indebtedness that otherwise would satisfy this clause (iii) so long as such conversion or exchange is subject</w:t>
      </w:r>
    </w:p>
    <w:p>
      <w:pPr>
        <w:jc w:val="both"/>
        <w:ind w:left="840"/>
        <w:spacing w:after="0" w:line="221" w:lineRule="auto"/>
        <w:rPr>
          <w:sz w:val="20"/>
          <w:szCs w:val="20"/>
          <w:color w:val="auto"/>
        </w:rPr>
      </w:pPr>
      <w:r>
        <w:rPr>
          <w:rFonts w:ascii="Times New Roman" w:cs="Times New Roman" w:eastAsia="Times New Roman" w:hAnsi="Times New Roman"/>
          <w:sz w:val="20"/>
          <w:szCs w:val="20"/>
          <w:color w:val="auto"/>
        </w:rPr>
        <w:t>only to conditions customary for similar conversions and exchanges and the applicable Credit Party irrevocably agrees at the time of incurrence thereof to take all actions necessary to convert or exchange such Indebtedness);</w:t>
      </w:r>
    </w:p>
    <w:p>
      <w:pPr>
        <w:spacing w:after="0" w:line="189" w:lineRule="exact"/>
        <w:rPr>
          <w:sz w:val="20"/>
          <w:szCs w:val="20"/>
          <w:color w:val="auto"/>
        </w:rPr>
      </w:pPr>
    </w:p>
    <w:p>
      <w:pPr>
        <w:jc w:val="both"/>
        <w:ind w:left="840" w:firstLine="487"/>
        <w:spacing w:after="0" w:line="230" w:lineRule="auto"/>
        <w:rPr>
          <w:sz w:val="20"/>
          <w:szCs w:val="20"/>
          <w:color w:val="auto"/>
        </w:rPr>
      </w:pPr>
      <w:r>
        <w:rPr>
          <w:rFonts w:ascii="Times New Roman" w:cs="Times New Roman" w:eastAsia="Times New Roman" w:hAnsi="Times New Roman"/>
          <w:sz w:val="20"/>
          <w:szCs w:val="20"/>
          <w:color w:val="auto"/>
        </w:rPr>
        <w:t>(lxxxiii) such Indebtedness shall have pricing (including interest rates, fees and premiums), amortization (subject to clause (iii) above), optional prepayment and redemption terms as may be agreed to by the applicable Borrower and the lenders or holders of such Indebtedness;</w:t>
      </w:r>
    </w:p>
    <w:p>
      <w:pPr>
        <w:sectPr>
          <w:pgSz w:w="11900" w:h="16838" w:orient="portrait"/>
          <w:cols w:equalWidth="0" w:num="1">
            <w:col w:w="11080"/>
          </w:cols>
          <w:pgMar w:left="380" w:top="1394" w:right="439" w:bottom="1440" w:gutter="0" w:footer="0" w:header="0"/>
        </w:sectPr>
      </w:pPr>
    </w:p>
    <w:p>
      <w:pPr>
        <w:spacing w:after="0" w:line="20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9"/>
          <w:szCs w:val="19"/>
          <w:color w:val="auto"/>
        </w:rPr>
        <w:t>(lxxxiv)</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such Indebtedness is not recourse to or guaranteed by any Subsidiary that is not a Credit Party;</w:t>
      </w:r>
    </w:p>
    <w:p>
      <w:pPr>
        <w:spacing w:after="0" w:line="200" w:lineRule="exact"/>
        <w:rPr>
          <w:sz w:val="20"/>
          <w:szCs w:val="20"/>
          <w:color w:val="auto"/>
        </w:rPr>
      </w:pPr>
    </w:p>
    <w:p>
      <w:pPr>
        <w:sectPr>
          <w:pgSz w:w="11900" w:h="16838" w:orient="portrait"/>
          <w:cols w:equalWidth="0" w:num="2">
            <w:col w:w="1980" w:space="560"/>
            <w:col w:w="8540"/>
          </w:cols>
          <w:pgMar w:left="380" w:top="1394" w:right="439" w:bottom="1440" w:gutter="0" w:footer="0" w:header="0"/>
          <w:type w:val="continuous"/>
        </w:sectPr>
      </w:pPr>
    </w:p>
    <w:p>
      <w:pPr>
        <w:spacing w:after="0" w:line="4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9"/>
          <w:szCs w:val="19"/>
          <w:color w:val="auto"/>
        </w:rPr>
        <w:t>(lxxxv)</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(x) the obligations in respect thereof shall not be secured by any Lien on any asset of any Borrower or any</w:t>
      </w:r>
    </w:p>
    <w:p>
      <w:pPr>
        <w:spacing w:after="0" w:line="28" w:lineRule="exact"/>
        <w:rPr>
          <w:sz w:val="20"/>
          <w:szCs w:val="20"/>
          <w:color w:val="auto"/>
        </w:rPr>
      </w:pPr>
    </w:p>
    <w:p>
      <w:pPr>
        <w:sectPr>
          <w:pgSz w:w="11900" w:h="16838" w:orient="portrait"/>
          <w:cols w:equalWidth="0" w:num="2">
            <w:col w:w="1920" w:space="620"/>
            <w:col w:w="8540"/>
          </w:cols>
          <w:pgMar w:left="380" w:top="1394" w:right="439" w:bottom="1440" w:gutter="0" w:footer="0" w:header="0"/>
          <w:type w:val="continuous"/>
        </w:sectPr>
      </w:pPr>
    </w:p>
    <w:p>
      <w:pPr>
        <w:ind w:left="840"/>
        <w:spacing w:after="0" w:line="186" w:lineRule="auto"/>
        <w:rPr>
          <w:sz w:val="20"/>
          <w:szCs w:val="20"/>
          <w:color w:val="auto"/>
        </w:rPr>
      </w:pPr>
      <w:r>
        <w:rPr>
          <w:rFonts w:ascii="Times New Roman" w:cs="Times New Roman" w:eastAsia="Times New Roman" w:hAnsi="Times New Roman"/>
          <w:sz w:val="20"/>
          <w:szCs w:val="20"/>
          <w:color w:val="auto"/>
        </w:rPr>
        <w:t>Subsidiary other than any asset constituting Collateral, (y) the security agreements relating to such Indebtedness shall be substantially the same as the Security Documents (with such differences as are reasonably satisfactory to the Administrative</w:t>
      </w:r>
    </w:p>
    <w:p>
      <w:pPr>
        <w:spacing w:after="0" w:line="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0"/>
          <w:szCs w:val="20"/>
          <w:color w:val="auto"/>
        </w:rPr>
        <w:t>Agent) and (z) such Indebtedness shall be subject to an Acceptable Intercreditor Agreement;</w:t>
      </w:r>
    </w:p>
    <w:p>
      <w:pPr>
        <w:spacing w:after="0" w:line="194" w:lineRule="exact"/>
        <w:rPr>
          <w:sz w:val="20"/>
          <w:szCs w:val="20"/>
          <w:color w:val="auto"/>
        </w:rPr>
      </w:pPr>
    </w:p>
    <w:p>
      <w:pPr>
        <w:ind w:left="840" w:firstLine="487"/>
        <w:spacing w:after="0" w:line="222" w:lineRule="auto"/>
        <w:rPr>
          <w:sz w:val="20"/>
          <w:szCs w:val="20"/>
          <w:color w:val="auto"/>
        </w:rPr>
      </w:pPr>
      <w:r>
        <w:rPr>
          <w:rFonts w:ascii="Times New Roman" w:cs="Times New Roman" w:eastAsia="Times New Roman" w:hAnsi="Times New Roman"/>
          <w:sz w:val="20"/>
          <w:szCs w:val="20"/>
          <w:color w:val="auto"/>
        </w:rPr>
        <w:t>(lxxxvi) except as otherwise set forth in this clause (m), the terms, covenants and conditions with respect to such Indebtedness, when taken as a whole, shall not be materially more restrictive on the applicable Borrower and its Subsidiaries</w:t>
      </w:r>
    </w:p>
    <w:p>
      <w:pPr>
        <w:spacing w:after="0" w:line="2" w:lineRule="exact"/>
        <w:rPr>
          <w:sz w:val="20"/>
          <w:szCs w:val="20"/>
          <w:color w:val="auto"/>
        </w:rPr>
      </w:pPr>
    </w:p>
    <w:p>
      <w:pPr>
        <w:ind w:left="840"/>
        <w:spacing w:after="0" w:line="215" w:lineRule="auto"/>
        <w:rPr>
          <w:sz w:val="20"/>
          <w:szCs w:val="20"/>
          <w:color w:val="auto"/>
        </w:rPr>
      </w:pPr>
      <w:r>
        <w:rPr>
          <w:rFonts w:ascii="Times New Roman" w:cs="Times New Roman" w:eastAsia="Times New Roman" w:hAnsi="Times New Roman"/>
          <w:sz w:val="19"/>
          <w:szCs w:val="19"/>
          <w:color w:val="auto"/>
        </w:rPr>
        <w:t>than the terms and conditions of this Agreement, taken as a whole (except for (x) terms, covenants and conditions with respect to such Indebtedness that are applicable only to the periods after the latest maturity date of the Loans and Commitments in effect at</w:t>
      </w:r>
    </w:p>
    <w:p>
      <w:pPr>
        <w:ind w:left="840"/>
        <w:spacing w:after="0" w:line="211" w:lineRule="auto"/>
        <w:rPr>
          <w:sz w:val="20"/>
          <w:szCs w:val="20"/>
          <w:color w:val="auto"/>
        </w:rPr>
      </w:pPr>
      <w:r>
        <w:rPr>
          <w:rFonts w:ascii="Times New Roman" w:cs="Times New Roman" w:eastAsia="Times New Roman" w:hAnsi="Times New Roman"/>
          <w:sz w:val="20"/>
          <w:szCs w:val="20"/>
          <w:color w:val="auto"/>
        </w:rPr>
        <w:t>the time of incurrence or assumption of such Indebtedness and (y) any materially more restrictive terms added for the benefit of</w:t>
      </w:r>
    </w:p>
    <w:p>
      <w:pPr>
        <w:ind w:left="840"/>
        <w:spacing w:after="0" w:line="215" w:lineRule="auto"/>
        <w:rPr>
          <w:sz w:val="20"/>
          <w:szCs w:val="20"/>
          <w:color w:val="auto"/>
        </w:rPr>
      </w:pPr>
      <w:r>
        <w:rPr>
          <w:rFonts w:ascii="Times New Roman" w:cs="Times New Roman" w:eastAsia="Times New Roman" w:hAnsi="Times New Roman"/>
          <w:sz w:val="19"/>
          <w:szCs w:val="19"/>
          <w:color w:val="auto"/>
        </w:rPr>
        <w:t>any such Indebtedness, if such materially more restrictive terms are also added for the benefit of the Lenders hereunder with respect to any Term Loans or Term Loan Commitments remaining outstanding after giving effect to the incurrence or assumption</w:t>
      </w:r>
    </w:p>
    <w:p>
      <w:pPr>
        <w:ind w:left="840"/>
        <w:spacing w:after="0" w:line="211" w:lineRule="auto"/>
        <w:rPr>
          <w:sz w:val="20"/>
          <w:szCs w:val="20"/>
          <w:color w:val="auto"/>
        </w:rPr>
      </w:pPr>
      <w:r>
        <w:rPr>
          <w:rFonts w:ascii="Times New Roman" w:cs="Times New Roman" w:eastAsia="Times New Roman" w:hAnsi="Times New Roman"/>
          <w:sz w:val="20"/>
          <w:szCs w:val="20"/>
          <w:color w:val="auto"/>
        </w:rPr>
        <w:t>of such Indebtedness and the application of the proceeds thereof) and such Indebtedness shall not include any financial</w:t>
      </w:r>
    </w:p>
    <w:p>
      <w:pPr>
        <w:ind w:left="840"/>
        <w:spacing w:after="0" w:line="215" w:lineRule="auto"/>
        <w:rPr>
          <w:sz w:val="20"/>
          <w:szCs w:val="20"/>
          <w:color w:val="auto"/>
        </w:rPr>
      </w:pPr>
      <w:r>
        <w:rPr>
          <w:rFonts w:ascii="Times New Roman" w:cs="Times New Roman" w:eastAsia="Times New Roman" w:hAnsi="Times New Roman"/>
          <w:sz w:val="19"/>
          <w:szCs w:val="19"/>
          <w:color w:val="auto"/>
        </w:rPr>
        <w:t xml:space="preserve">maintenance covenants;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 certificate of a Responsible Officer of the applicable Borrower delivered to the Administrative Agent prior to the incurrence or assumption of such Indebtedness, together with a reasonably detailed description</w:t>
      </w:r>
    </w:p>
    <w:p>
      <w:pPr>
        <w:ind w:left="840"/>
        <w:spacing w:after="0" w:line="204" w:lineRule="auto"/>
        <w:rPr>
          <w:sz w:val="20"/>
          <w:szCs w:val="20"/>
          <w:color w:val="auto"/>
        </w:rPr>
      </w:pPr>
      <w:r>
        <w:rPr>
          <w:rFonts w:ascii="Times New Roman" w:cs="Times New Roman" w:eastAsia="Times New Roman" w:hAnsi="Times New Roman"/>
          <w:sz w:val="20"/>
          <w:szCs w:val="20"/>
          <w:color w:val="auto"/>
        </w:rPr>
        <w:t>of the material terms and conditions of such Indebtedness or substantially final drafts of the documentation related thereto, stating that the applicable Borrower has determined in good faith that such terms and conditions satisfy the foregoing</w:t>
      </w:r>
    </w:p>
    <w:p>
      <w:pPr>
        <w:spacing w:after="0" w:line="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0"/>
          <w:szCs w:val="20"/>
          <w:color w:val="auto"/>
        </w:rPr>
        <w:t>requirement shall be conclusive evidence that such terms and conditions satisfy the foregoing requirement;</w:t>
      </w:r>
    </w:p>
    <w:p>
      <w:pPr>
        <w:spacing w:after="0" w:line="194" w:lineRule="exact"/>
        <w:rPr>
          <w:sz w:val="20"/>
          <w:szCs w:val="20"/>
          <w:color w:val="auto"/>
        </w:rPr>
      </w:pPr>
    </w:p>
    <w:p>
      <w:pPr>
        <w:ind w:left="840" w:firstLine="486"/>
        <w:spacing w:after="0" w:line="234" w:lineRule="auto"/>
        <w:rPr>
          <w:sz w:val="20"/>
          <w:szCs w:val="20"/>
          <w:color w:val="auto"/>
        </w:rPr>
      </w:pPr>
      <w:r>
        <w:rPr>
          <w:rFonts w:ascii="Times New Roman" w:cs="Times New Roman" w:eastAsia="Times New Roman" w:hAnsi="Times New Roman"/>
          <w:sz w:val="19"/>
          <w:szCs w:val="19"/>
          <w:color w:val="auto"/>
        </w:rPr>
        <w:t xml:space="preserve">(lxxxvii) subject to </w:t>
      </w:r>
      <w:r>
        <w:rPr>
          <w:rFonts w:ascii="Times New Roman" w:cs="Times New Roman" w:eastAsia="Times New Roman" w:hAnsi="Times New Roman"/>
          <w:sz w:val="19"/>
          <w:szCs w:val="19"/>
          <w:u w:val="single" w:color="auto"/>
          <w:color w:val="auto"/>
        </w:rPr>
        <w:t>Section 1.12</w:t>
      </w:r>
      <w:r>
        <w:rPr>
          <w:rFonts w:ascii="Times New Roman" w:cs="Times New Roman" w:eastAsia="Times New Roman" w:hAnsi="Times New Roman"/>
          <w:sz w:val="19"/>
          <w:szCs w:val="19"/>
          <w:color w:val="auto"/>
        </w:rPr>
        <w:t xml:space="preserve"> in the case of any such Indebtedness incurred to finance a substantially concurrent Limited Condition Acquisition, the Administrative Agent shall have received from Centuri, an Officer’s Compliance Certificate</w:t>
      </w:r>
    </w:p>
    <w:p>
      <w:pPr>
        <w:spacing w:after="0" w:line="1" w:lineRule="exact"/>
        <w:rPr>
          <w:sz w:val="20"/>
          <w:szCs w:val="20"/>
          <w:color w:val="auto"/>
        </w:rPr>
      </w:pPr>
    </w:p>
    <w:p>
      <w:pPr>
        <w:ind w:left="840"/>
        <w:spacing w:after="0" w:line="204" w:lineRule="auto"/>
        <w:rPr>
          <w:sz w:val="20"/>
          <w:szCs w:val="20"/>
          <w:color w:val="auto"/>
        </w:rPr>
      </w:pPr>
      <w:r>
        <w:rPr>
          <w:rFonts w:ascii="Times New Roman" w:cs="Times New Roman" w:eastAsia="Times New Roman" w:hAnsi="Times New Roman"/>
          <w:sz w:val="20"/>
          <w:szCs w:val="20"/>
          <w:color w:val="auto"/>
        </w:rPr>
        <w:t xml:space="preserve">demonstrating that the Consolidated Companies are in pro forma compliance with the financial covenants set forth in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9.13</w:t>
      </w:r>
      <w:r>
        <w:rPr>
          <w:rFonts w:ascii="Times New Roman" w:cs="Times New Roman" w:eastAsia="Times New Roman" w:hAnsi="Times New Roman"/>
          <w:sz w:val="20"/>
          <w:szCs w:val="20"/>
          <w:color w:val="auto"/>
        </w:rPr>
        <w:t xml:space="preserve"> (based on the financial statements most recently delivered pursuant to </w:t>
      </w:r>
      <w:r>
        <w:rPr>
          <w:rFonts w:ascii="Times New Roman" w:cs="Times New Roman" w:eastAsia="Times New Roman" w:hAnsi="Times New Roman"/>
          <w:sz w:val="20"/>
          <w:szCs w:val="20"/>
          <w:u w:val="single" w:color="auto"/>
          <w:color w:val="auto"/>
        </w:rPr>
        <w:t>Section 8.1</w:t>
      </w:r>
      <w:r>
        <w:rPr>
          <w:rFonts w:ascii="Times New Roman" w:cs="Times New Roman" w:eastAsia="Times New Roman" w:hAnsi="Times New Roman"/>
          <w:sz w:val="20"/>
          <w:szCs w:val="20"/>
          <w:color w:val="auto"/>
        </w:rPr>
        <w:t>) after giving effect to such Indebtedness</w:t>
      </w:r>
    </w:p>
    <w:p>
      <w:pPr>
        <w:spacing w:after="0" w:line="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0"/>
          <w:szCs w:val="20"/>
          <w:color w:val="auto"/>
        </w:rPr>
        <w:t>(assuming that the entire amount is fully funded on the effective date thereof) and the use of proceeds thereof; and</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FF0000"/>
          <w:strike w:val="1"/>
        </w:rPr>
        <w:t>146960219_6</w:t>
      </w: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129</w:t>
      </w:r>
      <w:r>
        <w:rPr>
          <w:sz w:val="20"/>
          <w:szCs w:val="20"/>
          <w:color w:val="auto"/>
        </w:rPr>
        <w:tab/>
      </w: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080"/>
          </w:cols>
          <w:pgMar w:left="380" w:top="1394" w:right="439" w:bottom="1440" w:gutter="0" w:footer="0" w:header="0"/>
          <w:type w:val="continuous"/>
        </w:sectPr>
      </w:pPr>
    </w:p>
    <w:bookmarkStart w:id="212" w:name="page213"/>
    <w:bookmarkEnd w:id="212"/>
    <w:p>
      <w:pPr>
        <w:jc w:val="both"/>
        <w:ind w:left="720" w:firstLine="651"/>
        <w:spacing w:after="0" w:line="254" w:lineRule="auto"/>
        <w:tabs>
          <w:tab w:leader="none" w:pos="1611" w:val="left"/>
        </w:tabs>
        <w:numPr>
          <w:ilvl w:val="0"/>
          <w:numId w:val="3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prior to the incurrence of such Indebtedness, the applicable Borrower shall have delivered to the Administrative Agent a certificate from a Responsible Officer of such Borrower certifying as to compliance with the requirements of the preceding clauses (i) through (viii) above.</w:t>
      </w:r>
    </w:p>
    <w:p>
      <w:pPr>
        <w:spacing w:after="0" w:line="201" w:lineRule="exact"/>
        <w:rPr>
          <w:sz w:val="20"/>
          <w:szCs w:val="20"/>
          <w:color w:val="auto"/>
        </w:rPr>
      </w:pPr>
    </w:p>
    <w:p>
      <w:pPr>
        <w:ind w:left="720"/>
        <w:spacing w:after="0"/>
        <w:tabs>
          <w:tab w:leader="none" w:pos="2040" w:val="left"/>
        </w:tabs>
        <w:rPr>
          <w:sz w:val="20"/>
          <w:szCs w:val="20"/>
          <w:color w:val="auto"/>
        </w:rPr>
      </w:pPr>
      <w:r>
        <w:rPr>
          <w:rFonts w:ascii="Times New Roman" w:cs="Times New Roman" w:eastAsia="Times New Roman" w:hAnsi="Times New Roman"/>
          <w:sz w:val="20"/>
          <w:szCs w:val="20"/>
          <w:color w:val="auto"/>
        </w:rPr>
        <w:t>SECTION 9.2</w:t>
      </w:r>
      <w:r>
        <w:rPr>
          <w:sz w:val="20"/>
          <w:szCs w:val="20"/>
          <w:color w:val="auto"/>
        </w:rPr>
        <w:tab/>
      </w:r>
      <w:r>
        <w:rPr>
          <w:rFonts w:ascii="Times New Roman" w:cs="Times New Roman" w:eastAsia="Times New Roman" w:hAnsi="Times New Roman"/>
          <w:sz w:val="19"/>
          <w:szCs w:val="19"/>
          <w:u w:val="single" w:color="auto"/>
          <w:color w:val="auto"/>
        </w:rPr>
        <w:t>Liens</w:t>
      </w:r>
    </w:p>
    <w:p>
      <w:pPr>
        <w:spacing w:after="0" w:line="270" w:lineRule="exact"/>
        <w:rPr>
          <w:sz w:val="20"/>
          <w:szCs w:val="20"/>
          <w:color w:val="auto"/>
        </w:rPr>
      </w:pPr>
    </w:p>
    <w:p>
      <w:pPr>
        <w:ind w:left="80" w:hanging="4"/>
        <w:spacing w:after="0"/>
        <w:tabs>
          <w:tab w:leader="none" w:pos="197" w:val="left"/>
        </w:tabs>
        <w:numPr>
          <w:ilvl w:val="0"/>
          <w:numId w:val="3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Create, incur, assume or suffer to exist, any Lien on or with respect to any of its Property, whether now owned or hereafter acquired, except:</w:t>
      </w:r>
    </w:p>
    <w:p>
      <w:pPr>
        <w:spacing w:after="0" w:line="188" w:lineRule="exact"/>
        <w:rPr>
          <w:rFonts w:ascii="Times New Roman" w:cs="Times New Roman" w:eastAsia="Times New Roman" w:hAnsi="Times New Roman"/>
          <w:sz w:val="20"/>
          <w:szCs w:val="20"/>
          <w:color w:val="auto"/>
        </w:rPr>
      </w:pPr>
    </w:p>
    <w:p>
      <w:pPr>
        <w:ind w:left="80" w:right="20" w:firstLine="644"/>
        <w:spacing w:after="0"/>
        <w:tabs>
          <w:tab w:leader="none" w:pos="1258" w:val="left"/>
        </w:tabs>
        <w:numPr>
          <w:ilvl w:val="1"/>
          <w:numId w:val="3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created pursuant to the Loan Documents (including, without limitation, Liens in favor of the Swingline Lenders and/or the Issuing Lenders, as applicable, on Cash Collateral granted pursuant to the Loan Documents);</w:t>
      </w:r>
    </w:p>
    <w:p>
      <w:pPr>
        <w:spacing w:after="0" w:line="188" w:lineRule="exact"/>
        <w:rPr>
          <w:rFonts w:ascii="Times New Roman" w:cs="Times New Roman" w:eastAsia="Times New Roman" w:hAnsi="Times New Roman"/>
          <w:sz w:val="20"/>
          <w:szCs w:val="20"/>
          <w:color w:val="auto"/>
        </w:rPr>
      </w:pPr>
    </w:p>
    <w:p>
      <w:pPr>
        <w:jc w:val="both"/>
        <w:ind w:left="80" w:firstLine="644"/>
        <w:spacing w:after="0" w:line="220" w:lineRule="auto"/>
        <w:tabs>
          <w:tab w:leader="none" w:pos="1256" w:val="left"/>
        </w:tabs>
        <w:numPr>
          <w:ilvl w:val="1"/>
          <w:numId w:val="3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in existence on the Closing Date and described on </w:t>
      </w:r>
      <w:r>
        <w:rPr>
          <w:rFonts w:ascii="Times New Roman" w:cs="Times New Roman" w:eastAsia="Times New Roman" w:hAnsi="Times New Roman"/>
          <w:sz w:val="20"/>
          <w:szCs w:val="20"/>
          <w:u w:val="single" w:color="auto"/>
          <w:color w:val="auto"/>
        </w:rPr>
        <w:t>Schedule 9.2</w:t>
      </w:r>
      <w:r>
        <w:rPr>
          <w:rFonts w:ascii="Times New Roman" w:cs="Times New Roman" w:eastAsia="Times New Roman" w:hAnsi="Times New Roman"/>
          <w:sz w:val="20"/>
          <w:szCs w:val="20"/>
          <w:color w:val="auto"/>
        </w:rPr>
        <w:t xml:space="preserve">, and the replacement, renewal or extension thereof (including Liens incurred in connection with any refinancing, refunding, renewal or extension of Indebtedness pursuant to </w:t>
      </w:r>
      <w:r>
        <w:rPr>
          <w:rFonts w:ascii="Times New Roman" w:cs="Times New Roman" w:eastAsia="Times New Roman" w:hAnsi="Times New Roman"/>
          <w:sz w:val="20"/>
          <w:szCs w:val="20"/>
          <w:u w:val="single" w:color="auto"/>
          <w:color w:val="auto"/>
        </w:rPr>
        <w:t>Section 9.1(c)</w:t>
      </w:r>
      <w:r>
        <w:rPr>
          <w:rFonts w:ascii="Times New Roman" w:cs="Times New Roman" w:eastAsia="Times New Roman" w:hAnsi="Times New Roman"/>
          <w:sz w:val="20"/>
          <w:szCs w:val="20"/>
          <w:color w:val="auto"/>
        </w:rPr>
        <w:t xml:space="preserve"> (solely to the extent that such Liens were in existence on the Closing Date and described on </w:t>
      </w:r>
      <w:r>
        <w:rPr>
          <w:rFonts w:ascii="Times New Roman" w:cs="Times New Roman" w:eastAsia="Times New Roman" w:hAnsi="Times New Roman"/>
          <w:sz w:val="20"/>
          <w:szCs w:val="20"/>
          <w:u w:val="single" w:color="auto"/>
          <w:color w:val="auto"/>
        </w:rPr>
        <w:t>Schedule 9.2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scope of any such Lien shall not be increased, or otherwise expanded, to cover any additional property or type of asset, as applicable, beyond that in existence on the Closing Date, except for products and proceeds of the foregoing;</w:t>
      </w:r>
    </w:p>
    <w:p>
      <w:pPr>
        <w:spacing w:after="0" w:line="187" w:lineRule="exact"/>
        <w:rPr>
          <w:rFonts w:ascii="Times New Roman" w:cs="Times New Roman" w:eastAsia="Times New Roman" w:hAnsi="Times New Roman"/>
          <w:sz w:val="20"/>
          <w:szCs w:val="20"/>
          <w:color w:val="auto"/>
        </w:rPr>
      </w:pPr>
    </w:p>
    <w:p>
      <w:pPr>
        <w:ind w:left="80" w:right="20" w:firstLine="644"/>
        <w:spacing w:after="0" w:line="222" w:lineRule="auto"/>
        <w:tabs>
          <w:tab w:leader="none" w:pos="1259" w:val="left"/>
        </w:tabs>
        <w:numPr>
          <w:ilvl w:val="1"/>
          <w:numId w:val="3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for taxes, assessments and other governmental charges or levies (excluding any Lien imposed pursuant to any of the provisions of ERISA, any Canadian Pension Laws or Environmental Laws)</w:t>
      </w:r>
    </w:p>
    <w:p>
      <w:pPr>
        <w:spacing w:after="0" w:line="2" w:lineRule="exact"/>
        <w:rPr>
          <w:sz w:val="20"/>
          <w:szCs w:val="20"/>
          <w:color w:val="auto"/>
        </w:rPr>
      </w:pPr>
    </w:p>
    <w:p>
      <w:pPr>
        <w:ind w:left="80" w:hanging="5"/>
        <w:spacing w:after="0" w:line="246" w:lineRule="auto"/>
        <w:tabs>
          <w:tab w:leader="none" w:pos="618" w:val="left"/>
        </w:tabs>
        <w:numPr>
          <w:ilvl w:val="0"/>
          <w:numId w:val="3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 past due or as to which the period of grace (not to exceed thirty (30) days), if any, related thereto has not expired or (ii) which are being contested in good faith and by appropriate proceedings if adequate reserves are maintained to the extent required by GAAP;</w:t>
      </w:r>
    </w:p>
    <w:p>
      <w:pPr>
        <w:spacing w:after="0" w:line="195" w:lineRule="exact"/>
        <w:rPr>
          <w:rFonts w:ascii="Times New Roman" w:cs="Times New Roman" w:eastAsia="Times New Roman" w:hAnsi="Times New Roman"/>
          <w:sz w:val="20"/>
          <w:szCs w:val="20"/>
          <w:color w:val="auto"/>
        </w:rPr>
      </w:pPr>
    </w:p>
    <w:p>
      <w:pPr>
        <w:jc w:val="both"/>
        <w:ind w:left="80" w:firstLine="643"/>
        <w:spacing w:after="0" w:line="220" w:lineRule="auto"/>
        <w:tabs>
          <w:tab w:leader="none" w:pos="1255" w:val="left"/>
        </w:tabs>
        <w:numPr>
          <w:ilvl w:val="1"/>
          <w:numId w:val="3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claims of materialmen, mechanics, carriers, warehousemen, processors or landlords for labor, materials, supplies or rentals incurred in the ordinary course of business, which (i) are not overdue for a period of more than thirty (30) days, or if more than thirty (30) days overdue, no action has been taken to enforce such Liens and such Liens are being contested in good faith and by appropriate proceedings if adequate reserves are maintained to the extent required by GAAP and (ii) do not, individually or in the aggregate, materially impair the use thereof in the operation of the business of the Consolidated Companies taken as a whole;</w:t>
      </w:r>
    </w:p>
    <w:p>
      <w:pPr>
        <w:spacing w:after="0" w:line="187" w:lineRule="exact"/>
        <w:rPr>
          <w:rFonts w:ascii="Times New Roman" w:cs="Times New Roman" w:eastAsia="Times New Roman" w:hAnsi="Times New Roman"/>
          <w:sz w:val="20"/>
          <w:szCs w:val="20"/>
          <w:color w:val="auto"/>
        </w:rPr>
      </w:pPr>
    </w:p>
    <w:p>
      <w:pPr>
        <w:jc w:val="both"/>
        <w:ind w:left="80" w:firstLine="643"/>
        <w:spacing w:after="0" w:line="216" w:lineRule="auto"/>
        <w:tabs>
          <w:tab w:leader="none" w:pos="1258" w:val="left"/>
        </w:tabs>
        <w:numPr>
          <w:ilvl w:val="1"/>
          <w:numId w:val="3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deposits or pledges made in the ordinary course of business in connection with, or to secure payment of, obligations under workers’ compensation, unemployment or employment insurance and other types of social security or similar legislation (other than Liens imposed pursuant to any of the provisions of ERISA or any Canadian Pension Laws), or to secure the performance of bids, trade contracts and leases (other than Indebtedness) or subleases, statutory obligations, surety bonds (other than bonds related to judgments or litigation), performance bonds and other obligations of a like nature incurred in the ordinary course of business, in each case, so long as no foreclosure sale or similar proceeding has been commenced with respect to any portion of the Collateral on account thereof;</w:t>
      </w:r>
    </w:p>
    <w:p>
      <w:pPr>
        <w:spacing w:after="0" w:line="189" w:lineRule="exact"/>
        <w:rPr>
          <w:rFonts w:ascii="Times New Roman" w:cs="Times New Roman" w:eastAsia="Times New Roman" w:hAnsi="Times New Roman"/>
          <w:sz w:val="20"/>
          <w:szCs w:val="20"/>
          <w:color w:val="auto"/>
        </w:rPr>
      </w:pPr>
    </w:p>
    <w:p>
      <w:pPr>
        <w:jc w:val="both"/>
        <w:ind w:left="80" w:firstLine="643"/>
        <w:spacing w:after="0" w:line="230" w:lineRule="auto"/>
        <w:tabs>
          <w:tab w:leader="none" w:pos="1263" w:val="left"/>
        </w:tabs>
        <w:numPr>
          <w:ilvl w:val="1"/>
          <w:numId w:val="3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encumbrances in the nature of zoning restrictions, easements and rights or restrictions of record on the use of real property, which in the aggregate are not substantial in amount and which do not, in any case, detract from the value of such property or impair the use thereof in the ordinary conduct of business;</w:t>
      </w:r>
    </w:p>
    <w:p>
      <w:pPr>
        <w:spacing w:after="0" w:line="202" w:lineRule="exact"/>
        <w:rPr>
          <w:rFonts w:ascii="Times New Roman" w:cs="Times New Roman" w:eastAsia="Times New Roman" w:hAnsi="Times New Roman"/>
          <w:sz w:val="20"/>
          <w:szCs w:val="20"/>
          <w:color w:val="auto"/>
        </w:rPr>
      </w:pPr>
    </w:p>
    <w:p>
      <w:pPr>
        <w:ind w:left="80" w:firstLine="643"/>
        <w:spacing w:after="0" w:line="269" w:lineRule="auto"/>
        <w:tabs>
          <w:tab w:leader="none" w:pos="1255" w:val="left"/>
        </w:tabs>
        <w:numPr>
          <w:ilvl w:val="1"/>
          <w:numId w:val="3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arising from the filing of precautionary UCC financing statements relating solely to personal property leased pursuant to operating leases entered into in the ordinary course of business of the Consolidated Companies;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FF0000"/>
          <w:strike w:val="1"/>
        </w:rPr>
        <w:t>146960219_6</w:t>
      </w:r>
    </w:p>
    <w:p>
      <w:pPr>
        <w:spacing w:after="0"/>
        <w:rPr>
          <w:sz w:val="20"/>
          <w:szCs w:val="20"/>
          <w:color w:val="auto"/>
        </w:rPr>
      </w:pPr>
      <w:r>
        <w:rPr>
          <w:rFonts w:ascii="Times New Roman" w:cs="Times New Roman" w:eastAsia="Times New Roman" w:hAnsi="Times New Roman"/>
          <w:sz w:val="20"/>
          <w:szCs w:val="20"/>
          <w:color w:val="auto"/>
        </w:rPr>
        <w:t xml:space="preserve">130  </w:t>
      </w: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100"/>
          </w:cols>
          <w:pgMar w:left="360" w:top="1413" w:right="439" w:bottom="1440" w:gutter="0" w:footer="0" w:header="0"/>
        </w:sectPr>
      </w:pPr>
    </w:p>
    <w:bookmarkStart w:id="213" w:name="page214"/>
    <w:bookmarkEnd w:id="213"/>
    <w:p>
      <w:pPr>
        <w:jc w:val="both"/>
        <w:ind w:left="60" w:firstLine="644"/>
        <w:spacing w:after="0" w:line="216" w:lineRule="auto"/>
        <w:tabs>
          <w:tab w:leader="none" w:pos="1236" w:val="left"/>
        </w:tabs>
        <w:numPr>
          <w:ilvl w:val="1"/>
          <w:numId w:val="3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securing Indebtedness permitted under </w:t>
      </w:r>
      <w:r>
        <w:rPr>
          <w:rFonts w:ascii="Times New Roman" w:cs="Times New Roman" w:eastAsia="Times New Roman" w:hAnsi="Times New Roman"/>
          <w:sz w:val="20"/>
          <w:szCs w:val="20"/>
          <w:u w:val="single" w:color="auto"/>
          <w:color w:val="auto"/>
        </w:rPr>
        <w:t>Section 9.1(d)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such Liens shall be created concurrently with or within twenty four (24) months of the acquisition, repair, improvement or lease, as applicable, of the related Property, (ii) such Liens do not at any time encumber any property other than the Property financed by such Indebtedness and the proceeds thereof, (iii) the amount of Indebtedness secured thereby is not increased and (iv) the principal amount of Indebtedness secured by any such Lien shall at no time exceed one hundred percent (100%) of the original price for the purchase, repair improvement or lease amount (as applicable) of such Property at the time of purchase, repair, improvement or lease (as applicable);</w:t>
      </w:r>
    </w:p>
    <w:p>
      <w:pPr>
        <w:spacing w:after="0" w:line="202" w:lineRule="exact"/>
        <w:rPr>
          <w:rFonts w:ascii="Times New Roman" w:cs="Times New Roman" w:eastAsia="Times New Roman" w:hAnsi="Times New Roman"/>
          <w:sz w:val="20"/>
          <w:szCs w:val="20"/>
          <w:color w:val="auto"/>
        </w:rPr>
      </w:pPr>
    </w:p>
    <w:p>
      <w:pPr>
        <w:ind w:left="60" w:right="20" w:firstLine="644"/>
        <w:spacing w:after="0" w:line="283" w:lineRule="auto"/>
        <w:tabs>
          <w:tab w:leader="none" w:pos="1246" w:val="left"/>
        </w:tabs>
        <w:numPr>
          <w:ilvl w:val="1"/>
          <w:numId w:val="3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securing judgments for the payment of money not constituting an Event of Default under </w:t>
      </w:r>
      <w:r>
        <w:rPr>
          <w:rFonts w:ascii="Times New Roman" w:cs="Times New Roman" w:eastAsia="Times New Roman" w:hAnsi="Times New Roman"/>
          <w:sz w:val="20"/>
          <w:szCs w:val="20"/>
          <w:u w:val="single" w:color="auto"/>
          <w:color w:val="auto"/>
        </w:rPr>
        <w:t>Section 10.1(m)</w:t>
      </w:r>
      <w:r>
        <w:rPr>
          <w:rFonts w:ascii="Times New Roman" w:cs="Times New Roman" w:eastAsia="Times New Roman" w:hAnsi="Times New Roman"/>
          <w:sz w:val="20"/>
          <w:szCs w:val="20"/>
          <w:color w:val="auto"/>
        </w:rPr>
        <w:t xml:space="preserve"> or securing appeal or other surety bonds relating to such judgments;</w:t>
      </w:r>
    </w:p>
    <w:p>
      <w:pPr>
        <w:spacing w:after="0" w:line="227" w:lineRule="exact"/>
        <w:rPr>
          <w:rFonts w:ascii="Times New Roman" w:cs="Times New Roman" w:eastAsia="Times New Roman" w:hAnsi="Times New Roman"/>
          <w:sz w:val="20"/>
          <w:szCs w:val="20"/>
          <w:color w:val="auto"/>
        </w:rPr>
      </w:pPr>
    </w:p>
    <w:p>
      <w:pPr>
        <w:jc w:val="both"/>
        <w:ind w:left="60" w:right="20" w:firstLine="644"/>
        <w:spacing w:after="0" w:line="230" w:lineRule="auto"/>
        <w:tabs>
          <w:tab w:leader="none" w:pos="1246" w:val="left"/>
        </w:tabs>
        <w:numPr>
          <w:ilvl w:val="1"/>
          <w:numId w:val="3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Liens of a collecting bank arising in the ordinary course of business under Section 4- 210 of the UCC and/or the PPSA, as applicable, in effect in the relevant jurisdiction and (ii) Liens of any depositary bank in connection with statutory, common law and contractual rights of set-off and recoupment with respect to any deposit account of any Borrower or any Subsidiary thereof;</w:t>
      </w:r>
    </w:p>
    <w:p>
      <w:pPr>
        <w:spacing w:after="0" w:line="189" w:lineRule="exact"/>
        <w:rPr>
          <w:rFonts w:ascii="Times New Roman" w:cs="Times New Roman" w:eastAsia="Times New Roman" w:hAnsi="Times New Roman"/>
          <w:sz w:val="20"/>
          <w:szCs w:val="20"/>
          <w:color w:val="auto"/>
        </w:rPr>
      </w:pPr>
    </w:p>
    <w:p>
      <w:pPr>
        <w:jc w:val="both"/>
        <w:ind w:left="60" w:firstLine="644"/>
        <w:spacing w:after="0" w:line="226" w:lineRule="auto"/>
        <w:tabs>
          <w:tab w:leader="none" w:pos="1236" w:val="left"/>
        </w:tabs>
        <w:numPr>
          <w:ilvl w:val="1"/>
          <w:numId w:val="3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contractual or statutory Liens of landlords to the extent relating to the property and assets relating to any lease agreements with such landlord, and (ii) contractual Liens of suppliers (including sellers of goods) or customers granted in the ordinary course of business to the extent limited to the property or assets relating to such contract;</w:t>
      </w:r>
    </w:p>
    <w:p>
      <w:pPr>
        <w:spacing w:after="0" w:line="187" w:lineRule="exact"/>
        <w:rPr>
          <w:rFonts w:ascii="Times New Roman" w:cs="Times New Roman" w:eastAsia="Times New Roman" w:hAnsi="Times New Roman"/>
          <w:sz w:val="20"/>
          <w:szCs w:val="20"/>
          <w:color w:val="auto"/>
        </w:rPr>
      </w:pPr>
    </w:p>
    <w:p>
      <w:pPr>
        <w:jc w:val="both"/>
        <w:ind w:left="60" w:firstLine="644"/>
        <w:spacing w:after="0" w:line="215" w:lineRule="auto"/>
        <w:tabs>
          <w:tab w:leader="none" w:pos="1246" w:val="left"/>
        </w:tabs>
        <w:numPr>
          <w:ilvl w:val="1"/>
          <w:numId w:val="3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on Property (i) of any Subsidiary which are in existence at the time that such Subsidiary is acquired pursuant to a Permitted Acquisition and (ii) of Centuri or any of its Subsidiaries existing at the time such tangible property or tangible assets are purchased or otherwise acquired by Centuri or such Subsidiary thereof pursuant to a transaction permitted pursuant to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with respect to each of the foregoing clauses (i) and (ii), (A) such Liens are not incurred in connection with, or in anticipation of, such Permitted Acquisition, purchase or other acquisition, (B) such Liens are applicable only to specific Property, (C) such Liens are not “blanket” or all asset Liens, (D) such Liens do not attach to any other Property of Centuri or any of its Subsidiaries and (E) the Indebtedness secured by such Liens is permitted under </w:t>
      </w:r>
      <w:r>
        <w:rPr>
          <w:rFonts w:ascii="Times New Roman" w:cs="Times New Roman" w:eastAsia="Times New Roman" w:hAnsi="Times New Roman"/>
          <w:sz w:val="20"/>
          <w:szCs w:val="20"/>
          <w:u w:val="single" w:color="auto"/>
          <w:color w:val="auto"/>
        </w:rPr>
        <w:t>Section 9.1(i)</w:t>
      </w:r>
      <w:r>
        <w:rPr>
          <w:rFonts w:ascii="Times New Roman" w:cs="Times New Roman" w:eastAsia="Times New Roman" w:hAnsi="Times New Roman"/>
          <w:sz w:val="20"/>
          <w:szCs w:val="20"/>
          <w:color w:val="auto"/>
        </w:rPr>
        <w:t xml:space="preserve"> of this Agreement);</w:t>
      </w:r>
    </w:p>
    <w:p>
      <w:pPr>
        <w:spacing w:after="0" w:line="258" w:lineRule="exact"/>
        <w:rPr>
          <w:rFonts w:ascii="Times New Roman" w:cs="Times New Roman" w:eastAsia="Times New Roman" w:hAnsi="Times New Roman"/>
          <w:sz w:val="20"/>
          <w:szCs w:val="20"/>
          <w:color w:val="auto"/>
        </w:rPr>
      </w:pPr>
    </w:p>
    <w:p>
      <w:pPr>
        <w:jc w:val="both"/>
        <w:ind w:left="60" w:firstLine="644"/>
        <w:spacing w:after="0" w:line="213" w:lineRule="auto"/>
        <w:tabs>
          <w:tab w:leader="none" w:pos="1237" w:val="left"/>
        </w:tabs>
        <w:numPr>
          <w:ilvl w:val="1"/>
          <w:numId w:val="3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interest or title of a licensor, sublicensor, lessor or sublessor with respect to any assets under any license or lease agreement entered into in the ordinary course of business which do not (i) interfere in any material respect with the business of the Consolidated Companies taken as a whole or materially detract from the value of the relevant assets of the Consolidated Companies taken as a whole or</w:t>
      </w:r>
    </w:p>
    <w:p>
      <w:pPr>
        <w:spacing w:after="0" w:line="2" w:lineRule="exact"/>
        <w:rPr>
          <w:rFonts w:ascii="Times New Roman" w:cs="Times New Roman" w:eastAsia="Times New Roman" w:hAnsi="Times New Roman"/>
          <w:sz w:val="20"/>
          <w:szCs w:val="20"/>
          <w:color w:val="auto"/>
        </w:rPr>
      </w:pPr>
    </w:p>
    <w:p>
      <w:pPr>
        <w:ind w:left="340" w:hanging="285"/>
        <w:spacing w:after="0"/>
        <w:tabs>
          <w:tab w:leader="none" w:pos="340" w:val="left"/>
        </w:tabs>
        <w:numPr>
          <w:ilvl w:val="0"/>
          <w:numId w:val="3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secure any Indebtedness;</w:t>
      </w:r>
    </w:p>
    <w:p>
      <w:pPr>
        <w:spacing w:after="0" w:line="207" w:lineRule="exact"/>
        <w:rPr>
          <w:rFonts w:ascii="Times New Roman" w:cs="Times New Roman" w:eastAsia="Times New Roman" w:hAnsi="Times New Roman"/>
          <w:sz w:val="20"/>
          <w:szCs w:val="20"/>
          <w:color w:val="auto"/>
        </w:rPr>
      </w:pPr>
    </w:p>
    <w:p>
      <w:pPr>
        <w:ind w:left="60" w:firstLine="644"/>
        <w:spacing w:after="0" w:line="269" w:lineRule="auto"/>
        <w:tabs>
          <w:tab w:leader="none" w:pos="1236" w:val="left"/>
        </w:tabs>
        <w:numPr>
          <w:ilvl w:val="1"/>
          <w:numId w:val="3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Receivables Assets that have been transferred to a Person other than Centuri and its Subsidiaries (other than a Receivables Subsidiary) in connection with such Permitted Receivables Transaction securing Permitted Receivables Transactions;</w:t>
      </w:r>
    </w:p>
    <w:p>
      <w:pPr>
        <w:spacing w:after="0" w:line="172" w:lineRule="exact"/>
        <w:rPr>
          <w:rFonts w:ascii="Times New Roman" w:cs="Times New Roman" w:eastAsia="Times New Roman" w:hAnsi="Times New Roman"/>
          <w:sz w:val="20"/>
          <w:szCs w:val="20"/>
          <w:color w:val="auto"/>
        </w:rPr>
      </w:pPr>
    </w:p>
    <w:p>
      <w:pPr>
        <w:ind w:left="60" w:right="20" w:firstLine="644"/>
        <w:spacing w:after="0"/>
        <w:tabs>
          <w:tab w:leader="none" w:pos="1236" w:val="left"/>
        </w:tabs>
        <w:numPr>
          <w:ilvl w:val="1"/>
          <w:numId w:val="3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not otherwise permitted hereunder securing Indebtedness or other obligations in the aggregate principal amount not to exceed at any time outstanding the greater of (i) $100,000,000 and (ii) 4.0% of Consolidated Total Assets; and</w:t>
      </w:r>
    </w:p>
    <w:p>
      <w:pPr>
        <w:spacing w:after="0" w:line="188" w:lineRule="exact"/>
        <w:rPr>
          <w:rFonts w:ascii="Times New Roman" w:cs="Times New Roman" w:eastAsia="Times New Roman" w:hAnsi="Times New Roman"/>
          <w:sz w:val="20"/>
          <w:szCs w:val="20"/>
          <w:color w:val="auto"/>
        </w:rPr>
      </w:pPr>
    </w:p>
    <w:p>
      <w:pPr>
        <w:ind w:left="1340" w:hanging="636"/>
        <w:spacing w:after="0"/>
        <w:tabs>
          <w:tab w:leader="none" w:pos="1340" w:val="left"/>
        </w:tabs>
        <w:numPr>
          <w:ilvl w:val="1"/>
          <w:numId w:val="3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Collateral securing Incremental Equivalent Indebtedness.</w:t>
      </w:r>
    </w:p>
    <w:p>
      <w:pPr>
        <w:spacing w:after="0" w:line="216" w:lineRule="exact"/>
        <w:rPr>
          <w:sz w:val="20"/>
          <w:szCs w:val="20"/>
          <w:color w:val="auto"/>
        </w:rPr>
      </w:pPr>
    </w:p>
    <w:p>
      <w:pPr>
        <w:ind w:left="60" w:right="20" w:firstLine="648"/>
        <w:spacing w:after="0"/>
        <w:rPr>
          <w:sz w:val="20"/>
          <w:szCs w:val="20"/>
          <w:color w:val="auto"/>
        </w:rPr>
      </w:pPr>
      <w:r>
        <w:rPr>
          <w:rFonts w:ascii="Times New Roman" w:cs="Times New Roman" w:eastAsia="Times New Roman" w:hAnsi="Times New Roman"/>
          <w:sz w:val="20"/>
          <w:szCs w:val="20"/>
          <w:color w:val="auto"/>
        </w:rPr>
        <w:t>Notwithstanding the foregoing, in no event shall this Section permit any consensual Liens on real property except pursuant to clauses (a), (b), (c), (d), (f), (h), (k), (l) and (p)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FF0000"/>
          <w:strike w:val="1"/>
        </w:rPr>
        <w:t>146960219_6</w:t>
      </w: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131</w:t>
      </w:r>
      <w:r>
        <w:rPr>
          <w:sz w:val="20"/>
          <w:szCs w:val="20"/>
          <w:color w:val="auto"/>
        </w:rPr>
        <w:tab/>
      </w: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080"/>
          </w:cols>
          <w:pgMar w:left="380" w:top="1399" w:right="439" w:bottom="1440" w:gutter="0" w:footer="0" w:header="0"/>
        </w:sectPr>
      </w:pPr>
    </w:p>
    <w:bookmarkStart w:id="214" w:name="page215"/>
    <w:bookmarkEnd w:id="214"/>
    <w:p>
      <w:pPr>
        <w:spacing w:after="0" w:line="203" w:lineRule="exact"/>
        <w:rPr>
          <w:sz w:val="20"/>
          <w:szCs w:val="20"/>
          <w:color w:val="auto"/>
        </w:rPr>
      </w:pPr>
    </w:p>
    <w:p>
      <w:pPr>
        <w:ind w:left="700"/>
        <w:spacing w:after="0"/>
        <w:tabs>
          <w:tab w:leader="none" w:pos="2020" w:val="left"/>
        </w:tabs>
        <w:rPr>
          <w:sz w:val="20"/>
          <w:szCs w:val="20"/>
          <w:color w:val="auto"/>
        </w:rPr>
      </w:pPr>
      <w:r>
        <w:rPr>
          <w:rFonts w:ascii="Times New Roman" w:cs="Times New Roman" w:eastAsia="Times New Roman" w:hAnsi="Times New Roman"/>
          <w:sz w:val="20"/>
          <w:szCs w:val="20"/>
          <w:color w:val="auto"/>
        </w:rPr>
        <w:t>SECTION 9.3</w:t>
      </w:r>
      <w:r>
        <w:rPr>
          <w:sz w:val="20"/>
          <w:szCs w:val="20"/>
          <w:color w:val="auto"/>
        </w:rPr>
        <w:tab/>
      </w:r>
      <w:r>
        <w:rPr>
          <w:rFonts w:ascii="Times New Roman" w:cs="Times New Roman" w:eastAsia="Times New Roman" w:hAnsi="Times New Roman"/>
          <w:sz w:val="19"/>
          <w:szCs w:val="19"/>
          <w:u w:val="single" w:color="auto"/>
          <w:color w:val="auto"/>
        </w:rPr>
        <w:t>Investments</w:t>
      </w:r>
    </w:p>
    <w:p>
      <w:pPr>
        <w:spacing w:after="0" w:line="283" w:lineRule="exact"/>
        <w:rPr>
          <w:sz w:val="20"/>
          <w:szCs w:val="20"/>
          <w:color w:val="auto"/>
        </w:rPr>
      </w:pPr>
    </w:p>
    <w:p>
      <w:pPr>
        <w:jc w:val="both"/>
        <w:ind w:left="60" w:hanging="4"/>
        <w:spacing w:after="0" w:line="217" w:lineRule="auto"/>
        <w:tabs>
          <w:tab w:leader="none" w:pos="193" w:val="left"/>
        </w:tabs>
        <w:numPr>
          <w:ilvl w:val="0"/>
          <w:numId w:val="3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Purchase, invest in or otherwise acquire (in one transaction or a series of transactions), directly or indirectly, any Equity Interests, interests in any partnership or joint venture (including, without limitation, the creation or capitalization of any Subsidiary), evidence of Indebtedness or other obligation or security, substantially all or a portion of the business or assets of any other Person or any other investment or interest whatsoever in any other Person, or make, directly or indirectly, any loans, advances or extensions of credit to, or any investment in cash or by delivery of Property in, any Person (all the foregoing, “</w:t>
      </w:r>
      <w:r>
        <w:rPr>
          <w:rFonts w:ascii="Times New Roman" w:cs="Times New Roman" w:eastAsia="Times New Roman" w:hAnsi="Times New Roman"/>
          <w:sz w:val="20"/>
          <w:szCs w:val="20"/>
          <w:u w:val="single" w:color="auto"/>
          <w:color w:val="auto"/>
        </w:rPr>
        <w:t>Investments</w:t>
      </w:r>
      <w:r>
        <w:rPr>
          <w:rFonts w:ascii="Times New Roman" w:cs="Times New Roman" w:eastAsia="Times New Roman" w:hAnsi="Times New Roman"/>
          <w:sz w:val="20"/>
          <w:szCs w:val="20"/>
          <w:color w:val="auto"/>
        </w:rPr>
        <w:t>”) except:</w:t>
      </w:r>
    </w:p>
    <w:p>
      <w:pPr>
        <w:spacing w:after="0" w:line="202" w:lineRule="exact"/>
        <w:rPr>
          <w:rFonts w:ascii="Times New Roman" w:cs="Times New Roman" w:eastAsia="Times New Roman" w:hAnsi="Times New Roman"/>
          <w:sz w:val="20"/>
          <w:szCs w:val="20"/>
          <w:color w:val="auto"/>
        </w:rPr>
      </w:pPr>
    </w:p>
    <w:p>
      <w:pPr>
        <w:ind w:left="1240" w:hanging="536"/>
        <w:spacing w:after="0"/>
        <w:tabs>
          <w:tab w:leader="none" w:pos="1240" w:val="left"/>
        </w:tabs>
        <w:numPr>
          <w:ilvl w:val="1"/>
          <w:numId w:val="3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Investments existing on the Closing Date and described on </w:t>
      </w:r>
      <w:r>
        <w:rPr>
          <w:rFonts w:ascii="Times New Roman" w:cs="Times New Roman" w:eastAsia="Times New Roman" w:hAnsi="Times New Roman"/>
          <w:sz w:val="20"/>
          <w:szCs w:val="20"/>
          <w:u w:val="single" w:color="auto"/>
          <w:color w:val="auto"/>
        </w:rPr>
        <w:t>Schedule 9.3</w:t>
      </w:r>
      <w:r>
        <w:rPr>
          <w:rFonts w:ascii="Times New Roman" w:cs="Times New Roman" w:eastAsia="Times New Roman" w:hAnsi="Times New Roman"/>
          <w:sz w:val="20"/>
          <w:szCs w:val="20"/>
          <w:color w:val="auto"/>
        </w:rPr>
        <w:t>;</w:t>
      </w:r>
    </w:p>
    <w:p>
      <w:pPr>
        <w:sectPr>
          <w:pgSz w:w="11900" w:h="16838" w:orient="portrait"/>
          <w:cols w:equalWidth="0" w:num="1">
            <w:col w:w="11080"/>
          </w:cols>
          <w:pgMar w:left="380" w:top="1440" w:right="439" w:bottom="1440" w:gutter="0" w:footer="0" w:header="0"/>
        </w:sectPr>
      </w:pPr>
    </w:p>
    <w:p>
      <w:pPr>
        <w:spacing w:after="0" w:line="28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9"/>
          <w:szCs w:val="19"/>
          <w:color w:val="auto"/>
        </w:rPr>
        <w:t>(lxxxviii)</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Investments made after the Closing Date by any US Credit Party in any other US Credit Party;</w:t>
      </w:r>
    </w:p>
    <w:p>
      <w:pPr>
        <w:spacing w:after="0" w:line="200" w:lineRule="exact"/>
        <w:rPr>
          <w:sz w:val="20"/>
          <w:szCs w:val="20"/>
          <w:color w:val="auto"/>
        </w:rPr>
      </w:pPr>
    </w:p>
    <w:p>
      <w:pPr>
        <w:sectPr>
          <w:pgSz w:w="11900" w:h="16838" w:orient="portrait"/>
          <w:cols w:equalWidth="0" w:num="2">
            <w:col w:w="2100" w:space="440"/>
            <w:col w:w="8540"/>
          </w:cols>
          <w:pgMar w:left="380" w:top="1440" w:right="439" w:bottom="1440" w:gutter="0" w:footer="0" w:header="0"/>
          <w:type w:val="continuous"/>
        </w:sectPr>
      </w:pPr>
    </w:p>
    <w:p>
      <w:pPr>
        <w:spacing w:after="0" w:line="4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9"/>
          <w:szCs w:val="19"/>
          <w:color w:val="auto"/>
        </w:rPr>
        <w:t>(lxxxix)</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Investments made after the Closing Date by any Canadian Credit Party in any other Canadian Credit Party;</w:t>
      </w:r>
    </w:p>
    <w:p>
      <w:pPr>
        <w:spacing w:after="0" w:line="200" w:lineRule="exact"/>
        <w:rPr>
          <w:sz w:val="20"/>
          <w:szCs w:val="20"/>
          <w:color w:val="auto"/>
        </w:rPr>
      </w:pPr>
    </w:p>
    <w:p>
      <w:pPr>
        <w:sectPr>
          <w:pgSz w:w="11900" w:h="16838" w:orient="portrait"/>
          <w:cols w:equalWidth="0" w:num="2">
            <w:col w:w="1980" w:space="540"/>
            <w:col w:w="8560"/>
          </w:cols>
          <w:pgMar w:left="380" w:top="1440" w:right="439" w:bottom="1440" w:gutter="0" w:footer="0" w:header="0"/>
          <w:type w:val="continuous"/>
        </w:sectPr>
      </w:pPr>
    </w:p>
    <w:p>
      <w:pPr>
        <w:spacing w:after="0" w:line="5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(xc)</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Investments made after the Closing Date by any Non-Credit Party Subsidiary in any Credit Party or any other Non-</w:t>
      </w:r>
    </w:p>
    <w:p>
      <w:pPr>
        <w:spacing w:after="0" w:line="40" w:lineRule="exact"/>
        <w:rPr>
          <w:sz w:val="20"/>
          <w:szCs w:val="20"/>
          <w:color w:val="auto"/>
        </w:rPr>
      </w:pPr>
    </w:p>
    <w:p>
      <w:pPr>
        <w:sectPr>
          <w:pgSz w:w="11900" w:h="16838" w:orient="portrait"/>
          <w:cols w:equalWidth="0" w:num="2">
            <w:col w:w="1660" w:space="220"/>
            <w:col w:w="9200"/>
          </w:cols>
          <w:pgMar w:left="380" w:top="1440" w:right="439" w:bottom="1440" w:gutter="0" w:footer="0" w:header="0"/>
          <w:type w:val="continuous"/>
        </w:sectPr>
      </w:pPr>
    </w:p>
    <w:p>
      <w:pPr>
        <w:ind w:left="700"/>
        <w:spacing w:after="0"/>
        <w:rPr>
          <w:sz w:val="20"/>
          <w:szCs w:val="20"/>
          <w:color w:val="auto"/>
        </w:rPr>
      </w:pPr>
      <w:r>
        <w:rPr>
          <w:rFonts w:ascii="Times New Roman" w:cs="Times New Roman" w:eastAsia="Times New Roman" w:hAnsi="Times New Roman"/>
          <w:sz w:val="19"/>
          <w:szCs w:val="19"/>
          <w:color w:val="auto"/>
        </w:rPr>
        <w:t>Credit Party Subsidiary;</w:t>
      </w:r>
    </w:p>
    <w:p>
      <w:pPr>
        <w:sectPr>
          <w:pgSz w:w="11900" w:h="16838" w:orient="portrait"/>
          <w:cols w:equalWidth="0" w:num="1">
            <w:col w:w="11080"/>
          </w:cols>
          <w:pgMar w:left="380" w:top="1440" w:right="439" w:bottom="1440" w:gutter="0" w:footer="0" w:header="0"/>
          <w:type w:val="continuous"/>
        </w:sectPr>
      </w:pPr>
    </w:p>
    <w:p>
      <w:pPr>
        <w:spacing w:after="0" w:line="23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9"/>
          <w:szCs w:val="19"/>
          <w:color w:val="auto"/>
        </w:rPr>
        <w:t>(xci)</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Investments made after the Closing Date by any Canadian Credit Party in any US Credit Party;</w:t>
      </w:r>
    </w:p>
    <w:p>
      <w:pPr>
        <w:spacing w:after="0" w:line="200" w:lineRule="exact"/>
        <w:rPr>
          <w:sz w:val="20"/>
          <w:szCs w:val="20"/>
          <w:color w:val="auto"/>
        </w:rPr>
      </w:pPr>
    </w:p>
    <w:p>
      <w:pPr>
        <w:sectPr>
          <w:pgSz w:w="11900" w:h="16838" w:orient="portrait"/>
          <w:cols w:equalWidth="0" w:num="2">
            <w:col w:w="1720" w:space="160"/>
            <w:col w:w="9200"/>
          </w:cols>
          <w:pgMar w:left="380" w:top="1440" w:right="439" w:bottom="1440" w:gutter="0" w:footer="0" w:header="0"/>
          <w:type w:val="continuous"/>
        </w:sectPr>
      </w:pPr>
    </w:p>
    <w:p>
      <w:pPr>
        <w:spacing w:after="0" w:line="3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0"/>
          <w:szCs w:val="20"/>
          <w:color w:val="auto"/>
        </w:rPr>
        <w:t>(xcii) Investments made after the Closing Date by any US Credit Party in any Canadian Credit Party in an aggregate</w:t>
      </w:r>
    </w:p>
    <w:p>
      <w:pPr>
        <w:ind w:left="700"/>
        <w:spacing w:after="0" w:line="197" w:lineRule="auto"/>
        <w:rPr>
          <w:sz w:val="20"/>
          <w:szCs w:val="20"/>
          <w:color w:val="auto"/>
        </w:rPr>
      </w:pPr>
      <w:r>
        <w:rPr>
          <w:rFonts w:ascii="Times New Roman" w:cs="Times New Roman" w:eastAsia="Times New Roman" w:hAnsi="Times New Roman"/>
          <w:sz w:val="20"/>
          <w:szCs w:val="20"/>
          <w:color w:val="auto"/>
        </w:rPr>
        <w:t>amount not to exceed at any time outstanding the greater of (x)</w:t>
      </w:r>
    </w:p>
    <w:p>
      <w:pPr>
        <w:ind w:left="700"/>
        <w:spacing w:after="0"/>
        <w:rPr>
          <w:sz w:val="20"/>
          <w:szCs w:val="20"/>
          <w:color w:val="auto"/>
        </w:rPr>
      </w:pPr>
      <w:r>
        <w:rPr>
          <w:rFonts w:ascii="Times New Roman" w:cs="Times New Roman" w:eastAsia="Times New Roman" w:hAnsi="Times New Roman"/>
          <w:sz w:val="20"/>
          <w:szCs w:val="20"/>
          <w:color w:val="auto"/>
        </w:rPr>
        <w:t>$50,000,000 and (y) 2.0% of Consolidated Total Assets; and</w:t>
      </w:r>
    </w:p>
    <w:p>
      <w:pPr>
        <w:spacing w:after="0" w:line="207" w:lineRule="exact"/>
        <w:rPr>
          <w:sz w:val="20"/>
          <w:szCs w:val="20"/>
          <w:color w:val="auto"/>
        </w:rPr>
      </w:pPr>
    </w:p>
    <w:p>
      <w:pPr>
        <w:ind w:left="700" w:right="260" w:firstLine="648"/>
        <w:spacing w:after="0" w:line="215" w:lineRule="auto"/>
        <w:rPr>
          <w:sz w:val="20"/>
          <w:szCs w:val="20"/>
          <w:color w:val="auto"/>
        </w:rPr>
      </w:pPr>
      <w:r>
        <w:rPr>
          <w:rFonts w:ascii="Times New Roman" w:cs="Times New Roman" w:eastAsia="Times New Roman" w:hAnsi="Times New Roman"/>
          <w:sz w:val="20"/>
          <w:szCs w:val="20"/>
          <w:color w:val="auto"/>
        </w:rPr>
        <w:t>(xciii) Investments made after the Closing Date by any Credit Party in any Non-Credit Party Subsidiary in an aggregate amount at any time outstanding not to exceed the greater of (x)</w:t>
      </w:r>
    </w:p>
    <w:p>
      <w:pPr>
        <w:spacing w:after="0" w:line="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color w:val="auto"/>
        </w:rPr>
        <w:t>$50,000,000 and (y) 2.0% of Consolidated Total Assets.</w:t>
      </w:r>
    </w:p>
    <w:p>
      <w:pPr>
        <w:spacing w:after="0" w:line="194" w:lineRule="exact"/>
        <w:rPr>
          <w:sz w:val="20"/>
          <w:szCs w:val="20"/>
          <w:color w:val="auto"/>
        </w:rPr>
      </w:pPr>
    </w:p>
    <w:p>
      <w:pPr>
        <w:ind w:left="1340" w:hanging="637"/>
        <w:spacing w:after="0"/>
        <w:tabs>
          <w:tab w:leader="none" w:pos="1340" w:val="left"/>
        </w:tabs>
        <w:numPr>
          <w:ilvl w:val="0"/>
          <w:numId w:val="3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 cash and Cash Equivalents;</w:t>
      </w:r>
    </w:p>
    <w:p>
      <w:pPr>
        <w:spacing w:after="0" w:line="210" w:lineRule="exact"/>
        <w:rPr>
          <w:rFonts w:ascii="Times New Roman" w:cs="Times New Roman" w:eastAsia="Times New Roman" w:hAnsi="Times New Roman"/>
          <w:sz w:val="20"/>
          <w:szCs w:val="20"/>
          <w:color w:val="auto"/>
        </w:rPr>
      </w:pPr>
    </w:p>
    <w:p>
      <w:pPr>
        <w:ind w:left="1240" w:hanging="536"/>
        <w:spacing w:after="0"/>
        <w:tabs>
          <w:tab w:leader="none" w:pos="1240" w:val="left"/>
        </w:tabs>
        <w:numPr>
          <w:ilvl w:val="0"/>
          <w:numId w:val="3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deposits made in the ordinary course of business to secure the performance of leases or other obligations as permitted by</w:t>
      </w:r>
    </w:p>
    <w:p>
      <w:pPr>
        <w:ind w:left="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9.2</w:t>
      </w:r>
      <w:r>
        <w:rPr>
          <w:rFonts w:ascii="Times New Roman" w:cs="Times New Roman" w:eastAsia="Times New Roman" w:hAnsi="Times New Roman"/>
          <w:sz w:val="20"/>
          <w:szCs w:val="20"/>
          <w:color w:val="auto"/>
        </w:rPr>
        <w:t>;</w:t>
      </w:r>
    </w:p>
    <w:p>
      <w:pPr>
        <w:spacing w:after="0" w:line="261" w:lineRule="exact"/>
        <w:rPr>
          <w:rFonts w:ascii="Times New Roman" w:cs="Times New Roman" w:eastAsia="Times New Roman" w:hAnsi="Times New Roman"/>
          <w:sz w:val="20"/>
          <w:szCs w:val="20"/>
          <w:color w:val="auto"/>
        </w:rPr>
      </w:pPr>
    </w:p>
    <w:p>
      <w:pPr>
        <w:ind w:left="1340" w:hanging="636"/>
        <w:spacing w:after="0"/>
        <w:tabs>
          <w:tab w:leader="none" w:pos="1340" w:val="left"/>
        </w:tabs>
        <w:numPr>
          <w:ilvl w:val="0"/>
          <w:numId w:val="3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Hedge Agreements permitted pursuant to </w:t>
      </w:r>
      <w:r>
        <w:rPr>
          <w:rFonts w:ascii="Times New Roman" w:cs="Times New Roman" w:eastAsia="Times New Roman" w:hAnsi="Times New Roman"/>
          <w:sz w:val="20"/>
          <w:szCs w:val="20"/>
          <w:u w:val="single" w:color="auto"/>
          <w:color w:val="auto"/>
        </w:rPr>
        <w:t>Section 9.1(b)</w:t>
      </w:r>
      <w:r>
        <w:rPr>
          <w:rFonts w:ascii="Times New Roman" w:cs="Times New Roman" w:eastAsia="Times New Roman" w:hAnsi="Times New Roman"/>
          <w:sz w:val="20"/>
          <w:szCs w:val="20"/>
          <w:color w:val="auto"/>
        </w:rPr>
        <w:t>;</w:t>
      </w:r>
    </w:p>
    <w:p>
      <w:pPr>
        <w:spacing w:after="0" w:line="283" w:lineRule="exact"/>
        <w:rPr>
          <w:rFonts w:ascii="Times New Roman" w:cs="Times New Roman" w:eastAsia="Times New Roman" w:hAnsi="Times New Roman"/>
          <w:sz w:val="20"/>
          <w:szCs w:val="20"/>
          <w:color w:val="auto"/>
        </w:rPr>
      </w:pPr>
    </w:p>
    <w:p>
      <w:pPr>
        <w:jc w:val="both"/>
        <w:ind w:left="60" w:firstLine="644"/>
        <w:spacing w:after="0" w:line="222" w:lineRule="auto"/>
        <w:tabs>
          <w:tab w:leader="none" w:pos="1239" w:val="left"/>
        </w:tabs>
        <w:numPr>
          <w:ilvl w:val="0"/>
          <w:numId w:val="3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purchases of assets in the ordinary course of business and (ii) Investments consisting of extensions of credit in the nature of accounts receivable or notes receivable arising from the grant of trade credit in the ordinary course of business, and Investments received in satisfaction or partial satisfaction thereof from financially troubled account debtors to the extent reasonably necessary in order to prevent or limit loss;</w:t>
      </w:r>
    </w:p>
    <w:p>
      <w:pPr>
        <w:spacing w:after="0" w:line="188" w:lineRule="exact"/>
        <w:rPr>
          <w:rFonts w:ascii="Times New Roman" w:cs="Times New Roman" w:eastAsia="Times New Roman" w:hAnsi="Times New Roman"/>
          <w:sz w:val="20"/>
          <w:szCs w:val="20"/>
          <w:color w:val="auto"/>
        </w:rPr>
      </w:pPr>
    </w:p>
    <w:p>
      <w:pPr>
        <w:jc w:val="both"/>
        <w:ind w:left="60" w:firstLine="644"/>
        <w:spacing w:after="0" w:line="226" w:lineRule="auto"/>
        <w:tabs>
          <w:tab w:leader="none" w:pos="1244" w:val="left"/>
        </w:tabs>
        <w:numPr>
          <w:ilvl w:val="0"/>
          <w:numId w:val="3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by any Credit Party in the form of Permitted Acquisitions to the extent that any Person or Property acquired in such Acquisition becomes a part of such Credit Party or becomes (whether or not such Person is a Wholly-Owned Subsidiary) a Subsidiary Guarantor in the manner and at the time contemplated by </w:t>
      </w:r>
      <w:r>
        <w:rPr>
          <w:rFonts w:ascii="Times New Roman" w:cs="Times New Roman" w:eastAsia="Times New Roman" w:hAnsi="Times New Roman"/>
          <w:sz w:val="20"/>
          <w:szCs w:val="20"/>
          <w:u w:val="single" w:color="auto"/>
          <w:color w:val="auto"/>
        </w:rPr>
        <w:t>Section 8.14</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FF0000"/>
          <w:strike w:val="1"/>
        </w:rPr>
        <w:t>146960219_6</w:t>
      </w: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132</w:t>
      </w:r>
      <w:r>
        <w:rPr>
          <w:sz w:val="20"/>
          <w:szCs w:val="20"/>
          <w:color w:val="auto"/>
        </w:rPr>
        <w:tab/>
      </w: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080"/>
          </w:cols>
          <w:pgMar w:left="380" w:top="1440" w:right="439" w:bottom="1440" w:gutter="0" w:footer="0" w:header="0"/>
          <w:type w:val="continuous"/>
        </w:sectPr>
      </w:pPr>
    </w:p>
    <w:bookmarkStart w:id="215" w:name="page216"/>
    <w:bookmarkEnd w:id="215"/>
    <w:p>
      <w:pPr>
        <w:spacing w:after="0" w:line="203" w:lineRule="exact"/>
        <w:rPr>
          <w:sz w:val="20"/>
          <w:szCs w:val="20"/>
          <w:color w:val="auto"/>
        </w:rPr>
      </w:pPr>
    </w:p>
    <w:p>
      <w:pPr>
        <w:jc w:val="both"/>
        <w:ind w:left="60" w:firstLine="644"/>
        <w:spacing w:after="0" w:line="222" w:lineRule="auto"/>
        <w:tabs>
          <w:tab w:leader="none" w:pos="1236" w:val="left"/>
        </w:tabs>
        <w:numPr>
          <w:ilvl w:val="0"/>
          <w:numId w:val="3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 in the form of loans and advances to officers, directors and employees in the ordinary course of business (including, without limitation, loans and advances for the relocation of such Person’s residence) in an aggregate amount not to exceed at any time outstanding $10,000,000 (determined without regard to any write-downs or write-offs of such loans or advances) and (ii) in the form of loans and advances to officers, directors and employees in connection with the purchase of the Permitted Drum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FF0000"/>
          <w:strike w:val="1"/>
        </w:rPr>
        <w:t>146960219_6</w:t>
      </w: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133</w:t>
      </w:r>
      <w:r>
        <w:rPr>
          <w:sz w:val="20"/>
          <w:szCs w:val="20"/>
          <w:color w:val="auto"/>
        </w:rPr>
        <w:tab/>
      </w: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080"/>
          </w:cols>
          <w:pgMar w:left="380" w:top="1440" w:right="439" w:bottom="1440" w:gutter="0" w:footer="0" w:header="0"/>
        </w:sectPr>
      </w:pPr>
    </w:p>
    <w:bookmarkStart w:id="216" w:name="page217"/>
    <w:bookmarkEnd w:id="216"/>
    <w:p>
      <w:pPr>
        <w:ind w:left="6260"/>
        <w:spacing w:after="0"/>
        <w:rPr>
          <w:sz w:val="20"/>
          <w:szCs w:val="20"/>
          <w:color w:val="auto"/>
        </w:rPr>
      </w:pPr>
      <w:r>
        <w:rPr>
          <w:rFonts w:ascii="Times New Roman" w:cs="Times New Roman" w:eastAsia="Times New Roman" w:hAnsi="Times New Roman"/>
          <w:sz w:val="20"/>
          <w:szCs w:val="20"/>
          <w:color w:val="auto"/>
        </w:rPr>
        <w:t>Investments in the form of intercompany Indebtedness</w:t>
      </w:r>
    </w:p>
    <w:p>
      <w:pPr>
        <w:ind w:left="60"/>
        <w:spacing w:after="0"/>
        <w:tabs>
          <w:tab w:leader="none" w:pos="6240" w:val="left"/>
        </w:tabs>
        <w:rPr>
          <w:sz w:val="20"/>
          <w:szCs w:val="20"/>
          <w:color w:val="auto"/>
        </w:rPr>
      </w:pPr>
      <w:r>
        <w:rPr>
          <w:rFonts w:ascii="Times New Roman" w:cs="Times New Roman" w:eastAsia="Times New Roman" w:hAnsi="Times New Roman"/>
          <w:sz w:val="32"/>
          <w:szCs w:val="32"/>
          <w:u w:val="single" w:color="auto"/>
          <w:color w:val="auto"/>
          <w:vertAlign w:val="subscript"/>
        </w:rPr>
        <w:t>9.1(h)</w:t>
      </w:r>
      <w:r>
        <w:rPr>
          <w:rFonts w:ascii="Times New Roman" w:cs="Times New Roman" w:eastAsia="Times New Roman" w:hAnsi="Times New Roman"/>
          <w:sz w:val="32"/>
          <w:szCs w:val="32"/>
          <w:color w:val="auto"/>
          <w:vertAlign w:val="subscript"/>
        </w:rPr>
        <w:t>;</w:t>
      </w:r>
      <w:r>
        <w:rPr>
          <w:sz w:val="20"/>
          <w:szCs w:val="20"/>
          <w:color w:val="auto"/>
        </w:rPr>
        <w:tab/>
      </w:r>
      <w:r>
        <w:rPr>
          <w:rFonts w:ascii="Times New Roman" w:cs="Times New Roman" w:eastAsia="Times New Roman" w:hAnsi="Times New Roman"/>
          <w:sz w:val="19"/>
          <w:szCs w:val="19"/>
          <w:color w:val="auto"/>
        </w:rPr>
        <w:t xml:space="preserve">permitted pursuant to </w:t>
      </w:r>
      <w:r>
        <w:rPr>
          <w:rFonts w:ascii="Times New Roman" w:cs="Times New Roman" w:eastAsia="Times New Roman" w:hAnsi="Times New Roman"/>
          <w:sz w:val="19"/>
          <w:szCs w:val="19"/>
          <w:u w:val="single" w:color="auto"/>
          <w:color w:val="auto"/>
        </w:rPr>
        <w:t>Section</w:t>
      </w:r>
    </w:p>
    <w:p>
      <w:pPr>
        <w:spacing w:after="0" w:line="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(h)</w:t>
      </w:r>
    </w:p>
    <w:p>
      <w:pPr>
        <w:spacing w:after="0" w:line="297" w:lineRule="exact"/>
        <w:rPr>
          <w:sz w:val="20"/>
          <w:szCs w:val="20"/>
          <w:color w:val="auto"/>
        </w:rPr>
      </w:pPr>
    </w:p>
    <w:p>
      <w:pPr>
        <w:ind w:left="60" w:firstLine="644"/>
        <w:spacing w:after="0" w:line="269" w:lineRule="auto"/>
        <w:tabs>
          <w:tab w:leader="none" w:pos="1246" w:val="left"/>
        </w:tabs>
        <w:numPr>
          <w:ilvl w:val="0"/>
          <w:numId w:val="3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acquisition by a US Subsidiary Guarantor of the remaining Equity Interests of Linetec pursuant to the LLC Agreement (as defined in the Linetec Purchase Agreement);</w:t>
      </w:r>
    </w:p>
    <w:p>
      <w:pPr>
        <w:spacing w:after="0" w:line="186" w:lineRule="exact"/>
        <w:rPr>
          <w:rFonts w:ascii="Times New Roman" w:cs="Times New Roman" w:eastAsia="Times New Roman" w:hAnsi="Times New Roman"/>
          <w:sz w:val="20"/>
          <w:szCs w:val="20"/>
          <w:color w:val="auto"/>
        </w:rPr>
      </w:pPr>
    </w:p>
    <w:p>
      <w:pPr>
        <w:jc w:val="both"/>
        <w:ind w:left="60" w:firstLine="644"/>
        <w:spacing w:after="0" w:line="213" w:lineRule="auto"/>
        <w:tabs>
          <w:tab w:leader="none" w:pos="1246" w:val="left"/>
        </w:tabs>
        <w:numPr>
          <w:ilvl w:val="0"/>
          <w:numId w:val="3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in an amount not to exceed the Available Amount at the time such Investment is made;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at the time of such Investment, or LCA Test Date, as applicable, (i) no Default or Event of Default has occurred and is continuing or would result therefrom and (ii) after giving </w:t>
      </w:r>
      <w:r>
        <w:rPr>
          <w:rFonts w:ascii="Times New Roman" w:cs="Times New Roman" w:eastAsia="Times New Roman" w:hAnsi="Times New Roman"/>
          <w:sz w:val="20"/>
          <w:szCs w:val="20"/>
          <w:u w:val="single" w:color="auto"/>
          <w:color w:val="auto"/>
        </w:rPr>
        <w:t>pro forma</w:t>
      </w:r>
      <w:r>
        <w:rPr>
          <w:rFonts w:ascii="Times New Roman" w:cs="Times New Roman" w:eastAsia="Times New Roman" w:hAnsi="Times New Roman"/>
          <w:sz w:val="20"/>
          <w:szCs w:val="20"/>
          <w:color w:val="auto"/>
        </w:rPr>
        <w:t xml:space="preserve"> effect to such Investment and any Indebtedness incurred in connection therewith, Centuri is in compliance with </w:t>
      </w:r>
      <w:r>
        <w:rPr>
          <w:rFonts w:ascii="Times New Roman" w:cs="Times New Roman" w:eastAsia="Times New Roman" w:hAnsi="Times New Roman"/>
          <w:sz w:val="20"/>
          <w:szCs w:val="20"/>
          <w:color w:val="FF0000"/>
          <w:strike w:val="1"/>
        </w:rPr>
        <w:t>the financial covenants set forth in Section 9.13</w:t>
      </w:r>
      <w:r>
        <w:rPr>
          <w:rFonts w:ascii="Times New Roman" w:cs="Times New Roman" w:eastAsia="Times New Roman" w:hAnsi="Times New Roman"/>
          <w:sz w:val="20"/>
          <w:szCs w:val="20"/>
          <w:u w:val="single" w:color="auto"/>
          <w:color w:val="0000FF"/>
        </w:rPr>
        <w:t>(A) a Consolidated Interest Coverage Ratio of 2.50 to 1.00 and (B) 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Consolidated Net Leverage Ratio of (1) 5.50 to 1.00 for the period beginning on September 30, 2022 through and including December 30, 2022, (2) 4.75 to 1.00 for the period beginning on December 31, 2022 through and including December 30, 2023 and (3) 4.00 to 1.00 for the period beginning on December 31, 2023 and thereafter, in each case, determined</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as of the most recently ended four consecutive fiscal</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 xml:space="preserve">quarter period for which financial statements and the related Officer’s Compliance Certificate have been delivered pursuant to </w:t>
      </w:r>
      <w:r>
        <w:rPr>
          <w:rFonts w:ascii="Times New Roman" w:cs="Times New Roman" w:eastAsia="Times New Roman" w:hAnsi="Times New Roman"/>
          <w:sz w:val="20"/>
          <w:szCs w:val="20"/>
          <w:u w:val="single" w:color="auto"/>
          <w:color w:val="000000"/>
        </w:rPr>
        <w:t>Sections</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0000"/>
        </w:rPr>
        <w:t>8.1(a)</w:t>
      </w:r>
      <w:r>
        <w:rPr>
          <w:rFonts w:ascii="Times New Roman" w:cs="Times New Roman" w:eastAsia="Times New Roman" w:hAnsi="Times New Roman"/>
          <w:sz w:val="20"/>
          <w:szCs w:val="20"/>
          <w:color w:val="000000"/>
        </w:rPr>
        <w:t xml:space="preserve"> or </w:t>
      </w:r>
      <w:r>
        <w:rPr>
          <w:rFonts w:ascii="Times New Roman" w:cs="Times New Roman" w:eastAsia="Times New Roman" w:hAnsi="Times New Roman"/>
          <w:sz w:val="20"/>
          <w:szCs w:val="20"/>
          <w:u w:val="single" w:color="auto"/>
          <w:color w:val="000000"/>
        </w:rPr>
        <w:t>(b)</w:t>
      </w:r>
      <w:r>
        <w:rPr>
          <w:rFonts w:ascii="Times New Roman" w:cs="Times New Roman" w:eastAsia="Times New Roman" w:hAnsi="Times New Roman"/>
          <w:sz w:val="20"/>
          <w:szCs w:val="20"/>
          <w:color w:val="000000"/>
        </w:rPr>
        <w:t xml:space="preserve"> and </w:t>
      </w:r>
      <w:r>
        <w:rPr>
          <w:rFonts w:ascii="Times New Roman" w:cs="Times New Roman" w:eastAsia="Times New Roman" w:hAnsi="Times New Roman"/>
          <w:sz w:val="20"/>
          <w:szCs w:val="20"/>
          <w:u w:val="single" w:color="auto"/>
          <w:color w:val="000000"/>
        </w:rPr>
        <w:t>8.2(a)</w:t>
      </w:r>
      <w:r>
        <w:rPr>
          <w:rFonts w:ascii="Times New Roman" w:cs="Times New Roman" w:eastAsia="Times New Roman" w:hAnsi="Times New Roman"/>
          <w:sz w:val="20"/>
          <w:szCs w:val="20"/>
          <w:color w:val="000000"/>
        </w:rPr>
        <w:t>;</w:t>
      </w:r>
    </w:p>
    <w:p>
      <w:pPr>
        <w:spacing w:after="0" w:line="255" w:lineRule="exact"/>
        <w:rPr>
          <w:rFonts w:ascii="Times New Roman" w:cs="Times New Roman" w:eastAsia="Times New Roman" w:hAnsi="Times New Roman"/>
          <w:sz w:val="20"/>
          <w:szCs w:val="20"/>
          <w:color w:val="auto"/>
        </w:rPr>
      </w:pPr>
    </w:p>
    <w:p>
      <w:pPr>
        <w:ind w:left="1340" w:hanging="636"/>
        <w:spacing w:after="0"/>
        <w:tabs>
          <w:tab w:leader="none" w:pos="1340" w:val="left"/>
        </w:tabs>
        <w:numPr>
          <w:ilvl w:val="0"/>
          <w:numId w:val="3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Guaranty Obligations permitted pursuant to </w:t>
      </w:r>
      <w:r>
        <w:rPr>
          <w:rFonts w:ascii="Times New Roman" w:cs="Times New Roman" w:eastAsia="Times New Roman" w:hAnsi="Times New Roman"/>
          <w:sz w:val="20"/>
          <w:szCs w:val="20"/>
          <w:u w:val="single" w:color="auto"/>
          <w:color w:val="auto"/>
        </w:rPr>
        <w:t>Section 9.1</w:t>
      </w:r>
      <w:r>
        <w:rPr>
          <w:rFonts w:ascii="Times New Roman" w:cs="Times New Roman" w:eastAsia="Times New Roman" w:hAnsi="Times New Roman"/>
          <w:sz w:val="20"/>
          <w:szCs w:val="20"/>
          <w:color w:val="auto"/>
        </w:rPr>
        <w:t>;</w:t>
      </w:r>
    </w:p>
    <w:p>
      <w:pPr>
        <w:spacing w:after="0" w:line="283" w:lineRule="exact"/>
        <w:rPr>
          <w:rFonts w:ascii="Times New Roman" w:cs="Times New Roman" w:eastAsia="Times New Roman" w:hAnsi="Times New Roman"/>
          <w:sz w:val="20"/>
          <w:szCs w:val="20"/>
          <w:color w:val="auto"/>
        </w:rPr>
      </w:pPr>
    </w:p>
    <w:p>
      <w:pPr>
        <w:ind w:left="1340" w:hanging="636"/>
        <w:spacing w:after="0"/>
        <w:tabs>
          <w:tab w:leader="none" w:pos="1340" w:val="left"/>
        </w:tabs>
        <w:numPr>
          <w:ilvl w:val="0"/>
          <w:numId w:val="3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Drum Acquisition;</w:t>
      </w:r>
    </w:p>
    <w:p>
      <w:pPr>
        <w:spacing w:after="0" w:line="229" w:lineRule="exact"/>
        <w:rPr>
          <w:rFonts w:ascii="Times New Roman" w:cs="Times New Roman" w:eastAsia="Times New Roman" w:hAnsi="Times New Roman"/>
          <w:sz w:val="20"/>
          <w:szCs w:val="20"/>
          <w:color w:val="auto"/>
        </w:rPr>
      </w:pPr>
    </w:p>
    <w:p>
      <w:pPr>
        <w:jc w:val="both"/>
        <w:ind w:left="60" w:firstLine="644"/>
        <w:spacing w:after="0" w:line="254" w:lineRule="auto"/>
        <w:tabs>
          <w:tab w:leader="none" w:pos="1237" w:val="left"/>
        </w:tabs>
        <w:numPr>
          <w:ilvl w:val="0"/>
          <w:numId w:val="3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Investments in any Receivables Subsidiary that, in the good faith determination of Centuri, are prudent and reasonably necessary to effect or maintain any Permitted Receivables Transaction or any repurchase obligation in connection therewith and (ii) contributions or sales of Receivables Assets in connection with any Permitted Receivables Transaction;</w:t>
      </w:r>
    </w:p>
    <w:p>
      <w:pPr>
        <w:spacing w:after="0" w:line="187" w:lineRule="exact"/>
        <w:rPr>
          <w:rFonts w:ascii="Times New Roman" w:cs="Times New Roman" w:eastAsia="Times New Roman" w:hAnsi="Times New Roman"/>
          <w:sz w:val="20"/>
          <w:szCs w:val="20"/>
          <w:color w:val="auto"/>
        </w:rPr>
      </w:pPr>
    </w:p>
    <w:p>
      <w:pPr>
        <w:jc w:val="both"/>
        <w:ind w:left="60" w:right="20" w:firstLine="644"/>
        <w:spacing w:after="0" w:line="237" w:lineRule="auto"/>
        <w:tabs>
          <w:tab w:leader="none" w:pos="1236" w:val="left"/>
        </w:tabs>
        <w:numPr>
          <w:ilvl w:val="0"/>
          <w:numId w:val="3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Investments not otherwise permitted pursuant to this </w:t>
      </w:r>
      <w:r>
        <w:rPr>
          <w:rFonts w:ascii="Times New Roman" w:cs="Times New Roman" w:eastAsia="Times New Roman" w:hAnsi="Times New Roman"/>
          <w:sz w:val="19"/>
          <w:szCs w:val="19"/>
          <w:u w:val="single" w:color="auto"/>
          <w:color w:val="auto"/>
        </w:rPr>
        <w:t>Section 9.3</w:t>
      </w:r>
      <w:r>
        <w:rPr>
          <w:rFonts w:ascii="Times New Roman" w:cs="Times New Roman" w:eastAsia="Times New Roman" w:hAnsi="Times New Roman"/>
          <w:sz w:val="19"/>
          <w:szCs w:val="19"/>
          <w:color w:val="auto"/>
        </w:rPr>
        <w:t xml:space="preserve"> in an aggregate amount not to exceed at any time outstanding the greater of (i) $50,000,000 and (ii) 2.0% of Consolidated Total Assets;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immediately before and immediately after giving pro forma effect to any such Investments, no Default or Event of Default shall have occurred and be continuing; and</w:t>
      </w:r>
    </w:p>
    <w:p>
      <w:pPr>
        <w:spacing w:after="0" w:line="203" w:lineRule="exact"/>
        <w:rPr>
          <w:rFonts w:ascii="Times New Roman" w:cs="Times New Roman" w:eastAsia="Times New Roman" w:hAnsi="Times New Roman"/>
          <w:sz w:val="19"/>
          <w:szCs w:val="19"/>
          <w:color w:val="auto"/>
        </w:rPr>
      </w:pPr>
    </w:p>
    <w:p>
      <w:pPr>
        <w:jc w:val="both"/>
        <w:ind w:left="60" w:firstLine="644"/>
        <w:spacing w:after="0" w:line="217" w:lineRule="auto"/>
        <w:tabs>
          <w:tab w:leader="none" w:pos="1236" w:val="left"/>
        </w:tabs>
        <w:numPr>
          <w:ilvl w:val="0"/>
          <w:numId w:val="3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not otherwise permitted pursuant to this </w:t>
      </w:r>
      <w:r>
        <w:rPr>
          <w:rFonts w:ascii="Times New Roman" w:cs="Times New Roman" w:eastAsia="Times New Roman" w:hAnsi="Times New Roman"/>
          <w:sz w:val="20"/>
          <w:szCs w:val="20"/>
          <w:u w:val="single" w:color="auto"/>
          <w:color w:val="auto"/>
        </w:rPr>
        <w:t>Section 9.3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immediately after giving pro forma effect to the making of any such Investment and any Indebtedness incurred in connection therewith, subject to </w:t>
      </w:r>
      <w:r>
        <w:rPr>
          <w:rFonts w:ascii="Times New Roman" w:cs="Times New Roman" w:eastAsia="Times New Roman" w:hAnsi="Times New Roman"/>
          <w:sz w:val="20"/>
          <w:szCs w:val="20"/>
          <w:u w:val="single" w:color="auto"/>
          <w:color w:val="auto"/>
        </w:rPr>
        <w:t>Section 1.12</w:t>
      </w:r>
      <w:r>
        <w:rPr>
          <w:rFonts w:ascii="Times New Roman" w:cs="Times New Roman" w:eastAsia="Times New Roman" w:hAnsi="Times New Roman"/>
          <w:sz w:val="20"/>
          <w:szCs w:val="20"/>
          <w:color w:val="auto"/>
        </w:rPr>
        <w:t xml:space="preserve"> in connection with a Limited Condition Acquisition, (i) no Default or Event of Default shall have occurred and be continuing and (ii) the Consolidated Net Leverage Ratio is less than or equal to 3.50 to 1.00 as of the most recently ended four consecutive fiscal quarter period for which financial statements and the related Officer’s Compliance Certificate have been delivered pursuant to </w:t>
      </w:r>
      <w:r>
        <w:rPr>
          <w:rFonts w:ascii="Times New Roman" w:cs="Times New Roman" w:eastAsia="Times New Roman" w:hAnsi="Times New Roman"/>
          <w:sz w:val="20"/>
          <w:szCs w:val="20"/>
          <w:u w:val="single" w:color="auto"/>
          <w:color w:val="auto"/>
        </w:rPr>
        <w:t>Sections 8.1(a)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8.2(a)</w:t>
      </w:r>
      <w:r>
        <w:rPr>
          <w:rFonts w:ascii="Times New Roman" w:cs="Times New Roman" w:eastAsia="Times New Roman" w:hAnsi="Times New Roman"/>
          <w:sz w:val="20"/>
          <w:szCs w:val="20"/>
          <w:color w:val="auto"/>
        </w:rPr>
        <w:t>.</w:t>
      </w:r>
    </w:p>
    <w:p>
      <w:pPr>
        <w:spacing w:after="0" w:line="2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 xml:space="preserve">For purposes of determining the amount of any Investment outstanding for purposes of this </w:t>
      </w:r>
      <w:r>
        <w:rPr>
          <w:rFonts w:ascii="Times New Roman" w:cs="Times New Roman" w:eastAsia="Times New Roman" w:hAnsi="Times New Roman"/>
          <w:sz w:val="19"/>
          <w:szCs w:val="19"/>
          <w:u w:val="single" w:color="auto"/>
          <w:color w:val="auto"/>
        </w:rPr>
        <w:t>Section 9.3</w:t>
      </w:r>
      <w:r>
        <w:rPr>
          <w:rFonts w:ascii="Times New Roman" w:cs="Times New Roman" w:eastAsia="Times New Roman" w:hAnsi="Times New Roman"/>
          <w:sz w:val="19"/>
          <w:szCs w:val="19"/>
          <w:color w:val="auto"/>
        </w:rPr>
        <w:t>, such amount shall be deemed to be</w:t>
      </w:r>
    </w:p>
    <w:p>
      <w:pPr>
        <w:spacing w:after="0" w:line="6" w:lineRule="exact"/>
        <w:rPr>
          <w:sz w:val="20"/>
          <w:szCs w:val="20"/>
          <w:color w:val="auto"/>
        </w:rPr>
      </w:pPr>
    </w:p>
    <w:p>
      <w:pPr>
        <w:ind w:left="60"/>
        <w:spacing w:after="0" w:line="221" w:lineRule="auto"/>
        <w:rPr>
          <w:sz w:val="20"/>
          <w:szCs w:val="20"/>
          <w:color w:val="auto"/>
        </w:rPr>
      </w:pPr>
      <w:r>
        <w:rPr>
          <w:rFonts w:ascii="Times New Roman" w:cs="Times New Roman" w:eastAsia="Times New Roman" w:hAnsi="Times New Roman"/>
          <w:sz w:val="20"/>
          <w:szCs w:val="20"/>
          <w:color w:val="auto"/>
        </w:rPr>
        <w:t xml:space="preserve">the amount of such Investment when made, purchased or acquired (without adjustment for subsequent increases or decreases in the value of such Investment) </w:t>
      </w:r>
      <w:r>
        <w:rPr>
          <w:rFonts w:ascii="Times New Roman" w:cs="Times New Roman" w:eastAsia="Times New Roman" w:hAnsi="Times New Roman"/>
          <w:sz w:val="20"/>
          <w:szCs w:val="20"/>
          <w:u w:val="single" w:color="auto"/>
          <w:color w:val="auto"/>
        </w:rPr>
        <w:t>less</w:t>
      </w:r>
      <w:r>
        <w:rPr>
          <w:rFonts w:ascii="Times New Roman" w:cs="Times New Roman" w:eastAsia="Times New Roman" w:hAnsi="Times New Roman"/>
          <w:sz w:val="20"/>
          <w:szCs w:val="20"/>
          <w:color w:val="auto"/>
        </w:rPr>
        <w:t xml:space="preserve"> any amount</w:t>
      </w:r>
    </w:p>
    <w:p>
      <w:pPr>
        <w:spacing w:after="0" w:line="200" w:lineRule="exact"/>
        <w:rPr>
          <w:sz w:val="20"/>
          <w:szCs w:val="20"/>
          <w:color w:val="auto"/>
        </w:rPr>
      </w:pPr>
    </w:p>
    <w:p>
      <w:pPr>
        <w:spacing w:after="0" w:line="2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FF0000"/>
          <w:strike w:val="1"/>
        </w:rPr>
        <w:t>146960219_6</w:t>
      </w: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134</w:t>
      </w:r>
      <w:r>
        <w:rPr>
          <w:sz w:val="20"/>
          <w:szCs w:val="20"/>
          <w:color w:val="auto"/>
        </w:rPr>
        <w:tab/>
      </w: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080"/>
          </w:cols>
          <w:pgMar w:left="380" w:top="732" w:right="439" w:bottom="1440" w:gutter="0" w:footer="0" w:header="0"/>
        </w:sectPr>
      </w:pPr>
    </w:p>
    <w:bookmarkStart w:id="217" w:name="page218"/>
    <w:bookmarkEnd w:id="217"/>
    <w:p>
      <w:pPr>
        <w:ind w:left="60"/>
        <w:spacing w:after="0"/>
        <w:rPr>
          <w:sz w:val="20"/>
          <w:szCs w:val="20"/>
          <w:color w:val="auto"/>
        </w:rPr>
      </w:pPr>
      <w:r>
        <w:rPr>
          <w:rFonts w:ascii="Times New Roman" w:cs="Times New Roman" w:eastAsia="Times New Roman" w:hAnsi="Times New Roman"/>
          <w:sz w:val="20"/>
          <w:szCs w:val="20"/>
          <w:color w:val="auto"/>
        </w:rPr>
        <w:t>realized in respect of such Investment upon the sale, collection or return of capital (not to exceed the original amount invested).</w:t>
      </w:r>
    </w:p>
    <w:p>
      <w:pPr>
        <w:spacing w:after="0" w:line="216" w:lineRule="exact"/>
        <w:rPr>
          <w:sz w:val="20"/>
          <w:szCs w:val="20"/>
          <w:color w:val="auto"/>
        </w:rPr>
      </w:pPr>
    </w:p>
    <w:p>
      <w:pPr>
        <w:ind w:left="700"/>
        <w:spacing w:after="0"/>
        <w:tabs>
          <w:tab w:leader="none" w:pos="2020" w:val="left"/>
        </w:tabs>
        <w:rPr>
          <w:sz w:val="20"/>
          <w:szCs w:val="20"/>
          <w:color w:val="auto"/>
        </w:rPr>
      </w:pPr>
      <w:r>
        <w:rPr>
          <w:rFonts w:ascii="Times New Roman" w:cs="Times New Roman" w:eastAsia="Times New Roman" w:hAnsi="Times New Roman"/>
          <w:sz w:val="20"/>
          <w:szCs w:val="20"/>
          <w:color w:val="auto"/>
        </w:rPr>
        <w:t>SECTION 9.4</w:t>
      </w:r>
      <w:r>
        <w:rPr>
          <w:sz w:val="20"/>
          <w:szCs w:val="20"/>
          <w:color w:val="auto"/>
        </w:rPr>
        <w:tab/>
      </w:r>
      <w:r>
        <w:rPr>
          <w:rFonts w:ascii="Times New Roman" w:cs="Times New Roman" w:eastAsia="Times New Roman" w:hAnsi="Times New Roman"/>
          <w:sz w:val="19"/>
          <w:szCs w:val="19"/>
          <w:u w:val="single" w:color="auto"/>
          <w:color w:val="auto"/>
        </w:rPr>
        <w:t>Fundamental Changes</w:t>
      </w:r>
    </w:p>
    <w:p>
      <w:pPr>
        <w:spacing w:after="0" w:line="283" w:lineRule="exact"/>
        <w:rPr>
          <w:sz w:val="20"/>
          <w:szCs w:val="20"/>
          <w:color w:val="auto"/>
        </w:rPr>
      </w:pPr>
    </w:p>
    <w:p>
      <w:pPr>
        <w:jc w:val="both"/>
        <w:ind w:left="60" w:hanging="5"/>
        <w:spacing w:after="0" w:line="226" w:lineRule="auto"/>
        <w:tabs>
          <w:tab w:leader="none" w:pos="165" w:val="left"/>
        </w:tabs>
        <w:numPr>
          <w:ilvl w:val="0"/>
          <w:numId w:val="3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Merge, amalgamate, consolidate or enter into any similar combination with, or enter into any Asset Disposition of all or substantially all of its assets (whether in a single transaction or a series of transactions) with, any other Person or liquidate, wind-up or dissolve itself (or suffer any liquidation or dissolution) (including, in each case, pursuant to statutory division), except:</w:t>
      </w:r>
    </w:p>
    <w:p>
      <w:pPr>
        <w:spacing w:after="0" w:line="200" w:lineRule="exact"/>
        <w:rPr>
          <w:rFonts w:ascii="Times New Roman" w:cs="Times New Roman" w:eastAsia="Times New Roman" w:hAnsi="Times New Roman"/>
          <w:sz w:val="20"/>
          <w:szCs w:val="20"/>
          <w:color w:val="auto"/>
        </w:rPr>
      </w:pPr>
    </w:p>
    <w:p>
      <w:pPr>
        <w:ind w:left="60" w:firstLine="644"/>
        <w:spacing w:after="0" w:line="233" w:lineRule="auto"/>
        <w:tabs>
          <w:tab w:leader="none" w:pos="1238" w:val="left"/>
        </w:tabs>
        <w:numPr>
          <w:ilvl w:val="2"/>
          <w:numId w:val="3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Subsidiary of the US Borrower may merge into the US Borrower in a transaction in which the US Borrower is the surviving Person;</w:t>
      </w:r>
    </w:p>
    <w:p>
      <w:pPr>
        <w:spacing w:after="0" w:line="201" w:lineRule="exact"/>
        <w:rPr>
          <w:rFonts w:ascii="Times New Roman" w:cs="Times New Roman" w:eastAsia="Times New Roman" w:hAnsi="Times New Roman"/>
          <w:sz w:val="20"/>
          <w:szCs w:val="20"/>
          <w:color w:val="auto"/>
        </w:rPr>
      </w:pPr>
    </w:p>
    <w:p>
      <w:pPr>
        <w:ind w:left="60" w:firstLine="643"/>
        <w:spacing w:after="0" w:line="233" w:lineRule="auto"/>
        <w:tabs>
          <w:tab w:leader="none" w:pos="1235" w:val="left"/>
        </w:tabs>
        <w:numPr>
          <w:ilvl w:val="2"/>
          <w:numId w:val="3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any Subsidiary (other than a Borrower) may merge into any other Subsidiary in a transaction in which the surviving entity is a US Credit Party and (ii) any US Borrower may merge into another US Borrower;</w:t>
      </w:r>
    </w:p>
    <w:p>
      <w:pPr>
        <w:spacing w:after="0" w:line="201" w:lineRule="exact"/>
        <w:rPr>
          <w:rFonts w:ascii="Times New Roman" w:cs="Times New Roman" w:eastAsia="Times New Roman" w:hAnsi="Times New Roman"/>
          <w:sz w:val="20"/>
          <w:szCs w:val="20"/>
          <w:color w:val="auto"/>
        </w:rPr>
      </w:pPr>
    </w:p>
    <w:p>
      <w:pPr>
        <w:ind w:left="60" w:firstLine="643"/>
        <w:spacing w:after="0" w:line="269" w:lineRule="auto"/>
        <w:tabs>
          <w:tab w:leader="none" w:pos="1238" w:val="left"/>
        </w:tabs>
        <w:numPr>
          <w:ilvl w:val="2"/>
          <w:numId w:val="3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Canadian Subsidiary (other than the Canadian Borrowers) may be merged, amalgamated or consolidated with or into any other Subsidiary in a transaction in which the surviving or resulting entity is a Canadian Credit Party;</w:t>
      </w:r>
    </w:p>
    <w:p>
      <w:pPr>
        <w:spacing w:after="0" w:line="186" w:lineRule="exact"/>
        <w:rPr>
          <w:rFonts w:ascii="Times New Roman" w:cs="Times New Roman" w:eastAsia="Times New Roman" w:hAnsi="Times New Roman"/>
          <w:sz w:val="20"/>
          <w:szCs w:val="20"/>
          <w:color w:val="auto"/>
        </w:rPr>
      </w:pPr>
    </w:p>
    <w:p>
      <w:pPr>
        <w:jc w:val="both"/>
        <w:ind w:left="60" w:firstLine="643"/>
        <w:spacing w:after="0" w:line="222" w:lineRule="auto"/>
        <w:tabs>
          <w:tab w:leader="none" w:pos="1235" w:val="left"/>
        </w:tabs>
        <w:numPr>
          <w:ilvl w:val="2"/>
          <w:numId w:val="3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Subsidiary of the US Borrower may liquidate or dissolve if the US Borrower determines in good faith that such liquidation or dissolution is in the best interests of the US Borrower and is not materially disadvantageous to the Lenders, provided that, to the extent such Subsidiary is a (A) US Credit Party, its assets are transferred to a US Credit Party, and (B) Canadian Credit Party, its assets are transferred to a Canadian Credit Party;</w:t>
      </w:r>
    </w:p>
    <w:p>
      <w:pPr>
        <w:spacing w:after="0" w:line="188" w:lineRule="exact"/>
        <w:rPr>
          <w:rFonts w:ascii="Times New Roman" w:cs="Times New Roman" w:eastAsia="Times New Roman" w:hAnsi="Times New Roman"/>
          <w:sz w:val="20"/>
          <w:szCs w:val="20"/>
          <w:color w:val="auto"/>
        </w:rPr>
      </w:pPr>
    </w:p>
    <w:p>
      <w:pPr>
        <w:jc w:val="both"/>
        <w:ind w:left="60" w:firstLine="644"/>
        <w:spacing w:after="0" w:line="216" w:lineRule="auto"/>
        <w:tabs>
          <w:tab w:leader="none" w:pos="1239" w:val="left"/>
        </w:tabs>
        <w:numPr>
          <w:ilvl w:val="2"/>
          <w:numId w:val="3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Consolidated Company may give effect to a merger, amalgamation or consolidation the purpose of which is to effect an Investment or Asset Disposition permitted under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 xml:space="preserve"> so long as, in the case of any such merger, amalgamation or consolidation to which a Credit Party is a party, (i) such Credit Party is the surviving Person, or (ii) if such Credit Party is not the surviving Person, the surviving Person becomes a Credit Party by executing, upon consummation of such merger, amalgamation or consolidation, such documents (including guaranties and security agreements) as are satisfactory to the Agent to render such surviving Person a Credit Party provided that if a Borrower is party to such merger, amalgamation or consolidation such Borrower shall be the surviving Person;</w:t>
      </w:r>
    </w:p>
    <w:p>
      <w:pPr>
        <w:spacing w:after="0" w:line="202" w:lineRule="exact"/>
        <w:rPr>
          <w:rFonts w:ascii="Times New Roman" w:cs="Times New Roman" w:eastAsia="Times New Roman" w:hAnsi="Times New Roman"/>
          <w:sz w:val="20"/>
          <w:szCs w:val="20"/>
          <w:color w:val="auto"/>
        </w:rPr>
      </w:pPr>
    </w:p>
    <w:p>
      <w:pPr>
        <w:ind w:left="60" w:firstLine="644"/>
        <w:spacing w:after="0" w:line="269" w:lineRule="auto"/>
        <w:tabs>
          <w:tab w:leader="none" w:pos="1244" w:val="left"/>
        </w:tabs>
        <w:numPr>
          <w:ilvl w:val="2"/>
          <w:numId w:val="3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Subsidiary may dispose of all or substantially all of its assets (upon voluntary liquidation, dissolution, winding up or otherwise) to any Borrower;</w:t>
      </w:r>
    </w:p>
    <w:p>
      <w:pPr>
        <w:spacing w:after="0" w:line="186" w:lineRule="exact"/>
        <w:rPr>
          <w:rFonts w:ascii="Times New Roman" w:cs="Times New Roman" w:eastAsia="Times New Roman" w:hAnsi="Times New Roman"/>
          <w:sz w:val="20"/>
          <w:szCs w:val="20"/>
          <w:color w:val="auto"/>
        </w:rPr>
      </w:pPr>
    </w:p>
    <w:p>
      <w:pPr>
        <w:ind w:left="60" w:right="20" w:firstLine="644"/>
        <w:spacing w:after="0" w:line="215" w:lineRule="auto"/>
        <w:tabs>
          <w:tab w:leader="none" w:pos="1236" w:val="left"/>
        </w:tabs>
        <w:numPr>
          <w:ilvl w:val="2"/>
          <w:numId w:val="3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Subsidiary may dispose of all or substantially all of its assets (upon voluntary liquidation, dissolution, winding up or otherwise) to any other Subsidiary;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disposal by</w:t>
      </w:r>
    </w:p>
    <w:p>
      <w:pPr>
        <w:spacing w:after="0" w:line="1" w:lineRule="exact"/>
        <w:rPr>
          <w:rFonts w:ascii="Times New Roman" w:cs="Times New Roman" w:eastAsia="Times New Roman" w:hAnsi="Times New Roman"/>
          <w:sz w:val="20"/>
          <w:szCs w:val="20"/>
          <w:color w:val="auto"/>
        </w:rPr>
      </w:pPr>
    </w:p>
    <w:p>
      <w:pPr>
        <w:ind w:left="60" w:hanging="4"/>
        <w:spacing w:after="0" w:line="228" w:lineRule="auto"/>
        <w:tabs>
          <w:tab w:leader="none" w:pos="598" w:val="left"/>
        </w:tabs>
        <w:numPr>
          <w:ilvl w:val="1"/>
          <w:numId w:val="3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US Credit Party shall be permitted to be made only to another US Credit Party and (ii) a Canadian Credit Party shall be permitted to be made only to another Canadian Credit Party; and</w:t>
      </w:r>
    </w:p>
    <w:p>
      <w:pPr>
        <w:spacing w:after="0" w:line="189" w:lineRule="exact"/>
        <w:rPr>
          <w:rFonts w:ascii="Times New Roman" w:cs="Times New Roman" w:eastAsia="Times New Roman" w:hAnsi="Times New Roman"/>
          <w:sz w:val="20"/>
          <w:szCs w:val="20"/>
          <w:color w:val="auto"/>
        </w:rPr>
      </w:pPr>
    </w:p>
    <w:p>
      <w:pPr>
        <w:ind w:left="1340" w:hanging="636"/>
        <w:spacing w:after="0"/>
        <w:tabs>
          <w:tab w:leader="none" w:pos="1340" w:val="left"/>
        </w:tabs>
        <w:numPr>
          <w:ilvl w:val="2"/>
          <w:numId w:val="3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Asset Dispositions permitted by </w:t>
      </w:r>
      <w:r>
        <w:rPr>
          <w:rFonts w:ascii="Times New Roman" w:cs="Times New Roman" w:eastAsia="Times New Roman" w:hAnsi="Times New Roman"/>
          <w:sz w:val="20"/>
          <w:szCs w:val="20"/>
          <w:u w:val="single" w:color="auto"/>
          <w:color w:val="auto"/>
        </w:rPr>
        <w:t>Section 9.5</w:t>
      </w:r>
      <w:r>
        <w:rPr>
          <w:rFonts w:ascii="Times New Roman" w:cs="Times New Roman" w:eastAsia="Times New Roman" w:hAnsi="Times New Roman"/>
          <w:sz w:val="20"/>
          <w:szCs w:val="20"/>
          <w:color w:val="auto"/>
        </w:rPr>
        <w:t>.</w:t>
      </w:r>
    </w:p>
    <w:p>
      <w:pPr>
        <w:spacing w:after="0" w:line="283" w:lineRule="exact"/>
        <w:rPr>
          <w:sz w:val="20"/>
          <w:szCs w:val="20"/>
          <w:color w:val="auto"/>
        </w:rPr>
      </w:pPr>
    </w:p>
    <w:p>
      <w:pPr>
        <w:ind w:left="700"/>
        <w:spacing w:after="0"/>
        <w:tabs>
          <w:tab w:leader="none" w:pos="2020" w:val="left"/>
        </w:tabs>
        <w:rPr>
          <w:sz w:val="20"/>
          <w:szCs w:val="20"/>
          <w:color w:val="auto"/>
        </w:rPr>
      </w:pPr>
      <w:r>
        <w:rPr>
          <w:rFonts w:ascii="Times New Roman" w:cs="Times New Roman" w:eastAsia="Times New Roman" w:hAnsi="Times New Roman"/>
          <w:sz w:val="20"/>
          <w:szCs w:val="20"/>
          <w:color w:val="auto"/>
        </w:rPr>
        <w:t>SECTION 9.5</w:t>
      </w:r>
      <w:r>
        <w:rPr>
          <w:sz w:val="20"/>
          <w:szCs w:val="20"/>
          <w:color w:val="auto"/>
        </w:rPr>
        <w:tab/>
      </w:r>
      <w:r>
        <w:rPr>
          <w:rFonts w:ascii="Times New Roman" w:cs="Times New Roman" w:eastAsia="Times New Roman" w:hAnsi="Times New Roman"/>
          <w:sz w:val="19"/>
          <w:szCs w:val="19"/>
          <w:u w:val="single" w:color="auto"/>
          <w:color w:val="auto"/>
        </w:rPr>
        <w:t>Asset Dispositions</w:t>
      </w:r>
    </w:p>
    <w:p>
      <w:pPr>
        <w:spacing w:after="0" w:line="283" w:lineRule="exact"/>
        <w:rPr>
          <w:sz w:val="20"/>
          <w:szCs w:val="20"/>
          <w:color w:val="auto"/>
        </w:rPr>
      </w:pPr>
    </w:p>
    <w:p>
      <w:pPr>
        <w:ind w:left="160" w:hanging="104"/>
        <w:spacing w:after="0"/>
        <w:tabs>
          <w:tab w:leader="none" w:pos="160" w:val="left"/>
        </w:tabs>
        <w:numPr>
          <w:ilvl w:val="0"/>
          <w:numId w:val="3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any Asset Disposition except:</w:t>
      </w:r>
    </w:p>
    <w:p>
      <w:pPr>
        <w:spacing w:after="0" w:line="215" w:lineRule="exact"/>
        <w:rPr>
          <w:rFonts w:ascii="Times New Roman" w:cs="Times New Roman" w:eastAsia="Times New Roman" w:hAnsi="Times New Roman"/>
          <w:sz w:val="20"/>
          <w:szCs w:val="20"/>
          <w:color w:val="auto"/>
        </w:rPr>
      </w:pPr>
    </w:p>
    <w:p>
      <w:pPr>
        <w:ind w:left="1240" w:hanging="537"/>
        <w:spacing w:after="0"/>
        <w:tabs>
          <w:tab w:leader="none" w:pos="1240" w:val="left"/>
        </w:tabs>
        <w:numPr>
          <w:ilvl w:val="1"/>
          <w:numId w:val="3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sale of inventory or assets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FF0000"/>
          <w:strike w:val="1"/>
        </w:rPr>
        <w:t>146960219_6</w:t>
      </w: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135</w:t>
      </w:r>
      <w:r>
        <w:rPr>
          <w:sz w:val="20"/>
          <w:szCs w:val="20"/>
          <w:color w:val="auto"/>
        </w:rPr>
        <w:tab/>
      </w: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080"/>
          </w:cols>
          <w:pgMar w:left="380" w:top="1399" w:right="439" w:bottom="1440" w:gutter="0" w:footer="0" w:header="0"/>
        </w:sectPr>
      </w:pPr>
    </w:p>
    <w:bookmarkStart w:id="218" w:name="page219"/>
    <w:bookmarkEnd w:id="218"/>
    <w:p>
      <w:pPr>
        <w:spacing w:after="0" w:line="197" w:lineRule="exact"/>
        <w:rPr>
          <w:sz w:val="20"/>
          <w:szCs w:val="20"/>
          <w:color w:val="auto"/>
        </w:rPr>
      </w:pPr>
    </w:p>
    <w:p>
      <w:pPr>
        <w:ind w:left="1240" w:hanging="536"/>
        <w:spacing w:after="0"/>
        <w:tabs>
          <w:tab w:leader="none" w:pos="1240" w:val="left"/>
        </w:tabs>
        <w:numPr>
          <w:ilvl w:val="0"/>
          <w:numId w:val="3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transfer of assets to a Borrower or any Subsidiary Guarantor pursuant to any other transaction permitted pursuant to</w:t>
      </w:r>
    </w:p>
    <w:p>
      <w:pPr>
        <w:ind w:left="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9.4</w:t>
      </w:r>
      <w:r>
        <w:rPr>
          <w:rFonts w:ascii="Times New Roman" w:cs="Times New Roman" w:eastAsia="Times New Roman" w:hAnsi="Times New Roman"/>
          <w:sz w:val="20"/>
          <w:szCs w:val="20"/>
          <w:color w:val="auto"/>
        </w:rPr>
        <w:t>;</w:t>
      </w:r>
    </w:p>
    <w:p>
      <w:pPr>
        <w:spacing w:after="0" w:line="274" w:lineRule="exact"/>
        <w:rPr>
          <w:rFonts w:ascii="Times New Roman" w:cs="Times New Roman" w:eastAsia="Times New Roman" w:hAnsi="Times New Roman"/>
          <w:sz w:val="20"/>
          <w:szCs w:val="20"/>
          <w:color w:val="auto"/>
        </w:rPr>
      </w:pPr>
    </w:p>
    <w:p>
      <w:pPr>
        <w:ind w:left="60" w:firstLine="644"/>
        <w:spacing w:after="0" w:line="269" w:lineRule="auto"/>
        <w:tabs>
          <w:tab w:leader="none" w:pos="1239" w:val="left"/>
        </w:tabs>
        <w:numPr>
          <w:ilvl w:val="0"/>
          <w:numId w:val="3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write-off, discount, sale or other disposition of defaulted or past-due receivables and similar obligations in the ordinary course of business and not undertaken as part of an accounts receivable financing transaction;</w:t>
      </w:r>
    </w:p>
    <w:p>
      <w:pPr>
        <w:spacing w:after="0" w:line="172" w:lineRule="exact"/>
        <w:rPr>
          <w:rFonts w:ascii="Times New Roman" w:cs="Times New Roman" w:eastAsia="Times New Roman" w:hAnsi="Times New Roman"/>
          <w:sz w:val="20"/>
          <w:szCs w:val="20"/>
          <w:color w:val="auto"/>
        </w:rPr>
      </w:pPr>
    </w:p>
    <w:p>
      <w:pPr>
        <w:ind w:left="1340" w:hanging="636"/>
        <w:spacing w:after="0"/>
        <w:tabs>
          <w:tab w:leader="none" w:pos="1340" w:val="left"/>
        </w:tabs>
        <w:numPr>
          <w:ilvl w:val="0"/>
          <w:numId w:val="3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disposition of any Hedge Agreement or close out of any position thereunder;</w:t>
      </w:r>
    </w:p>
    <w:p>
      <w:pPr>
        <w:spacing w:after="0" w:line="215" w:lineRule="exact"/>
        <w:rPr>
          <w:rFonts w:ascii="Times New Roman" w:cs="Times New Roman" w:eastAsia="Times New Roman" w:hAnsi="Times New Roman"/>
          <w:sz w:val="20"/>
          <w:szCs w:val="20"/>
          <w:color w:val="auto"/>
        </w:rPr>
      </w:pPr>
    </w:p>
    <w:p>
      <w:pPr>
        <w:ind w:left="1340" w:hanging="636"/>
        <w:spacing w:after="0"/>
        <w:tabs>
          <w:tab w:leader="none" w:pos="1340" w:val="left"/>
        </w:tabs>
        <w:numPr>
          <w:ilvl w:val="0"/>
          <w:numId w:val="3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of Investments in cash and Cash Equivalents;</w:t>
      </w:r>
    </w:p>
    <w:p>
      <w:pPr>
        <w:spacing w:after="0" w:line="229" w:lineRule="exact"/>
        <w:rPr>
          <w:rFonts w:ascii="Times New Roman" w:cs="Times New Roman" w:eastAsia="Times New Roman" w:hAnsi="Times New Roman"/>
          <w:sz w:val="20"/>
          <w:szCs w:val="20"/>
          <w:color w:val="auto"/>
        </w:rPr>
      </w:pPr>
    </w:p>
    <w:p>
      <w:pPr>
        <w:ind w:left="1340" w:hanging="636"/>
        <w:spacing w:after="0"/>
        <w:tabs>
          <w:tab w:leader="none" w:pos="1340" w:val="left"/>
        </w:tabs>
        <w:numPr>
          <w:ilvl w:val="0"/>
          <w:numId w:val="3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transfer by any Credit Party of its assets to any other Credit Party;</w:t>
      </w:r>
    </w:p>
    <w:p>
      <w:pPr>
        <w:spacing w:after="0" w:line="215" w:lineRule="exact"/>
        <w:rPr>
          <w:rFonts w:ascii="Times New Roman" w:cs="Times New Roman" w:eastAsia="Times New Roman" w:hAnsi="Times New Roman"/>
          <w:sz w:val="20"/>
          <w:szCs w:val="20"/>
          <w:color w:val="auto"/>
        </w:rPr>
      </w:pPr>
    </w:p>
    <w:p>
      <w:pPr>
        <w:jc w:val="both"/>
        <w:ind w:left="60" w:firstLine="644"/>
        <w:spacing w:after="0" w:line="226" w:lineRule="auto"/>
        <w:tabs>
          <w:tab w:leader="none" w:pos="1236" w:val="left"/>
        </w:tabs>
        <w:numPr>
          <w:ilvl w:val="0"/>
          <w:numId w:val="3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transfer by any Non-Credit Party Subsidiary of its assets to any Credit Party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connection with any new transfer, such Credit Party shall not pay more than an amount equal to the fair market value of such assets as determined in good faith at the time of such transfer);</w:t>
      </w:r>
    </w:p>
    <w:p>
      <w:pPr>
        <w:spacing w:after="0" w:line="200" w:lineRule="exact"/>
        <w:rPr>
          <w:rFonts w:ascii="Times New Roman" w:cs="Times New Roman" w:eastAsia="Times New Roman" w:hAnsi="Times New Roman"/>
          <w:sz w:val="20"/>
          <w:szCs w:val="20"/>
          <w:color w:val="auto"/>
        </w:rPr>
      </w:pPr>
    </w:p>
    <w:p>
      <w:pPr>
        <w:ind w:left="1240" w:hanging="536"/>
        <w:spacing w:after="0"/>
        <w:tabs>
          <w:tab w:leader="none" w:pos="1240" w:val="left"/>
        </w:tabs>
        <w:numPr>
          <w:ilvl w:val="0"/>
          <w:numId w:val="3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transfer by any Non-Credit Party Subsidiary of its assets to any other Non-Credit Party Subsidiary;</w:t>
      </w:r>
    </w:p>
    <w:p>
      <w:pPr>
        <w:spacing w:after="0" w:line="242" w:lineRule="exact"/>
        <w:rPr>
          <w:rFonts w:ascii="Times New Roman" w:cs="Times New Roman" w:eastAsia="Times New Roman" w:hAnsi="Times New Roman"/>
          <w:sz w:val="20"/>
          <w:szCs w:val="20"/>
          <w:color w:val="auto"/>
        </w:rPr>
      </w:pPr>
    </w:p>
    <w:p>
      <w:pPr>
        <w:ind w:left="60" w:firstLine="644"/>
        <w:spacing w:after="0" w:line="233" w:lineRule="auto"/>
        <w:tabs>
          <w:tab w:leader="none" w:pos="1246" w:val="left"/>
        </w:tabs>
        <w:numPr>
          <w:ilvl w:val="0"/>
          <w:numId w:val="3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sale, abandonment or other disposition of obsolete, worn-out or surplus assets no longer needed or necessary in the business of the Consolidated Company effecting such Asset Disposition or any of its Subsidiaries;</w:t>
      </w:r>
    </w:p>
    <w:p>
      <w:pPr>
        <w:spacing w:after="0" w:line="187" w:lineRule="exact"/>
        <w:rPr>
          <w:rFonts w:ascii="Times New Roman" w:cs="Times New Roman" w:eastAsia="Times New Roman" w:hAnsi="Times New Roman"/>
          <w:sz w:val="20"/>
          <w:szCs w:val="20"/>
          <w:color w:val="auto"/>
        </w:rPr>
      </w:pPr>
    </w:p>
    <w:p>
      <w:pPr>
        <w:ind w:left="60" w:firstLine="644"/>
        <w:spacing w:after="0"/>
        <w:tabs>
          <w:tab w:leader="none" w:pos="1246" w:val="left"/>
        </w:tabs>
        <w:numPr>
          <w:ilvl w:val="0"/>
          <w:numId w:val="3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non-exclusive licenses and sublicenses of intellectual property rights in the ordinary course of business not interfering, individually or in the aggregate, in any material respect with the conduct of the business of the Consolidated Companies;</w:t>
      </w:r>
    </w:p>
    <w:p>
      <w:pPr>
        <w:spacing w:after="0" w:line="201" w:lineRule="exact"/>
        <w:rPr>
          <w:rFonts w:ascii="Times New Roman" w:cs="Times New Roman" w:eastAsia="Times New Roman" w:hAnsi="Times New Roman"/>
          <w:sz w:val="20"/>
          <w:szCs w:val="20"/>
          <w:color w:val="auto"/>
        </w:rPr>
      </w:pPr>
    </w:p>
    <w:p>
      <w:pPr>
        <w:ind w:left="60" w:firstLine="644"/>
        <w:spacing w:after="0" w:line="269" w:lineRule="auto"/>
        <w:tabs>
          <w:tab w:leader="none" w:pos="1236" w:val="left"/>
        </w:tabs>
        <w:numPr>
          <w:ilvl w:val="0"/>
          <w:numId w:val="3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leases, subleases, licenses or sublicenses of real or personal property granted by Centuri or any of its Subsidiaries to others in the ordinary course of business not interfering in any material respect with the business of the Consolidated Companies;</w:t>
      </w:r>
    </w:p>
    <w:p>
      <w:pPr>
        <w:spacing w:after="0" w:line="186" w:lineRule="exact"/>
        <w:rPr>
          <w:rFonts w:ascii="Times New Roman" w:cs="Times New Roman" w:eastAsia="Times New Roman" w:hAnsi="Times New Roman"/>
          <w:sz w:val="20"/>
          <w:szCs w:val="20"/>
          <w:color w:val="auto"/>
        </w:rPr>
      </w:pPr>
    </w:p>
    <w:p>
      <w:pPr>
        <w:ind w:left="60" w:right="20" w:firstLine="644"/>
        <w:spacing w:after="0" w:line="233" w:lineRule="auto"/>
        <w:tabs>
          <w:tab w:leader="none" w:pos="1246" w:val="left"/>
        </w:tabs>
        <w:numPr>
          <w:ilvl w:val="0"/>
          <w:numId w:val="3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Asset Dispositions in connection with Insurance and Condemnation Events;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requirements of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4.4(b)</w:t>
      </w:r>
      <w:r>
        <w:rPr>
          <w:rFonts w:ascii="Times New Roman" w:cs="Times New Roman" w:eastAsia="Times New Roman" w:hAnsi="Times New Roman"/>
          <w:sz w:val="20"/>
          <w:szCs w:val="20"/>
          <w:color w:val="auto"/>
        </w:rPr>
        <w:t xml:space="preserve"> are complied with in connection therewith;</w:t>
      </w:r>
    </w:p>
    <w:p>
      <w:pPr>
        <w:spacing w:after="0" w:line="255" w:lineRule="exact"/>
        <w:rPr>
          <w:rFonts w:ascii="Times New Roman" w:cs="Times New Roman" w:eastAsia="Times New Roman" w:hAnsi="Times New Roman"/>
          <w:sz w:val="20"/>
          <w:szCs w:val="20"/>
          <w:color w:val="auto"/>
        </w:rPr>
      </w:pPr>
    </w:p>
    <w:p>
      <w:pPr>
        <w:ind w:left="1240" w:hanging="536"/>
        <w:spacing w:after="0"/>
        <w:tabs>
          <w:tab w:leader="none" w:pos="1240" w:val="left"/>
        </w:tabs>
        <w:numPr>
          <w:ilvl w:val="0"/>
          <w:numId w:val="3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Asset Dispositions in connection with transactions permitted by </w:t>
      </w:r>
      <w:r>
        <w:rPr>
          <w:rFonts w:ascii="Times New Roman" w:cs="Times New Roman" w:eastAsia="Times New Roman" w:hAnsi="Times New Roman"/>
          <w:sz w:val="20"/>
          <w:szCs w:val="20"/>
          <w:u w:val="single" w:color="auto"/>
          <w:color w:val="auto"/>
        </w:rPr>
        <w:t>Section 9.4</w:t>
      </w:r>
      <w:r>
        <w:rPr>
          <w:rFonts w:ascii="Times New Roman" w:cs="Times New Roman" w:eastAsia="Times New Roman" w:hAnsi="Times New Roman"/>
          <w:sz w:val="20"/>
          <w:szCs w:val="20"/>
          <w:color w:val="auto"/>
        </w:rPr>
        <w:t xml:space="preserve"> (other than </w:t>
      </w:r>
      <w:r>
        <w:rPr>
          <w:rFonts w:ascii="Times New Roman" w:cs="Times New Roman" w:eastAsia="Times New Roman" w:hAnsi="Times New Roman"/>
          <w:sz w:val="20"/>
          <w:szCs w:val="20"/>
          <w:u w:val="single" w:color="auto"/>
          <w:color w:val="auto"/>
        </w:rPr>
        <w:t>Section 9.4(h)</w:t>
      </w:r>
      <w:r>
        <w:rPr>
          <w:rFonts w:ascii="Times New Roman" w:cs="Times New Roman" w:eastAsia="Times New Roman" w:hAnsi="Times New Roman"/>
          <w:sz w:val="20"/>
          <w:szCs w:val="20"/>
          <w:color w:val="auto"/>
        </w:rPr>
        <w:t>);</w:t>
      </w:r>
    </w:p>
    <w:p>
      <w:pPr>
        <w:spacing w:after="0" w:line="283" w:lineRule="exact"/>
        <w:rPr>
          <w:rFonts w:ascii="Times New Roman" w:cs="Times New Roman" w:eastAsia="Times New Roman" w:hAnsi="Times New Roman"/>
          <w:sz w:val="20"/>
          <w:szCs w:val="20"/>
          <w:color w:val="auto"/>
        </w:rPr>
      </w:pPr>
    </w:p>
    <w:p>
      <w:pPr>
        <w:ind w:left="1340" w:hanging="636"/>
        <w:spacing w:after="0"/>
        <w:tabs>
          <w:tab w:leader="none" w:pos="1340" w:val="left"/>
        </w:tabs>
        <w:numPr>
          <w:ilvl w:val="0"/>
          <w:numId w:val="3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sale of the Permitted Drum Equity to officers, directors or employees;</w:t>
      </w:r>
    </w:p>
    <w:p>
      <w:pPr>
        <w:spacing w:after="0" w:line="215" w:lineRule="exact"/>
        <w:rPr>
          <w:rFonts w:ascii="Times New Roman" w:cs="Times New Roman" w:eastAsia="Times New Roman" w:hAnsi="Times New Roman"/>
          <w:sz w:val="20"/>
          <w:szCs w:val="20"/>
          <w:color w:val="auto"/>
        </w:rPr>
      </w:pPr>
    </w:p>
    <w:p>
      <w:pPr>
        <w:ind w:left="60" w:right="360" w:firstLine="644"/>
        <w:spacing w:after="0" w:line="222" w:lineRule="auto"/>
        <w:tabs>
          <w:tab w:leader="none" w:pos="1236" w:val="left"/>
        </w:tabs>
        <w:numPr>
          <w:ilvl w:val="0"/>
          <w:numId w:val="3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Asset Dispositions not otherwise pursuant to this Section;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at the time of such transaction, no Default or Event of Default shall exist or would result from such Asset Disposition and</w:t>
      </w:r>
    </w:p>
    <w:p>
      <w:pPr>
        <w:spacing w:after="0" w:line="2" w:lineRule="exact"/>
        <w:rPr>
          <w:sz w:val="20"/>
          <w:szCs w:val="20"/>
          <w:color w:val="auto"/>
        </w:rPr>
      </w:pPr>
    </w:p>
    <w:p>
      <w:pPr>
        <w:ind w:left="60" w:right="2980" w:hanging="4"/>
        <w:spacing w:after="0" w:line="221" w:lineRule="auto"/>
        <w:tabs>
          <w:tab w:leader="none" w:pos="369" w:val="left"/>
        </w:tabs>
        <w:numPr>
          <w:ilvl w:val="0"/>
          <w:numId w:val="3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aggregate book value of all property disposed of in reliance on this clause (o) shall not exceed $50,000,000 during the term of this Agreement;</w:t>
      </w:r>
    </w:p>
    <w:p>
      <w:pPr>
        <w:spacing w:after="0" w:line="202" w:lineRule="exact"/>
        <w:rPr>
          <w:rFonts w:ascii="Times New Roman" w:cs="Times New Roman" w:eastAsia="Times New Roman" w:hAnsi="Times New Roman"/>
          <w:sz w:val="20"/>
          <w:szCs w:val="20"/>
          <w:color w:val="auto"/>
        </w:rPr>
      </w:pPr>
    </w:p>
    <w:p>
      <w:pPr>
        <w:ind w:left="1240" w:hanging="536"/>
        <w:spacing w:after="0"/>
        <w:tabs>
          <w:tab w:leader="none" w:pos="1240" w:val="left"/>
        </w:tabs>
        <w:numPr>
          <w:ilvl w:val="1"/>
          <w:numId w:val="3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sale, discount or other transfer of Receivables Assets pursuant to a Permitted Receivables Transaction; and</w:t>
      </w:r>
    </w:p>
    <w:p>
      <w:pPr>
        <w:spacing w:after="0" w:line="215" w:lineRule="exact"/>
        <w:rPr>
          <w:rFonts w:ascii="Times New Roman" w:cs="Times New Roman" w:eastAsia="Times New Roman" w:hAnsi="Times New Roman"/>
          <w:sz w:val="20"/>
          <w:szCs w:val="20"/>
          <w:color w:val="auto"/>
        </w:rPr>
      </w:pPr>
    </w:p>
    <w:p>
      <w:pPr>
        <w:ind w:left="60" w:right="120" w:firstLine="644"/>
        <w:spacing w:after="0" w:line="233" w:lineRule="auto"/>
        <w:tabs>
          <w:tab w:leader="none" w:pos="1236" w:val="left"/>
        </w:tabs>
        <w:numPr>
          <w:ilvl w:val="1"/>
          <w:numId w:val="3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Asset Dispositions not otherwise permitted pursuant to this Section;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at the time of such Asset Disposition, no Default or Event of Default shall exist or would result from such Asset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FF0000"/>
          <w:strike w:val="1"/>
        </w:rPr>
        <w:t>146960219_6</w:t>
      </w: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136</w:t>
      </w:r>
      <w:r>
        <w:rPr>
          <w:sz w:val="20"/>
          <w:szCs w:val="20"/>
          <w:color w:val="auto"/>
        </w:rPr>
        <w:tab/>
      </w: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080"/>
          </w:cols>
          <w:pgMar w:left="380" w:top="1440" w:right="439" w:bottom="1440" w:gutter="0" w:footer="0" w:header="0"/>
        </w:sectPr>
      </w:pPr>
    </w:p>
    <w:bookmarkStart w:id="219" w:name="page220"/>
    <w:bookmarkEnd w:id="219"/>
    <w:p>
      <w:pPr>
        <w:spacing w:after="0" w:line="203" w:lineRule="exact"/>
        <w:rPr>
          <w:sz w:val="20"/>
          <w:szCs w:val="20"/>
          <w:color w:val="auto"/>
        </w:rPr>
      </w:pPr>
    </w:p>
    <w:p>
      <w:pPr>
        <w:ind w:left="60" w:right="140"/>
        <w:spacing w:after="0"/>
        <w:rPr>
          <w:sz w:val="20"/>
          <w:szCs w:val="20"/>
          <w:color w:val="auto"/>
        </w:rPr>
      </w:pPr>
      <w:r>
        <w:rPr>
          <w:rFonts w:ascii="Times New Roman" w:cs="Times New Roman" w:eastAsia="Times New Roman" w:hAnsi="Times New Roman"/>
          <w:sz w:val="20"/>
          <w:szCs w:val="20"/>
          <w:color w:val="auto"/>
        </w:rPr>
        <w:t>Disposition and (ii) such Asset Disposition is made for fair market value and the consideration received shall be no less than seventy-five percent (75%) in cash.</w:t>
      </w:r>
    </w:p>
    <w:p>
      <w:pPr>
        <w:spacing w:after="0" w:line="188" w:lineRule="exact"/>
        <w:rPr>
          <w:sz w:val="20"/>
          <w:szCs w:val="20"/>
          <w:color w:val="auto"/>
        </w:rPr>
      </w:pPr>
    </w:p>
    <w:p>
      <w:pPr>
        <w:ind w:left="700"/>
        <w:spacing w:after="0"/>
        <w:tabs>
          <w:tab w:leader="none" w:pos="2020" w:val="left"/>
        </w:tabs>
        <w:rPr>
          <w:sz w:val="20"/>
          <w:szCs w:val="20"/>
          <w:color w:val="auto"/>
        </w:rPr>
      </w:pPr>
      <w:r>
        <w:rPr>
          <w:rFonts w:ascii="Times New Roman" w:cs="Times New Roman" w:eastAsia="Times New Roman" w:hAnsi="Times New Roman"/>
          <w:sz w:val="20"/>
          <w:szCs w:val="20"/>
          <w:color w:val="auto"/>
        </w:rPr>
        <w:t>SECTION 9.6</w:t>
      </w:r>
      <w:r>
        <w:rPr>
          <w:sz w:val="20"/>
          <w:szCs w:val="20"/>
          <w:color w:val="auto"/>
        </w:rPr>
        <w:tab/>
      </w:r>
      <w:r>
        <w:rPr>
          <w:rFonts w:ascii="Times New Roman" w:cs="Times New Roman" w:eastAsia="Times New Roman" w:hAnsi="Times New Roman"/>
          <w:sz w:val="19"/>
          <w:szCs w:val="19"/>
          <w:u w:val="single" w:color="auto"/>
          <w:color w:val="auto"/>
        </w:rPr>
        <w:t>Restricted Payments</w:t>
      </w:r>
    </w:p>
    <w:p>
      <w:pPr>
        <w:spacing w:after="0" w:line="283" w:lineRule="exact"/>
        <w:rPr>
          <w:sz w:val="20"/>
          <w:szCs w:val="20"/>
          <w:color w:val="auto"/>
        </w:rPr>
      </w:pPr>
    </w:p>
    <w:p>
      <w:pPr>
        <w:jc w:val="both"/>
        <w:ind w:left="60" w:hanging="4"/>
        <w:spacing w:after="0" w:line="217" w:lineRule="auto"/>
        <w:tabs>
          <w:tab w:leader="none" w:pos="187" w:val="left"/>
        </w:tabs>
        <w:numPr>
          <w:ilvl w:val="0"/>
          <w:numId w:val="3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Declare or pay any dividend on, or make any payment or other distribution on account of, or purchase, redeem, retire or otherwise acquire (directly or indirectly), or set apart assets for a sinking or other analogous fund for the purchase, redemption, retirement or other acquisition of, any class of Equity Interests of any Credit Party or any Subsidiary thereof, or make any distribution of cash, property or assets to the holders of shares of any Equity Interests of any Credit Party or any Subsidiary thereof (all of the foregoing, the “</w:t>
      </w:r>
      <w:r>
        <w:rPr>
          <w:rFonts w:ascii="Times New Roman" w:cs="Times New Roman" w:eastAsia="Times New Roman" w:hAnsi="Times New Roman"/>
          <w:sz w:val="20"/>
          <w:szCs w:val="20"/>
          <w:u w:val="single" w:color="auto"/>
          <w:color w:val="auto"/>
        </w:rPr>
        <w:t>Restricted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Payments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w:t>
      </w:r>
    </w:p>
    <w:p>
      <w:pPr>
        <w:spacing w:after="0" w:line="256" w:lineRule="exact"/>
        <w:rPr>
          <w:rFonts w:ascii="Times New Roman" w:cs="Times New Roman" w:eastAsia="Times New Roman" w:hAnsi="Times New Roman"/>
          <w:sz w:val="20"/>
          <w:szCs w:val="20"/>
          <w:color w:val="auto"/>
        </w:rPr>
      </w:pPr>
    </w:p>
    <w:p>
      <w:pPr>
        <w:ind w:left="60" w:firstLine="644"/>
        <w:spacing w:after="0"/>
        <w:tabs>
          <w:tab w:leader="none" w:pos="1239" w:val="left"/>
        </w:tabs>
        <w:numPr>
          <w:ilvl w:val="1"/>
          <w:numId w:val="3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 long as no Default or Event of Default has occurred and is continuing or would result therefrom, any Consolidated Company may pay dividends in shares of its own Qualified Equity Interests;</w:t>
      </w:r>
    </w:p>
    <w:p>
      <w:pPr>
        <w:spacing w:after="0" w:line="188" w:lineRule="exact"/>
        <w:rPr>
          <w:rFonts w:ascii="Times New Roman" w:cs="Times New Roman" w:eastAsia="Times New Roman" w:hAnsi="Times New Roman"/>
          <w:sz w:val="20"/>
          <w:szCs w:val="20"/>
          <w:color w:val="auto"/>
        </w:rPr>
      </w:pPr>
    </w:p>
    <w:p>
      <w:pPr>
        <w:ind w:left="1340" w:hanging="636"/>
        <w:spacing w:after="0"/>
        <w:tabs>
          <w:tab w:leader="none" w:pos="1340" w:val="left"/>
        </w:tabs>
        <w:numPr>
          <w:ilvl w:val="1"/>
          <w:numId w:val="3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Subsidiary of a Consolidated Company may pay cash dividends to any Credit Party;</w:t>
      </w:r>
    </w:p>
    <w:p>
      <w:pPr>
        <w:spacing w:after="0" w:line="215" w:lineRule="exact"/>
        <w:rPr>
          <w:rFonts w:ascii="Times New Roman" w:cs="Times New Roman" w:eastAsia="Times New Roman" w:hAnsi="Times New Roman"/>
          <w:sz w:val="20"/>
          <w:szCs w:val="20"/>
          <w:color w:val="auto"/>
        </w:rPr>
      </w:pPr>
    </w:p>
    <w:p>
      <w:pPr>
        <w:ind w:left="60" w:firstLine="644"/>
        <w:spacing w:after="0"/>
        <w:tabs>
          <w:tab w:leader="none" w:pos="1239" w:val="left"/>
        </w:tabs>
        <w:numPr>
          <w:ilvl w:val="1"/>
          <w:numId w:val="3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Non-Credit Party Subsidiary may make Restricted Payments to any other Non-Credit Party Subsidiary (and, if applicable, to other holders of its outstanding Equity Interests on a ratable basis);</w:t>
      </w:r>
    </w:p>
    <w:p>
      <w:pPr>
        <w:spacing w:after="0" w:line="188" w:lineRule="exact"/>
        <w:rPr>
          <w:rFonts w:ascii="Times New Roman" w:cs="Times New Roman" w:eastAsia="Times New Roman" w:hAnsi="Times New Roman"/>
          <w:sz w:val="20"/>
          <w:szCs w:val="20"/>
          <w:color w:val="auto"/>
        </w:rPr>
      </w:pPr>
    </w:p>
    <w:p>
      <w:pPr>
        <w:jc w:val="both"/>
        <w:ind w:left="60" w:firstLine="644"/>
        <w:spacing w:after="0" w:line="226" w:lineRule="auto"/>
        <w:tabs>
          <w:tab w:leader="none" w:pos="1236" w:val="left"/>
        </w:tabs>
        <w:numPr>
          <w:ilvl w:val="1"/>
          <w:numId w:val="3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Consolidated Company may declare and make Restricted Payments in an amount not to exceed the Available Amount;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no Default or Event of Default has occurred and is continuing or would result therefrom and (ii) after giving </w:t>
      </w:r>
      <w:r>
        <w:rPr>
          <w:rFonts w:ascii="Times New Roman" w:cs="Times New Roman" w:eastAsia="Times New Roman" w:hAnsi="Times New Roman"/>
          <w:sz w:val="19"/>
          <w:szCs w:val="19"/>
          <w:u w:val="single" w:color="auto"/>
          <w:color w:val="auto"/>
        </w:rPr>
        <w:t>pro forma</w:t>
      </w:r>
      <w:r>
        <w:rPr>
          <w:rFonts w:ascii="Times New Roman" w:cs="Times New Roman" w:eastAsia="Times New Roman" w:hAnsi="Times New Roman"/>
          <w:sz w:val="19"/>
          <w:szCs w:val="19"/>
          <w:color w:val="auto"/>
        </w:rPr>
        <w:t xml:space="preserve"> effect to such usage and any Indebtedness incurred in connection therewith, Centuri is in compliance with </w:t>
      </w:r>
      <w:r>
        <w:rPr>
          <w:rFonts w:ascii="Times New Roman" w:cs="Times New Roman" w:eastAsia="Times New Roman" w:hAnsi="Times New Roman"/>
          <w:sz w:val="19"/>
          <w:szCs w:val="19"/>
          <w:color w:val="FF0000"/>
          <w:strike w:val="1"/>
        </w:rPr>
        <w:t>the financial covenants set forth</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FF0000"/>
          <w:strike w:val="1"/>
        </w:rPr>
        <w:t>in Section 9.13</w:t>
      </w:r>
      <w:r>
        <w:rPr>
          <w:rFonts w:ascii="Times New Roman" w:cs="Times New Roman" w:eastAsia="Times New Roman" w:hAnsi="Times New Roman"/>
          <w:sz w:val="19"/>
          <w:szCs w:val="19"/>
          <w:u w:val="single" w:color="auto"/>
          <w:color w:val="0000FF"/>
          <w:strike w:val="1"/>
        </w:rPr>
        <w:t>(A) a Consolidated Interest Coverage Ratio of 2.50 to 1.00 and (B) a Consolidated Net Leverage Ratio of (1) 5.50 to 1.00</w:t>
      </w:r>
      <w:r>
        <w:rPr>
          <w:rFonts w:ascii="Times New Roman" w:cs="Times New Roman" w:eastAsia="Times New Roman" w:hAnsi="Times New Roman"/>
          <w:sz w:val="19"/>
          <w:szCs w:val="19"/>
          <w:color w:val="FF0000"/>
          <w:strike w:val="1"/>
        </w:rPr>
        <w:t xml:space="preserve"> </w:t>
      </w:r>
      <w:r>
        <w:rPr>
          <w:rFonts w:ascii="Times New Roman" w:cs="Times New Roman" w:eastAsia="Times New Roman" w:hAnsi="Times New Roman"/>
          <w:sz w:val="19"/>
          <w:szCs w:val="19"/>
          <w:u w:val="single" w:color="auto"/>
          <w:color w:val="0000FF"/>
          <w:strike w:val="1"/>
        </w:rPr>
        <w:t>for the period beginning on September 30, 2022 through and including December 30, 2022, (2) 4.75 to 1.00 for the period beginning on December 31, 2022 through and including December 30, 2023 and (3) 4.00 to 1.00 for the period beginning on December 31, 2023 and thereafter, in each case, determined</w:t>
      </w:r>
      <w:r>
        <w:rPr>
          <w:rFonts w:ascii="Times New Roman" w:cs="Times New Roman" w:eastAsia="Times New Roman" w:hAnsi="Times New Roman"/>
          <w:sz w:val="19"/>
          <w:szCs w:val="19"/>
          <w:color w:val="0000FF"/>
          <w:strike w:val="1"/>
        </w:rPr>
        <w:t xml:space="preserve"> </w:t>
      </w:r>
      <w:r>
        <w:rPr>
          <w:rFonts w:ascii="Times New Roman" w:cs="Times New Roman" w:eastAsia="Times New Roman" w:hAnsi="Times New Roman"/>
          <w:sz w:val="19"/>
          <w:szCs w:val="19"/>
          <w:color w:val="000000"/>
          <w:strike w:val="1"/>
        </w:rPr>
        <w:t>as of the most recently ended four consecutive fiscal quarter period for which financial statements and</w:t>
      </w:r>
      <w:r>
        <w:rPr>
          <w:rFonts w:ascii="Times New Roman" w:cs="Times New Roman" w:eastAsia="Times New Roman" w:hAnsi="Times New Roman"/>
          <w:sz w:val="19"/>
          <w:szCs w:val="19"/>
          <w:color w:val="0000FF"/>
          <w:strike w:val="1"/>
        </w:rPr>
        <w:t xml:space="preserve"> </w:t>
      </w:r>
      <w:r>
        <w:rPr>
          <w:rFonts w:ascii="Times New Roman" w:cs="Times New Roman" w:eastAsia="Times New Roman" w:hAnsi="Times New Roman"/>
          <w:sz w:val="19"/>
          <w:szCs w:val="19"/>
          <w:color w:val="000000"/>
          <w:strike w:val="1"/>
        </w:rPr>
        <w:t xml:space="preserve">the related Officer’s Compliance Certificate have been delivered pursuant to </w:t>
      </w:r>
      <w:r>
        <w:rPr>
          <w:rFonts w:ascii="Times New Roman" w:cs="Times New Roman" w:eastAsia="Times New Roman" w:hAnsi="Times New Roman"/>
          <w:sz w:val="19"/>
          <w:szCs w:val="19"/>
          <w:u w:val="single" w:color="auto"/>
          <w:color w:val="000000"/>
          <w:strike w:val="1"/>
        </w:rPr>
        <w:t>Sections 8.1(a)</w:t>
      </w:r>
      <w:r>
        <w:rPr>
          <w:rFonts w:ascii="Times New Roman" w:cs="Times New Roman" w:eastAsia="Times New Roman" w:hAnsi="Times New Roman"/>
          <w:sz w:val="19"/>
          <w:szCs w:val="19"/>
          <w:color w:val="000000"/>
          <w:strike w:val="1"/>
        </w:rPr>
        <w:t xml:space="preserve"> or </w:t>
      </w:r>
      <w:r>
        <w:rPr>
          <w:rFonts w:ascii="Times New Roman" w:cs="Times New Roman" w:eastAsia="Times New Roman" w:hAnsi="Times New Roman"/>
          <w:sz w:val="19"/>
          <w:szCs w:val="19"/>
          <w:u w:val="single" w:color="auto"/>
          <w:color w:val="000000"/>
          <w:strike w:val="1"/>
        </w:rPr>
        <w:t>(b)</w:t>
      </w:r>
      <w:r>
        <w:rPr>
          <w:rFonts w:ascii="Times New Roman" w:cs="Times New Roman" w:eastAsia="Times New Roman" w:hAnsi="Times New Roman"/>
          <w:sz w:val="19"/>
          <w:szCs w:val="19"/>
          <w:color w:val="000000"/>
          <w:strike w:val="1"/>
        </w:rPr>
        <w:t xml:space="preserve"> and </w:t>
      </w:r>
      <w:r>
        <w:rPr>
          <w:rFonts w:ascii="Times New Roman" w:cs="Times New Roman" w:eastAsia="Times New Roman" w:hAnsi="Times New Roman"/>
          <w:sz w:val="19"/>
          <w:szCs w:val="19"/>
          <w:u w:val="single" w:color="auto"/>
          <w:color w:val="000000"/>
          <w:strike w:val="1"/>
        </w:rPr>
        <w:t>8.2(a)</w:t>
      </w:r>
      <w:r>
        <w:rPr>
          <w:rFonts w:ascii="Times New Roman" w:cs="Times New Roman" w:eastAsia="Times New Roman" w:hAnsi="Times New Roman"/>
          <w:sz w:val="19"/>
          <w:szCs w:val="19"/>
          <w:color w:val="000000"/>
          <w:strike w:val="1"/>
        </w:rPr>
        <w:t>;</w:t>
      </w:r>
    </w:p>
    <w:p>
      <w:pPr>
        <w:spacing w:after="0" w:line="244" w:lineRule="exact"/>
        <w:rPr>
          <w:rFonts w:ascii="Times New Roman" w:cs="Times New Roman" w:eastAsia="Times New Roman" w:hAnsi="Times New Roman"/>
          <w:sz w:val="19"/>
          <w:szCs w:val="19"/>
          <w:color w:val="auto"/>
        </w:rPr>
      </w:pPr>
    </w:p>
    <w:p>
      <w:pPr>
        <w:jc w:val="both"/>
        <w:ind w:left="60" w:firstLine="644"/>
        <w:spacing w:after="0" w:line="231" w:lineRule="auto"/>
        <w:tabs>
          <w:tab w:leader="none" w:pos="1238" w:val="left"/>
        </w:tabs>
        <w:numPr>
          <w:ilvl w:val="1"/>
          <w:numId w:val="3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Consolidated Company may declare and make Restricted Payments in an amount not to exceed $25,000,000 per Fiscal Year;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immediately after giving pro forma effect to the making of any such Restricted Payment and any Indebtedness incurred in connection therewith, (i) no Default or Event of Default has occurred and is continuing or would result therefrom and (ii) the Consolidated Net Leverage Ratio is greater than 3.50 to 1.00 as of the most recently ended four consecutive fiscal quarter period for which financial statements and the related Officer’s Compliance Certificate have been delivered pursuant to </w:t>
      </w:r>
      <w:r>
        <w:rPr>
          <w:rFonts w:ascii="Times New Roman" w:cs="Times New Roman" w:eastAsia="Times New Roman" w:hAnsi="Times New Roman"/>
          <w:sz w:val="19"/>
          <w:szCs w:val="19"/>
          <w:u w:val="single" w:color="auto"/>
          <w:color w:val="auto"/>
        </w:rPr>
        <w:t>Sections 8.1(a)</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8.2(a)</w:t>
      </w:r>
      <w:r>
        <w:rPr>
          <w:rFonts w:ascii="Times New Roman" w:cs="Times New Roman" w:eastAsia="Times New Roman" w:hAnsi="Times New Roman"/>
          <w:sz w:val="19"/>
          <w:szCs w:val="19"/>
          <w:color w:val="auto"/>
        </w:rPr>
        <w:t>;</w:t>
      </w:r>
    </w:p>
    <w:p>
      <w:pPr>
        <w:spacing w:after="0" w:line="271" w:lineRule="exact"/>
        <w:rPr>
          <w:rFonts w:ascii="Times New Roman" w:cs="Times New Roman" w:eastAsia="Times New Roman" w:hAnsi="Times New Roman"/>
          <w:sz w:val="19"/>
          <w:szCs w:val="19"/>
          <w:color w:val="auto"/>
        </w:rPr>
      </w:pPr>
    </w:p>
    <w:p>
      <w:pPr>
        <w:ind w:left="60" w:right="20" w:firstLine="644"/>
        <w:spacing w:after="0" w:line="269" w:lineRule="auto"/>
        <w:tabs>
          <w:tab w:leader="none" w:pos="1244" w:val="left"/>
        </w:tabs>
        <w:numPr>
          <w:ilvl w:val="1"/>
          <w:numId w:val="3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Consolidated Company may declare and make Restricted Payments in an aggregate amount not to exceed during the term of this Agreement the greater of (i) $50,000,000 and (ii) 2.0% of Consolidated Total Assets; and</w:t>
      </w:r>
    </w:p>
    <w:p>
      <w:pPr>
        <w:spacing w:after="0" w:line="172" w:lineRule="exact"/>
        <w:rPr>
          <w:rFonts w:ascii="Times New Roman" w:cs="Times New Roman" w:eastAsia="Times New Roman" w:hAnsi="Times New Roman"/>
          <w:sz w:val="20"/>
          <w:szCs w:val="20"/>
          <w:color w:val="auto"/>
        </w:rPr>
      </w:pPr>
    </w:p>
    <w:p>
      <w:pPr>
        <w:jc w:val="both"/>
        <w:ind w:left="60" w:firstLine="644"/>
        <w:spacing w:after="0" w:line="220" w:lineRule="auto"/>
        <w:tabs>
          <w:tab w:leader="none" w:pos="1236" w:val="left"/>
        </w:tabs>
        <w:numPr>
          <w:ilvl w:val="1"/>
          <w:numId w:val="3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Consolidated Company may declare and make Restricted Payments not otherwise permitted pursuant to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9.6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immediately after giving pro forma effect to the making of any such Restricted Payment and any Indebtedness incurred in connection therewith, (i) no Default or Event of Default shall have occurred and be continuing and (ii) the Consolidated Net Leverage Ratio is less than or equal to 3.50 to 1.00 as of the most recently ended four consecutive fiscal quarter period for which financial statements and the related Officer’s Compliance Certificate have been delivered pursuant to </w:t>
      </w:r>
      <w:r>
        <w:rPr>
          <w:rFonts w:ascii="Times New Roman" w:cs="Times New Roman" w:eastAsia="Times New Roman" w:hAnsi="Times New Roman"/>
          <w:sz w:val="20"/>
          <w:szCs w:val="20"/>
          <w:u w:val="single" w:color="auto"/>
          <w:color w:val="auto"/>
        </w:rPr>
        <w:t>Sections 8.1(a)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8.2(a)</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FF0000"/>
          <w:strike w:val="1"/>
        </w:rPr>
        <w:t>146960219_6</w:t>
      </w: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137</w:t>
      </w:r>
      <w:r>
        <w:rPr>
          <w:sz w:val="20"/>
          <w:szCs w:val="20"/>
          <w:color w:val="auto"/>
        </w:rPr>
        <w:tab/>
      </w: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080"/>
          </w:cols>
          <w:pgMar w:left="380" w:top="1440" w:right="439" w:bottom="1440" w:gutter="0" w:footer="0" w:header="0"/>
        </w:sectPr>
      </w:pPr>
    </w:p>
    <w:bookmarkStart w:id="220" w:name="page221"/>
    <w:bookmarkEnd w:id="220"/>
    <w:p>
      <w:pPr>
        <w:spacing w:after="0" w:line="203" w:lineRule="exact"/>
        <w:rPr>
          <w:sz w:val="20"/>
          <w:szCs w:val="20"/>
          <w:color w:val="auto"/>
        </w:rPr>
      </w:pPr>
    </w:p>
    <w:p>
      <w:pPr>
        <w:ind w:left="700"/>
        <w:spacing w:after="0"/>
        <w:tabs>
          <w:tab w:leader="none" w:pos="2020" w:val="left"/>
        </w:tabs>
        <w:rPr>
          <w:sz w:val="20"/>
          <w:szCs w:val="20"/>
          <w:color w:val="auto"/>
        </w:rPr>
      </w:pPr>
      <w:r>
        <w:rPr>
          <w:rFonts w:ascii="Times New Roman" w:cs="Times New Roman" w:eastAsia="Times New Roman" w:hAnsi="Times New Roman"/>
          <w:sz w:val="20"/>
          <w:szCs w:val="20"/>
          <w:color w:val="auto"/>
        </w:rPr>
        <w:t>SECTION 9.7</w:t>
      </w:r>
      <w:r>
        <w:rPr>
          <w:sz w:val="20"/>
          <w:szCs w:val="20"/>
          <w:color w:val="auto"/>
        </w:rPr>
        <w:tab/>
      </w:r>
      <w:r>
        <w:rPr>
          <w:rFonts w:ascii="Times New Roman" w:cs="Times New Roman" w:eastAsia="Times New Roman" w:hAnsi="Times New Roman"/>
          <w:sz w:val="19"/>
          <w:szCs w:val="19"/>
          <w:u w:val="single" w:color="auto"/>
          <w:color w:val="auto"/>
        </w:rPr>
        <w:t>Transactions with Affiliates</w:t>
      </w:r>
    </w:p>
    <w:p>
      <w:pPr>
        <w:spacing w:after="0" w:line="297" w:lineRule="exact"/>
        <w:rPr>
          <w:sz w:val="20"/>
          <w:szCs w:val="20"/>
          <w:color w:val="auto"/>
        </w:rPr>
      </w:pPr>
    </w:p>
    <w:p>
      <w:pPr>
        <w:jc w:val="both"/>
        <w:ind w:left="60" w:right="20" w:hanging="5"/>
        <w:spacing w:after="0" w:line="254" w:lineRule="auto"/>
        <w:tabs>
          <w:tab w:leader="none" w:pos="185" w:val="left"/>
        </w:tabs>
        <w:numPr>
          <w:ilvl w:val="0"/>
          <w:numId w:val="3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Directly or indirectly enter into any transaction, including, without limitation, any purchase, sale, lease or exchange of Property, the rendering of any service or the payment of any management, advisory or similar fees, with (a) any officer, director, holder of any Equity Interests in, or other Affiliate of Centuri or any of its Subsidiaries or (b) any Affiliate of any such officer, director or holder, other than:</w:t>
      </w:r>
    </w:p>
    <w:p>
      <w:pPr>
        <w:spacing w:after="0" w:line="18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0"/>
          <w:szCs w:val="20"/>
          <w:color w:val="auto"/>
        </w:rPr>
        <w:t xml:space="preserve">(xciv) transactions permitted by </w:t>
      </w:r>
      <w:r>
        <w:rPr>
          <w:rFonts w:ascii="Times New Roman" w:cs="Times New Roman" w:eastAsia="Times New Roman" w:hAnsi="Times New Roman"/>
          <w:sz w:val="20"/>
          <w:szCs w:val="20"/>
          <w:u w:val="single" w:color="auto"/>
          <w:color w:val="auto"/>
        </w:rPr>
        <w:t>Sections 9.1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9.3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9.4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9.5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9.6</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9.9</w:t>
      </w:r>
      <w:r>
        <w:rPr>
          <w:rFonts w:ascii="Times New Roman" w:cs="Times New Roman" w:eastAsia="Times New Roman" w:hAnsi="Times New Roman"/>
          <w:sz w:val="20"/>
          <w:szCs w:val="20"/>
          <w:color w:val="auto"/>
        </w:rPr>
        <w:t>;</w:t>
      </w:r>
    </w:p>
    <w:p>
      <w:pPr>
        <w:spacing w:after="0" w:line="283" w:lineRule="exact"/>
        <w:rPr>
          <w:sz w:val="20"/>
          <w:szCs w:val="20"/>
          <w:color w:val="auto"/>
        </w:rPr>
      </w:pPr>
    </w:p>
    <w:p>
      <w:pPr>
        <w:ind w:left="1360"/>
        <w:spacing w:after="0"/>
        <w:tabs>
          <w:tab w:leader="none" w:pos="1980" w:val="left"/>
        </w:tabs>
        <w:rPr>
          <w:sz w:val="20"/>
          <w:szCs w:val="20"/>
          <w:color w:val="auto"/>
        </w:rPr>
      </w:pPr>
      <w:r>
        <w:rPr>
          <w:rFonts w:ascii="Times New Roman" w:cs="Times New Roman" w:eastAsia="Times New Roman" w:hAnsi="Times New Roman"/>
          <w:sz w:val="20"/>
          <w:szCs w:val="20"/>
          <w:color w:val="auto"/>
        </w:rPr>
        <w:t>(xcv)</w:t>
        <w:tab/>
        <w:t xml:space="preserve">transactions existing on the Closing Date and described on </w:t>
      </w:r>
      <w:r>
        <w:rPr>
          <w:rFonts w:ascii="Times New Roman" w:cs="Times New Roman" w:eastAsia="Times New Roman" w:hAnsi="Times New Roman"/>
          <w:sz w:val="20"/>
          <w:szCs w:val="20"/>
          <w:u w:val="single" w:color="auto"/>
          <w:color w:val="auto"/>
        </w:rPr>
        <w:t>Schedule 9.7</w:t>
      </w:r>
      <w:r>
        <w:rPr>
          <w:rFonts w:ascii="Times New Roman" w:cs="Times New Roman" w:eastAsia="Times New Roman" w:hAnsi="Times New Roman"/>
          <w:sz w:val="20"/>
          <w:szCs w:val="20"/>
          <w:color w:val="auto"/>
        </w:rPr>
        <w:t>;</w:t>
      </w:r>
    </w:p>
    <w:p>
      <w:pPr>
        <w:spacing w:after="0" w:line="283" w:lineRule="exact"/>
        <w:rPr>
          <w:sz w:val="20"/>
          <w:szCs w:val="20"/>
          <w:color w:val="auto"/>
        </w:rPr>
      </w:pPr>
    </w:p>
    <w:p>
      <w:pPr>
        <w:jc w:val="both"/>
        <w:ind w:left="700" w:right="20" w:firstLine="649"/>
        <w:spacing w:after="0"/>
        <w:rPr>
          <w:sz w:val="20"/>
          <w:szCs w:val="20"/>
          <w:color w:val="auto"/>
        </w:rPr>
      </w:pPr>
      <w:r>
        <w:rPr>
          <w:rFonts w:ascii="Times New Roman" w:cs="Times New Roman" w:eastAsia="Times New Roman" w:hAnsi="Times New Roman"/>
          <w:sz w:val="20"/>
          <w:szCs w:val="20"/>
          <w:color w:val="auto"/>
        </w:rPr>
        <w:t>(xcvi) transactions (i) between or among US Credit Parties not involving any other Affiliate and (ii) between or among Canadian Credit Parties not involving any other Affiliate;</w:t>
      </w:r>
    </w:p>
    <w:p>
      <w:pPr>
        <w:spacing w:after="0" w:line="18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0"/>
          <w:szCs w:val="20"/>
          <w:color w:val="auto"/>
        </w:rPr>
        <w:t>(xcvii)other transactions in the ordinary course of business on terms as favorable as would be obtained by it on a</w:t>
      </w:r>
    </w:p>
    <w:p>
      <w:pPr>
        <w:jc w:val="both"/>
        <w:ind w:left="700"/>
        <w:spacing w:after="0" w:line="221" w:lineRule="auto"/>
        <w:rPr>
          <w:sz w:val="20"/>
          <w:szCs w:val="20"/>
          <w:color w:val="auto"/>
        </w:rPr>
      </w:pPr>
      <w:r>
        <w:rPr>
          <w:rFonts w:ascii="Times New Roman" w:cs="Times New Roman" w:eastAsia="Times New Roman" w:hAnsi="Times New Roman"/>
          <w:sz w:val="20"/>
          <w:szCs w:val="20"/>
          <w:color w:val="auto"/>
        </w:rPr>
        <w:t>comparable arm’s-length transaction with an independent, unrelated third party as determined in good faith by the board of directors (or equivalent governing body) of Centuri;</w:t>
      </w:r>
    </w:p>
    <w:p>
      <w:pPr>
        <w:spacing w:after="0" w:line="189" w:lineRule="exact"/>
        <w:rPr>
          <w:sz w:val="20"/>
          <w:szCs w:val="20"/>
          <w:color w:val="auto"/>
        </w:rPr>
      </w:pPr>
    </w:p>
    <w:p>
      <w:pPr>
        <w:jc w:val="both"/>
        <w:ind w:left="700" w:right="20" w:firstLine="649"/>
        <w:spacing w:after="0"/>
        <w:rPr>
          <w:sz w:val="20"/>
          <w:szCs w:val="20"/>
          <w:color w:val="auto"/>
        </w:rPr>
      </w:pPr>
      <w:r>
        <w:rPr>
          <w:rFonts w:ascii="Times New Roman" w:cs="Times New Roman" w:eastAsia="Times New Roman" w:hAnsi="Times New Roman"/>
          <w:sz w:val="20"/>
          <w:szCs w:val="20"/>
          <w:color w:val="auto"/>
        </w:rPr>
        <w:t>(xcviii) employment and severance arrangements (including equity incentive plans and employee benefit plans and arrangements) with their respective officers and employees in the ordinary course of business;</w:t>
      </w:r>
    </w:p>
    <w:p>
      <w:pPr>
        <w:spacing w:after="0" w:line="188" w:lineRule="exact"/>
        <w:rPr>
          <w:sz w:val="20"/>
          <w:szCs w:val="20"/>
          <w:color w:val="auto"/>
        </w:rPr>
      </w:pPr>
    </w:p>
    <w:p>
      <w:pPr>
        <w:jc w:val="both"/>
        <w:ind w:left="700" w:firstLine="649"/>
        <w:spacing w:after="0" w:line="230" w:lineRule="auto"/>
        <w:rPr>
          <w:sz w:val="20"/>
          <w:szCs w:val="20"/>
          <w:color w:val="auto"/>
        </w:rPr>
      </w:pPr>
      <w:r>
        <w:rPr>
          <w:rFonts w:ascii="Times New Roman" w:cs="Times New Roman" w:eastAsia="Times New Roman" w:hAnsi="Times New Roman"/>
          <w:sz w:val="20"/>
          <w:szCs w:val="20"/>
          <w:color w:val="auto"/>
        </w:rPr>
        <w:t>(xcix) payment of customary compensation, fees and reasonable out of pocket costs to, and indemnities for the benefit of, directors, officers and employees of the Consolidated Companies in the ordinary course of business to the extent attributable to the ownership or operation of the Consolidated Companies;</w:t>
      </w:r>
    </w:p>
    <w:p>
      <w:pPr>
        <w:spacing w:after="0" w:line="189" w:lineRule="exact"/>
        <w:rPr>
          <w:sz w:val="20"/>
          <w:szCs w:val="20"/>
          <w:color w:val="auto"/>
        </w:rPr>
      </w:pPr>
    </w:p>
    <w:p>
      <w:pPr>
        <w:jc w:val="both"/>
        <w:ind w:left="700" w:right="20" w:firstLine="652"/>
        <w:spacing w:after="0" w:line="226" w:lineRule="auto"/>
        <w:tabs>
          <w:tab w:leader="none" w:pos="1879" w:val="left"/>
        </w:tabs>
        <w:numPr>
          <w:ilvl w:val="0"/>
          <w:numId w:val="3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conveyances of assets to joint ventures pursuant to terms negotiated and agreed to on an arms-length basis with one or more third-parties that were not Affiliates of a Credit Party immediately prior to the execution and delivery of the written agreement setting forth such terms; and</w:t>
      </w:r>
    </w:p>
    <w:p>
      <w:pPr>
        <w:spacing w:after="0" w:line="187" w:lineRule="exact"/>
        <w:rPr>
          <w:sz w:val="20"/>
          <w:szCs w:val="20"/>
          <w:color w:val="auto"/>
        </w:rPr>
      </w:pPr>
    </w:p>
    <w:p>
      <w:pPr>
        <w:ind w:left="700" w:firstLine="648"/>
        <w:spacing w:after="0"/>
        <w:rPr>
          <w:sz w:val="20"/>
          <w:szCs w:val="20"/>
          <w:color w:val="auto"/>
        </w:rPr>
      </w:pPr>
      <w:r>
        <w:rPr>
          <w:rFonts w:ascii="Times New Roman" w:cs="Times New Roman" w:eastAsia="Times New Roman" w:hAnsi="Times New Roman"/>
          <w:sz w:val="20"/>
          <w:szCs w:val="20"/>
          <w:color w:val="auto"/>
        </w:rPr>
        <w:t>(ci) customary overhead allocations and intercompany charges applied by Centuri on a consistent basis to its Subsidiaries generally.</w:t>
      </w:r>
    </w:p>
    <w:p>
      <w:pPr>
        <w:spacing w:after="0" w:line="188" w:lineRule="exact"/>
        <w:rPr>
          <w:sz w:val="20"/>
          <w:szCs w:val="20"/>
          <w:color w:val="auto"/>
        </w:rPr>
      </w:pPr>
    </w:p>
    <w:p>
      <w:pPr>
        <w:ind w:left="700"/>
        <w:spacing w:after="0"/>
        <w:tabs>
          <w:tab w:leader="none" w:pos="2020" w:val="left"/>
        </w:tabs>
        <w:rPr>
          <w:sz w:val="20"/>
          <w:szCs w:val="20"/>
          <w:color w:val="auto"/>
        </w:rPr>
      </w:pPr>
      <w:r>
        <w:rPr>
          <w:rFonts w:ascii="Times New Roman" w:cs="Times New Roman" w:eastAsia="Times New Roman" w:hAnsi="Times New Roman"/>
          <w:sz w:val="20"/>
          <w:szCs w:val="20"/>
          <w:color w:val="auto"/>
        </w:rPr>
        <w:t>SECTION 9.8</w:t>
      </w:r>
      <w:r>
        <w:rPr>
          <w:sz w:val="20"/>
          <w:szCs w:val="20"/>
          <w:color w:val="auto"/>
        </w:rPr>
        <w:tab/>
      </w:r>
      <w:r>
        <w:rPr>
          <w:rFonts w:ascii="Times New Roman" w:cs="Times New Roman" w:eastAsia="Times New Roman" w:hAnsi="Times New Roman"/>
          <w:sz w:val="19"/>
          <w:szCs w:val="19"/>
          <w:u w:val="single" w:color="auto"/>
          <w:color w:val="auto"/>
        </w:rPr>
        <w:t>Accounting Changes; Organizational Documents</w:t>
      </w:r>
      <w:r>
        <w:rPr>
          <w:rFonts w:ascii="Times New Roman" w:cs="Times New Roman" w:eastAsia="Times New Roman" w:hAnsi="Times New Roman"/>
          <w:sz w:val="19"/>
          <w:szCs w:val="19"/>
          <w:color w:val="auto"/>
        </w:rPr>
        <w:t>.</w:t>
      </w:r>
    </w:p>
    <w:p>
      <w:pPr>
        <w:spacing w:after="0" w:line="270" w:lineRule="exact"/>
        <w:rPr>
          <w:sz w:val="20"/>
          <w:szCs w:val="20"/>
          <w:color w:val="auto"/>
        </w:rPr>
      </w:pPr>
    </w:p>
    <w:p>
      <w:pPr>
        <w:ind w:left="60" w:right="20" w:firstLine="644"/>
        <w:spacing w:after="0"/>
        <w:tabs>
          <w:tab w:leader="none" w:pos="1239" w:val="left"/>
        </w:tabs>
        <w:numPr>
          <w:ilvl w:val="0"/>
          <w:numId w:val="3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 its Fiscal Year end, or make (without the consent of the Administrative Agent) any material change in its accounting treatment and reporting practices except as required by GAAP.</w:t>
      </w:r>
    </w:p>
    <w:p>
      <w:pPr>
        <w:spacing w:after="0" w:line="201" w:lineRule="exact"/>
        <w:rPr>
          <w:rFonts w:ascii="Times New Roman" w:cs="Times New Roman" w:eastAsia="Times New Roman" w:hAnsi="Times New Roman"/>
          <w:sz w:val="20"/>
          <w:szCs w:val="20"/>
          <w:color w:val="auto"/>
        </w:rPr>
      </w:pPr>
    </w:p>
    <w:p>
      <w:pPr>
        <w:jc w:val="both"/>
        <w:ind w:left="60" w:right="20" w:firstLine="643"/>
        <w:spacing w:after="0" w:line="254" w:lineRule="auto"/>
        <w:tabs>
          <w:tab w:leader="none" w:pos="1235" w:val="left"/>
        </w:tabs>
        <w:numPr>
          <w:ilvl w:val="0"/>
          <w:numId w:val="3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Amend, modify or change its articles of incorporation (or corporate charter or other similar organizational documents), or amend, modify or change its bylaws (or other similar documents) in any manner materially adverse to the rights or interests of the Lenders.</w:t>
      </w:r>
    </w:p>
    <w:p>
      <w:pPr>
        <w:spacing w:after="0" w:line="201" w:lineRule="exact"/>
        <w:rPr>
          <w:sz w:val="20"/>
          <w:szCs w:val="20"/>
          <w:color w:val="auto"/>
        </w:rPr>
      </w:pPr>
    </w:p>
    <w:p>
      <w:pPr>
        <w:ind w:left="700"/>
        <w:spacing w:after="0"/>
        <w:tabs>
          <w:tab w:leader="none" w:pos="2020" w:val="left"/>
        </w:tabs>
        <w:rPr>
          <w:sz w:val="20"/>
          <w:szCs w:val="20"/>
          <w:color w:val="auto"/>
        </w:rPr>
      </w:pPr>
      <w:r>
        <w:rPr>
          <w:rFonts w:ascii="Times New Roman" w:cs="Times New Roman" w:eastAsia="Times New Roman" w:hAnsi="Times New Roman"/>
          <w:sz w:val="20"/>
          <w:szCs w:val="20"/>
          <w:color w:val="auto"/>
        </w:rPr>
        <w:t>SECTION 9.9</w:t>
      </w:r>
      <w:r>
        <w:rPr>
          <w:sz w:val="20"/>
          <w:szCs w:val="20"/>
          <w:color w:val="auto"/>
        </w:rPr>
        <w:tab/>
      </w:r>
      <w:r>
        <w:rPr>
          <w:rFonts w:ascii="Times New Roman" w:cs="Times New Roman" w:eastAsia="Times New Roman" w:hAnsi="Times New Roman"/>
          <w:sz w:val="19"/>
          <w:szCs w:val="19"/>
          <w:u w:val="single" w:color="auto"/>
          <w:color w:val="auto"/>
        </w:rPr>
        <w:t>Payments and Modifications of Junior Indebtedness</w:t>
      </w:r>
      <w:r>
        <w:rPr>
          <w:rFonts w:ascii="Times New Roman" w:cs="Times New Roman" w:eastAsia="Times New Roman" w:hAnsi="Times New Roman"/>
          <w:sz w:val="19"/>
          <w:szCs w:val="19"/>
          <w:color w:val="auto"/>
        </w:rPr>
        <w:t>.</w:t>
      </w:r>
    </w:p>
    <w:p>
      <w:pPr>
        <w:spacing w:after="0" w:line="270" w:lineRule="exact"/>
        <w:rPr>
          <w:sz w:val="20"/>
          <w:szCs w:val="20"/>
          <w:color w:val="auto"/>
        </w:rPr>
      </w:pPr>
    </w:p>
    <w:p>
      <w:pPr>
        <w:jc w:val="both"/>
        <w:ind w:left="60" w:right="20" w:firstLine="644"/>
        <w:spacing w:after="0" w:line="230" w:lineRule="auto"/>
        <w:tabs>
          <w:tab w:leader="none" w:pos="1239" w:val="left"/>
        </w:tabs>
        <w:numPr>
          <w:ilvl w:val="0"/>
          <w:numId w:val="3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Amend, modify, waive or supplement (or permit the modification, amendment, waiver or supplement of) any of the terms or provisions of any Junior Indebtedness in any respect which would materially and adversely affect the rights or interests of the Administrative Agent and Lenders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FF0000"/>
          <w:strike w:val="1"/>
        </w:rPr>
        <w:t>146960219_6</w:t>
      </w: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138</w:t>
      </w:r>
      <w:r>
        <w:rPr>
          <w:sz w:val="20"/>
          <w:szCs w:val="20"/>
          <w:color w:val="auto"/>
        </w:rPr>
        <w:tab/>
      </w: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080"/>
          </w:cols>
          <w:pgMar w:left="380" w:top="1440" w:right="439" w:bottom="1440" w:gutter="0" w:footer="0" w:header="0"/>
        </w:sectPr>
      </w:pPr>
    </w:p>
    <w:bookmarkStart w:id="221" w:name="page222"/>
    <w:bookmarkEnd w:id="221"/>
    <w:p>
      <w:pPr>
        <w:spacing w:after="0" w:line="203" w:lineRule="exact"/>
        <w:rPr>
          <w:sz w:val="20"/>
          <w:szCs w:val="20"/>
          <w:color w:val="auto"/>
        </w:rPr>
      </w:pPr>
    </w:p>
    <w:p>
      <w:pPr>
        <w:jc w:val="both"/>
        <w:ind w:left="60" w:firstLine="644"/>
        <w:spacing w:after="0" w:line="226" w:lineRule="auto"/>
        <w:tabs>
          <w:tab w:leader="none" w:pos="1236" w:val="left"/>
        </w:tabs>
        <w:numPr>
          <w:ilvl w:val="0"/>
          <w:numId w:val="3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Cancel, forgive, make any payment or prepayment on, or redeem or acquire for value (including, without limitation, (i) by way of depositing with any trustee with respect thereto money or securities before due for the purpose of paying when due and (ii) at the maturity thereof) any Junior Indebtedness, except:</w:t>
      </w:r>
    </w:p>
    <w:p>
      <w:pPr>
        <w:spacing w:after="0" w:line="201" w:lineRule="exact"/>
        <w:rPr>
          <w:sz w:val="20"/>
          <w:szCs w:val="20"/>
          <w:color w:val="auto"/>
        </w:rPr>
      </w:pPr>
    </w:p>
    <w:p>
      <w:pPr>
        <w:ind w:left="700" w:right="20" w:firstLine="649"/>
        <w:spacing w:after="0" w:line="233" w:lineRule="auto"/>
        <w:rPr>
          <w:sz w:val="20"/>
          <w:szCs w:val="20"/>
          <w:color w:val="auto"/>
        </w:rPr>
      </w:pPr>
      <w:r>
        <w:rPr>
          <w:rFonts w:ascii="Times New Roman" w:cs="Times New Roman" w:eastAsia="Times New Roman" w:hAnsi="Times New Roman"/>
          <w:sz w:val="20"/>
          <w:szCs w:val="20"/>
          <w:color w:val="auto"/>
        </w:rPr>
        <w:t xml:space="preserve">(cii) refinancings, refundings, renewals, extensions or exchange of any Junior Indebtedness permitted pursuant to </w:t>
      </w:r>
      <w:r>
        <w:rPr>
          <w:rFonts w:ascii="Times New Roman" w:cs="Times New Roman" w:eastAsia="Times New Roman" w:hAnsi="Times New Roman"/>
          <w:sz w:val="20"/>
          <w:szCs w:val="20"/>
          <w:u w:val="single" w:color="auto"/>
          <w:color w:val="auto"/>
        </w:rPr>
        <w:t>Section 9.1</w:t>
      </w:r>
      <w:r>
        <w:rPr>
          <w:rFonts w:ascii="Times New Roman" w:cs="Times New Roman" w:eastAsia="Times New Roman" w:hAnsi="Times New Roman"/>
          <w:sz w:val="20"/>
          <w:szCs w:val="20"/>
          <w:color w:val="auto"/>
        </w:rPr>
        <w:t xml:space="preserve"> and by any subordination agreement applicable thereto; and</w:t>
      </w:r>
    </w:p>
    <w:p>
      <w:pPr>
        <w:spacing w:after="0" w:line="188" w:lineRule="exact"/>
        <w:rPr>
          <w:sz w:val="20"/>
          <w:szCs w:val="20"/>
          <w:color w:val="auto"/>
        </w:rPr>
      </w:pPr>
    </w:p>
    <w:p>
      <w:pPr>
        <w:ind w:left="700" w:right="20" w:firstLine="649"/>
        <w:spacing w:after="0"/>
        <w:rPr>
          <w:sz w:val="20"/>
          <w:szCs w:val="20"/>
          <w:color w:val="auto"/>
        </w:rPr>
      </w:pPr>
      <w:r>
        <w:rPr>
          <w:rFonts w:ascii="Times New Roman" w:cs="Times New Roman" w:eastAsia="Times New Roman" w:hAnsi="Times New Roman"/>
          <w:sz w:val="20"/>
          <w:szCs w:val="20"/>
          <w:color w:val="auto"/>
        </w:rPr>
        <w:t>(ciii) the payment of interest, expenses and indemnities in respect of Junior Indebtedness (other than any such payments prohibited by the subordination provisions thereof);</w:t>
      </w:r>
    </w:p>
    <w:p>
      <w:pPr>
        <w:spacing w:after="0" w:line="188" w:lineRule="exact"/>
        <w:rPr>
          <w:sz w:val="20"/>
          <w:szCs w:val="20"/>
          <w:color w:val="auto"/>
        </w:rPr>
      </w:pPr>
    </w:p>
    <w:p>
      <w:pPr>
        <w:jc w:val="both"/>
        <w:ind w:left="60" w:firstLine="644"/>
        <w:spacing w:after="0" w:line="215" w:lineRule="auto"/>
        <w:tabs>
          <w:tab w:leader="none" w:pos="1239" w:val="left"/>
        </w:tabs>
        <w:numPr>
          <w:ilvl w:val="0"/>
          <w:numId w:val="3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payments and prepayments of any Junior Indebtedness in an amount not to exceed the Available Amount;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no Default or Event of Default has occurred and is continuing or would result therefrom and (ii) after giving </w:t>
      </w:r>
      <w:r>
        <w:rPr>
          <w:rFonts w:ascii="Times New Roman" w:cs="Times New Roman" w:eastAsia="Times New Roman" w:hAnsi="Times New Roman"/>
          <w:sz w:val="20"/>
          <w:szCs w:val="20"/>
          <w:u w:val="single" w:color="auto"/>
          <w:color w:val="auto"/>
        </w:rPr>
        <w:t>pro forma</w:t>
      </w:r>
      <w:r>
        <w:rPr>
          <w:rFonts w:ascii="Times New Roman" w:cs="Times New Roman" w:eastAsia="Times New Roman" w:hAnsi="Times New Roman"/>
          <w:sz w:val="20"/>
          <w:szCs w:val="20"/>
          <w:color w:val="auto"/>
        </w:rPr>
        <w:t xml:space="preserve"> effect to such usage and any Indebtedness incurred in connection therewith, Centuri is in compliance with </w:t>
      </w:r>
      <w:r>
        <w:rPr>
          <w:rFonts w:ascii="Times New Roman" w:cs="Times New Roman" w:eastAsia="Times New Roman" w:hAnsi="Times New Roman"/>
          <w:sz w:val="20"/>
          <w:szCs w:val="20"/>
          <w:color w:val="FF0000"/>
          <w:strike w:val="1"/>
        </w:rPr>
        <w:t>the financial covenants set forth in Section 9.13</w:t>
      </w:r>
      <w:r>
        <w:rPr>
          <w:rFonts w:ascii="Times New Roman" w:cs="Times New Roman" w:eastAsia="Times New Roman" w:hAnsi="Times New Roman"/>
          <w:sz w:val="20"/>
          <w:szCs w:val="20"/>
          <w:u w:val="single" w:color="auto"/>
          <w:color w:val="0000FF"/>
        </w:rPr>
        <w:t>(A) 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Consolidated Interest Coverage Ratio of 2.50 to 1.00 and (B) a Consolidated Net Leverage Ratio of (1) 5.50 to 1.00 for the period beginning on September 30, 2022 through and including December 30, 2022, (2) 4.75 to 1.00 for the period beginning on December 31, 2022 through and including December 30, 2023 and (3) 4.00 to 1.00 for the period beginning on December 31, 2023 and thereafter, in each case, determined</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as of the most recently ended four consecutive fiscal quarter period for which financial statements and the related</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 xml:space="preserve">Officer’s Compliance Certificate have been delivered pursuant to </w:t>
      </w:r>
      <w:r>
        <w:rPr>
          <w:rFonts w:ascii="Times New Roman" w:cs="Times New Roman" w:eastAsia="Times New Roman" w:hAnsi="Times New Roman"/>
          <w:sz w:val="20"/>
          <w:szCs w:val="20"/>
          <w:u w:val="single" w:color="auto"/>
          <w:color w:val="000000"/>
        </w:rPr>
        <w:t>Sections 8.1(a)</w:t>
      </w:r>
      <w:r>
        <w:rPr>
          <w:rFonts w:ascii="Times New Roman" w:cs="Times New Roman" w:eastAsia="Times New Roman" w:hAnsi="Times New Roman"/>
          <w:sz w:val="20"/>
          <w:szCs w:val="20"/>
          <w:color w:val="000000"/>
        </w:rPr>
        <w:t xml:space="preserve"> or </w:t>
      </w:r>
      <w:r>
        <w:rPr>
          <w:rFonts w:ascii="Times New Roman" w:cs="Times New Roman" w:eastAsia="Times New Roman" w:hAnsi="Times New Roman"/>
          <w:sz w:val="20"/>
          <w:szCs w:val="20"/>
          <w:u w:val="single" w:color="auto"/>
          <w:color w:val="000000"/>
        </w:rPr>
        <w:t>(b)</w:t>
      </w:r>
      <w:r>
        <w:rPr>
          <w:rFonts w:ascii="Times New Roman" w:cs="Times New Roman" w:eastAsia="Times New Roman" w:hAnsi="Times New Roman"/>
          <w:sz w:val="20"/>
          <w:szCs w:val="20"/>
          <w:color w:val="000000"/>
        </w:rPr>
        <w:t xml:space="preserve"> and </w:t>
      </w:r>
      <w:r>
        <w:rPr>
          <w:rFonts w:ascii="Times New Roman" w:cs="Times New Roman" w:eastAsia="Times New Roman" w:hAnsi="Times New Roman"/>
          <w:sz w:val="20"/>
          <w:szCs w:val="20"/>
          <w:u w:val="single" w:color="auto"/>
          <w:color w:val="000000"/>
        </w:rPr>
        <w:t>8.2(a)</w:t>
      </w:r>
      <w:r>
        <w:rPr>
          <w:rFonts w:ascii="Times New Roman" w:cs="Times New Roman" w:eastAsia="Times New Roman" w:hAnsi="Times New Roman"/>
          <w:sz w:val="20"/>
          <w:szCs w:val="20"/>
          <w:color w:val="000000"/>
        </w:rPr>
        <w:t>; and</w:t>
      </w:r>
    </w:p>
    <w:p>
      <w:pPr>
        <w:spacing w:after="0" w:line="255" w:lineRule="exact"/>
        <w:rPr>
          <w:rFonts w:ascii="Times New Roman" w:cs="Times New Roman" w:eastAsia="Times New Roman" w:hAnsi="Times New Roman"/>
          <w:sz w:val="20"/>
          <w:szCs w:val="20"/>
          <w:color w:val="auto"/>
        </w:rPr>
      </w:pPr>
    </w:p>
    <w:p>
      <w:pPr>
        <w:jc w:val="both"/>
        <w:ind w:left="60" w:firstLine="644"/>
        <w:spacing w:after="0" w:line="217" w:lineRule="auto"/>
        <w:tabs>
          <w:tab w:leader="none" w:pos="1236" w:val="left"/>
        </w:tabs>
        <w:numPr>
          <w:ilvl w:val="0"/>
          <w:numId w:val="3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payments and prepayments of any Junior Indebtedness not otherwise permitted pursuant to this </w:t>
      </w:r>
      <w:r>
        <w:rPr>
          <w:rFonts w:ascii="Times New Roman" w:cs="Times New Roman" w:eastAsia="Times New Roman" w:hAnsi="Times New Roman"/>
          <w:sz w:val="20"/>
          <w:szCs w:val="20"/>
          <w:u w:val="single" w:color="auto"/>
          <w:color w:val="auto"/>
        </w:rPr>
        <w:t>Section 9.9</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immediately before and immediately after giving pro forma effect to the making of any such payment and any Indebtedness incurred in connection therewith, (A) no Default or Event of Default shall have occurred and be continuing and (B) the Consolidated Net Leverage Ratio is less than or equal to 3.50 to 1.00 as of the most recently ended four consecutive fiscal quarter period for which financial statements and the related Officer’s Compliance Certificate have been delivered pursuant to </w:t>
      </w:r>
      <w:r>
        <w:rPr>
          <w:rFonts w:ascii="Times New Roman" w:cs="Times New Roman" w:eastAsia="Times New Roman" w:hAnsi="Times New Roman"/>
          <w:sz w:val="20"/>
          <w:szCs w:val="20"/>
          <w:u w:val="single" w:color="auto"/>
          <w:color w:val="auto"/>
        </w:rPr>
        <w:t>Sections 8.1(a)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8.2(a)</w:t>
      </w:r>
      <w:r>
        <w:rPr>
          <w:rFonts w:ascii="Times New Roman" w:cs="Times New Roman" w:eastAsia="Times New Roman" w:hAnsi="Times New Roman"/>
          <w:sz w:val="20"/>
          <w:szCs w:val="20"/>
          <w:color w:val="auto"/>
        </w:rPr>
        <w:t>.</w:t>
      </w:r>
    </w:p>
    <w:p>
      <w:pPr>
        <w:spacing w:after="0" w:line="256" w:lineRule="exact"/>
        <w:rPr>
          <w:sz w:val="20"/>
          <w:szCs w:val="20"/>
          <w:color w:val="auto"/>
        </w:rPr>
      </w:pPr>
    </w:p>
    <w:p>
      <w:pPr>
        <w:ind w:left="700"/>
        <w:spacing w:after="0"/>
        <w:tabs>
          <w:tab w:leader="none" w:pos="2120" w:val="left"/>
        </w:tabs>
        <w:rPr>
          <w:sz w:val="20"/>
          <w:szCs w:val="20"/>
          <w:color w:val="auto"/>
        </w:rPr>
      </w:pPr>
      <w:r>
        <w:rPr>
          <w:rFonts w:ascii="Times New Roman" w:cs="Times New Roman" w:eastAsia="Times New Roman" w:hAnsi="Times New Roman"/>
          <w:sz w:val="20"/>
          <w:szCs w:val="20"/>
          <w:color w:val="auto"/>
        </w:rPr>
        <w:t>SECTION 9.10</w:t>
      </w:r>
      <w:r>
        <w:rPr>
          <w:sz w:val="20"/>
          <w:szCs w:val="20"/>
          <w:color w:val="auto"/>
        </w:rPr>
        <w:tab/>
      </w:r>
      <w:r>
        <w:rPr>
          <w:rFonts w:ascii="Times New Roman" w:cs="Times New Roman" w:eastAsia="Times New Roman" w:hAnsi="Times New Roman"/>
          <w:sz w:val="19"/>
          <w:szCs w:val="19"/>
          <w:u w:val="single" w:color="auto"/>
          <w:color w:val="auto"/>
        </w:rPr>
        <w:t>No Further Negative Pledges; Restrictive Agreements</w:t>
      </w:r>
      <w:r>
        <w:rPr>
          <w:rFonts w:ascii="Times New Roman" w:cs="Times New Roman" w:eastAsia="Times New Roman" w:hAnsi="Times New Roman"/>
          <w:sz w:val="19"/>
          <w:szCs w:val="19"/>
          <w:color w:val="auto"/>
        </w:rPr>
        <w:t>.</w:t>
      </w:r>
    </w:p>
    <w:p>
      <w:pPr>
        <w:spacing w:after="0" w:line="283" w:lineRule="exact"/>
        <w:rPr>
          <w:sz w:val="20"/>
          <w:szCs w:val="20"/>
          <w:color w:val="auto"/>
        </w:rPr>
      </w:pPr>
    </w:p>
    <w:p>
      <w:pPr>
        <w:jc w:val="both"/>
        <w:ind w:left="60" w:firstLine="644"/>
        <w:spacing w:after="0" w:line="212" w:lineRule="auto"/>
        <w:tabs>
          <w:tab w:leader="none" w:pos="1239" w:val="left"/>
        </w:tabs>
        <w:numPr>
          <w:ilvl w:val="0"/>
          <w:numId w:val="3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Enter into, assume or be subject to any agreement prohibiting or otherwise restricting the creation or assumption of any Lien upon its properties or assets, whether now owned or hereafter acquired, or requiring the grant of any security for such obligation if security is given for some other obligation, except (i) pursuant to this Agreement and the other Loan Documents, (ii) pursuant to any document or instrument governing Indebtedness incurred pursuant to </w:t>
      </w:r>
      <w:r>
        <w:rPr>
          <w:rFonts w:ascii="Times New Roman" w:cs="Times New Roman" w:eastAsia="Times New Roman" w:hAnsi="Times New Roman"/>
          <w:sz w:val="20"/>
          <w:szCs w:val="20"/>
          <w:u w:val="single" w:color="auto"/>
          <w:color w:val="auto"/>
        </w:rPr>
        <w:t>Section 9.1(c)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restriction contained therein relates only to the asset or assets acquired in connection therewith and proceeds thereof), (iii) restrictions contained in the organizational documents of any Subsidiary that is not a Subsidiary Guarantor as of the Closing Date, (iv) customary restrictions in connection with any Permitted Lien or any document or instrument governing any Permitted Lien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restriction contained therein relates only to the asset or assets subject to such Permitted Lien and proceeds thereof) and (v) restrictions contained in Permitted Receivables Transaction Documents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restrictions and conditions apply solely to (A) Receivables Assets involved in such Permitted Receivables Transaction and (B) any applicable Receivables Subsidiary).</w:t>
      </w:r>
    </w:p>
    <w:p>
      <w:pPr>
        <w:spacing w:after="0" w:line="196" w:lineRule="exact"/>
        <w:rPr>
          <w:rFonts w:ascii="Times New Roman" w:cs="Times New Roman" w:eastAsia="Times New Roman" w:hAnsi="Times New Roman"/>
          <w:sz w:val="20"/>
          <w:szCs w:val="20"/>
          <w:color w:val="auto"/>
        </w:rPr>
      </w:pPr>
    </w:p>
    <w:p>
      <w:pPr>
        <w:jc w:val="both"/>
        <w:ind w:left="60" w:firstLine="644"/>
        <w:spacing w:after="0" w:line="226" w:lineRule="auto"/>
        <w:tabs>
          <w:tab w:leader="none" w:pos="1236" w:val="left"/>
        </w:tabs>
        <w:numPr>
          <w:ilvl w:val="0"/>
          <w:numId w:val="3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Create or otherwise cause or suffer to exist or become effective any consensual encumbrance or restriction on the ability of any Credit Party or any Subsidiary thereof to (i) pay dividends or make any other distributions to any Credit Party or any Subsidiary on its Equity Interests or with respect</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FF0000"/>
          <w:strike w:val="1"/>
        </w:rPr>
        <w:t>146960219_6</w:t>
      </w: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139</w:t>
      </w:r>
      <w:r>
        <w:rPr>
          <w:sz w:val="20"/>
          <w:szCs w:val="20"/>
          <w:color w:val="auto"/>
        </w:rPr>
        <w:tab/>
      </w: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080"/>
          </w:cols>
          <w:pgMar w:left="380" w:top="1440" w:right="439" w:bottom="1440" w:gutter="0" w:footer="0" w:header="0"/>
        </w:sectPr>
      </w:pPr>
    </w:p>
    <w:bookmarkStart w:id="222" w:name="page223"/>
    <w:bookmarkEnd w:id="222"/>
    <w:p>
      <w:pPr>
        <w:ind w:left="40"/>
        <w:spacing w:after="0"/>
        <w:rPr>
          <w:sz w:val="20"/>
          <w:szCs w:val="20"/>
          <w:color w:val="auto"/>
        </w:rPr>
      </w:pPr>
      <w:r>
        <w:rPr>
          <w:rFonts w:ascii="Times New Roman" w:cs="Times New Roman" w:eastAsia="Times New Roman" w:hAnsi="Times New Roman"/>
          <w:sz w:val="20"/>
          <w:szCs w:val="20"/>
          <w:color w:val="auto"/>
        </w:rPr>
        <w:t>to any other interest or participation in, or measured by, its profits, (ii) pay any Indebtedness or other obligation owed to any Credit Party,</w:t>
      </w:r>
    </w:p>
    <w:p>
      <w:pPr>
        <w:jc w:val="both"/>
        <w:ind w:left="40" w:hanging="2"/>
        <w:spacing w:after="0" w:line="206" w:lineRule="auto"/>
        <w:tabs>
          <w:tab w:leader="none" w:pos="392" w:val="left"/>
        </w:tabs>
        <w:numPr>
          <w:ilvl w:val="0"/>
          <w:numId w:val="3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make loans or advances to any Credit Party, (iv) sell, lease or transfer any of its properties or assets to any Credit Party or (v) act as a Credit Party pursuant to the Loan Documents or any renewals, refinancings, exchanges, refundings or extension thereof, except (in respect of any of the matters referred to in clauses (i) through (v) above) for such encumbrances or restrictions existing under or by reason of (A) this Agreement and the other Loan Documents, (B) Applicable Law, (C) any document or instrument governing Indebtedness incurred pursuant to </w:t>
      </w:r>
      <w:r>
        <w:rPr>
          <w:rFonts w:ascii="Times New Roman" w:cs="Times New Roman" w:eastAsia="Times New Roman" w:hAnsi="Times New Roman"/>
          <w:sz w:val="20"/>
          <w:szCs w:val="20"/>
          <w:u w:val="single" w:color="auto"/>
          <w:color w:val="auto"/>
        </w:rPr>
        <w:t>Section 9.1(c)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any such restriction contained therein relates only to the asset or assets acquired in connection therewith and proceeds thereof), (D) any Permitted Lien or any document or instrument governing any Permitted Lien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restriction contained therein relates only to the asset or assets subject to such Permitted Lien), (E) obligations that are binding on a Subsidiary at the time such Subsidiary first becomes a Subsidiary of Centuri, so long as such obligations are not entered into in contemplation of such Person becoming a Subsidiary, (F) customary restrictions contained in an agreement related to the sale of Property or the Equity Interests of a Subsidiary (to the extent such sale is permitted pursuant to </w:t>
      </w:r>
      <w:r>
        <w:rPr>
          <w:rFonts w:ascii="Times New Roman" w:cs="Times New Roman" w:eastAsia="Times New Roman" w:hAnsi="Times New Roman"/>
          <w:sz w:val="20"/>
          <w:szCs w:val="20"/>
          <w:u w:val="single" w:color="auto"/>
          <w:color w:val="auto"/>
        </w:rPr>
        <w:t>Section 9.5</w:t>
      </w:r>
      <w:r>
        <w:rPr>
          <w:rFonts w:ascii="Times New Roman" w:cs="Times New Roman" w:eastAsia="Times New Roman" w:hAnsi="Times New Roman"/>
          <w:sz w:val="20"/>
          <w:szCs w:val="20"/>
          <w:color w:val="auto"/>
        </w:rPr>
        <w:t>) that limit the transfer of such Property or Equity Interests of such Subsidiary pending the consummation of such sale,</w:t>
      </w:r>
    </w:p>
    <w:p>
      <w:pPr>
        <w:spacing w:after="0" w:line="2" w:lineRule="exact"/>
        <w:rPr>
          <w:sz w:val="20"/>
          <w:szCs w:val="20"/>
          <w:color w:val="auto"/>
        </w:rPr>
      </w:pPr>
    </w:p>
    <w:p>
      <w:pPr>
        <w:jc w:val="both"/>
        <w:ind w:left="40" w:hanging="2"/>
        <w:spacing w:after="0" w:line="215" w:lineRule="auto"/>
        <w:tabs>
          <w:tab w:leader="none" w:pos="585" w:val="left"/>
        </w:tabs>
        <w:numPr>
          <w:ilvl w:val="0"/>
          <w:numId w:val="3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customary restrictions in leases, subleases, licenses and sublicenses or asset sale agreements otherwise permitted by this Agreement so long as such restrictions relate only to the assets subject thereto, (H) customary provisions restricting assignment of any agreement entered into in the ordinary course of business and (I) restrictions contained in Permitted Receivables Transaction Documents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restrictions and conditions apply solely to (x) Receivables Assets involved in such Permitted Receivables Transaction and (y) any applicable Receivables Subsidiary).</w:t>
      </w:r>
    </w:p>
    <w:p>
      <w:pPr>
        <w:spacing w:after="0" w:line="190" w:lineRule="exact"/>
        <w:rPr>
          <w:sz w:val="20"/>
          <w:szCs w:val="20"/>
          <w:color w:val="auto"/>
        </w:rPr>
      </w:pPr>
    </w:p>
    <w:p>
      <w:pPr>
        <w:ind w:left="680"/>
        <w:spacing w:after="0"/>
        <w:tabs>
          <w:tab w:leader="none" w:pos="2080" w:val="left"/>
        </w:tabs>
        <w:rPr>
          <w:sz w:val="20"/>
          <w:szCs w:val="20"/>
          <w:color w:val="auto"/>
        </w:rPr>
      </w:pPr>
      <w:r>
        <w:rPr>
          <w:rFonts w:ascii="Times New Roman" w:cs="Times New Roman" w:eastAsia="Times New Roman" w:hAnsi="Times New Roman"/>
          <w:sz w:val="20"/>
          <w:szCs w:val="20"/>
          <w:color w:val="auto"/>
        </w:rPr>
        <w:t>SECTION 9.11</w:t>
      </w:r>
      <w:r>
        <w:rPr>
          <w:sz w:val="20"/>
          <w:szCs w:val="20"/>
          <w:color w:val="auto"/>
        </w:rPr>
        <w:tab/>
      </w:r>
      <w:r>
        <w:rPr>
          <w:rFonts w:ascii="Times New Roman" w:cs="Times New Roman" w:eastAsia="Times New Roman" w:hAnsi="Times New Roman"/>
          <w:sz w:val="19"/>
          <w:szCs w:val="19"/>
          <w:u w:val="single" w:color="auto"/>
          <w:color w:val="auto"/>
        </w:rPr>
        <w:t>Nature of Business</w:t>
      </w:r>
    </w:p>
    <w:p>
      <w:pPr>
        <w:spacing w:after="0" w:line="283" w:lineRule="exact"/>
        <w:rPr>
          <w:sz w:val="20"/>
          <w:szCs w:val="20"/>
          <w:color w:val="auto"/>
        </w:rPr>
      </w:pPr>
    </w:p>
    <w:p>
      <w:pPr>
        <w:ind w:left="40" w:right="180" w:hanging="2"/>
        <w:spacing w:after="0" w:line="233" w:lineRule="auto"/>
        <w:tabs>
          <w:tab w:leader="none" w:pos="139" w:val="left"/>
        </w:tabs>
        <w:numPr>
          <w:ilvl w:val="0"/>
          <w:numId w:val="3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Engage in any business other than the business conducted by the Consolidated Companies as of the Closing Date and business activities reasonably related or ancillary thereto.</w:t>
      </w:r>
    </w:p>
    <w:p>
      <w:pPr>
        <w:spacing w:after="0" w:line="201" w:lineRule="exact"/>
        <w:rPr>
          <w:sz w:val="20"/>
          <w:szCs w:val="20"/>
          <w:color w:val="auto"/>
        </w:rPr>
      </w:pPr>
    </w:p>
    <w:p>
      <w:pPr>
        <w:ind w:left="680"/>
        <w:spacing w:after="0"/>
        <w:tabs>
          <w:tab w:leader="none" w:pos="2100" w:val="left"/>
        </w:tabs>
        <w:rPr>
          <w:sz w:val="20"/>
          <w:szCs w:val="20"/>
          <w:color w:val="auto"/>
        </w:rPr>
      </w:pPr>
      <w:r>
        <w:rPr>
          <w:rFonts w:ascii="Times New Roman" w:cs="Times New Roman" w:eastAsia="Times New Roman" w:hAnsi="Times New Roman"/>
          <w:sz w:val="20"/>
          <w:szCs w:val="20"/>
          <w:color w:val="auto"/>
        </w:rPr>
        <w:t>SECTION 9.12</w:t>
      </w:r>
      <w:r>
        <w:rPr>
          <w:sz w:val="20"/>
          <w:szCs w:val="20"/>
          <w:color w:val="auto"/>
        </w:rPr>
        <w:tab/>
      </w:r>
      <w:r>
        <w:rPr>
          <w:rFonts w:ascii="Times New Roman" w:cs="Times New Roman" w:eastAsia="Times New Roman" w:hAnsi="Times New Roman"/>
          <w:sz w:val="19"/>
          <w:szCs w:val="19"/>
          <w:u w:val="single" w:color="auto"/>
          <w:color w:val="auto"/>
        </w:rPr>
        <w:t>Sale Leasebacks</w:t>
      </w:r>
    </w:p>
    <w:p>
      <w:pPr>
        <w:spacing w:after="0" w:line="270" w:lineRule="exact"/>
        <w:rPr>
          <w:sz w:val="20"/>
          <w:szCs w:val="20"/>
          <w:color w:val="auto"/>
        </w:rPr>
      </w:pPr>
    </w:p>
    <w:p>
      <w:pPr>
        <w:jc w:val="both"/>
        <w:ind w:left="40" w:hanging="2"/>
        <w:spacing w:after="0" w:line="213" w:lineRule="auto"/>
        <w:tabs>
          <w:tab w:leader="none" w:pos="155" w:val="left"/>
        </w:tabs>
        <w:numPr>
          <w:ilvl w:val="0"/>
          <w:numId w:val="3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Directly or indirectly become or remain liable as lessee or as guarantor or other surety with respect to any lease, whether an operating lease or a Capital Lease Obligation, of any Property (whether real, personal or mixed), whether now owned or hereafter acquired, (a) which any Credit Party or any Subsidiary thereof has sold or transferred or is to sell or transfer to a Person which is not another Credit Party or Subsidiary of a Credit Party or (b) which any Credit Party or any Subsidiary of a Credit Party intends to use for substantially the same purpose as any other Property that has been sold or is to be sold or transferred by such Credit Party or such Subsidiary to another Person which is not another Credit Party or Subsidiary of a Credit Party in connection with such lease, except (i) any transaction with respect to Property that is not Collateral, and (ii) any transaction pursuant to which any Indebtedness incurred in connection therewith, the Liens securing such Indebtedness and the Asset Disposition related thereto are otherwise expressly permitted pursuant to </w:t>
      </w:r>
      <w:r>
        <w:rPr>
          <w:rFonts w:ascii="Times New Roman" w:cs="Times New Roman" w:eastAsia="Times New Roman" w:hAnsi="Times New Roman"/>
          <w:sz w:val="20"/>
          <w:szCs w:val="20"/>
          <w:u w:val="single" w:color="auto"/>
          <w:color w:val="auto"/>
        </w:rPr>
        <w:t>Sections 9.1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9.2</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9.5</w:t>
      </w:r>
      <w:r>
        <w:rPr>
          <w:rFonts w:ascii="Times New Roman" w:cs="Times New Roman" w:eastAsia="Times New Roman" w:hAnsi="Times New Roman"/>
          <w:sz w:val="20"/>
          <w:szCs w:val="20"/>
          <w:color w:val="auto"/>
        </w:rPr>
        <w:t>, respectively.</w:t>
      </w:r>
    </w:p>
    <w:p>
      <w:pPr>
        <w:spacing w:after="0" w:line="269" w:lineRule="exact"/>
        <w:rPr>
          <w:sz w:val="20"/>
          <w:szCs w:val="20"/>
          <w:color w:val="auto"/>
        </w:rPr>
      </w:pPr>
    </w:p>
    <w:p>
      <w:pPr>
        <w:ind w:left="680"/>
        <w:spacing w:after="0"/>
        <w:tabs>
          <w:tab w:leader="none" w:pos="2100" w:val="left"/>
        </w:tabs>
        <w:rPr>
          <w:sz w:val="20"/>
          <w:szCs w:val="20"/>
          <w:color w:val="auto"/>
        </w:rPr>
      </w:pPr>
      <w:r>
        <w:rPr>
          <w:rFonts w:ascii="Times New Roman" w:cs="Times New Roman" w:eastAsia="Times New Roman" w:hAnsi="Times New Roman"/>
          <w:sz w:val="20"/>
          <w:szCs w:val="20"/>
          <w:color w:val="auto"/>
        </w:rPr>
        <w:t>SECTION 9.13</w:t>
      </w:r>
      <w:r>
        <w:rPr>
          <w:sz w:val="20"/>
          <w:szCs w:val="20"/>
          <w:color w:val="auto"/>
        </w:rPr>
        <w:tab/>
      </w:r>
      <w:r>
        <w:rPr>
          <w:rFonts w:ascii="Times New Roman" w:cs="Times New Roman" w:eastAsia="Times New Roman" w:hAnsi="Times New Roman"/>
          <w:sz w:val="19"/>
          <w:szCs w:val="19"/>
          <w:u w:val="single" w:color="auto"/>
          <w:color w:val="auto"/>
        </w:rPr>
        <w:t>Financial Covenants</w:t>
      </w:r>
      <w:r>
        <w:rPr>
          <w:rFonts w:ascii="Times New Roman" w:cs="Times New Roman" w:eastAsia="Times New Roman" w:hAnsi="Times New Roman"/>
          <w:sz w:val="19"/>
          <w:szCs w:val="19"/>
          <w:color w:val="auto"/>
        </w:rPr>
        <w:t>.</w:t>
      </w:r>
    </w:p>
    <w:p>
      <w:pPr>
        <w:spacing w:after="0" w:line="270" w:lineRule="exact"/>
        <w:rPr>
          <w:sz w:val="20"/>
          <w:szCs w:val="20"/>
          <w:color w:val="auto"/>
        </w:rPr>
      </w:pPr>
    </w:p>
    <w:p>
      <w:pPr>
        <w:ind w:left="40" w:firstLine="648"/>
        <w:spacing w:after="0"/>
        <w:rPr>
          <w:sz w:val="20"/>
          <w:szCs w:val="20"/>
          <w:color w:val="auto"/>
        </w:rPr>
      </w:pPr>
      <w:r>
        <w:rPr>
          <w:rFonts w:ascii="Times New Roman" w:cs="Times New Roman" w:eastAsia="Times New Roman" w:hAnsi="Times New Roman"/>
          <w:sz w:val="20"/>
          <w:szCs w:val="20"/>
          <w:color w:val="auto"/>
        </w:rPr>
        <w:t xml:space="preserve">(al) </w:t>
      </w:r>
      <w:r>
        <w:rPr>
          <w:rFonts w:ascii="Times New Roman" w:cs="Times New Roman" w:eastAsia="Times New Roman" w:hAnsi="Times New Roman"/>
          <w:sz w:val="20"/>
          <w:szCs w:val="20"/>
          <w:u w:val="single" w:color="auto"/>
          <w:color w:val="auto"/>
        </w:rPr>
        <w:t>Consolidated Interest Coverage Ratio</w:t>
      </w:r>
      <w:r>
        <w:rPr>
          <w:rFonts w:ascii="Times New Roman" w:cs="Times New Roman" w:eastAsia="Times New Roman" w:hAnsi="Times New Roman"/>
          <w:sz w:val="20"/>
          <w:szCs w:val="20"/>
          <w:color w:val="auto"/>
        </w:rPr>
        <w:t>. As of the last day of any fiscal quarter, permit the Consolidated Interest Coverage Ratio to be less than 2.50 to 1.00.</w:t>
      </w:r>
    </w:p>
    <w:p>
      <w:pPr>
        <w:spacing w:after="0" w:line="202" w:lineRule="exact"/>
        <w:rPr>
          <w:sz w:val="20"/>
          <w:szCs w:val="20"/>
          <w:color w:val="auto"/>
        </w:rPr>
      </w:pPr>
    </w:p>
    <w:p>
      <w:pPr>
        <w:ind w:left="680"/>
        <w:spacing w:after="0"/>
        <w:tabs>
          <w:tab w:leader="none" w:pos="1220" w:val="left"/>
        </w:tabs>
        <w:rPr>
          <w:sz w:val="20"/>
          <w:szCs w:val="20"/>
          <w:color w:val="auto"/>
        </w:rPr>
      </w:pPr>
      <w:r>
        <w:rPr>
          <w:rFonts w:ascii="Times New Roman" w:cs="Times New Roman" w:eastAsia="Times New Roman" w:hAnsi="Times New Roman"/>
          <w:sz w:val="20"/>
          <w:szCs w:val="20"/>
          <w:color w:val="auto"/>
        </w:rPr>
        <w:t>(am)</w:t>
      </w:r>
      <w:r>
        <w:rPr>
          <w:sz w:val="20"/>
          <w:szCs w:val="20"/>
          <w:color w:val="auto"/>
        </w:rPr>
        <w:tab/>
      </w:r>
      <w:r>
        <w:rPr>
          <w:rFonts w:ascii="Times New Roman" w:cs="Times New Roman" w:eastAsia="Times New Roman" w:hAnsi="Times New Roman"/>
          <w:sz w:val="20"/>
          <w:szCs w:val="20"/>
          <w:u w:val="single" w:color="auto"/>
          <w:color w:val="auto"/>
        </w:rPr>
        <w:t>Consolidated Net Leverage Ratio</w:t>
      </w:r>
      <w:r>
        <w:rPr>
          <w:rFonts w:ascii="Times New Roman" w:cs="Times New Roman" w:eastAsia="Times New Roman" w:hAnsi="Times New Roman"/>
          <w:sz w:val="20"/>
          <w:szCs w:val="20"/>
          <w:color w:val="auto"/>
        </w:rPr>
        <w:t>. As of the last day of any fiscal quarter during the periods set forth below, permit the</w:t>
      </w:r>
    </w:p>
    <w:p>
      <w:pPr>
        <w:spacing w:after="0" w:line="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Consolidated Net Leverage Ratio to be greater than the corresponding ratio set forth below:</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FF0000"/>
          <w:strike w:val="1"/>
        </w:rPr>
        <w:t>146960219_6</w:t>
      </w: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140</w:t>
      </w:r>
      <w:r>
        <w:rPr>
          <w:sz w:val="20"/>
          <w:szCs w:val="20"/>
          <w:color w:val="auto"/>
        </w:rPr>
        <w:tab/>
      </w: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080"/>
          </w:cols>
          <w:pgMar w:left="380" w:top="1394" w:right="439" w:bottom="1440" w:gutter="0" w:footer="0" w:header="0"/>
        </w:sectPr>
      </w:pPr>
    </w:p>
    <w:bookmarkStart w:id="223" w:name="page224"/>
    <w:bookmarkEnd w:id="223"/>
    <w:p>
      <w:pPr>
        <w:spacing w:after="0" w:line="158" w:lineRule="exact"/>
        <w:rPr>
          <w:sz w:val="20"/>
          <w:szCs w:val="20"/>
          <w:color w:val="auto"/>
        </w:rPr>
      </w:pPr>
    </w:p>
    <w:tbl>
      <w:tblPr>
        <w:tblLayout w:type="fixed"/>
        <w:tblInd w:w="420" w:type="dxa"/>
        <w:tblCellMar>
          <w:top w:w="0" w:type="dxa"/>
          <w:left w:w="0" w:type="dxa"/>
          <w:bottom w:w="0" w:type="dxa"/>
          <w:right w:w="0" w:type="dxa"/>
        </w:tblCellMar>
      </w:tblPr>
      <w:tr>
        <w:trPr>
          <w:trHeight w:val="230"/>
        </w:trPr>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980" w:type="dxa"/>
            <w:vAlign w:val="bottom"/>
            <w:gridSpan w:val="5"/>
          </w:tcPr>
          <w:p>
            <w:pPr>
              <w:ind w:left="1240"/>
              <w:spacing w:after="0"/>
              <w:rPr>
                <w:sz w:val="20"/>
                <w:szCs w:val="20"/>
                <w:color w:val="auto"/>
              </w:rPr>
            </w:pPr>
            <w:r>
              <w:rPr>
                <w:rFonts w:ascii="Times New Roman" w:cs="Times New Roman" w:eastAsia="Times New Roman" w:hAnsi="Times New Roman"/>
                <w:sz w:val="20"/>
                <w:szCs w:val="20"/>
                <w:b w:val="1"/>
                <w:bCs w:val="1"/>
                <w:color w:val="auto"/>
              </w:rPr>
              <w:t>Maximum Consolidated Net Leverage</w:t>
            </w:r>
          </w:p>
        </w:tc>
      </w:tr>
      <w:tr>
        <w:trPr>
          <w:trHeight w:val="280"/>
        </w:trPr>
        <w:tc>
          <w:tcPr>
            <w:tcW w:w="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3"/>
          </w:tcPr>
          <w:p>
            <w:pPr>
              <w:ind w:left="940"/>
              <w:spacing w:after="0"/>
              <w:rPr>
                <w:sz w:val="20"/>
                <w:szCs w:val="20"/>
                <w:color w:val="auto"/>
              </w:rPr>
            </w:pPr>
            <w:r>
              <w:rPr>
                <w:rFonts w:ascii="Times New Roman" w:cs="Times New Roman" w:eastAsia="Times New Roman" w:hAnsi="Times New Roman"/>
                <w:sz w:val="20"/>
                <w:szCs w:val="20"/>
                <w:b w:val="1"/>
                <w:bCs w:val="1"/>
                <w:color w:val="auto"/>
              </w:rPr>
              <w:t>Period</w:t>
            </w:r>
          </w:p>
        </w:tc>
        <w:tc>
          <w:tcPr>
            <w:tcW w:w="4980" w:type="dxa"/>
            <w:vAlign w:val="bottom"/>
            <w:tcBorders>
              <w:bottom w:val="single" w:sz="8" w:color="auto"/>
            </w:tcBorders>
            <w:gridSpan w:val="5"/>
          </w:tcPr>
          <w:p>
            <w:pPr>
              <w:ind w:left="1800"/>
              <w:spacing w:after="0"/>
              <w:rPr>
                <w:sz w:val="20"/>
                <w:szCs w:val="20"/>
                <w:color w:val="auto"/>
              </w:rPr>
            </w:pPr>
            <w:r>
              <w:rPr>
                <w:rFonts w:ascii="Times New Roman" w:cs="Times New Roman" w:eastAsia="Times New Roman" w:hAnsi="Times New Roman"/>
                <w:sz w:val="20"/>
                <w:szCs w:val="20"/>
                <w:b w:val="1"/>
                <w:bCs w:val="1"/>
                <w:color w:val="auto"/>
              </w:rPr>
              <w:t>Ratio</w:t>
            </w:r>
          </w:p>
        </w:tc>
      </w:tr>
      <w:tr>
        <w:trPr>
          <w:trHeight w:val="260"/>
        </w:trPr>
        <w:tc>
          <w:tcPr>
            <w:tcW w:w="120" w:type="dxa"/>
            <w:vAlign w:val="bottom"/>
          </w:tcPr>
          <w:p>
            <w:pPr>
              <w:spacing w:after="0"/>
              <w:rPr>
                <w:sz w:val="22"/>
                <w:szCs w:val="22"/>
                <w:color w:val="auto"/>
              </w:rPr>
            </w:pPr>
          </w:p>
        </w:tc>
        <w:tc>
          <w:tcPr>
            <w:tcW w:w="462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Closing Date through September 30, 2022</w:t>
            </w:r>
          </w:p>
        </w:tc>
        <w:tc>
          <w:tcPr>
            <w:tcW w:w="1940" w:type="dxa"/>
            <w:vAlign w:val="bottom"/>
          </w:tcPr>
          <w:p>
            <w:pPr>
              <w:spacing w:after="0"/>
              <w:rPr>
                <w:sz w:val="22"/>
                <w:szCs w:val="22"/>
                <w:color w:val="auto"/>
              </w:rPr>
            </w:pPr>
          </w:p>
        </w:tc>
        <w:tc>
          <w:tcPr>
            <w:tcW w:w="304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5.50 to 1.00</w:t>
            </w:r>
          </w:p>
        </w:tc>
      </w:tr>
      <w:tr>
        <w:trPr>
          <w:trHeight w:val="237"/>
        </w:trPr>
        <w:tc>
          <w:tcPr>
            <w:tcW w:w="120" w:type="dxa"/>
            <w:vAlign w:val="bottom"/>
          </w:tcPr>
          <w:p>
            <w:pPr>
              <w:spacing w:after="0"/>
              <w:rPr>
                <w:sz w:val="20"/>
                <w:szCs w:val="20"/>
                <w:color w:val="auto"/>
              </w:rPr>
            </w:pPr>
          </w:p>
        </w:tc>
        <w:tc>
          <w:tcPr>
            <w:tcW w:w="462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 xml:space="preserve">December 31, 2022 through </w:t>
            </w:r>
            <w:r>
              <w:rPr>
                <w:rFonts w:ascii="Times New Roman" w:cs="Times New Roman" w:eastAsia="Times New Roman" w:hAnsi="Times New Roman"/>
                <w:sz w:val="20"/>
                <w:szCs w:val="20"/>
                <w:color w:val="0000FF"/>
              </w:rPr>
              <w:t>June 30, 2023</w:t>
            </w:r>
          </w:p>
        </w:tc>
        <w:tc>
          <w:tcPr>
            <w:tcW w:w="1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20"/>
                <w:szCs w:val="20"/>
                <w:color w:val="FF0000"/>
                <w:strike w:val="1"/>
                <w:w w:val="97"/>
              </w:rPr>
              <w:t>4.75</w:t>
            </w:r>
          </w:p>
        </w:tc>
        <w:tc>
          <w:tcPr>
            <w:tcW w:w="1760" w:type="dxa"/>
            <w:vAlign w:val="bottom"/>
          </w:tcPr>
          <w:p>
            <w:pPr>
              <w:spacing w:after="0"/>
              <w:rPr>
                <w:sz w:val="20"/>
                <w:szCs w:val="20"/>
                <w:color w:val="auto"/>
              </w:rPr>
            </w:pPr>
          </w:p>
        </w:tc>
      </w:tr>
      <w:tr>
        <w:trPr>
          <w:trHeight w:val="196"/>
        </w:trPr>
        <w:tc>
          <w:tcPr>
            <w:tcW w:w="120" w:type="dxa"/>
            <w:vAlign w:val="bottom"/>
          </w:tcPr>
          <w:p>
            <w:pPr>
              <w:spacing w:after="0"/>
              <w:rPr>
                <w:sz w:val="17"/>
                <w:szCs w:val="17"/>
                <w:color w:val="auto"/>
              </w:rPr>
            </w:pPr>
          </w:p>
        </w:tc>
        <w:tc>
          <w:tcPr>
            <w:tcW w:w="2260" w:type="dxa"/>
            <w:vAlign w:val="bottom"/>
            <w:gridSpan w:val="2"/>
          </w:tcPr>
          <w:p>
            <w:pPr>
              <w:spacing w:after="0" w:line="196" w:lineRule="exact"/>
              <w:rPr>
                <w:sz w:val="20"/>
                <w:szCs w:val="20"/>
                <w:color w:val="auto"/>
              </w:rPr>
            </w:pPr>
            <w:r>
              <w:rPr>
                <w:rFonts w:ascii="Times New Roman" w:cs="Times New Roman" w:eastAsia="Times New Roman" w:hAnsi="Times New Roman"/>
                <w:sz w:val="20"/>
                <w:szCs w:val="20"/>
                <w:color w:val="auto"/>
              </w:rPr>
              <w:t>September 30, 2023</w:t>
            </w:r>
          </w:p>
        </w:tc>
        <w:tc>
          <w:tcPr>
            <w:tcW w:w="1120" w:type="dxa"/>
            <w:vAlign w:val="bottom"/>
            <w:tcBorders>
              <w:top w:val="single" w:sz="8" w:color="0000FF"/>
            </w:tcBorders>
          </w:tcPr>
          <w:p>
            <w:pPr>
              <w:spacing w:after="0"/>
              <w:rPr>
                <w:sz w:val="17"/>
                <w:szCs w:val="17"/>
                <w:color w:val="auto"/>
              </w:rPr>
            </w:pPr>
          </w:p>
        </w:tc>
        <w:tc>
          <w:tcPr>
            <w:tcW w:w="12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Borders>
              <w:bottom w:val="single" w:sz="8" w:color="0000FF"/>
            </w:tcBorders>
            <w:gridSpan w:val="2"/>
          </w:tcPr>
          <w:p>
            <w:pPr>
              <w:jc w:val="center"/>
              <w:spacing w:after="0" w:line="196" w:lineRule="exact"/>
              <w:rPr>
                <w:sz w:val="20"/>
                <w:szCs w:val="20"/>
                <w:color w:val="auto"/>
              </w:rPr>
            </w:pPr>
            <w:r>
              <w:rPr>
                <w:rFonts w:ascii="Times New Roman" w:cs="Times New Roman" w:eastAsia="Times New Roman" w:hAnsi="Times New Roman"/>
                <w:sz w:val="20"/>
                <w:szCs w:val="20"/>
                <w:color w:val="0000FF"/>
                <w:strike w:val="1"/>
                <w:w w:val="98"/>
              </w:rPr>
              <w:t>6.</w:t>
            </w:r>
            <w:r>
              <w:rPr>
                <w:rFonts w:ascii="Times New Roman" w:cs="Times New Roman" w:eastAsia="Times New Roman" w:hAnsi="Times New Roman"/>
                <w:sz w:val="20"/>
                <w:szCs w:val="20"/>
                <w:u w:val="single" w:color="auto"/>
                <w:color w:val="0000FF"/>
                <w:strike w:val="1"/>
                <w:w w:val="98"/>
              </w:rPr>
              <w:t>00</w:t>
            </w:r>
            <w:r>
              <w:rPr>
                <w:rFonts w:ascii="Times New Roman" w:cs="Times New Roman" w:eastAsia="Times New Roman" w:hAnsi="Times New Roman"/>
                <w:sz w:val="20"/>
                <w:szCs w:val="20"/>
                <w:color w:val="0000FF"/>
                <w:strike w:val="1"/>
                <w:w w:val="98"/>
              </w:rPr>
              <w:t xml:space="preserve"> to 1.00</w:t>
            </w:r>
          </w:p>
        </w:tc>
        <w:tc>
          <w:tcPr>
            <w:tcW w:w="1760" w:type="dxa"/>
            <w:vAlign w:val="bottom"/>
          </w:tcPr>
          <w:p>
            <w:pPr>
              <w:spacing w:after="0"/>
              <w:rPr>
                <w:sz w:val="17"/>
                <w:szCs w:val="17"/>
                <w:color w:val="auto"/>
              </w:rPr>
            </w:pPr>
          </w:p>
        </w:tc>
      </w:tr>
      <w:tr>
        <w:trPr>
          <w:trHeight w:val="209"/>
        </w:trPr>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00" w:type="dxa"/>
            <w:vAlign w:val="bottom"/>
            <w:tcBorders>
              <w:bottom w:val="single" w:sz="8" w:color="0000FF"/>
            </w:tcBorders>
            <w:gridSpan w:val="2"/>
          </w:tcPr>
          <w:p>
            <w:pPr>
              <w:spacing w:after="0" w:line="209" w:lineRule="exact"/>
              <w:rPr>
                <w:sz w:val="20"/>
                <w:szCs w:val="20"/>
                <w:color w:val="auto"/>
              </w:rPr>
            </w:pPr>
            <w:r>
              <w:rPr>
                <w:rFonts w:ascii="Times New Roman" w:cs="Times New Roman" w:eastAsia="Times New Roman" w:hAnsi="Times New Roman"/>
                <w:sz w:val="20"/>
                <w:szCs w:val="20"/>
                <w:color w:val="0000FF"/>
                <w:strike w:val="1"/>
              </w:rPr>
              <w:t>5.</w:t>
            </w:r>
            <w:r>
              <w:rPr>
                <w:rFonts w:ascii="Times New Roman" w:cs="Times New Roman" w:eastAsia="Times New Roman" w:hAnsi="Times New Roman"/>
                <w:sz w:val="20"/>
                <w:szCs w:val="20"/>
                <w:u w:val="single" w:color="auto"/>
                <w:color w:val="0000FF"/>
                <w:strike w:val="1"/>
              </w:rPr>
              <w:t>50</w:t>
            </w:r>
          </w:p>
        </w:tc>
        <w:tc>
          <w:tcPr>
            <w:tcW w:w="880" w:type="dxa"/>
            <w:vAlign w:val="bottom"/>
          </w:tcPr>
          <w:p>
            <w:pPr>
              <w:jc w:val="right"/>
              <w:ind w:right="241"/>
              <w:spacing w:after="0" w:line="209" w:lineRule="exact"/>
              <w:rPr>
                <w:sz w:val="20"/>
                <w:szCs w:val="20"/>
                <w:color w:val="auto"/>
              </w:rPr>
            </w:pPr>
            <w:r>
              <w:rPr>
                <w:rFonts w:ascii="Times New Roman" w:cs="Times New Roman" w:eastAsia="Times New Roman" w:hAnsi="Times New Roman"/>
                <w:sz w:val="20"/>
                <w:szCs w:val="20"/>
                <w:color w:val="auto"/>
                <w:strike w:val="1"/>
                <w:w w:val="93"/>
              </w:rPr>
              <w:t>to 1.00</w:t>
            </w:r>
          </w:p>
        </w:tc>
        <w:tc>
          <w:tcPr>
            <w:tcW w:w="1760" w:type="dxa"/>
            <w:vAlign w:val="bottom"/>
          </w:tcPr>
          <w:p>
            <w:pPr>
              <w:spacing w:after="0"/>
              <w:rPr>
                <w:sz w:val="18"/>
                <w:szCs w:val="18"/>
                <w:color w:val="auto"/>
              </w:rPr>
            </w:pPr>
          </w:p>
        </w:tc>
      </w:tr>
      <w:tr>
        <w:trPr>
          <w:trHeight w:val="264"/>
        </w:trPr>
        <w:tc>
          <w:tcPr>
            <w:tcW w:w="120" w:type="dxa"/>
            <w:vAlign w:val="bottom"/>
          </w:tcPr>
          <w:p>
            <w:pPr>
              <w:spacing w:after="0"/>
              <w:rPr>
                <w:sz w:val="22"/>
                <w:szCs w:val="22"/>
                <w:color w:val="auto"/>
              </w:rPr>
            </w:pPr>
          </w:p>
        </w:tc>
        <w:tc>
          <w:tcPr>
            <w:tcW w:w="462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December 31, 2023</w:t>
            </w:r>
          </w:p>
        </w:tc>
        <w:tc>
          <w:tcPr>
            <w:tcW w:w="19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700" w:type="dxa"/>
            <w:vAlign w:val="bottom"/>
            <w:gridSpan w:val="3"/>
          </w:tcPr>
          <w:p>
            <w:pPr>
              <w:jc w:val="center"/>
              <w:ind w:right="1760"/>
              <w:spacing w:after="0"/>
              <w:rPr>
                <w:sz w:val="20"/>
                <w:szCs w:val="20"/>
                <w:color w:val="auto"/>
              </w:rPr>
            </w:pPr>
            <w:r>
              <w:rPr>
                <w:rFonts w:ascii="Times New Roman" w:cs="Times New Roman" w:eastAsia="Times New Roman" w:hAnsi="Times New Roman"/>
                <w:sz w:val="20"/>
                <w:szCs w:val="20"/>
                <w:color w:val="0000FF"/>
                <w:w w:val="98"/>
              </w:rPr>
              <w:t>4.</w:t>
            </w:r>
            <w:r>
              <w:rPr>
                <w:rFonts w:ascii="Times New Roman" w:cs="Times New Roman" w:eastAsia="Times New Roman" w:hAnsi="Times New Roman"/>
                <w:sz w:val="20"/>
                <w:szCs w:val="20"/>
                <w:u w:val="single" w:color="auto"/>
                <w:color w:val="0000FF"/>
                <w:w w:val="98"/>
              </w:rPr>
              <w:t>50</w:t>
            </w:r>
            <w:r>
              <w:rPr>
                <w:rFonts w:ascii="Times New Roman" w:cs="Times New Roman" w:eastAsia="Times New Roman" w:hAnsi="Times New Roman"/>
                <w:sz w:val="20"/>
                <w:szCs w:val="20"/>
                <w:color w:val="0000FF"/>
                <w:w w:val="98"/>
              </w:rPr>
              <w:t xml:space="preserve"> to 1.00</w:t>
            </w:r>
          </w:p>
        </w:tc>
      </w:tr>
      <w:tr>
        <w:trPr>
          <w:trHeight w:val="196"/>
        </w:trPr>
        <w:tc>
          <w:tcPr>
            <w:tcW w:w="120" w:type="dxa"/>
            <w:vAlign w:val="bottom"/>
          </w:tcPr>
          <w:p>
            <w:pPr>
              <w:spacing w:after="0"/>
              <w:rPr>
                <w:sz w:val="17"/>
                <w:szCs w:val="17"/>
                <w:color w:val="auto"/>
              </w:rPr>
            </w:pPr>
          </w:p>
        </w:tc>
        <w:tc>
          <w:tcPr>
            <w:tcW w:w="4620" w:type="dxa"/>
            <w:vAlign w:val="bottom"/>
            <w:gridSpan w:val="4"/>
          </w:tcPr>
          <w:p>
            <w:pPr>
              <w:spacing w:after="0" w:line="196" w:lineRule="exact"/>
              <w:rPr>
                <w:sz w:val="20"/>
                <w:szCs w:val="20"/>
                <w:color w:val="auto"/>
              </w:rPr>
            </w:pPr>
            <w:r>
              <w:rPr>
                <w:rFonts w:ascii="Times New Roman" w:cs="Times New Roman" w:eastAsia="Times New Roman" w:hAnsi="Times New Roman"/>
                <w:sz w:val="20"/>
                <w:szCs w:val="20"/>
                <w:color w:val="0000FF"/>
              </w:rPr>
              <w:t xml:space="preserve">March 31, 2024 </w:t>
            </w:r>
            <w:r>
              <w:rPr>
                <w:rFonts w:ascii="Times New Roman" w:cs="Times New Roman" w:eastAsia="Times New Roman" w:hAnsi="Times New Roman"/>
                <w:sz w:val="20"/>
                <w:szCs w:val="20"/>
                <w:color w:val="000000"/>
              </w:rPr>
              <w:t>and thereafter</w:t>
            </w:r>
          </w:p>
        </w:tc>
        <w:tc>
          <w:tcPr>
            <w:tcW w:w="1940" w:type="dxa"/>
            <w:vAlign w:val="bottom"/>
          </w:tcPr>
          <w:p>
            <w:pPr>
              <w:spacing w:after="0"/>
              <w:rPr>
                <w:sz w:val="17"/>
                <w:szCs w:val="17"/>
                <w:color w:val="auto"/>
              </w:rPr>
            </w:pPr>
          </w:p>
        </w:tc>
        <w:tc>
          <w:tcPr>
            <w:tcW w:w="340" w:type="dxa"/>
            <w:vAlign w:val="bottom"/>
          </w:tcPr>
          <w:p>
            <w:pPr>
              <w:spacing w:after="0" w:line="196" w:lineRule="exact"/>
              <w:rPr>
                <w:sz w:val="20"/>
                <w:szCs w:val="20"/>
                <w:color w:val="auto"/>
              </w:rPr>
            </w:pPr>
            <w:r>
              <w:rPr>
                <w:rFonts w:ascii="Times New Roman" w:cs="Times New Roman" w:eastAsia="Times New Roman" w:hAnsi="Times New Roman"/>
                <w:sz w:val="20"/>
                <w:szCs w:val="20"/>
                <w:color w:val="auto"/>
                <w:w w:val="91"/>
              </w:rPr>
              <w:t>4.00</w:t>
            </w:r>
          </w:p>
        </w:tc>
        <w:tc>
          <w:tcPr>
            <w:tcW w:w="940" w:type="dxa"/>
            <w:vAlign w:val="bottom"/>
            <w:tcBorders>
              <w:top w:val="single" w:sz="8" w:color="0000FF"/>
            </w:tcBorders>
            <w:gridSpan w:val="2"/>
          </w:tcPr>
          <w:p>
            <w:pPr>
              <w:jc w:val="right"/>
              <w:ind w:right="241"/>
              <w:spacing w:after="0" w:line="196" w:lineRule="exact"/>
              <w:rPr>
                <w:sz w:val="20"/>
                <w:szCs w:val="20"/>
                <w:color w:val="auto"/>
              </w:rPr>
            </w:pPr>
            <w:r>
              <w:rPr>
                <w:rFonts w:ascii="Times New Roman" w:cs="Times New Roman" w:eastAsia="Times New Roman" w:hAnsi="Times New Roman"/>
                <w:sz w:val="20"/>
                <w:szCs w:val="20"/>
                <w:color w:val="auto"/>
              </w:rPr>
              <w:t>to 1.00</w:t>
            </w:r>
          </w:p>
        </w:tc>
        <w:tc>
          <w:tcPr>
            <w:tcW w:w="176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 xml:space="preserve">Notwithstanding the foregoing, for any measurement period ending on or after </w:t>
      </w:r>
      <w:r>
        <w:rPr>
          <w:rFonts w:ascii="Times New Roman" w:cs="Times New Roman" w:eastAsia="Times New Roman" w:hAnsi="Times New Roman"/>
          <w:sz w:val="19"/>
          <w:szCs w:val="19"/>
          <w:color w:val="FF0000"/>
          <w:strike w:val="1"/>
        </w:rPr>
        <w:t>December</w:t>
      </w:r>
      <w:r>
        <w:rPr>
          <w:rFonts w:ascii="Times New Roman" w:cs="Times New Roman" w:eastAsia="Times New Roman" w:hAnsi="Times New Roman"/>
          <w:sz w:val="19"/>
          <w:szCs w:val="19"/>
          <w:u w:val="single" w:color="auto"/>
          <w:color w:val="0000FF"/>
        </w:rPr>
        <w:t>March</w:t>
      </w:r>
      <w:r>
        <w:rPr>
          <w:rFonts w:ascii="Times New Roman" w:cs="Times New Roman" w:eastAsia="Times New Roman" w:hAnsi="Times New Roman"/>
          <w:sz w:val="19"/>
          <w:szCs w:val="19"/>
          <w:color w:val="auto"/>
        </w:rPr>
        <w:t xml:space="preserve"> 31, </w:t>
      </w:r>
      <w:r>
        <w:rPr>
          <w:rFonts w:ascii="Times New Roman" w:cs="Times New Roman" w:eastAsia="Times New Roman" w:hAnsi="Times New Roman"/>
          <w:sz w:val="19"/>
          <w:szCs w:val="19"/>
          <w:color w:val="FF0000"/>
          <w:strike w:val="1"/>
        </w:rPr>
        <w:t>2023</w:t>
      </w:r>
      <w:r>
        <w:rPr>
          <w:rFonts w:ascii="Times New Roman" w:cs="Times New Roman" w:eastAsia="Times New Roman" w:hAnsi="Times New Roman"/>
          <w:sz w:val="19"/>
          <w:szCs w:val="19"/>
          <w:u w:val="single" w:color="auto"/>
          <w:color w:val="0000FF"/>
        </w:rPr>
        <w:t>2024</w:t>
      </w:r>
      <w:r>
        <w:rPr>
          <w:rFonts w:ascii="Times New Roman" w:cs="Times New Roman" w:eastAsia="Times New Roman" w:hAnsi="Times New Roman"/>
          <w:sz w:val="19"/>
          <w:szCs w:val="19"/>
          <w:color w:val="auto"/>
        </w:rPr>
        <w:t>, in connection with</w:t>
      </w:r>
    </w:p>
    <w:p>
      <w:pPr>
        <w:spacing w:after="0" w:line="6" w:lineRule="exact"/>
        <w:rPr>
          <w:sz w:val="20"/>
          <w:szCs w:val="20"/>
          <w:color w:val="auto"/>
        </w:rPr>
      </w:pPr>
    </w:p>
    <w:p>
      <w:pPr>
        <w:ind w:left="60"/>
        <w:spacing w:after="0" w:line="215" w:lineRule="auto"/>
        <w:rPr>
          <w:sz w:val="20"/>
          <w:szCs w:val="20"/>
          <w:color w:val="auto"/>
        </w:rPr>
      </w:pPr>
      <w:r>
        <w:rPr>
          <w:rFonts w:ascii="Times New Roman" w:cs="Times New Roman" w:eastAsia="Times New Roman" w:hAnsi="Times New Roman"/>
          <w:sz w:val="19"/>
          <w:szCs w:val="19"/>
          <w:color w:val="auto"/>
        </w:rPr>
        <w:t>any Permitted Acquisition having aggregate cash consideration (including cash, Cash Equivalents and other deferred payment obligations) in excess of $150,000,000, Centuri may, at its election, in connection with such Permitted Acquisition and upon prior written notice to the</w:t>
      </w:r>
    </w:p>
    <w:p>
      <w:pPr>
        <w:ind w:left="60"/>
        <w:spacing w:after="0" w:line="211" w:lineRule="auto"/>
        <w:rPr>
          <w:sz w:val="20"/>
          <w:szCs w:val="20"/>
          <w:color w:val="auto"/>
        </w:rPr>
      </w:pPr>
      <w:r>
        <w:rPr>
          <w:rFonts w:ascii="Times New Roman" w:cs="Times New Roman" w:eastAsia="Times New Roman" w:hAnsi="Times New Roman"/>
          <w:sz w:val="20"/>
          <w:szCs w:val="20"/>
          <w:color w:val="auto"/>
        </w:rPr>
        <w:t xml:space="preserve">Administrative Agent, increase the required Consolidated Net Leverage Ratio pursuant to this </w:t>
      </w:r>
      <w:r>
        <w:rPr>
          <w:rFonts w:ascii="Times New Roman" w:cs="Times New Roman" w:eastAsia="Times New Roman" w:hAnsi="Times New Roman"/>
          <w:sz w:val="20"/>
          <w:szCs w:val="20"/>
          <w:u w:val="single" w:color="auto"/>
          <w:color w:val="auto"/>
        </w:rPr>
        <w:t>Section 9.13(b)</w:t>
      </w:r>
      <w:r>
        <w:rPr>
          <w:rFonts w:ascii="Times New Roman" w:cs="Times New Roman" w:eastAsia="Times New Roman" w:hAnsi="Times New Roman"/>
          <w:sz w:val="20"/>
          <w:szCs w:val="20"/>
          <w:color w:val="auto"/>
        </w:rPr>
        <w:t xml:space="preserve"> to up to 4.50 to 1.00 (at</w:t>
      </w:r>
    </w:p>
    <w:p>
      <w:pPr>
        <w:ind w:left="60"/>
        <w:spacing w:after="0" w:line="215" w:lineRule="auto"/>
        <w:rPr>
          <w:sz w:val="20"/>
          <w:szCs w:val="20"/>
          <w:color w:val="auto"/>
        </w:rPr>
      </w:pPr>
      <w:r>
        <w:rPr>
          <w:rFonts w:ascii="Times New Roman" w:cs="Times New Roman" w:eastAsia="Times New Roman" w:hAnsi="Times New Roman"/>
          <w:sz w:val="19"/>
          <w:szCs w:val="19"/>
          <w:color w:val="auto"/>
        </w:rPr>
        <w:t>Centuri’s option), which such increase shall be applicable (i) with respect to a Permitted Acquisition that is not a Limited Condition Acquisition, for the fiscal quarter in which such Permitted Acquisition is consummated and the three (3) consecutive quarterly test periods</w:t>
      </w:r>
    </w:p>
    <w:p>
      <w:pPr>
        <w:ind w:left="60"/>
        <w:spacing w:after="0" w:line="204" w:lineRule="auto"/>
        <w:rPr>
          <w:sz w:val="20"/>
          <w:szCs w:val="20"/>
          <w:color w:val="auto"/>
        </w:rPr>
      </w:pPr>
      <w:r>
        <w:rPr>
          <w:rFonts w:ascii="Times New Roman" w:cs="Times New Roman" w:eastAsia="Times New Roman" w:hAnsi="Times New Roman"/>
          <w:sz w:val="20"/>
          <w:szCs w:val="20"/>
          <w:color w:val="auto"/>
        </w:rPr>
        <w:t xml:space="preserve">thereafter or (ii) with respect to a Permitted Acquisition that is a Limited Condition Acquisition, for purposes of determining compliance on a Pro Forma Basis with this </w:t>
      </w:r>
      <w:r>
        <w:rPr>
          <w:rFonts w:ascii="Times New Roman" w:cs="Times New Roman" w:eastAsia="Times New Roman" w:hAnsi="Times New Roman"/>
          <w:sz w:val="20"/>
          <w:szCs w:val="20"/>
          <w:u w:val="single" w:color="auto"/>
          <w:color w:val="auto"/>
        </w:rPr>
        <w:t>Section 9.13(b)</w:t>
      </w:r>
      <w:r>
        <w:rPr>
          <w:rFonts w:ascii="Times New Roman" w:cs="Times New Roman" w:eastAsia="Times New Roman" w:hAnsi="Times New Roman"/>
          <w:sz w:val="20"/>
          <w:szCs w:val="20"/>
          <w:color w:val="auto"/>
        </w:rPr>
        <w:t xml:space="preserve"> on the LCA Test Date, for the fiscal quarter in which such Permitted Acquisition is</w:t>
      </w:r>
    </w:p>
    <w:p>
      <w:pPr>
        <w:spacing w:after="0" w:line="1" w:lineRule="exact"/>
        <w:rPr>
          <w:sz w:val="20"/>
          <w:szCs w:val="20"/>
          <w:color w:val="auto"/>
        </w:rPr>
      </w:pPr>
    </w:p>
    <w:p>
      <w:pPr>
        <w:ind w:left="60"/>
        <w:spacing w:after="0" w:line="211" w:lineRule="auto"/>
        <w:rPr>
          <w:sz w:val="20"/>
          <w:szCs w:val="20"/>
          <w:color w:val="auto"/>
        </w:rPr>
      </w:pPr>
      <w:r>
        <w:rPr>
          <w:rFonts w:ascii="Times New Roman" w:cs="Times New Roman" w:eastAsia="Times New Roman" w:hAnsi="Times New Roman"/>
          <w:sz w:val="20"/>
          <w:szCs w:val="20"/>
          <w:color w:val="auto"/>
        </w:rPr>
        <w:t>consummated and for the three (3) consecutive quarterly test periods after which such Permitted Acquisition is consummated (each, a “</w:t>
      </w:r>
      <w:r>
        <w:rPr>
          <w:rFonts w:ascii="Times New Roman" w:cs="Times New Roman" w:eastAsia="Times New Roman" w:hAnsi="Times New Roman"/>
          <w:sz w:val="20"/>
          <w:szCs w:val="20"/>
          <w:u w:val="single" w:color="auto"/>
          <w:color w:val="auto"/>
        </w:rPr>
        <w:t>Leverage Ratio Increase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w:t>
      </w:r>
    </w:p>
    <w:p>
      <w:pPr>
        <w:spacing w:after="0" w:line="1" w:lineRule="exact"/>
        <w:rPr>
          <w:sz w:val="20"/>
          <w:szCs w:val="20"/>
          <w:color w:val="auto"/>
        </w:rPr>
      </w:pPr>
    </w:p>
    <w:p>
      <w:pPr>
        <w:jc w:val="both"/>
        <w:ind w:left="60" w:hanging="2"/>
        <w:spacing w:after="0" w:line="212" w:lineRule="auto"/>
        <w:tabs>
          <w:tab w:leader="none" w:pos="615" w:val="left"/>
        </w:tabs>
        <w:numPr>
          <w:ilvl w:val="0"/>
          <w:numId w:val="3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such increase shall apply solely with respect to compliance with this </w:t>
      </w:r>
      <w:r>
        <w:rPr>
          <w:rFonts w:ascii="Times New Roman" w:cs="Times New Roman" w:eastAsia="Times New Roman" w:hAnsi="Times New Roman"/>
          <w:sz w:val="20"/>
          <w:szCs w:val="20"/>
          <w:u w:val="single" w:color="auto"/>
          <w:color w:val="auto"/>
        </w:rPr>
        <w:t>Section 9.13(b)</w:t>
      </w:r>
      <w:r>
        <w:rPr>
          <w:rFonts w:ascii="Times New Roman" w:cs="Times New Roman" w:eastAsia="Times New Roman" w:hAnsi="Times New Roman"/>
          <w:sz w:val="20"/>
          <w:szCs w:val="20"/>
          <w:color w:val="auto"/>
        </w:rPr>
        <w:t xml:space="preserve"> and any determination of the Consolidated Net Leverage Ratio for purposes of the definition of Permitted Acquisition and any incurrence test with respect to any Indebtedness used to finance a Permitted Acquisition and shall not apply to any other incurrence test set forth in this Agreement and (y) there shall be at least two full fiscal quarters following the cessation of each such Leverage Ratio Increase during which no Leverage Ratio Increase shall then be in effect.</w:t>
      </w:r>
    </w:p>
    <w:p>
      <w:pPr>
        <w:spacing w:after="0" w:line="18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color w:val="auto"/>
        </w:rPr>
        <w:t xml:space="preserve">The provisions of this </w:t>
      </w:r>
      <w:r>
        <w:rPr>
          <w:rFonts w:ascii="Times New Roman" w:cs="Times New Roman" w:eastAsia="Times New Roman" w:hAnsi="Times New Roman"/>
          <w:sz w:val="20"/>
          <w:szCs w:val="20"/>
          <w:u w:val="single" w:color="auto"/>
          <w:color w:val="auto"/>
        </w:rPr>
        <w:t>Section 9.13</w:t>
      </w:r>
      <w:r>
        <w:rPr>
          <w:rFonts w:ascii="Times New Roman" w:cs="Times New Roman" w:eastAsia="Times New Roman" w:hAnsi="Times New Roman"/>
          <w:sz w:val="20"/>
          <w:szCs w:val="20"/>
          <w:color w:val="auto"/>
        </w:rPr>
        <w:t xml:space="preserve"> are for the benefit of the Revolving Credit Lenders only and the Required Revolving Credit</w:t>
      </w:r>
    </w:p>
    <w:p>
      <w:pPr>
        <w:ind w:left="60" w:right="20"/>
        <w:spacing w:after="0" w:line="221" w:lineRule="auto"/>
        <w:rPr>
          <w:sz w:val="20"/>
          <w:szCs w:val="20"/>
          <w:color w:val="auto"/>
        </w:rPr>
      </w:pPr>
      <w:r>
        <w:rPr>
          <w:rFonts w:ascii="Times New Roman" w:cs="Times New Roman" w:eastAsia="Times New Roman" w:hAnsi="Times New Roman"/>
          <w:sz w:val="20"/>
          <w:szCs w:val="20"/>
          <w:color w:val="auto"/>
        </w:rPr>
        <w:t xml:space="preserve">Lenders may amend, waive or otherwise modify this </w:t>
      </w:r>
      <w:r>
        <w:rPr>
          <w:rFonts w:ascii="Times New Roman" w:cs="Times New Roman" w:eastAsia="Times New Roman" w:hAnsi="Times New Roman"/>
          <w:sz w:val="20"/>
          <w:szCs w:val="20"/>
          <w:u w:val="single" w:color="auto"/>
          <w:color w:val="auto"/>
        </w:rPr>
        <w:t>Section 9.13</w:t>
      </w:r>
      <w:r>
        <w:rPr>
          <w:rFonts w:ascii="Times New Roman" w:cs="Times New Roman" w:eastAsia="Times New Roman" w:hAnsi="Times New Roman"/>
          <w:sz w:val="20"/>
          <w:szCs w:val="20"/>
          <w:color w:val="auto"/>
        </w:rPr>
        <w:t xml:space="preserve"> or the defined terms used for purposes of this </w:t>
      </w:r>
      <w:r>
        <w:rPr>
          <w:rFonts w:ascii="Times New Roman" w:cs="Times New Roman" w:eastAsia="Times New Roman" w:hAnsi="Times New Roman"/>
          <w:sz w:val="20"/>
          <w:szCs w:val="20"/>
          <w:u w:val="single" w:color="auto"/>
          <w:color w:val="auto"/>
        </w:rPr>
        <w:t>Section 9.13</w:t>
      </w:r>
      <w:r>
        <w:rPr>
          <w:rFonts w:ascii="Times New Roman" w:cs="Times New Roman" w:eastAsia="Times New Roman" w:hAnsi="Times New Roman"/>
          <w:sz w:val="20"/>
          <w:szCs w:val="20"/>
          <w:color w:val="auto"/>
        </w:rPr>
        <w:t xml:space="preserve"> or waive any Default or Event of Default resulting from a breach of this </w:t>
      </w:r>
      <w:r>
        <w:rPr>
          <w:rFonts w:ascii="Times New Roman" w:cs="Times New Roman" w:eastAsia="Times New Roman" w:hAnsi="Times New Roman"/>
          <w:sz w:val="20"/>
          <w:szCs w:val="20"/>
          <w:u w:val="single" w:color="auto"/>
          <w:color w:val="auto"/>
        </w:rPr>
        <w:t>Section 9.13</w:t>
      </w:r>
      <w:r>
        <w:rPr>
          <w:rFonts w:ascii="Times New Roman" w:cs="Times New Roman" w:eastAsia="Times New Roman" w:hAnsi="Times New Roman"/>
          <w:sz w:val="20"/>
          <w:szCs w:val="20"/>
          <w:color w:val="auto"/>
        </w:rPr>
        <w:t xml:space="preserve"> in accordance with the provisions of </w:t>
      </w:r>
      <w:r>
        <w:rPr>
          <w:rFonts w:ascii="Times New Roman" w:cs="Times New Roman" w:eastAsia="Times New Roman" w:hAnsi="Times New Roman"/>
          <w:sz w:val="20"/>
          <w:szCs w:val="20"/>
          <w:u w:val="single" w:color="auto"/>
          <w:color w:val="auto"/>
        </w:rPr>
        <w:t>Section 12.2</w:t>
      </w:r>
      <w:r>
        <w:rPr>
          <w:rFonts w:ascii="Times New Roman" w:cs="Times New Roman" w:eastAsia="Times New Roman" w:hAnsi="Times New Roman"/>
          <w:sz w:val="20"/>
          <w:szCs w:val="20"/>
          <w:color w:val="auto"/>
        </w:rPr>
        <w:t>.</w:t>
      </w:r>
    </w:p>
    <w:p>
      <w:pPr>
        <w:spacing w:after="0" w:line="256" w:lineRule="exact"/>
        <w:rPr>
          <w:sz w:val="20"/>
          <w:szCs w:val="20"/>
          <w:color w:val="auto"/>
        </w:rPr>
      </w:pPr>
    </w:p>
    <w:p>
      <w:pPr>
        <w:ind w:left="700"/>
        <w:spacing w:after="0"/>
        <w:tabs>
          <w:tab w:leader="none" w:pos="2120" w:val="left"/>
        </w:tabs>
        <w:rPr>
          <w:sz w:val="20"/>
          <w:szCs w:val="20"/>
          <w:color w:val="auto"/>
        </w:rPr>
      </w:pPr>
      <w:r>
        <w:rPr>
          <w:rFonts w:ascii="Times New Roman" w:cs="Times New Roman" w:eastAsia="Times New Roman" w:hAnsi="Times New Roman"/>
          <w:sz w:val="20"/>
          <w:szCs w:val="20"/>
          <w:color w:val="auto"/>
        </w:rPr>
        <w:t>SECTION 9.14</w:t>
      </w:r>
      <w:r>
        <w:rPr>
          <w:sz w:val="20"/>
          <w:szCs w:val="20"/>
          <w:color w:val="auto"/>
        </w:rPr>
        <w:tab/>
      </w:r>
      <w:r>
        <w:rPr>
          <w:rFonts w:ascii="Times New Roman" w:cs="Times New Roman" w:eastAsia="Times New Roman" w:hAnsi="Times New Roman"/>
          <w:sz w:val="19"/>
          <w:szCs w:val="19"/>
          <w:u w:val="single" w:color="auto"/>
          <w:color w:val="auto"/>
        </w:rPr>
        <w:t>Disposal of Subsidiary Interests</w:t>
      </w:r>
    </w:p>
    <w:p>
      <w:pPr>
        <w:spacing w:after="0" w:line="283" w:lineRule="exact"/>
        <w:rPr>
          <w:sz w:val="20"/>
          <w:szCs w:val="20"/>
          <w:color w:val="auto"/>
        </w:rPr>
      </w:pPr>
    </w:p>
    <w:p>
      <w:pPr>
        <w:jc w:val="both"/>
        <w:ind w:left="60" w:right="20" w:hanging="2"/>
        <w:spacing w:after="0" w:line="226" w:lineRule="auto"/>
        <w:tabs>
          <w:tab w:leader="none" w:pos="159" w:val="left"/>
        </w:tabs>
        <w:numPr>
          <w:ilvl w:val="0"/>
          <w:numId w:val="3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Permit any US Subsidiary existing as of the date hereof to be a non-Wholly-Owned Subsidiary except as a result of or in connection with a dissolution, merger, amalgamation, consolidation or disposition permitted by </w:t>
      </w:r>
      <w:r>
        <w:rPr>
          <w:rFonts w:ascii="Times New Roman" w:cs="Times New Roman" w:eastAsia="Times New Roman" w:hAnsi="Times New Roman"/>
          <w:sz w:val="20"/>
          <w:szCs w:val="20"/>
          <w:u w:val="single" w:color="auto"/>
          <w:color w:val="auto"/>
        </w:rPr>
        <w:t>Section 9.4</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9.5</w:t>
      </w:r>
      <w:r>
        <w:rPr>
          <w:rFonts w:ascii="Times New Roman" w:cs="Times New Roman" w:eastAsia="Times New Roman" w:hAnsi="Times New Roman"/>
          <w:sz w:val="20"/>
          <w:szCs w:val="20"/>
          <w:color w:val="auto"/>
        </w:rPr>
        <w:t>, except in connection with the grant of the Permitted Drum Equity to officers, directors or employees.</w:t>
      </w:r>
    </w:p>
    <w:p>
      <w:pPr>
        <w:spacing w:after="0" w:line="336"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0"/>
          <w:szCs w:val="20"/>
          <w:color w:val="auto"/>
        </w:rPr>
        <w:t>ARTICLE X DEFAULT AND REMEDIES</w:t>
      </w:r>
    </w:p>
    <w:p>
      <w:pPr>
        <w:spacing w:after="0" w:line="108" w:lineRule="exact"/>
        <w:rPr>
          <w:sz w:val="20"/>
          <w:szCs w:val="20"/>
          <w:color w:val="auto"/>
        </w:rPr>
      </w:pPr>
    </w:p>
    <w:p>
      <w:pPr>
        <w:ind w:left="700"/>
        <w:spacing w:after="0"/>
        <w:tabs>
          <w:tab w:leader="none" w:pos="2120" w:val="left"/>
        </w:tabs>
        <w:rPr>
          <w:sz w:val="20"/>
          <w:szCs w:val="20"/>
          <w:color w:val="auto"/>
        </w:rPr>
      </w:pPr>
      <w:r>
        <w:rPr>
          <w:rFonts w:ascii="Times New Roman" w:cs="Times New Roman" w:eastAsia="Times New Roman" w:hAnsi="Times New Roman"/>
          <w:sz w:val="20"/>
          <w:szCs w:val="20"/>
          <w:color w:val="auto"/>
        </w:rPr>
        <w:t>SECTION 10.1</w:t>
      </w:r>
      <w:r>
        <w:rPr>
          <w:sz w:val="20"/>
          <w:szCs w:val="20"/>
          <w:color w:val="auto"/>
        </w:rPr>
        <w:tab/>
      </w:r>
      <w:r>
        <w:rPr>
          <w:rFonts w:ascii="Times New Roman" w:cs="Times New Roman" w:eastAsia="Times New Roman" w:hAnsi="Times New Roman"/>
          <w:sz w:val="19"/>
          <w:szCs w:val="19"/>
          <w:u w:val="single" w:color="auto"/>
          <w:color w:val="auto"/>
        </w:rPr>
        <w:t>Events of Default</w:t>
      </w:r>
    </w:p>
    <w:p>
      <w:pPr>
        <w:spacing w:after="0" w:line="2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 Each of the following shall constitute an Event of Default: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FF0000"/>
          <w:strike w:val="1"/>
        </w:rPr>
        <w:t>146960219_6</w:t>
      </w:r>
    </w:p>
    <w:p>
      <w:pPr>
        <w:spacing w:after="0"/>
        <w:rPr>
          <w:sz w:val="20"/>
          <w:szCs w:val="20"/>
          <w:color w:val="auto"/>
        </w:rPr>
      </w:pPr>
      <w:r>
        <w:rPr>
          <w:rFonts w:ascii="Times New Roman" w:cs="Times New Roman" w:eastAsia="Times New Roman" w:hAnsi="Times New Roman"/>
          <w:sz w:val="20"/>
          <w:szCs w:val="20"/>
          <w:color w:val="auto"/>
        </w:rPr>
        <w:t xml:space="preserve">140  </w:t>
      </w: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100"/>
          </w:cols>
          <w:pgMar w:left="360" w:top="1440" w:right="439" w:bottom="1440" w:gutter="0" w:footer="0" w:header="0"/>
        </w:sectPr>
      </w:pPr>
    </w:p>
    <w:bookmarkStart w:id="224" w:name="page225"/>
    <w:bookmarkEnd w:id="224"/>
    <w:p>
      <w:pPr>
        <w:ind w:left="60" w:right="20" w:firstLine="648"/>
        <w:spacing w:after="0" w:line="269" w:lineRule="auto"/>
        <w:rPr>
          <w:sz w:val="20"/>
          <w:szCs w:val="20"/>
          <w:color w:val="auto"/>
        </w:rPr>
      </w:pPr>
      <w:r>
        <w:rPr>
          <w:rFonts w:ascii="Times New Roman" w:cs="Times New Roman" w:eastAsia="Times New Roman" w:hAnsi="Times New Roman"/>
          <w:sz w:val="20"/>
          <w:szCs w:val="20"/>
          <w:color w:val="auto"/>
        </w:rPr>
        <w:t xml:space="preserve">(an) </w:t>
      </w:r>
      <w:r>
        <w:rPr>
          <w:rFonts w:ascii="Times New Roman" w:cs="Times New Roman" w:eastAsia="Times New Roman" w:hAnsi="Times New Roman"/>
          <w:sz w:val="20"/>
          <w:szCs w:val="20"/>
          <w:u w:val="single" w:color="auto"/>
          <w:color w:val="auto"/>
        </w:rPr>
        <w:t>Default in Payment of Principal of Loans and Reimbursement Obligations</w:t>
      </w:r>
      <w:r>
        <w:rPr>
          <w:rFonts w:ascii="Times New Roman" w:cs="Times New Roman" w:eastAsia="Times New Roman" w:hAnsi="Times New Roman"/>
          <w:sz w:val="20"/>
          <w:szCs w:val="20"/>
          <w:color w:val="auto"/>
        </w:rPr>
        <w:t>. Any Borrower shall default in any payment of principal of any Loan or Reimbursement Obligation when and as due (whether at maturity, by reason of acceleration or otherwise).</w:t>
      </w:r>
    </w:p>
    <w:p>
      <w:pPr>
        <w:spacing w:after="0" w:line="173" w:lineRule="exact"/>
        <w:rPr>
          <w:sz w:val="20"/>
          <w:szCs w:val="20"/>
          <w:color w:val="auto"/>
        </w:rPr>
      </w:pPr>
    </w:p>
    <w:p>
      <w:pPr>
        <w:jc w:val="both"/>
        <w:ind w:left="60" w:firstLine="648"/>
        <w:spacing w:after="0" w:line="230" w:lineRule="auto"/>
        <w:rPr>
          <w:sz w:val="20"/>
          <w:szCs w:val="20"/>
          <w:color w:val="auto"/>
        </w:rPr>
      </w:pPr>
      <w:r>
        <w:rPr>
          <w:rFonts w:ascii="Times New Roman" w:cs="Times New Roman" w:eastAsia="Times New Roman" w:hAnsi="Times New Roman"/>
          <w:sz w:val="20"/>
          <w:szCs w:val="20"/>
          <w:color w:val="auto"/>
        </w:rPr>
        <w:t xml:space="preserve">(ao) </w:t>
      </w:r>
      <w:r>
        <w:rPr>
          <w:rFonts w:ascii="Times New Roman" w:cs="Times New Roman" w:eastAsia="Times New Roman" w:hAnsi="Times New Roman"/>
          <w:sz w:val="20"/>
          <w:szCs w:val="20"/>
          <w:u w:val="single" w:color="auto"/>
          <w:color w:val="auto"/>
        </w:rPr>
        <w:t>Other Payment Default</w:t>
      </w:r>
      <w:r>
        <w:rPr>
          <w:rFonts w:ascii="Times New Roman" w:cs="Times New Roman" w:eastAsia="Times New Roman" w:hAnsi="Times New Roman"/>
          <w:sz w:val="20"/>
          <w:szCs w:val="20"/>
          <w:color w:val="auto"/>
        </w:rPr>
        <w:t>. Any Borrower shall default in the payment when and as due (whether at maturity, by reason of acceleration or otherwise) of interest on any Loan or Reimbursement Obligation or the payment of any other Obligation, and such default shall continue for a period of three (3) Business Days.</w:t>
      </w:r>
    </w:p>
    <w:p>
      <w:pPr>
        <w:spacing w:after="0" w:line="189" w:lineRule="exact"/>
        <w:rPr>
          <w:sz w:val="20"/>
          <w:szCs w:val="20"/>
          <w:color w:val="auto"/>
        </w:rPr>
      </w:pPr>
    </w:p>
    <w:p>
      <w:pPr>
        <w:ind w:left="700"/>
        <w:spacing w:after="0"/>
        <w:tabs>
          <w:tab w:leader="none" w:pos="1220" w:val="left"/>
        </w:tabs>
        <w:rPr>
          <w:sz w:val="20"/>
          <w:szCs w:val="20"/>
          <w:color w:val="auto"/>
        </w:rPr>
      </w:pPr>
      <w:r>
        <w:rPr>
          <w:rFonts w:ascii="Times New Roman" w:cs="Times New Roman" w:eastAsia="Times New Roman" w:hAnsi="Times New Roman"/>
          <w:sz w:val="19"/>
          <w:szCs w:val="19"/>
          <w:color w:val="auto"/>
        </w:rPr>
        <w:t>(ap)</w:t>
      </w:r>
      <w:r>
        <w:rPr>
          <w:sz w:val="20"/>
          <w:szCs w:val="20"/>
          <w:color w:val="auto"/>
        </w:rPr>
        <w:tab/>
      </w:r>
      <w:r>
        <w:rPr>
          <w:rFonts w:ascii="Times New Roman" w:cs="Times New Roman" w:eastAsia="Times New Roman" w:hAnsi="Times New Roman"/>
          <w:sz w:val="19"/>
          <w:szCs w:val="19"/>
          <w:u w:val="single" w:color="auto"/>
          <w:color w:val="auto"/>
        </w:rPr>
        <w:t>Misrepresentation</w:t>
      </w:r>
      <w:r>
        <w:rPr>
          <w:rFonts w:ascii="Times New Roman" w:cs="Times New Roman" w:eastAsia="Times New Roman" w:hAnsi="Times New Roman"/>
          <w:sz w:val="19"/>
          <w:szCs w:val="19"/>
          <w:color w:val="auto"/>
        </w:rPr>
        <w:t>. Any representation, warranty, certification or statement of fact made or deemed made by or on behalf of</w:t>
      </w:r>
    </w:p>
    <w:p>
      <w:pPr>
        <w:spacing w:after="0" w:line="6" w:lineRule="exact"/>
        <w:rPr>
          <w:sz w:val="20"/>
          <w:szCs w:val="20"/>
          <w:color w:val="auto"/>
        </w:rPr>
      </w:pPr>
    </w:p>
    <w:p>
      <w:pPr>
        <w:jc w:val="both"/>
        <w:ind w:left="60"/>
        <w:spacing w:after="0" w:line="215" w:lineRule="auto"/>
        <w:rPr>
          <w:sz w:val="20"/>
          <w:szCs w:val="20"/>
          <w:color w:val="auto"/>
        </w:rPr>
      </w:pPr>
      <w:r>
        <w:rPr>
          <w:rFonts w:ascii="Times New Roman" w:cs="Times New Roman" w:eastAsia="Times New Roman" w:hAnsi="Times New Roman"/>
          <w:sz w:val="19"/>
          <w:szCs w:val="19"/>
          <w:color w:val="auto"/>
        </w:rPr>
        <w:t>any Credit Party or any Subsidiary thereof in this Agreement, in any other Loan Document, or in any document delivered in connection herewith or therewith that is subject to materiality or Material Adverse Effect qualifications, shall be incorrect or misleading in any respect</w:t>
      </w:r>
    </w:p>
    <w:p>
      <w:pPr>
        <w:ind w:left="60"/>
        <w:spacing w:after="0" w:line="211" w:lineRule="auto"/>
        <w:rPr>
          <w:sz w:val="20"/>
          <w:szCs w:val="20"/>
          <w:color w:val="auto"/>
        </w:rPr>
      </w:pPr>
      <w:r>
        <w:rPr>
          <w:rFonts w:ascii="Times New Roman" w:cs="Times New Roman" w:eastAsia="Times New Roman" w:hAnsi="Times New Roman"/>
          <w:sz w:val="20"/>
          <w:szCs w:val="20"/>
          <w:color w:val="auto"/>
        </w:rPr>
        <w:t>when made or deemed made or any representation, warranty, certification or statement of fact made or deemed made by or on behalf of</w:t>
      </w:r>
    </w:p>
    <w:p>
      <w:pPr>
        <w:jc w:val="both"/>
        <w:ind w:left="60"/>
        <w:spacing w:after="0" w:line="204" w:lineRule="auto"/>
        <w:rPr>
          <w:sz w:val="20"/>
          <w:szCs w:val="20"/>
          <w:color w:val="auto"/>
        </w:rPr>
      </w:pPr>
      <w:r>
        <w:rPr>
          <w:rFonts w:ascii="Times New Roman" w:cs="Times New Roman" w:eastAsia="Times New Roman" w:hAnsi="Times New Roman"/>
          <w:sz w:val="20"/>
          <w:szCs w:val="20"/>
          <w:color w:val="auto"/>
        </w:rPr>
        <w:t>any Credit Party or any Subsidiary thereof in this Agreement, any other Loan Document, or in any document delivered in connection herewith or therewith that is not subject to materiality or Material Adverse Effect qualifications, shall be incorrect or misleading in any</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material respect when made or deemed made.</w:t>
      </w:r>
    </w:p>
    <w:p>
      <w:pPr>
        <w:spacing w:after="0" w:line="188" w:lineRule="exact"/>
        <w:rPr>
          <w:sz w:val="20"/>
          <w:szCs w:val="20"/>
          <w:color w:val="auto"/>
        </w:rPr>
      </w:pPr>
    </w:p>
    <w:p>
      <w:pPr>
        <w:ind w:left="700"/>
        <w:spacing w:after="0"/>
        <w:tabs>
          <w:tab w:leader="none" w:pos="1220" w:val="left"/>
        </w:tabs>
        <w:rPr>
          <w:sz w:val="20"/>
          <w:szCs w:val="20"/>
          <w:color w:val="auto"/>
        </w:rPr>
      </w:pPr>
      <w:r>
        <w:rPr>
          <w:rFonts w:ascii="Times New Roman" w:cs="Times New Roman" w:eastAsia="Times New Roman" w:hAnsi="Times New Roman"/>
          <w:sz w:val="20"/>
          <w:szCs w:val="20"/>
          <w:color w:val="auto"/>
        </w:rPr>
        <w:t>(aq)</w:t>
      </w:r>
      <w:r>
        <w:rPr>
          <w:sz w:val="20"/>
          <w:szCs w:val="20"/>
          <w:color w:val="auto"/>
        </w:rPr>
        <w:tab/>
      </w:r>
      <w:r>
        <w:rPr>
          <w:rFonts w:ascii="Times New Roman" w:cs="Times New Roman" w:eastAsia="Times New Roman" w:hAnsi="Times New Roman"/>
          <w:sz w:val="20"/>
          <w:szCs w:val="20"/>
          <w:u w:val="single" w:color="auto"/>
          <w:color w:val="auto"/>
        </w:rPr>
        <w:t>Default in Performance of Certain Covenants</w:t>
      </w:r>
      <w:r>
        <w:rPr>
          <w:rFonts w:ascii="Times New Roman" w:cs="Times New Roman" w:eastAsia="Times New Roman" w:hAnsi="Times New Roman"/>
          <w:sz w:val="20"/>
          <w:szCs w:val="20"/>
          <w:color w:val="auto"/>
        </w:rPr>
        <w:t>. Any Credit Party or any Subsidiary thereof shall default in the performance</w:t>
      </w:r>
    </w:p>
    <w:p>
      <w:pPr>
        <w:jc w:val="both"/>
        <w:ind w:left="60"/>
        <w:spacing w:after="0" w:line="215" w:lineRule="auto"/>
        <w:rPr>
          <w:sz w:val="20"/>
          <w:szCs w:val="20"/>
          <w:color w:val="auto"/>
        </w:rPr>
      </w:pPr>
      <w:r>
        <w:rPr>
          <w:rFonts w:ascii="Times New Roman" w:cs="Times New Roman" w:eastAsia="Times New Roman" w:hAnsi="Times New Roman"/>
          <w:sz w:val="19"/>
          <w:szCs w:val="19"/>
          <w:color w:val="auto"/>
        </w:rPr>
        <w:t xml:space="preserve">or observance of any covenant or agreement contained in </w:t>
      </w:r>
      <w:r>
        <w:rPr>
          <w:rFonts w:ascii="Times New Roman" w:cs="Times New Roman" w:eastAsia="Times New Roman" w:hAnsi="Times New Roman"/>
          <w:sz w:val="19"/>
          <w:szCs w:val="19"/>
          <w:u w:val="single" w:color="auto"/>
          <w:color w:val="auto"/>
        </w:rPr>
        <w:t>Sections 8.1(a)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8.2(a)</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8.3</w:t>
      </w:r>
      <w:r>
        <w:rPr>
          <w:rFonts w:ascii="Times New Roman" w:cs="Times New Roman" w:eastAsia="Times New Roman" w:hAnsi="Times New Roman"/>
          <w:sz w:val="19"/>
          <w:szCs w:val="19"/>
          <w:color w:val="auto"/>
        </w:rPr>
        <w:t xml:space="preserve">(a), </w:t>
      </w:r>
      <w:r>
        <w:rPr>
          <w:rFonts w:ascii="Times New Roman" w:cs="Times New Roman" w:eastAsia="Times New Roman" w:hAnsi="Times New Roman"/>
          <w:sz w:val="19"/>
          <w:szCs w:val="19"/>
          <w:u w:val="single" w:color="auto"/>
          <w:color w:val="auto"/>
        </w:rPr>
        <w:t>8.4</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8.13</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8.15</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8.16</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8.17</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8.18</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8.19</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Article IX</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 breach of the financial covenants set forth in </w:t>
      </w:r>
      <w:r>
        <w:rPr>
          <w:rFonts w:ascii="Times New Roman" w:cs="Times New Roman" w:eastAsia="Times New Roman" w:hAnsi="Times New Roman"/>
          <w:sz w:val="19"/>
          <w:szCs w:val="19"/>
          <w:u w:val="single" w:color="auto"/>
          <w:color w:val="auto"/>
        </w:rPr>
        <w:t>Section 9.13</w:t>
      </w:r>
      <w:r>
        <w:rPr>
          <w:rFonts w:ascii="Times New Roman" w:cs="Times New Roman" w:eastAsia="Times New Roman" w:hAnsi="Times New Roman"/>
          <w:sz w:val="19"/>
          <w:szCs w:val="19"/>
          <w:color w:val="auto"/>
        </w:rPr>
        <w:t xml:space="preserve"> shall not constitute an Event of Default with</w:t>
      </w:r>
    </w:p>
    <w:p>
      <w:pPr>
        <w:ind w:left="60"/>
        <w:spacing w:after="0" w:line="211" w:lineRule="auto"/>
        <w:rPr>
          <w:sz w:val="20"/>
          <w:szCs w:val="20"/>
          <w:color w:val="auto"/>
        </w:rPr>
      </w:pPr>
      <w:r>
        <w:rPr>
          <w:rFonts w:ascii="Times New Roman" w:cs="Times New Roman" w:eastAsia="Times New Roman" w:hAnsi="Times New Roman"/>
          <w:sz w:val="20"/>
          <w:szCs w:val="20"/>
          <w:color w:val="auto"/>
        </w:rPr>
        <w:t>respect to any Term Loans, and the Term Loan Lenders shall not be permitted to exercise any remedies with respect to a breach of the</w:t>
      </w:r>
    </w:p>
    <w:p>
      <w:pPr>
        <w:jc w:val="both"/>
        <w:ind w:left="60"/>
        <w:spacing w:after="0" w:line="204" w:lineRule="auto"/>
        <w:rPr>
          <w:sz w:val="20"/>
          <w:szCs w:val="20"/>
          <w:color w:val="auto"/>
        </w:rPr>
      </w:pPr>
      <w:r>
        <w:rPr>
          <w:rFonts w:ascii="Times New Roman" w:cs="Times New Roman" w:eastAsia="Times New Roman" w:hAnsi="Times New Roman"/>
          <w:sz w:val="20"/>
          <w:szCs w:val="20"/>
          <w:color w:val="auto"/>
        </w:rPr>
        <w:t xml:space="preserve">financial covenants set forth in </w:t>
      </w:r>
      <w:r>
        <w:rPr>
          <w:rFonts w:ascii="Times New Roman" w:cs="Times New Roman" w:eastAsia="Times New Roman" w:hAnsi="Times New Roman"/>
          <w:sz w:val="20"/>
          <w:szCs w:val="20"/>
          <w:u w:val="single" w:color="auto"/>
          <w:color w:val="auto"/>
        </w:rPr>
        <w:t>Section 9.13</w:t>
      </w:r>
      <w:r>
        <w:rPr>
          <w:rFonts w:ascii="Times New Roman" w:cs="Times New Roman" w:eastAsia="Times New Roman" w:hAnsi="Times New Roman"/>
          <w:sz w:val="20"/>
          <w:szCs w:val="20"/>
          <w:color w:val="auto"/>
        </w:rPr>
        <w:t>, unless and until the Required Revolving Credit Lenders have declared all amounts outstanding under the Revolving Credit Facility to be due and payable and all outstanding Revolving Credit Commitments to be</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terminated, in each case in accordance with this Agreement and such declaration has not been rescinded.</w:t>
      </w:r>
    </w:p>
    <w:p>
      <w:pPr>
        <w:spacing w:after="0" w:line="188" w:lineRule="exact"/>
        <w:rPr>
          <w:sz w:val="20"/>
          <w:szCs w:val="20"/>
          <w:color w:val="auto"/>
        </w:rPr>
      </w:pPr>
    </w:p>
    <w:p>
      <w:pPr>
        <w:ind w:left="700"/>
        <w:spacing w:after="0"/>
        <w:tabs>
          <w:tab w:leader="none" w:pos="1220" w:val="left"/>
        </w:tabs>
        <w:rPr>
          <w:sz w:val="20"/>
          <w:szCs w:val="20"/>
          <w:color w:val="auto"/>
        </w:rPr>
      </w:pPr>
      <w:r>
        <w:rPr>
          <w:rFonts w:ascii="Times New Roman" w:cs="Times New Roman" w:eastAsia="Times New Roman" w:hAnsi="Times New Roman"/>
          <w:sz w:val="20"/>
          <w:szCs w:val="20"/>
          <w:color w:val="auto"/>
        </w:rPr>
        <w:t>(ar)</w:t>
      </w:r>
      <w:r>
        <w:rPr>
          <w:sz w:val="20"/>
          <w:szCs w:val="20"/>
          <w:color w:val="auto"/>
        </w:rPr>
        <w:tab/>
      </w:r>
      <w:r>
        <w:rPr>
          <w:rFonts w:ascii="Times New Roman" w:cs="Times New Roman" w:eastAsia="Times New Roman" w:hAnsi="Times New Roman"/>
          <w:sz w:val="20"/>
          <w:szCs w:val="20"/>
          <w:u w:val="single" w:color="auto"/>
          <w:color w:val="auto"/>
        </w:rPr>
        <w:t>Default in Performance of Other Covenants and Conditions</w:t>
      </w:r>
      <w:r>
        <w:rPr>
          <w:rFonts w:ascii="Times New Roman" w:cs="Times New Roman" w:eastAsia="Times New Roman" w:hAnsi="Times New Roman"/>
          <w:sz w:val="20"/>
          <w:szCs w:val="20"/>
          <w:color w:val="auto"/>
        </w:rPr>
        <w:t>. Any Credit Party or any Subsidiary thereof shall default in the</w:t>
      </w:r>
    </w:p>
    <w:p>
      <w:pPr>
        <w:jc w:val="both"/>
        <w:ind w:left="60"/>
        <w:spacing w:after="0" w:line="215" w:lineRule="auto"/>
        <w:rPr>
          <w:sz w:val="20"/>
          <w:szCs w:val="20"/>
          <w:color w:val="auto"/>
        </w:rPr>
      </w:pPr>
      <w:r>
        <w:rPr>
          <w:rFonts w:ascii="Times New Roman" w:cs="Times New Roman" w:eastAsia="Times New Roman" w:hAnsi="Times New Roman"/>
          <w:sz w:val="19"/>
          <w:szCs w:val="19"/>
          <w:color w:val="auto"/>
        </w:rPr>
        <w:t xml:space="preserve">performance or observance of any term, covenant, condition or agreement contained in this Agreement (other than as specifically provided for in </w:t>
      </w:r>
      <w:r>
        <w:rPr>
          <w:rFonts w:ascii="Times New Roman" w:cs="Times New Roman" w:eastAsia="Times New Roman" w:hAnsi="Times New Roman"/>
          <w:sz w:val="19"/>
          <w:szCs w:val="19"/>
          <w:u w:val="single" w:color="auto"/>
          <w:color w:val="auto"/>
        </w:rPr>
        <w:t>Section 10.1(a)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(c)</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(d)</w:t>
      </w:r>
      <w:r>
        <w:rPr>
          <w:rFonts w:ascii="Times New Roman" w:cs="Times New Roman" w:eastAsia="Times New Roman" w:hAnsi="Times New Roman"/>
          <w:sz w:val="19"/>
          <w:szCs w:val="19"/>
          <w:color w:val="auto"/>
        </w:rPr>
        <w:t>) or any other Loan Document and such default shall continue for a period of thirty (30) days after the</w:t>
      </w:r>
    </w:p>
    <w:p>
      <w:pPr>
        <w:jc w:val="both"/>
        <w:ind w:left="60"/>
        <w:spacing w:after="0" w:line="228" w:lineRule="auto"/>
        <w:rPr>
          <w:sz w:val="20"/>
          <w:szCs w:val="20"/>
          <w:color w:val="auto"/>
        </w:rPr>
      </w:pPr>
      <w:r>
        <w:rPr>
          <w:rFonts w:ascii="Times New Roman" w:cs="Times New Roman" w:eastAsia="Times New Roman" w:hAnsi="Times New Roman"/>
          <w:sz w:val="20"/>
          <w:szCs w:val="20"/>
          <w:color w:val="auto"/>
        </w:rPr>
        <w:t>earlier of (i) the Administrative Agent’s delivery of written notice thereof to Centuri and (ii) a Responsible Officer of any Credit Party having obtained knowledge thereof.</w:t>
      </w:r>
    </w:p>
    <w:p>
      <w:pPr>
        <w:spacing w:after="0" w:line="189" w:lineRule="exact"/>
        <w:rPr>
          <w:sz w:val="20"/>
          <w:szCs w:val="20"/>
          <w:color w:val="auto"/>
        </w:rPr>
      </w:pPr>
    </w:p>
    <w:p>
      <w:pPr>
        <w:ind w:left="700"/>
        <w:spacing w:after="0"/>
        <w:tabs>
          <w:tab w:leader="none" w:pos="1220" w:val="left"/>
        </w:tabs>
        <w:rPr>
          <w:sz w:val="20"/>
          <w:szCs w:val="20"/>
          <w:color w:val="auto"/>
        </w:rPr>
      </w:pPr>
      <w:r>
        <w:rPr>
          <w:rFonts w:ascii="Times New Roman" w:cs="Times New Roman" w:eastAsia="Times New Roman" w:hAnsi="Times New Roman"/>
          <w:sz w:val="19"/>
          <w:szCs w:val="19"/>
          <w:color w:val="auto"/>
        </w:rPr>
        <w:t>(as)</w:t>
      </w:r>
      <w:r>
        <w:rPr>
          <w:sz w:val="20"/>
          <w:szCs w:val="20"/>
          <w:color w:val="auto"/>
        </w:rPr>
        <w:tab/>
      </w:r>
      <w:r>
        <w:rPr>
          <w:rFonts w:ascii="Times New Roman" w:cs="Times New Roman" w:eastAsia="Times New Roman" w:hAnsi="Times New Roman"/>
          <w:sz w:val="19"/>
          <w:szCs w:val="19"/>
          <w:u w:val="single" w:color="auto"/>
          <w:color w:val="auto"/>
        </w:rPr>
        <w:t>Indebtedness Cross-Default</w:t>
      </w:r>
      <w:r>
        <w:rPr>
          <w:rFonts w:ascii="Times New Roman" w:cs="Times New Roman" w:eastAsia="Times New Roman" w:hAnsi="Times New Roman"/>
          <w:sz w:val="19"/>
          <w:szCs w:val="19"/>
          <w:color w:val="auto"/>
        </w:rPr>
        <w:t>. Any Credit Party or any Subsidiary thereof shall (i) default in the payment of any Indebtedness</w:t>
      </w:r>
    </w:p>
    <w:p>
      <w:pPr>
        <w:spacing w:after="0" w:line="6" w:lineRule="exact"/>
        <w:rPr>
          <w:sz w:val="20"/>
          <w:szCs w:val="20"/>
          <w:color w:val="auto"/>
        </w:rPr>
      </w:pPr>
    </w:p>
    <w:p>
      <w:pPr>
        <w:jc w:val="both"/>
        <w:ind w:left="60"/>
        <w:spacing w:after="0" w:line="204" w:lineRule="auto"/>
        <w:rPr>
          <w:sz w:val="20"/>
          <w:szCs w:val="20"/>
          <w:color w:val="auto"/>
        </w:rPr>
      </w:pPr>
      <w:r>
        <w:rPr>
          <w:rFonts w:ascii="Times New Roman" w:cs="Times New Roman" w:eastAsia="Times New Roman" w:hAnsi="Times New Roman"/>
          <w:sz w:val="20"/>
          <w:szCs w:val="20"/>
          <w:color w:val="auto"/>
        </w:rPr>
        <w:t>(other than the Loans or any Reimbursement Obligation) the aggregate outstanding principal amount, or with respect to any Hedge Agreement, the Hedge Termination Value, of which is in excess of the Threshold Amount beyond the period of grace if any, provided in</w:t>
      </w:r>
    </w:p>
    <w:p>
      <w:pPr>
        <w:ind w:left="60"/>
        <w:spacing w:after="0" w:line="211" w:lineRule="auto"/>
        <w:rPr>
          <w:sz w:val="20"/>
          <w:szCs w:val="20"/>
          <w:color w:val="auto"/>
        </w:rPr>
      </w:pPr>
      <w:r>
        <w:rPr>
          <w:rFonts w:ascii="Times New Roman" w:cs="Times New Roman" w:eastAsia="Times New Roman" w:hAnsi="Times New Roman"/>
          <w:sz w:val="20"/>
          <w:szCs w:val="20"/>
          <w:color w:val="auto"/>
        </w:rPr>
        <w:t>the instrument or agreement under which such Indebtedness was created, or (ii) default in the observance or performance of any other</w:t>
      </w:r>
    </w:p>
    <w:p>
      <w:pPr>
        <w:spacing w:after="0" w:line="1" w:lineRule="exact"/>
        <w:rPr>
          <w:sz w:val="20"/>
          <w:szCs w:val="20"/>
          <w:color w:val="auto"/>
        </w:rPr>
      </w:pPr>
    </w:p>
    <w:p>
      <w:pPr>
        <w:jc w:val="both"/>
        <w:ind w:left="60" w:right="20"/>
        <w:spacing w:after="0" w:line="215" w:lineRule="auto"/>
        <w:rPr>
          <w:sz w:val="20"/>
          <w:szCs w:val="20"/>
          <w:color w:val="auto"/>
        </w:rPr>
      </w:pPr>
      <w:r>
        <w:rPr>
          <w:rFonts w:ascii="Times New Roman" w:cs="Times New Roman" w:eastAsia="Times New Roman" w:hAnsi="Times New Roman"/>
          <w:sz w:val="19"/>
          <w:szCs w:val="19"/>
          <w:color w:val="auto"/>
        </w:rPr>
        <w:t>agreement or condition relating to any Indebtedness (other than the Loans or any Reimbursement Obligation) the aggregate outstanding principal amount, or with respect to any Hedge Agreement, the Hedge Termination Value, of which is in excess of the Threshold Amount</w:t>
      </w:r>
    </w:p>
    <w:p>
      <w:pPr>
        <w:ind w:left="60"/>
        <w:spacing w:after="0" w:line="211" w:lineRule="auto"/>
        <w:rPr>
          <w:sz w:val="20"/>
          <w:szCs w:val="20"/>
          <w:color w:val="auto"/>
        </w:rPr>
      </w:pPr>
      <w:r>
        <w:rPr>
          <w:rFonts w:ascii="Times New Roman" w:cs="Times New Roman" w:eastAsia="Times New Roman" w:hAnsi="Times New Roman"/>
          <w:sz w:val="20"/>
          <w:szCs w:val="20"/>
          <w:color w:val="auto"/>
        </w:rPr>
        <w:t>or contained in any instrument or agreement evidencing, securing or relating thereto or any other event shall occur or condition exist, the</w:t>
      </w:r>
    </w:p>
    <w:p>
      <w:pPr>
        <w:jc w:val="both"/>
        <w:ind w:left="60"/>
        <w:spacing w:after="0" w:line="215" w:lineRule="auto"/>
        <w:rPr>
          <w:sz w:val="20"/>
          <w:szCs w:val="20"/>
          <w:color w:val="auto"/>
        </w:rPr>
      </w:pPr>
      <w:r>
        <w:rPr>
          <w:rFonts w:ascii="Times New Roman" w:cs="Times New Roman" w:eastAsia="Times New Roman" w:hAnsi="Times New Roman"/>
          <w:sz w:val="19"/>
          <w:szCs w:val="19"/>
          <w:color w:val="auto"/>
        </w:rPr>
        <w:t>effect of which default or other event or condition is to cause, or to permit the holder or holders of such Indebtedness (or a trustee or agent on behalf of such holder or holders) to cause, with the giving of notice and/or lapse of time, if required, any such Indebtedness to become</w:t>
      </w:r>
    </w:p>
    <w:p>
      <w:pPr>
        <w:ind w:left="60"/>
        <w:spacing w:after="0"/>
        <w:rPr>
          <w:sz w:val="20"/>
          <w:szCs w:val="20"/>
          <w:color w:val="auto"/>
        </w:rPr>
      </w:pPr>
      <w:r>
        <w:rPr>
          <w:rFonts w:ascii="Times New Roman" w:cs="Times New Roman" w:eastAsia="Times New Roman" w:hAnsi="Times New Roman"/>
          <w:sz w:val="20"/>
          <w:szCs w:val="20"/>
          <w:color w:val="auto"/>
        </w:rPr>
        <w:t>due prior to its stated maturity (any applicable grace period having expired).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FF0000"/>
          <w:strike w:val="1"/>
        </w:rPr>
        <w:t>146960219_6</w:t>
      </w: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141</w:t>
      </w:r>
      <w:r>
        <w:rPr>
          <w:sz w:val="20"/>
          <w:szCs w:val="20"/>
          <w:color w:val="auto"/>
        </w:rPr>
        <w:tab/>
      </w: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080"/>
          </w:cols>
          <w:pgMar w:left="380" w:top="1413" w:right="439" w:bottom="1440" w:gutter="0" w:footer="0" w:header="0"/>
        </w:sectPr>
      </w:pPr>
    </w:p>
    <w:bookmarkStart w:id="225" w:name="page226"/>
    <w:bookmarkEnd w:id="225"/>
    <w:p>
      <w:pPr>
        <w:spacing w:after="0" w:line="203" w:lineRule="exact"/>
        <w:rPr>
          <w:sz w:val="20"/>
          <w:szCs w:val="20"/>
          <w:color w:val="auto"/>
        </w:rPr>
      </w:pPr>
    </w:p>
    <w:p>
      <w:pPr>
        <w:ind w:left="1340" w:hanging="636"/>
        <w:spacing w:after="0"/>
        <w:tabs>
          <w:tab w:leader="none" w:pos="1340" w:val="left"/>
        </w:tabs>
        <w:numPr>
          <w:ilvl w:val="1"/>
          <w:numId w:val="3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[Intentionally Omitted]</w:t>
      </w:r>
      <w:r>
        <w:rPr>
          <w:rFonts w:ascii="Times New Roman" w:cs="Times New Roman" w:eastAsia="Times New Roman" w:hAnsi="Times New Roman"/>
          <w:sz w:val="20"/>
          <w:szCs w:val="20"/>
          <w:color w:val="auto"/>
        </w:rPr>
        <w:t>.</w:t>
      </w:r>
    </w:p>
    <w:p>
      <w:pPr>
        <w:spacing w:after="0" w:line="283" w:lineRule="exact"/>
        <w:rPr>
          <w:rFonts w:ascii="Times New Roman" w:cs="Times New Roman" w:eastAsia="Times New Roman" w:hAnsi="Times New Roman"/>
          <w:sz w:val="20"/>
          <w:szCs w:val="20"/>
          <w:color w:val="auto"/>
        </w:rPr>
      </w:pPr>
    </w:p>
    <w:p>
      <w:pPr>
        <w:ind w:left="1340" w:hanging="636"/>
        <w:spacing w:after="0"/>
        <w:tabs>
          <w:tab w:leader="none" w:pos="1340" w:val="left"/>
        </w:tabs>
        <w:numPr>
          <w:ilvl w:val="1"/>
          <w:numId w:val="3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 in Control</w:t>
      </w:r>
      <w:r>
        <w:rPr>
          <w:rFonts w:ascii="Times New Roman" w:cs="Times New Roman" w:eastAsia="Times New Roman" w:hAnsi="Times New Roman"/>
          <w:sz w:val="20"/>
          <w:szCs w:val="20"/>
          <w:color w:val="auto"/>
        </w:rPr>
        <w:t>. Any Change in Control shall occur.</w:t>
      </w:r>
    </w:p>
    <w:p>
      <w:pPr>
        <w:spacing w:after="0" w:line="283" w:lineRule="exact"/>
        <w:rPr>
          <w:rFonts w:ascii="Times New Roman" w:cs="Times New Roman" w:eastAsia="Times New Roman" w:hAnsi="Times New Roman"/>
          <w:sz w:val="20"/>
          <w:szCs w:val="20"/>
          <w:color w:val="auto"/>
        </w:rPr>
      </w:pPr>
    </w:p>
    <w:p>
      <w:pPr>
        <w:jc w:val="both"/>
        <w:ind w:left="60" w:firstLine="644"/>
        <w:spacing w:after="0" w:line="215" w:lineRule="auto"/>
        <w:tabs>
          <w:tab w:leader="none" w:pos="1244" w:val="left"/>
        </w:tabs>
        <w:numPr>
          <w:ilvl w:val="1"/>
          <w:numId w:val="3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Voluntary Bankruptcy Proceeding</w:t>
      </w:r>
      <w:r>
        <w:rPr>
          <w:rFonts w:ascii="Times New Roman" w:cs="Times New Roman" w:eastAsia="Times New Roman" w:hAnsi="Times New Roman"/>
          <w:sz w:val="20"/>
          <w:szCs w:val="20"/>
          <w:color w:val="auto"/>
        </w:rPr>
        <w:t>. Any Credit Party or any Subsidiary thereof or Southwest Gas shall (i) commence a voluntary case under any Debtor Relief Laws, (ii) file a petition seeking to take advantage of any Debtor Relief Laws, (iii) consent to or fail to contest in a timely and appropriate manner any petition filed against it in an involuntary case under any Debtor Relief Laws, (iv) apply for or consent to, or fail to contest in a timely and appropriate manner, the appointment of, or the taking of possession by, a receiver, custodian, trustee, or liquidator of itself or of a substantial part of its property, domestic or foreign, (v) admit in writing its inability to pay its debts as they become due, (vi) make a general assignment for the benefit of creditors, or (vii) take any corporate action for the purpose of authorizing any of the foregoing.</w:t>
      </w:r>
    </w:p>
    <w:p>
      <w:pPr>
        <w:spacing w:after="0" w:line="191" w:lineRule="exact"/>
        <w:rPr>
          <w:rFonts w:ascii="Times New Roman" w:cs="Times New Roman" w:eastAsia="Times New Roman" w:hAnsi="Times New Roman"/>
          <w:sz w:val="20"/>
          <w:szCs w:val="20"/>
          <w:color w:val="auto"/>
        </w:rPr>
      </w:pPr>
    </w:p>
    <w:p>
      <w:pPr>
        <w:jc w:val="both"/>
        <w:ind w:left="60" w:firstLine="644"/>
        <w:spacing w:after="0" w:line="216" w:lineRule="auto"/>
        <w:tabs>
          <w:tab w:leader="none" w:pos="1236" w:val="left"/>
        </w:tabs>
        <w:numPr>
          <w:ilvl w:val="1"/>
          <w:numId w:val="3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Involuntary Bankruptcy Proceeding</w:t>
      </w:r>
      <w:r>
        <w:rPr>
          <w:rFonts w:ascii="Times New Roman" w:cs="Times New Roman" w:eastAsia="Times New Roman" w:hAnsi="Times New Roman"/>
          <w:sz w:val="20"/>
          <w:szCs w:val="20"/>
          <w:color w:val="auto"/>
        </w:rPr>
        <w:t>. A case or other proceeding shall be commenced against any Credit Party or any Subsidiary thereof or Southwest Gas in any court of competent jurisdiction seeking (i) relief under any Debtor Relief Laws, or (ii) the appointment of a trustee, receiver, custodian, liquidator or the like for any Credit Party or any Subsidiary thereof or Southwest Gas or for all or any substantial part of their respective assets, domestic or foreign, and such case or proceeding shall continue without dismissal or stay for a period of sixty (60) consecutive days, or an order granting the relief requested in such case or proceeding (including, but not limited to, an order for relief under such federal bankruptcy laws) shall be entered.</w:t>
      </w:r>
    </w:p>
    <w:p>
      <w:pPr>
        <w:spacing w:after="0" w:line="189" w:lineRule="exact"/>
        <w:rPr>
          <w:rFonts w:ascii="Times New Roman" w:cs="Times New Roman" w:eastAsia="Times New Roman" w:hAnsi="Times New Roman"/>
          <w:sz w:val="20"/>
          <w:szCs w:val="20"/>
          <w:color w:val="auto"/>
        </w:rPr>
      </w:pPr>
    </w:p>
    <w:p>
      <w:pPr>
        <w:jc w:val="both"/>
        <w:ind w:left="60" w:firstLine="644"/>
        <w:spacing w:after="0" w:line="220" w:lineRule="auto"/>
        <w:tabs>
          <w:tab w:leader="none" w:pos="1236" w:val="left"/>
        </w:tabs>
        <w:numPr>
          <w:ilvl w:val="1"/>
          <w:numId w:val="3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Failure of Agreements</w:t>
      </w:r>
      <w:r>
        <w:rPr>
          <w:rFonts w:ascii="Times New Roman" w:cs="Times New Roman" w:eastAsia="Times New Roman" w:hAnsi="Times New Roman"/>
          <w:sz w:val="20"/>
          <w:szCs w:val="20"/>
          <w:color w:val="auto"/>
        </w:rPr>
        <w:t>. Any provision of this Agreement or any provision of any other Loan Document shall for any reason cease to be valid and binding on any Credit Party or any Subsidiary thereof party thereto or any such Person shall so state in writing, or any Loan Document shall for any reason cease to create a valid and perfected first priority Lien (subject to Permitted Liens) on, or security interest in, any of the Collateral purported to be covered thereby, in each case other than in accordance with the express terms hereof or thereof.</w:t>
      </w:r>
    </w:p>
    <w:p>
      <w:pPr>
        <w:spacing w:after="0" w:line="187" w:lineRule="exact"/>
        <w:rPr>
          <w:rFonts w:ascii="Times New Roman" w:cs="Times New Roman" w:eastAsia="Times New Roman" w:hAnsi="Times New Roman"/>
          <w:sz w:val="20"/>
          <w:szCs w:val="20"/>
          <w:color w:val="auto"/>
        </w:rPr>
      </w:pPr>
    </w:p>
    <w:p>
      <w:pPr>
        <w:jc w:val="both"/>
        <w:ind w:left="60" w:firstLine="644"/>
        <w:spacing w:after="0" w:line="213" w:lineRule="auto"/>
        <w:tabs>
          <w:tab w:leader="none" w:pos="1246" w:val="left"/>
        </w:tabs>
        <w:numPr>
          <w:ilvl w:val="1"/>
          <w:numId w:val="3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Employee Benefit Plan Events</w:t>
      </w:r>
      <w:r>
        <w:rPr>
          <w:rFonts w:ascii="Times New Roman" w:cs="Times New Roman" w:eastAsia="Times New Roman" w:hAnsi="Times New Roman"/>
          <w:sz w:val="20"/>
          <w:szCs w:val="20"/>
          <w:color w:val="auto"/>
        </w:rPr>
        <w:t>. The occurrence of any of the following events: (i) any Credit Party or any ERISA Affiliate fails to make full payment when due of all amounts which, under the provisions of any Pension Plan or Sections 412 or 430 of the Code, any Credit Party or any ERISA Affiliate is required to pay as contributions thereto and such unpaid amounts are in excess of the Threshold Amount,</w:t>
      </w:r>
    </w:p>
    <w:p>
      <w:pPr>
        <w:spacing w:after="0" w:line="2" w:lineRule="exact"/>
        <w:rPr>
          <w:rFonts w:ascii="Times New Roman" w:cs="Times New Roman" w:eastAsia="Times New Roman" w:hAnsi="Times New Roman"/>
          <w:sz w:val="20"/>
          <w:szCs w:val="20"/>
          <w:color w:val="auto"/>
        </w:rPr>
      </w:pPr>
    </w:p>
    <w:p>
      <w:pPr>
        <w:jc w:val="both"/>
        <w:ind w:left="60" w:hanging="4"/>
        <w:spacing w:after="0" w:line="212" w:lineRule="auto"/>
        <w:tabs>
          <w:tab w:leader="none" w:pos="362" w:val="left"/>
        </w:tabs>
        <w:numPr>
          <w:ilvl w:val="0"/>
          <w:numId w:val="3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Credit Party fails to make full payment when due of all amounts which, under the provisions of any Canadian Employee Benefit Plan or under Canadian Pension Laws, any Credit Party is required to pay as contributions thereto and such unpaid amounts are in excess of the Threshold Amount, (iii) a Termination Event or Canadian Termination Event or (iv) any Credit Party or any ERISA Affiliate as employers under one or more Multiemployer Plans makes a complete or partial withdrawal from any such Multiemployer Plan and the plan sponsor of such Multiemployer Plans notifies such withdrawing employer that such employer has incurred a withdrawal liability requiring payments in an amount exceeding the Threshold Amount.</w:t>
      </w:r>
    </w:p>
    <w:p>
      <w:pPr>
        <w:spacing w:after="0" w:line="190" w:lineRule="exact"/>
        <w:rPr>
          <w:rFonts w:ascii="Times New Roman" w:cs="Times New Roman" w:eastAsia="Times New Roman" w:hAnsi="Times New Roman"/>
          <w:sz w:val="20"/>
          <w:szCs w:val="20"/>
          <w:color w:val="auto"/>
        </w:rPr>
      </w:pPr>
    </w:p>
    <w:p>
      <w:pPr>
        <w:jc w:val="both"/>
        <w:ind w:left="60" w:firstLine="644"/>
        <w:spacing w:after="0" w:line="220" w:lineRule="auto"/>
        <w:tabs>
          <w:tab w:leader="none" w:pos="1246" w:val="left"/>
        </w:tabs>
        <w:numPr>
          <w:ilvl w:val="1"/>
          <w:numId w:val="3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Judgment</w:t>
      </w:r>
      <w:r>
        <w:rPr>
          <w:rFonts w:ascii="Times New Roman" w:cs="Times New Roman" w:eastAsia="Times New Roman" w:hAnsi="Times New Roman"/>
          <w:sz w:val="20"/>
          <w:szCs w:val="20"/>
          <w:color w:val="auto"/>
        </w:rPr>
        <w:t>. A judgment or order for the payment of money which causes the aggregate amount of all such judgments or orders (net of any amounts paid or fully covered by independent third party insurance as to which the relevant insurance company does not dispute coverage) to exceed the Threshold Amount shall be entered against any Credit Party or any Subsidiary thereof by any court and such judgment or order shall continue without having been discharged, vacated or stayed for a period of thirty (30) consecutive days after the entry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FF0000"/>
          <w:strike w:val="1"/>
        </w:rPr>
        <w:t>146960219_6</w:t>
      </w: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142</w:t>
      </w:r>
      <w:r>
        <w:rPr>
          <w:sz w:val="20"/>
          <w:szCs w:val="20"/>
          <w:color w:val="auto"/>
        </w:rPr>
        <w:tab/>
      </w: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080"/>
          </w:cols>
          <w:pgMar w:left="380" w:top="1440" w:right="439" w:bottom="1440" w:gutter="0" w:footer="0" w:header="0"/>
        </w:sectPr>
      </w:pPr>
    </w:p>
    <w:bookmarkStart w:id="226" w:name="page227"/>
    <w:bookmarkEnd w:id="226"/>
    <w:p>
      <w:pPr>
        <w:spacing w:after="0" w:line="203" w:lineRule="exact"/>
        <w:rPr>
          <w:sz w:val="20"/>
          <w:szCs w:val="20"/>
          <w:color w:val="auto"/>
        </w:rPr>
      </w:pPr>
    </w:p>
    <w:p>
      <w:pPr>
        <w:ind w:left="700"/>
        <w:spacing w:after="0"/>
        <w:tabs>
          <w:tab w:leader="none" w:pos="2120" w:val="left"/>
        </w:tabs>
        <w:rPr>
          <w:sz w:val="20"/>
          <w:szCs w:val="20"/>
          <w:color w:val="auto"/>
        </w:rPr>
      </w:pPr>
      <w:r>
        <w:rPr>
          <w:rFonts w:ascii="Times New Roman" w:cs="Times New Roman" w:eastAsia="Times New Roman" w:hAnsi="Times New Roman"/>
          <w:sz w:val="20"/>
          <w:szCs w:val="20"/>
          <w:color w:val="auto"/>
        </w:rPr>
        <w:t>SECTION 10.2</w:t>
      </w:r>
      <w:r>
        <w:rPr>
          <w:sz w:val="20"/>
          <w:szCs w:val="20"/>
          <w:color w:val="auto"/>
        </w:rPr>
        <w:tab/>
      </w:r>
      <w:r>
        <w:rPr>
          <w:rFonts w:ascii="Times New Roman" w:cs="Times New Roman" w:eastAsia="Times New Roman" w:hAnsi="Times New Roman"/>
          <w:sz w:val="19"/>
          <w:szCs w:val="19"/>
          <w:u w:val="single" w:color="auto"/>
          <w:color w:val="auto"/>
        </w:rPr>
        <w:t>Remedies</w:t>
      </w:r>
    </w:p>
    <w:p>
      <w:pPr>
        <w:spacing w:after="0" w:line="283" w:lineRule="exact"/>
        <w:rPr>
          <w:sz w:val="20"/>
          <w:szCs w:val="20"/>
          <w:color w:val="auto"/>
        </w:rPr>
      </w:pPr>
    </w:p>
    <w:p>
      <w:pPr>
        <w:ind w:left="60" w:right="20" w:hanging="4"/>
        <w:spacing w:after="0"/>
        <w:tabs>
          <w:tab w:leader="none" w:pos="174" w:val="left"/>
        </w:tabs>
        <w:numPr>
          <w:ilvl w:val="0"/>
          <w:numId w:val="3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occurrence and during the continuance of an Event of Default, with the consent of the Required Lenders, the Administrative Agent may, or upon the request of the Required Lenders, the Administrative Agent shall, by notice to Centuri:</w:t>
      </w:r>
    </w:p>
    <w:p>
      <w:pPr>
        <w:spacing w:after="0" w:line="188" w:lineRule="exact"/>
        <w:rPr>
          <w:rFonts w:ascii="Times New Roman" w:cs="Times New Roman" w:eastAsia="Times New Roman" w:hAnsi="Times New Roman"/>
          <w:sz w:val="20"/>
          <w:szCs w:val="20"/>
          <w:color w:val="auto"/>
        </w:rPr>
      </w:pPr>
    </w:p>
    <w:p>
      <w:pPr>
        <w:jc w:val="both"/>
        <w:ind w:left="60" w:firstLine="644"/>
        <w:spacing w:after="0" w:line="221" w:lineRule="auto"/>
        <w:tabs>
          <w:tab w:leader="none" w:pos="1238" w:val="left"/>
        </w:tabs>
        <w:numPr>
          <w:ilvl w:val="1"/>
          <w:numId w:val="3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Acceleration; Termination of Credit Facility</w:t>
      </w:r>
      <w:r>
        <w:rPr>
          <w:rFonts w:ascii="Times New Roman" w:cs="Times New Roman" w:eastAsia="Times New Roman" w:hAnsi="Times New Roman"/>
          <w:sz w:val="19"/>
          <w:szCs w:val="19"/>
          <w:color w:val="auto"/>
        </w:rPr>
        <w:t xml:space="preserve">. Terminate the Revolving Credit Commitment and declare the principal of and interest on the Loans and the Reimbursement Obligations at the time outstanding, and all other amounts owed to the Lenders and to the Administrative Agent under this Agreement or any of the other Loan Documents (including, without limitation, all L/C Obligations, whether or not the beneficiaries of the then outstanding Letters of Credit shall have presented or shall be entitled to present the documents required thereunder) and all other Obligations, to be forthwith due and payable, whereupon the same shall immediately become due and payable without presentment, demand, protest or other notice of any kind, all of which are expressly waived by each Credit Party, anything in this Agreement or the other Loan Documents to the contrary notwithstanding, and terminate the Credit Facility and any right of any Borrower to request borrowings or Letters of Credit thereunder; provided, that upon the occurrence of an Event of Default specified in </w:t>
      </w:r>
      <w:r>
        <w:rPr>
          <w:rFonts w:ascii="Times New Roman" w:cs="Times New Roman" w:eastAsia="Times New Roman" w:hAnsi="Times New Roman"/>
          <w:sz w:val="19"/>
          <w:szCs w:val="19"/>
          <w:u w:val="single" w:color="auto"/>
          <w:color w:val="auto"/>
        </w:rPr>
        <w:t>Section 10.1(i)</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(j)</w:t>
      </w:r>
      <w:r>
        <w:rPr>
          <w:rFonts w:ascii="Times New Roman" w:cs="Times New Roman" w:eastAsia="Times New Roman" w:hAnsi="Times New Roman"/>
          <w:sz w:val="19"/>
          <w:szCs w:val="19"/>
          <w:color w:val="auto"/>
        </w:rPr>
        <w:t xml:space="preserve">, the Credit Facility shall be automatically terminated and all Obligations shall automatically become due and payable without presentment, demand, protest or other notice of any kind, all of which are expressly waived by each Credit Party, anything in this Agreement or in any other Loan Document to the contrary notwithstanding;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upon the occurrence and during the continuance of any Event of Default attributable to a failure to comply with the financial covenants set forth in </w:t>
      </w:r>
      <w:r>
        <w:rPr>
          <w:rFonts w:ascii="Times New Roman" w:cs="Times New Roman" w:eastAsia="Times New Roman" w:hAnsi="Times New Roman"/>
          <w:sz w:val="19"/>
          <w:szCs w:val="19"/>
          <w:u w:val="single" w:color="auto"/>
          <w:color w:val="auto"/>
        </w:rPr>
        <w:t>Section 9.13</w:t>
      </w:r>
      <w:r>
        <w:rPr>
          <w:rFonts w:ascii="Times New Roman" w:cs="Times New Roman" w:eastAsia="Times New Roman" w:hAnsi="Times New Roman"/>
          <w:sz w:val="19"/>
          <w:szCs w:val="19"/>
          <w:color w:val="auto"/>
        </w:rPr>
        <w:t xml:space="preserve"> (which has not become an Event of Default with respect to the Term Loans pursuant to </w:t>
      </w:r>
      <w:r>
        <w:rPr>
          <w:rFonts w:ascii="Times New Roman" w:cs="Times New Roman" w:eastAsia="Times New Roman" w:hAnsi="Times New Roman"/>
          <w:sz w:val="19"/>
          <w:szCs w:val="19"/>
          <w:u w:val="single" w:color="auto"/>
          <w:color w:val="auto"/>
        </w:rPr>
        <w:t>Section 10.1(d)</w:t>
      </w:r>
      <w:r>
        <w:rPr>
          <w:rFonts w:ascii="Times New Roman" w:cs="Times New Roman" w:eastAsia="Times New Roman" w:hAnsi="Times New Roman"/>
          <w:sz w:val="19"/>
          <w:szCs w:val="19"/>
          <w:color w:val="auto"/>
        </w:rPr>
        <w:t>), actions pursuant to this clause (a) may be taken by the Required Revolving Credit Lenders with respect to the Revolving Credit Loans and the Revolving Credit Commitments only (without the requirement for Required Lender action) or by the Administrative Agent at the direction of the Required Revolving Credit Lenders.</w:t>
      </w:r>
    </w:p>
    <w:p>
      <w:pPr>
        <w:spacing w:after="0" w:line="195" w:lineRule="exact"/>
        <w:rPr>
          <w:rFonts w:ascii="Times New Roman" w:cs="Times New Roman" w:eastAsia="Times New Roman" w:hAnsi="Times New Roman"/>
          <w:sz w:val="19"/>
          <w:szCs w:val="19"/>
          <w:color w:val="auto"/>
        </w:rPr>
      </w:pPr>
    </w:p>
    <w:p>
      <w:pPr>
        <w:jc w:val="both"/>
        <w:ind w:left="60" w:firstLine="644"/>
        <w:spacing w:after="0" w:line="215" w:lineRule="auto"/>
        <w:tabs>
          <w:tab w:leader="none" w:pos="1236" w:val="left"/>
        </w:tabs>
        <w:numPr>
          <w:ilvl w:val="1"/>
          <w:numId w:val="3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Letters of Credit</w:t>
      </w:r>
      <w:r>
        <w:rPr>
          <w:rFonts w:ascii="Times New Roman" w:cs="Times New Roman" w:eastAsia="Times New Roman" w:hAnsi="Times New Roman"/>
          <w:sz w:val="20"/>
          <w:szCs w:val="20"/>
          <w:color w:val="auto"/>
        </w:rPr>
        <w:t xml:space="preserve">. With respect to all Letters of Credit with respect to which presentment for honor shall not have occurred at the time of an acceleration pursuant to the preceding paragraph, the Borrowers shall at such time deposit in a Cash Collateral account opened by the Administrative Agent an amount equal to the aggregate then undrawn and unexpired amount of such Letters of Credit. Amounts held in such Cash Collateral account shall be applied by the Administrative Agent to the payment of drafts drawn under such Letters of Credit, and the unused portion thereof after all such Letters of Credit shall have expired or been fully drawn upon, if any, shall be applied to repay the other Secured Obligations on a </w:t>
      </w:r>
      <w:r>
        <w:rPr>
          <w:rFonts w:ascii="Times New Roman" w:cs="Times New Roman" w:eastAsia="Times New Roman" w:hAnsi="Times New Roman"/>
          <w:sz w:val="20"/>
          <w:szCs w:val="20"/>
          <w:u w:val="single" w:color="auto"/>
          <w:color w:val="auto"/>
        </w:rPr>
        <w:t>pro rata</w:t>
      </w:r>
      <w:r>
        <w:rPr>
          <w:rFonts w:ascii="Times New Roman" w:cs="Times New Roman" w:eastAsia="Times New Roman" w:hAnsi="Times New Roman"/>
          <w:sz w:val="20"/>
          <w:szCs w:val="20"/>
          <w:color w:val="auto"/>
        </w:rPr>
        <w:t xml:space="preserve"> basis and in accordance with </w:t>
      </w:r>
      <w:r>
        <w:rPr>
          <w:rFonts w:ascii="Times New Roman" w:cs="Times New Roman" w:eastAsia="Times New Roman" w:hAnsi="Times New Roman"/>
          <w:sz w:val="20"/>
          <w:szCs w:val="20"/>
          <w:u w:val="single" w:color="auto"/>
          <w:color w:val="auto"/>
        </w:rPr>
        <w:t>Section 10.4</w:t>
      </w:r>
      <w:r>
        <w:rPr>
          <w:rFonts w:ascii="Times New Roman" w:cs="Times New Roman" w:eastAsia="Times New Roman" w:hAnsi="Times New Roman"/>
          <w:sz w:val="20"/>
          <w:szCs w:val="20"/>
          <w:color w:val="auto"/>
        </w:rPr>
        <w:t>. After all such Letters of Credit shall have expired or been fully drawn upon, the Reimbursement Obligation shall have been satisfied and all other Secured Obligations shall have been paid in full, the balance, if any, in such Cash Collateral account shall be returned to the Borrowers.</w:t>
      </w:r>
    </w:p>
    <w:p>
      <w:pPr>
        <w:spacing w:after="0" w:line="187" w:lineRule="exact"/>
        <w:rPr>
          <w:rFonts w:ascii="Times New Roman" w:cs="Times New Roman" w:eastAsia="Times New Roman" w:hAnsi="Times New Roman"/>
          <w:sz w:val="20"/>
          <w:szCs w:val="20"/>
          <w:color w:val="auto"/>
        </w:rPr>
      </w:pPr>
    </w:p>
    <w:p>
      <w:pPr>
        <w:ind w:left="60" w:firstLine="644"/>
        <w:spacing w:after="0"/>
        <w:tabs>
          <w:tab w:leader="none" w:pos="1238" w:val="left"/>
        </w:tabs>
        <w:numPr>
          <w:ilvl w:val="1"/>
          <w:numId w:val="3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 Remedies</w:t>
      </w:r>
      <w:r>
        <w:rPr>
          <w:rFonts w:ascii="Times New Roman" w:cs="Times New Roman" w:eastAsia="Times New Roman" w:hAnsi="Times New Roman"/>
          <w:sz w:val="20"/>
          <w:szCs w:val="20"/>
          <w:color w:val="auto"/>
        </w:rPr>
        <w:t>. Exercise on behalf of the Secured Parties all of its other rights and remedies under this Agreement, the other Loan Documents and Applicable Law, in order to satisfy all of the Secured Obligations.</w:t>
      </w:r>
    </w:p>
    <w:p>
      <w:pPr>
        <w:spacing w:after="0" w:line="188" w:lineRule="exact"/>
        <w:rPr>
          <w:sz w:val="20"/>
          <w:szCs w:val="20"/>
          <w:color w:val="auto"/>
        </w:rPr>
      </w:pPr>
    </w:p>
    <w:p>
      <w:pPr>
        <w:ind w:left="700"/>
        <w:spacing w:after="0"/>
        <w:tabs>
          <w:tab w:leader="none" w:pos="2120" w:val="left"/>
        </w:tabs>
        <w:rPr>
          <w:sz w:val="20"/>
          <w:szCs w:val="20"/>
          <w:color w:val="auto"/>
        </w:rPr>
      </w:pPr>
      <w:r>
        <w:rPr>
          <w:rFonts w:ascii="Times New Roman" w:cs="Times New Roman" w:eastAsia="Times New Roman" w:hAnsi="Times New Roman"/>
          <w:sz w:val="20"/>
          <w:szCs w:val="20"/>
          <w:color w:val="auto"/>
        </w:rPr>
        <w:t>SECTION 10.3</w:t>
      </w:r>
      <w:r>
        <w:rPr>
          <w:sz w:val="20"/>
          <w:szCs w:val="20"/>
          <w:color w:val="auto"/>
        </w:rPr>
        <w:tab/>
      </w:r>
      <w:r>
        <w:rPr>
          <w:rFonts w:ascii="Times New Roman" w:cs="Times New Roman" w:eastAsia="Times New Roman" w:hAnsi="Times New Roman"/>
          <w:sz w:val="19"/>
          <w:szCs w:val="19"/>
          <w:u w:val="single" w:color="auto"/>
          <w:color w:val="auto"/>
        </w:rPr>
        <w:t>Rights and Remedies Cumulative; Non-Waiver; etc.</w:t>
      </w:r>
    </w:p>
    <w:p>
      <w:pPr>
        <w:spacing w:after="0" w:line="283" w:lineRule="exact"/>
        <w:rPr>
          <w:sz w:val="20"/>
          <w:szCs w:val="20"/>
          <w:color w:val="auto"/>
        </w:rPr>
      </w:pPr>
    </w:p>
    <w:p>
      <w:pPr>
        <w:jc w:val="both"/>
        <w:ind w:left="60" w:firstLine="644"/>
        <w:spacing w:after="0" w:line="222" w:lineRule="auto"/>
        <w:tabs>
          <w:tab w:leader="none" w:pos="1239" w:val="left"/>
        </w:tabs>
        <w:numPr>
          <w:ilvl w:val="0"/>
          <w:numId w:val="3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enumeration of the rights and remedies of the Administrative Agent and the Lenders set forth in this Agreement is not intended to be exhaustive and the exercise by the Administrative Agent and the Lenders of any right or remedy shall not preclude the exercise of any other rights or remedies, all of which shall be cumulative, and shall be in addition to any other right or remedy given hereunder or under the other Loan Documents or that may now or hereafter exist at law or in equity or by suit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FF0000"/>
          <w:strike w:val="1"/>
        </w:rPr>
        <w:t>146960219_6</w:t>
      </w: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143</w:t>
      </w:r>
      <w:r>
        <w:rPr>
          <w:sz w:val="20"/>
          <w:szCs w:val="20"/>
          <w:color w:val="auto"/>
        </w:rPr>
        <w:tab/>
      </w: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080"/>
          </w:cols>
          <w:pgMar w:left="380" w:top="1440" w:right="439" w:bottom="1440" w:gutter="0" w:footer="0" w:header="0"/>
        </w:sectPr>
      </w:pPr>
    </w:p>
    <w:bookmarkStart w:id="227" w:name="page228"/>
    <w:bookmarkEnd w:id="227"/>
    <w:p>
      <w:pPr>
        <w:spacing w:after="0" w:line="1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No delay or failure to take action on the part of the Administrative Agent or any Lender in exercising any right, power or privilege shall</w:t>
      </w:r>
    </w:p>
    <w:p>
      <w:pPr>
        <w:ind w:left="60" w:right="20"/>
        <w:spacing w:after="0" w:line="204" w:lineRule="auto"/>
        <w:rPr>
          <w:sz w:val="20"/>
          <w:szCs w:val="20"/>
          <w:color w:val="auto"/>
        </w:rPr>
      </w:pPr>
      <w:r>
        <w:rPr>
          <w:rFonts w:ascii="Times New Roman" w:cs="Times New Roman" w:eastAsia="Times New Roman" w:hAnsi="Times New Roman"/>
          <w:sz w:val="20"/>
          <w:szCs w:val="20"/>
          <w:color w:val="auto"/>
        </w:rPr>
        <w:t>operate as a waiver thereof, nor shall any single or partial exercise of any such right, power or privilege preclude any other or further exercise thereof or the exercise of any other right, power or privilege or shall be construed to be a waiver of any Event of Default. No</w:t>
      </w:r>
    </w:p>
    <w:p>
      <w:pPr>
        <w:ind w:left="60"/>
        <w:spacing w:after="0" w:line="211" w:lineRule="auto"/>
        <w:rPr>
          <w:sz w:val="20"/>
          <w:szCs w:val="20"/>
          <w:color w:val="auto"/>
        </w:rPr>
      </w:pPr>
      <w:r>
        <w:rPr>
          <w:rFonts w:ascii="Times New Roman" w:cs="Times New Roman" w:eastAsia="Times New Roman" w:hAnsi="Times New Roman"/>
          <w:sz w:val="20"/>
          <w:szCs w:val="20"/>
          <w:color w:val="auto"/>
        </w:rPr>
        <w:t>course of dealing between the Borrowers, the Administrative Agent and the Lenders or their respective agents or employees shall be</w:t>
      </w:r>
    </w:p>
    <w:p>
      <w:pPr>
        <w:spacing w:after="0" w:line="1" w:lineRule="exact"/>
        <w:rPr>
          <w:sz w:val="20"/>
          <w:szCs w:val="20"/>
          <w:color w:val="auto"/>
        </w:rPr>
      </w:pPr>
    </w:p>
    <w:p>
      <w:pPr>
        <w:ind w:left="60"/>
        <w:spacing w:after="0" w:line="221" w:lineRule="auto"/>
        <w:rPr>
          <w:sz w:val="20"/>
          <w:szCs w:val="20"/>
          <w:color w:val="auto"/>
        </w:rPr>
      </w:pPr>
      <w:r>
        <w:rPr>
          <w:rFonts w:ascii="Times New Roman" w:cs="Times New Roman" w:eastAsia="Times New Roman" w:hAnsi="Times New Roman"/>
          <w:sz w:val="20"/>
          <w:szCs w:val="20"/>
          <w:color w:val="auto"/>
        </w:rPr>
        <w:t>effective to change, modify or discharge any provision of this Agreement or any of the other Loan Documents or to constitute a waiver of any Event of Default.</w:t>
      </w:r>
    </w:p>
    <w:p>
      <w:pPr>
        <w:spacing w:after="0" w:line="202" w:lineRule="exact"/>
        <w:rPr>
          <w:sz w:val="20"/>
          <w:szCs w:val="20"/>
          <w:color w:val="auto"/>
        </w:rPr>
      </w:pPr>
    </w:p>
    <w:p>
      <w:pPr>
        <w:jc w:val="both"/>
        <w:ind w:left="60" w:firstLine="644"/>
        <w:spacing w:after="0" w:line="208" w:lineRule="auto"/>
        <w:tabs>
          <w:tab w:leader="none" w:pos="1236" w:val="left"/>
        </w:tabs>
        <w:numPr>
          <w:ilvl w:val="0"/>
          <w:numId w:val="3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to the contrary contained herein or in any other Loan Document, the authority to enforce rights and remedies hereunder and under the other Loan Documents against the Credit Parties or any of them shall be vested exclusively in, and all actions and proceedings at law in connection with such enforcement shall be instituted and maintained exclusively by, the Administrative Agent in accordance with </w:t>
      </w:r>
      <w:r>
        <w:rPr>
          <w:rFonts w:ascii="Times New Roman" w:cs="Times New Roman" w:eastAsia="Times New Roman" w:hAnsi="Times New Roman"/>
          <w:sz w:val="20"/>
          <w:szCs w:val="20"/>
          <w:u w:val="single" w:color="auto"/>
          <w:color w:val="auto"/>
        </w:rPr>
        <w:t>Section 10.2</w:t>
      </w:r>
      <w:r>
        <w:rPr>
          <w:rFonts w:ascii="Times New Roman" w:cs="Times New Roman" w:eastAsia="Times New Roman" w:hAnsi="Times New Roman"/>
          <w:sz w:val="20"/>
          <w:szCs w:val="20"/>
          <w:color w:val="auto"/>
        </w:rPr>
        <w:t xml:space="preserve"> for the benefit of all the Lenders and the Issuing Lenders;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foregoing shall not prohibit (a) the Administrative Agent from exercising on its own behalf the rights and remedies that inure to its benefit (solely in its capacity as Administrative Agent) hereunder and under the other Loan Documents, (b) any Issuing Lender or any Swingline Lender from exercising the rights and remedies that inure to its benefit (solely in its capacity as an Issuing Lender or Swingline Lender, as the case may be) hereunder and under the other Loan Documents, (c) any Lender from exercising setoff rights in accordance with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12.4</w:t>
      </w:r>
      <w:r>
        <w:rPr>
          <w:rFonts w:ascii="Times New Roman" w:cs="Times New Roman" w:eastAsia="Times New Roman" w:hAnsi="Times New Roman"/>
          <w:sz w:val="20"/>
          <w:szCs w:val="20"/>
          <w:color w:val="auto"/>
        </w:rPr>
        <w:t xml:space="preserve"> (subject to the terms of </w:t>
      </w:r>
      <w:r>
        <w:rPr>
          <w:rFonts w:ascii="Times New Roman" w:cs="Times New Roman" w:eastAsia="Times New Roman" w:hAnsi="Times New Roman"/>
          <w:sz w:val="20"/>
          <w:szCs w:val="20"/>
          <w:u w:val="single" w:color="auto"/>
          <w:color w:val="auto"/>
        </w:rPr>
        <w:t>Section 5.6</w:t>
      </w:r>
      <w:r>
        <w:rPr>
          <w:rFonts w:ascii="Times New Roman" w:cs="Times New Roman" w:eastAsia="Times New Roman" w:hAnsi="Times New Roman"/>
          <w:sz w:val="20"/>
          <w:szCs w:val="20"/>
          <w:color w:val="auto"/>
        </w:rPr>
        <w:t xml:space="preserve">), or (d) any Lender from filing proofs of claim or appearing and filing pleadings on its own behalf during the pendency of a proceeding relative to any Credit Party under any Debtor Relief Law; and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if at any time there is no Person acting as Administrative Agent hereunder and under the other Loan Documents, then (i) the Required Lenders shall have the rights otherwise ascribed to the Administrative Agent pursuant to </w:t>
      </w:r>
      <w:r>
        <w:rPr>
          <w:rFonts w:ascii="Times New Roman" w:cs="Times New Roman" w:eastAsia="Times New Roman" w:hAnsi="Times New Roman"/>
          <w:sz w:val="20"/>
          <w:szCs w:val="20"/>
          <w:u w:val="single" w:color="auto"/>
          <w:color w:val="auto"/>
        </w:rPr>
        <w:t>Section</w:t>
      </w:r>
    </w:p>
    <w:p>
      <w:pPr>
        <w:spacing w:after="0" w:line="6" w:lineRule="exact"/>
        <w:rPr>
          <w:rFonts w:ascii="Times New Roman" w:cs="Times New Roman" w:eastAsia="Times New Roman" w:hAnsi="Times New Roman"/>
          <w:sz w:val="20"/>
          <w:szCs w:val="20"/>
          <w:color w:val="auto"/>
        </w:rPr>
      </w:pPr>
    </w:p>
    <w:p>
      <w:pPr>
        <w:ind w:left="60" w:right="20"/>
        <w:spacing w:after="0" w:line="271" w:lineRule="auto"/>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u w:val="single" w:color="auto"/>
          <w:color w:val="auto"/>
        </w:rPr>
        <w:t>10.1</w:t>
      </w:r>
      <w:r>
        <w:rPr>
          <w:rFonts w:ascii="Times New Roman" w:cs="Times New Roman" w:eastAsia="Times New Roman" w:hAnsi="Times New Roman"/>
          <w:sz w:val="19"/>
          <w:szCs w:val="19"/>
          <w:color w:val="auto"/>
        </w:rPr>
        <w:t xml:space="preserve"> and (ii) in addition to the matters set forth in clauses (b), (c) and (d) of the preceding proviso and subject to </w:t>
      </w:r>
      <w:r>
        <w:rPr>
          <w:rFonts w:ascii="Times New Roman" w:cs="Times New Roman" w:eastAsia="Times New Roman" w:hAnsi="Times New Roman"/>
          <w:sz w:val="19"/>
          <w:szCs w:val="19"/>
          <w:u w:val="single" w:color="auto"/>
          <w:color w:val="auto"/>
        </w:rPr>
        <w:t>Section 5.6</w:t>
      </w:r>
      <w:r>
        <w:rPr>
          <w:rFonts w:ascii="Times New Roman" w:cs="Times New Roman" w:eastAsia="Times New Roman" w:hAnsi="Times New Roman"/>
          <w:sz w:val="19"/>
          <w:szCs w:val="19"/>
          <w:color w:val="auto"/>
        </w:rPr>
        <w:t>, any Lender may, with the consent of the Required Lenders, enforce any rights and remedies available to it and as authorized by the Required Lenders.</w:t>
      </w:r>
    </w:p>
    <w:p>
      <w:pPr>
        <w:spacing w:after="0" w:line="187" w:lineRule="exact"/>
        <w:rPr>
          <w:sz w:val="20"/>
          <w:szCs w:val="20"/>
          <w:color w:val="auto"/>
        </w:rPr>
      </w:pPr>
    </w:p>
    <w:p>
      <w:pPr>
        <w:ind w:left="700"/>
        <w:spacing w:after="0"/>
        <w:tabs>
          <w:tab w:leader="none" w:pos="2120" w:val="left"/>
        </w:tabs>
        <w:rPr>
          <w:sz w:val="20"/>
          <w:szCs w:val="20"/>
          <w:color w:val="auto"/>
        </w:rPr>
      </w:pPr>
      <w:r>
        <w:rPr>
          <w:rFonts w:ascii="Times New Roman" w:cs="Times New Roman" w:eastAsia="Times New Roman" w:hAnsi="Times New Roman"/>
          <w:sz w:val="20"/>
          <w:szCs w:val="20"/>
          <w:color w:val="auto"/>
        </w:rPr>
        <w:t>SECTION 10.4</w:t>
      </w:r>
      <w:r>
        <w:rPr>
          <w:sz w:val="20"/>
          <w:szCs w:val="20"/>
          <w:color w:val="auto"/>
        </w:rPr>
        <w:tab/>
      </w:r>
      <w:r>
        <w:rPr>
          <w:rFonts w:ascii="Times New Roman" w:cs="Times New Roman" w:eastAsia="Times New Roman" w:hAnsi="Times New Roman"/>
          <w:sz w:val="19"/>
          <w:szCs w:val="19"/>
          <w:u w:val="single" w:color="auto"/>
          <w:color w:val="auto"/>
        </w:rPr>
        <w:t>Crediting of Payments and Proceeds</w:t>
      </w:r>
    </w:p>
    <w:p>
      <w:pPr>
        <w:spacing w:after="0" w:line="283" w:lineRule="exact"/>
        <w:rPr>
          <w:sz w:val="20"/>
          <w:szCs w:val="20"/>
          <w:color w:val="auto"/>
        </w:rPr>
      </w:pPr>
    </w:p>
    <w:p>
      <w:pPr>
        <w:jc w:val="both"/>
        <w:ind w:left="60" w:right="20" w:hanging="4"/>
        <w:spacing w:after="0" w:line="226" w:lineRule="auto"/>
        <w:tabs>
          <w:tab w:leader="none" w:pos="162" w:val="left"/>
        </w:tabs>
        <w:numPr>
          <w:ilvl w:val="0"/>
          <w:numId w:val="3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event that the Obligations have been accelerated pursuant to </w:t>
      </w:r>
      <w:r>
        <w:rPr>
          <w:rFonts w:ascii="Times New Roman" w:cs="Times New Roman" w:eastAsia="Times New Roman" w:hAnsi="Times New Roman"/>
          <w:sz w:val="20"/>
          <w:szCs w:val="20"/>
          <w:u w:val="single" w:color="auto"/>
          <w:color w:val="auto"/>
        </w:rPr>
        <w:t>Section 10.2</w:t>
      </w:r>
      <w:r>
        <w:rPr>
          <w:rFonts w:ascii="Times New Roman" w:cs="Times New Roman" w:eastAsia="Times New Roman" w:hAnsi="Times New Roman"/>
          <w:sz w:val="20"/>
          <w:szCs w:val="20"/>
          <w:color w:val="auto"/>
        </w:rPr>
        <w:t xml:space="preserve"> or the Administrative Agent or any Lender has exercised any remedy set forth in this Agreement or any other Loan Document, all payments received on account of the Secured Obligations and all net proceeds from the enforcement of the Secured Obligations shall be applied:</w:t>
      </w:r>
    </w:p>
    <w:p>
      <w:pPr>
        <w:spacing w:after="0" w:line="187" w:lineRule="exact"/>
        <w:rPr>
          <w:rFonts w:ascii="Times New Roman" w:cs="Times New Roman" w:eastAsia="Times New Roman" w:hAnsi="Times New Roman"/>
          <w:sz w:val="20"/>
          <w:szCs w:val="20"/>
          <w:color w:val="auto"/>
        </w:rPr>
      </w:pPr>
    </w:p>
    <w:p>
      <w:pPr>
        <w:ind w:left="60" w:firstLine="644"/>
        <w:spacing w:after="0"/>
        <w:tabs>
          <w:tab w:leader="none" w:pos="1239" w:val="left"/>
        </w:tabs>
        <w:numPr>
          <w:ilvl w:val="1"/>
          <w:numId w:val="3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payment received from or on behalf of, or any net proceeds from the enforcement of the Secured Obligations received from or on behalf of, any US Credit Party (or proceeds from any Collateral owned by any US Credit Party):</w:t>
      </w:r>
    </w:p>
    <w:p>
      <w:pPr>
        <w:spacing w:after="0" w:line="188" w:lineRule="exact"/>
        <w:rPr>
          <w:sz w:val="20"/>
          <w:szCs w:val="20"/>
          <w:color w:val="auto"/>
        </w:rPr>
      </w:pPr>
    </w:p>
    <w:p>
      <w:pPr>
        <w:ind w:left="700" w:right="20" w:firstLine="648"/>
        <w:spacing w:after="0"/>
        <w:rPr>
          <w:sz w:val="20"/>
          <w:szCs w:val="20"/>
          <w:color w:val="auto"/>
        </w:rPr>
      </w:pPr>
      <w:r>
        <w:rPr>
          <w:rFonts w:ascii="Times New Roman" w:cs="Times New Roman" w:eastAsia="Times New Roman" w:hAnsi="Times New Roman"/>
          <w:sz w:val="20"/>
          <w:szCs w:val="20"/>
          <w:u w:val="single" w:color="auto"/>
          <w:color w:val="auto"/>
        </w:rPr>
        <w:t>First</w:t>
      </w:r>
      <w:r>
        <w:rPr>
          <w:rFonts w:ascii="Times New Roman" w:cs="Times New Roman" w:eastAsia="Times New Roman" w:hAnsi="Times New Roman"/>
          <w:sz w:val="20"/>
          <w:szCs w:val="20"/>
          <w:color w:val="auto"/>
        </w:rPr>
        <w:t>, to payment of that portion of the US Secured Obligations constituting fees, indemnities, expenses and other amounts, including attorney fees, payable to the Administrative Agent in its capacity as such;</w:t>
      </w:r>
    </w:p>
    <w:p>
      <w:pPr>
        <w:spacing w:after="0" w:line="188" w:lineRule="exact"/>
        <w:rPr>
          <w:sz w:val="20"/>
          <w:szCs w:val="20"/>
          <w:color w:val="auto"/>
        </w:rPr>
      </w:pPr>
    </w:p>
    <w:p>
      <w:pPr>
        <w:jc w:val="both"/>
        <w:ind w:left="700" w:firstLine="648"/>
        <w:spacing w:after="0" w:line="215" w:lineRule="auto"/>
        <w:rPr>
          <w:sz w:val="20"/>
          <w:szCs w:val="20"/>
          <w:color w:val="auto"/>
        </w:rPr>
      </w:pP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to payment of that portion of the US Secured Obligations constituting fees (other than Commitment Fees and Letter of Credit fees payable to the Revolving Credit Lenders), indemnities and other amounts (other than principal and interest)</w:t>
      </w:r>
    </w:p>
    <w:p>
      <w:pPr>
        <w:ind w:left="700"/>
        <w:spacing w:after="0" w:line="224" w:lineRule="auto"/>
        <w:rPr>
          <w:sz w:val="20"/>
          <w:szCs w:val="20"/>
          <w:color w:val="auto"/>
        </w:rPr>
      </w:pPr>
      <w:r>
        <w:rPr>
          <w:rFonts w:ascii="Times New Roman" w:cs="Times New Roman" w:eastAsia="Times New Roman" w:hAnsi="Times New Roman"/>
          <w:sz w:val="19"/>
          <w:szCs w:val="19"/>
          <w:color w:val="auto"/>
        </w:rPr>
        <w:t>payable to the Lenders, the Issuing Lenders and the Swingline Lenders under the Loan Documents, including attorney fees, ratably</w:t>
      </w:r>
    </w:p>
    <w:p>
      <w:pPr>
        <w:ind w:left="700"/>
        <w:spacing w:after="0" w:line="221" w:lineRule="auto"/>
        <w:rPr>
          <w:sz w:val="20"/>
          <w:szCs w:val="20"/>
          <w:color w:val="auto"/>
        </w:rPr>
      </w:pPr>
      <w:r>
        <w:rPr>
          <w:rFonts w:ascii="Times New Roman" w:cs="Times New Roman" w:eastAsia="Times New Roman" w:hAnsi="Times New Roman"/>
          <w:sz w:val="20"/>
          <w:szCs w:val="20"/>
          <w:color w:val="auto"/>
        </w:rPr>
        <w:t xml:space="preserve">among the Lenders, the Issuing Lenders and the Swingline Lenders in proportion to the respective amounts described in this clause </w:t>
      </w: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xml:space="preserve"> payable to them;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FF0000"/>
          <w:strike w:val="1"/>
        </w:rPr>
        <w:t>146960219_6</w:t>
      </w: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144</w:t>
      </w:r>
      <w:r>
        <w:rPr>
          <w:sz w:val="20"/>
          <w:szCs w:val="20"/>
          <w:color w:val="auto"/>
        </w:rPr>
        <w:tab/>
      </w: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080"/>
          </w:cols>
          <w:pgMar w:left="380" w:top="1440" w:right="439" w:bottom="1440" w:gutter="0" w:footer="0" w:header="0"/>
        </w:sectPr>
      </w:pPr>
    </w:p>
    <w:bookmarkStart w:id="228" w:name="page229"/>
    <w:bookmarkEnd w:id="228"/>
    <w:p>
      <w:pPr>
        <w:spacing w:after="0" w:line="20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9"/>
          <w:szCs w:val="19"/>
          <w:u w:val="single" w:color="auto"/>
          <w:color w:val="auto"/>
        </w:rPr>
        <w:t>Third</w:t>
      </w:r>
      <w:r>
        <w:rPr>
          <w:rFonts w:ascii="Times New Roman" w:cs="Times New Roman" w:eastAsia="Times New Roman" w:hAnsi="Times New Roman"/>
          <w:sz w:val="19"/>
          <w:szCs w:val="19"/>
          <w:color w:val="auto"/>
        </w:rPr>
        <w:t>, to payment of that portion of the US Secured Obligations constituting accrued and unpaid Commitment Fees, Letter</w:t>
      </w:r>
    </w:p>
    <w:p>
      <w:pPr>
        <w:spacing w:after="0" w:line="6" w:lineRule="exact"/>
        <w:rPr>
          <w:sz w:val="20"/>
          <w:szCs w:val="20"/>
          <w:color w:val="auto"/>
        </w:rPr>
      </w:pPr>
    </w:p>
    <w:p>
      <w:pPr>
        <w:ind w:left="700"/>
        <w:spacing w:after="0" w:line="215" w:lineRule="auto"/>
        <w:rPr>
          <w:sz w:val="20"/>
          <w:szCs w:val="20"/>
          <w:color w:val="auto"/>
        </w:rPr>
      </w:pPr>
      <w:r>
        <w:rPr>
          <w:rFonts w:ascii="Times New Roman" w:cs="Times New Roman" w:eastAsia="Times New Roman" w:hAnsi="Times New Roman"/>
          <w:sz w:val="19"/>
          <w:szCs w:val="19"/>
          <w:color w:val="auto"/>
        </w:rPr>
        <w:t xml:space="preserve">of Credit fees payable to the Revolving Credit Lenders and interest on the Loans and Reimbursement Obligations, ratably among the Lenders, the Issuing Lenders and the Swingline Lenders in proportion to the respective amounts described in this clause </w:t>
      </w:r>
      <w:r>
        <w:rPr>
          <w:rFonts w:ascii="Times New Roman" w:cs="Times New Roman" w:eastAsia="Times New Roman" w:hAnsi="Times New Roman"/>
          <w:sz w:val="19"/>
          <w:szCs w:val="19"/>
          <w:u w:val="single" w:color="auto"/>
          <w:color w:val="auto"/>
        </w:rPr>
        <w:t>Third</w:t>
      </w:r>
    </w:p>
    <w:p>
      <w:pPr>
        <w:ind w:left="700"/>
        <w:spacing w:after="0"/>
        <w:rPr>
          <w:sz w:val="20"/>
          <w:szCs w:val="20"/>
          <w:color w:val="auto"/>
        </w:rPr>
      </w:pPr>
      <w:r>
        <w:rPr>
          <w:rFonts w:ascii="Times New Roman" w:cs="Times New Roman" w:eastAsia="Times New Roman" w:hAnsi="Times New Roman"/>
          <w:sz w:val="20"/>
          <w:szCs w:val="20"/>
          <w:color w:val="auto"/>
        </w:rPr>
        <w:t>payable to them;</w:t>
      </w:r>
    </w:p>
    <w:p>
      <w:pPr>
        <w:spacing w:after="0" w:line="261" w:lineRule="exact"/>
        <w:rPr>
          <w:sz w:val="20"/>
          <w:szCs w:val="20"/>
          <w:color w:val="auto"/>
        </w:rPr>
      </w:pPr>
    </w:p>
    <w:p>
      <w:pPr>
        <w:ind w:left="700" w:firstLine="648"/>
        <w:spacing w:after="0" w:line="215" w:lineRule="auto"/>
        <w:rPr>
          <w:sz w:val="20"/>
          <w:szCs w:val="20"/>
          <w:color w:val="auto"/>
        </w:rPr>
      </w:pPr>
      <w:r>
        <w:rPr>
          <w:rFonts w:ascii="Times New Roman" w:cs="Times New Roman" w:eastAsia="Times New Roman" w:hAnsi="Times New Roman"/>
          <w:sz w:val="20"/>
          <w:szCs w:val="20"/>
          <w:u w:val="single" w:color="auto"/>
          <w:color w:val="auto"/>
        </w:rPr>
        <w:t>Fourth</w:t>
      </w:r>
      <w:r>
        <w:rPr>
          <w:rFonts w:ascii="Times New Roman" w:cs="Times New Roman" w:eastAsia="Times New Roman" w:hAnsi="Times New Roman"/>
          <w:sz w:val="20"/>
          <w:szCs w:val="20"/>
          <w:color w:val="auto"/>
        </w:rPr>
        <w:t>, to payment of that portion of the US Secured Obligations constituting unpaid principal of the Loans, Reimbursement Obligations and payment obligations then owing under Secured Hedge Agreements and Secured Cash</w:t>
      </w:r>
    </w:p>
    <w:p>
      <w:pPr>
        <w:ind w:left="700"/>
        <w:spacing w:after="0" w:line="212" w:lineRule="auto"/>
        <w:rPr>
          <w:sz w:val="20"/>
          <w:szCs w:val="20"/>
          <w:color w:val="auto"/>
        </w:rPr>
      </w:pPr>
      <w:r>
        <w:rPr>
          <w:rFonts w:ascii="Times New Roman" w:cs="Times New Roman" w:eastAsia="Times New Roman" w:hAnsi="Times New Roman"/>
          <w:sz w:val="20"/>
          <w:szCs w:val="20"/>
          <w:color w:val="auto"/>
        </w:rPr>
        <w:t>Management Agreements and to Cash Collateralize any US L/C Obligations then outstanding, ratably among the Lenders, the</w:t>
      </w:r>
    </w:p>
    <w:p>
      <w:pPr>
        <w:spacing w:after="0" w:line="1" w:lineRule="exact"/>
        <w:rPr>
          <w:sz w:val="20"/>
          <w:szCs w:val="20"/>
          <w:color w:val="auto"/>
        </w:rPr>
      </w:pPr>
    </w:p>
    <w:p>
      <w:pPr>
        <w:ind w:left="700" w:right="20"/>
        <w:spacing w:after="0" w:line="221" w:lineRule="auto"/>
        <w:rPr>
          <w:sz w:val="20"/>
          <w:szCs w:val="20"/>
          <w:color w:val="auto"/>
        </w:rPr>
      </w:pPr>
      <w:r>
        <w:rPr>
          <w:rFonts w:ascii="Times New Roman" w:cs="Times New Roman" w:eastAsia="Times New Roman" w:hAnsi="Times New Roman"/>
          <w:sz w:val="20"/>
          <w:szCs w:val="20"/>
          <w:color w:val="auto"/>
        </w:rPr>
        <w:t xml:space="preserve">Issuing Lenders, Swingline Lenders, the Hedge Banks and the Cash Management Banks in proportion to the respective amounts described in this clause </w:t>
      </w:r>
      <w:r>
        <w:rPr>
          <w:rFonts w:ascii="Times New Roman" w:cs="Times New Roman" w:eastAsia="Times New Roman" w:hAnsi="Times New Roman"/>
          <w:sz w:val="20"/>
          <w:szCs w:val="20"/>
          <w:u w:val="single" w:color="auto"/>
          <w:color w:val="auto"/>
        </w:rPr>
        <w:t>Fourth</w:t>
      </w:r>
      <w:r>
        <w:rPr>
          <w:rFonts w:ascii="Times New Roman" w:cs="Times New Roman" w:eastAsia="Times New Roman" w:hAnsi="Times New Roman"/>
          <w:sz w:val="20"/>
          <w:szCs w:val="20"/>
          <w:color w:val="auto"/>
        </w:rPr>
        <w:t xml:space="preserve"> payable to them;</w:t>
      </w:r>
    </w:p>
    <w:p>
      <w:pPr>
        <w:spacing w:after="0" w:line="256" w:lineRule="exact"/>
        <w:rPr>
          <w:sz w:val="20"/>
          <w:szCs w:val="20"/>
          <w:color w:val="auto"/>
        </w:rPr>
      </w:pPr>
    </w:p>
    <w:p>
      <w:pPr>
        <w:ind w:left="700" w:right="2700" w:firstLine="648"/>
        <w:spacing w:after="0"/>
        <w:rPr>
          <w:sz w:val="20"/>
          <w:szCs w:val="20"/>
          <w:color w:val="auto"/>
        </w:rPr>
      </w:pPr>
      <w:r>
        <w:rPr>
          <w:rFonts w:ascii="Times New Roman" w:cs="Times New Roman" w:eastAsia="Times New Roman" w:hAnsi="Times New Roman"/>
          <w:sz w:val="20"/>
          <w:szCs w:val="20"/>
          <w:u w:val="single" w:color="auto"/>
          <w:color w:val="auto"/>
        </w:rPr>
        <w:t>Fifth</w:t>
      </w:r>
      <w:r>
        <w:rPr>
          <w:rFonts w:ascii="Times New Roman" w:cs="Times New Roman" w:eastAsia="Times New Roman" w:hAnsi="Times New Roman"/>
          <w:sz w:val="20"/>
          <w:szCs w:val="20"/>
          <w:color w:val="auto"/>
        </w:rPr>
        <w:t>, to the payment of the Canadian Secured Obligations in the order set forth in clause (b) below; and</w:t>
      </w:r>
    </w:p>
    <w:p>
      <w:pPr>
        <w:spacing w:after="0" w:line="188" w:lineRule="exact"/>
        <w:rPr>
          <w:sz w:val="20"/>
          <w:szCs w:val="20"/>
          <w:color w:val="auto"/>
        </w:rPr>
      </w:pPr>
    </w:p>
    <w:p>
      <w:pPr>
        <w:ind w:left="700" w:firstLine="648"/>
        <w:spacing w:after="0"/>
        <w:rPr>
          <w:sz w:val="20"/>
          <w:szCs w:val="20"/>
          <w:color w:val="auto"/>
        </w:rPr>
      </w:pPr>
      <w:r>
        <w:rPr>
          <w:rFonts w:ascii="Times New Roman" w:cs="Times New Roman" w:eastAsia="Times New Roman" w:hAnsi="Times New Roman"/>
          <w:sz w:val="20"/>
          <w:szCs w:val="20"/>
          <w:u w:val="single" w:color="auto"/>
          <w:color w:val="auto"/>
        </w:rPr>
        <w:t>Last</w:t>
      </w:r>
      <w:r>
        <w:rPr>
          <w:rFonts w:ascii="Times New Roman" w:cs="Times New Roman" w:eastAsia="Times New Roman" w:hAnsi="Times New Roman"/>
          <w:sz w:val="20"/>
          <w:szCs w:val="20"/>
          <w:color w:val="auto"/>
        </w:rPr>
        <w:t>, the balance, if any, after all of the US Secured Obligations and the Canadian Secured Obligations have been indefeasibly paid in full, to the Borrowers or as otherwise required by Applicable Law.</w:t>
      </w:r>
    </w:p>
    <w:p>
      <w:pPr>
        <w:spacing w:after="0" w:line="188" w:lineRule="exact"/>
        <w:rPr>
          <w:sz w:val="20"/>
          <w:szCs w:val="20"/>
          <w:color w:val="auto"/>
        </w:rPr>
      </w:pPr>
    </w:p>
    <w:p>
      <w:pPr>
        <w:jc w:val="both"/>
        <w:ind w:left="60" w:firstLine="643"/>
        <w:spacing w:after="0" w:line="226" w:lineRule="auto"/>
        <w:tabs>
          <w:tab w:leader="none" w:pos="1031" w:val="left"/>
        </w:tabs>
        <w:numPr>
          <w:ilvl w:val="0"/>
          <w:numId w:val="3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payment received from or on behalf of, or any net proceeds from the enforcement of the Secured Obligations received from or on behalf of, any Canadian Credit Party (or proceeds from any Collateral owned by any Canadian Credit Party):</w:t>
      </w:r>
    </w:p>
    <w:p>
      <w:pPr>
        <w:spacing w:after="0" w:line="201" w:lineRule="exact"/>
        <w:rPr>
          <w:sz w:val="20"/>
          <w:szCs w:val="20"/>
          <w:color w:val="auto"/>
        </w:rPr>
      </w:pPr>
    </w:p>
    <w:p>
      <w:pPr>
        <w:ind w:left="740" w:right="20" w:firstLine="647"/>
        <w:spacing w:after="0" w:line="269" w:lineRule="auto"/>
        <w:rPr>
          <w:sz w:val="20"/>
          <w:szCs w:val="20"/>
          <w:color w:val="auto"/>
        </w:rPr>
      </w:pPr>
      <w:r>
        <w:rPr>
          <w:rFonts w:ascii="Times New Roman" w:cs="Times New Roman" w:eastAsia="Times New Roman" w:hAnsi="Times New Roman"/>
          <w:sz w:val="20"/>
          <w:szCs w:val="20"/>
          <w:u w:val="single" w:color="auto"/>
          <w:color w:val="auto"/>
        </w:rPr>
        <w:t>First</w:t>
      </w:r>
      <w:r>
        <w:rPr>
          <w:rFonts w:ascii="Times New Roman" w:cs="Times New Roman" w:eastAsia="Times New Roman" w:hAnsi="Times New Roman"/>
          <w:sz w:val="20"/>
          <w:szCs w:val="20"/>
          <w:color w:val="auto"/>
        </w:rPr>
        <w:t>, to payment of that portion of the Canadian Secured Obligations constituting fees, indemnities, expenses and other amounts, including attorney fees, payable to the Administrative Agent in its capacity as such;</w:t>
      </w:r>
    </w:p>
    <w:p>
      <w:pPr>
        <w:spacing w:after="0" w:line="186" w:lineRule="exact"/>
        <w:rPr>
          <w:sz w:val="20"/>
          <w:szCs w:val="20"/>
          <w:color w:val="auto"/>
        </w:rPr>
      </w:pPr>
    </w:p>
    <w:p>
      <w:pPr>
        <w:ind w:left="740" w:firstLine="648"/>
        <w:spacing w:after="0" w:line="215" w:lineRule="auto"/>
        <w:rPr>
          <w:sz w:val="20"/>
          <w:szCs w:val="20"/>
          <w:color w:val="auto"/>
        </w:rPr>
      </w:pP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to payment of that portion of the Canadian Secured Obligations constituting fees (other than Commitment Fees and Letter of Credit fees payable to the Revolving Credit Lenders), indemnities and other amounts (other than principal and</w:t>
      </w:r>
    </w:p>
    <w:p>
      <w:pPr>
        <w:ind w:left="740"/>
        <w:spacing w:after="0" w:line="212" w:lineRule="auto"/>
        <w:rPr>
          <w:sz w:val="20"/>
          <w:szCs w:val="20"/>
          <w:color w:val="auto"/>
        </w:rPr>
      </w:pPr>
      <w:r>
        <w:rPr>
          <w:rFonts w:ascii="Times New Roman" w:cs="Times New Roman" w:eastAsia="Times New Roman" w:hAnsi="Times New Roman"/>
          <w:sz w:val="20"/>
          <w:szCs w:val="20"/>
          <w:color w:val="auto"/>
        </w:rPr>
        <w:t>interest) payable to the Lenders, the Issuing Lenders and the Swingline Lenders under the Loan Documents, including attorney</w:t>
      </w:r>
    </w:p>
    <w:p>
      <w:pPr>
        <w:spacing w:after="0" w:line="1" w:lineRule="exact"/>
        <w:rPr>
          <w:sz w:val="20"/>
          <w:szCs w:val="20"/>
          <w:color w:val="auto"/>
        </w:rPr>
      </w:pPr>
    </w:p>
    <w:p>
      <w:pPr>
        <w:ind w:left="740"/>
        <w:spacing w:after="0" w:line="221" w:lineRule="auto"/>
        <w:rPr>
          <w:sz w:val="20"/>
          <w:szCs w:val="20"/>
          <w:color w:val="auto"/>
        </w:rPr>
      </w:pPr>
      <w:r>
        <w:rPr>
          <w:rFonts w:ascii="Times New Roman" w:cs="Times New Roman" w:eastAsia="Times New Roman" w:hAnsi="Times New Roman"/>
          <w:sz w:val="20"/>
          <w:szCs w:val="20"/>
          <w:color w:val="auto"/>
        </w:rPr>
        <w:t xml:space="preserve">fees, ratably among the Lenders, the Issuing Lenders and the Swingline Lenders in proportion to the respective amounts described in this clause </w:t>
      </w: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xml:space="preserve"> payable to them;</w:t>
      </w:r>
    </w:p>
    <w:p>
      <w:pPr>
        <w:spacing w:after="0" w:line="25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9"/>
          <w:szCs w:val="19"/>
          <w:u w:val="single" w:color="auto"/>
          <w:color w:val="auto"/>
        </w:rPr>
        <w:t>Third</w:t>
      </w:r>
      <w:r>
        <w:rPr>
          <w:rFonts w:ascii="Times New Roman" w:cs="Times New Roman" w:eastAsia="Times New Roman" w:hAnsi="Times New Roman"/>
          <w:sz w:val="19"/>
          <w:szCs w:val="19"/>
          <w:color w:val="auto"/>
        </w:rPr>
        <w:t>, to payment of that portion of the Canadian Secured Obligations constituting accrued and unpaid Commitment Fees</w:t>
      </w:r>
    </w:p>
    <w:p>
      <w:pPr>
        <w:spacing w:after="0" w:line="6" w:lineRule="exact"/>
        <w:rPr>
          <w:sz w:val="20"/>
          <w:szCs w:val="20"/>
          <w:color w:val="auto"/>
        </w:rPr>
      </w:pPr>
    </w:p>
    <w:p>
      <w:pPr>
        <w:ind w:left="740"/>
        <w:spacing w:after="0" w:line="204" w:lineRule="auto"/>
        <w:rPr>
          <w:sz w:val="20"/>
          <w:szCs w:val="20"/>
          <w:color w:val="auto"/>
        </w:rPr>
      </w:pPr>
      <w:r>
        <w:rPr>
          <w:rFonts w:ascii="Times New Roman" w:cs="Times New Roman" w:eastAsia="Times New Roman" w:hAnsi="Times New Roman"/>
          <w:sz w:val="20"/>
          <w:szCs w:val="20"/>
          <w:color w:val="auto"/>
        </w:rPr>
        <w:t>and Letter of Credit fees payable to the Revolving Credit Lenders and interest on the Loans and the Reimbursement Obligations, ratably among the Lenders, the Issuing Lenders and the Swingline Lenders in proportion to the respective amounts described in</w:t>
      </w:r>
    </w:p>
    <w:p>
      <w:pPr>
        <w:spacing w:after="0" w:line="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 xml:space="preserve">this clause </w:t>
      </w:r>
      <w:r>
        <w:rPr>
          <w:rFonts w:ascii="Times New Roman" w:cs="Times New Roman" w:eastAsia="Times New Roman" w:hAnsi="Times New Roman"/>
          <w:sz w:val="20"/>
          <w:szCs w:val="20"/>
          <w:u w:val="single" w:color="auto"/>
          <w:color w:val="auto"/>
        </w:rPr>
        <w:t>Third</w:t>
      </w:r>
      <w:r>
        <w:rPr>
          <w:rFonts w:ascii="Times New Roman" w:cs="Times New Roman" w:eastAsia="Times New Roman" w:hAnsi="Times New Roman"/>
          <w:sz w:val="20"/>
          <w:szCs w:val="20"/>
          <w:color w:val="auto"/>
        </w:rPr>
        <w:t xml:space="preserve"> payable to them;</w:t>
      </w:r>
    </w:p>
    <w:p>
      <w:pPr>
        <w:spacing w:after="0" w:line="261" w:lineRule="exact"/>
        <w:rPr>
          <w:sz w:val="20"/>
          <w:szCs w:val="20"/>
          <w:color w:val="auto"/>
        </w:rPr>
      </w:pPr>
    </w:p>
    <w:p>
      <w:pPr>
        <w:ind w:left="740" w:firstLine="648"/>
        <w:spacing w:after="0" w:line="215" w:lineRule="auto"/>
        <w:rPr>
          <w:sz w:val="20"/>
          <w:szCs w:val="20"/>
          <w:color w:val="auto"/>
        </w:rPr>
      </w:pPr>
      <w:r>
        <w:rPr>
          <w:rFonts w:ascii="Times New Roman" w:cs="Times New Roman" w:eastAsia="Times New Roman" w:hAnsi="Times New Roman"/>
          <w:sz w:val="20"/>
          <w:szCs w:val="20"/>
          <w:u w:val="single" w:color="auto"/>
          <w:color w:val="auto"/>
        </w:rPr>
        <w:t>Fourth</w:t>
      </w:r>
      <w:r>
        <w:rPr>
          <w:rFonts w:ascii="Times New Roman" w:cs="Times New Roman" w:eastAsia="Times New Roman" w:hAnsi="Times New Roman"/>
          <w:sz w:val="20"/>
          <w:szCs w:val="20"/>
          <w:color w:val="auto"/>
        </w:rPr>
        <w:t>, to payment of that portion of the Canadian Secured Obligations constituting unpaid principal of the Loans, Reimbursement Obligations and payment obligations then owing under Secured Hedge Agreements with Canadian Hedge Banks</w:t>
      </w:r>
    </w:p>
    <w:p>
      <w:pPr>
        <w:ind w:left="740"/>
        <w:spacing w:after="0" w:line="224" w:lineRule="auto"/>
        <w:rPr>
          <w:sz w:val="20"/>
          <w:szCs w:val="20"/>
          <w:color w:val="auto"/>
        </w:rPr>
      </w:pPr>
      <w:r>
        <w:rPr>
          <w:rFonts w:ascii="Times New Roman" w:cs="Times New Roman" w:eastAsia="Times New Roman" w:hAnsi="Times New Roman"/>
          <w:sz w:val="19"/>
          <w:szCs w:val="19"/>
          <w:color w:val="auto"/>
        </w:rPr>
        <w:t>and Secured Cash Management Agreements with Canadian Cash Management Banks and to Cash Collateralize any Canadian L/C</w:t>
      </w:r>
    </w:p>
    <w:p>
      <w:pPr>
        <w:ind w:left="740"/>
        <w:spacing w:after="0" w:line="215" w:lineRule="auto"/>
        <w:rPr>
          <w:sz w:val="20"/>
          <w:szCs w:val="20"/>
          <w:color w:val="auto"/>
        </w:rPr>
      </w:pPr>
      <w:r>
        <w:rPr>
          <w:rFonts w:ascii="Times New Roman" w:cs="Times New Roman" w:eastAsia="Times New Roman" w:hAnsi="Times New Roman"/>
          <w:sz w:val="19"/>
          <w:szCs w:val="19"/>
          <w:color w:val="auto"/>
        </w:rPr>
        <w:t xml:space="preserve">Obligations then outstanding, ratably among the Lenders, the Issuing Lenders and the Swingline Lenders, the Canadian Hedge Banks and the Canadian Cash Management Banks in proportion to the respective amounts described in this clause </w:t>
      </w:r>
      <w:r>
        <w:rPr>
          <w:rFonts w:ascii="Times New Roman" w:cs="Times New Roman" w:eastAsia="Times New Roman" w:hAnsi="Times New Roman"/>
          <w:sz w:val="19"/>
          <w:szCs w:val="19"/>
          <w:u w:val="single" w:color="auto"/>
          <w:color w:val="auto"/>
        </w:rPr>
        <w:t>Fourth</w:t>
      </w:r>
      <w:r>
        <w:rPr>
          <w:rFonts w:ascii="Times New Roman" w:cs="Times New Roman" w:eastAsia="Times New Roman" w:hAnsi="Times New Roman"/>
          <w:sz w:val="19"/>
          <w:szCs w:val="19"/>
          <w:color w:val="auto"/>
        </w:rPr>
        <w:t xml:space="preserve"> payable</w:t>
      </w:r>
    </w:p>
    <w:p>
      <w:pPr>
        <w:ind w:left="740"/>
        <w:spacing w:after="0"/>
        <w:rPr>
          <w:sz w:val="20"/>
          <w:szCs w:val="20"/>
          <w:color w:val="auto"/>
        </w:rPr>
      </w:pPr>
      <w:r>
        <w:rPr>
          <w:rFonts w:ascii="Times New Roman" w:cs="Times New Roman" w:eastAsia="Times New Roman" w:hAnsi="Times New Roman"/>
          <w:sz w:val="20"/>
          <w:szCs w:val="20"/>
          <w:color w:val="auto"/>
        </w:rPr>
        <w:t>to them; and</w:t>
      </w:r>
    </w:p>
    <w:p>
      <w:pPr>
        <w:spacing w:after="0" w:line="275" w:lineRule="exact"/>
        <w:rPr>
          <w:sz w:val="20"/>
          <w:szCs w:val="20"/>
          <w:color w:val="auto"/>
        </w:rPr>
      </w:pPr>
    </w:p>
    <w:p>
      <w:pPr>
        <w:ind w:left="740" w:right="20" w:firstLine="648"/>
        <w:spacing w:after="0" w:line="269" w:lineRule="auto"/>
        <w:rPr>
          <w:sz w:val="20"/>
          <w:szCs w:val="20"/>
          <w:color w:val="auto"/>
        </w:rPr>
      </w:pPr>
      <w:r>
        <w:rPr>
          <w:rFonts w:ascii="Times New Roman" w:cs="Times New Roman" w:eastAsia="Times New Roman" w:hAnsi="Times New Roman"/>
          <w:sz w:val="20"/>
          <w:szCs w:val="20"/>
          <w:u w:val="single" w:color="auto"/>
          <w:color w:val="auto"/>
        </w:rPr>
        <w:t>Last</w:t>
      </w:r>
      <w:r>
        <w:rPr>
          <w:rFonts w:ascii="Times New Roman" w:cs="Times New Roman" w:eastAsia="Times New Roman" w:hAnsi="Times New Roman"/>
          <w:sz w:val="20"/>
          <w:szCs w:val="20"/>
          <w:color w:val="auto"/>
        </w:rPr>
        <w:t>, the balance, if any, after all of the Canadian Secured Obligations have been indefeasibly paid in full, to the Canadian Borrowers or as otherwise required by Applicable Law.</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FF0000"/>
          <w:strike w:val="1"/>
        </w:rPr>
        <w:t>146960219_6</w:t>
      </w: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145</w:t>
      </w:r>
      <w:r>
        <w:rPr>
          <w:sz w:val="20"/>
          <w:szCs w:val="20"/>
          <w:color w:val="auto"/>
        </w:rPr>
        <w:tab/>
      </w: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080"/>
          </w:cols>
          <w:pgMar w:left="380" w:top="1440" w:right="439" w:bottom="1440" w:gutter="0" w:footer="0" w:header="0"/>
        </w:sectPr>
      </w:pPr>
    </w:p>
    <w:bookmarkStart w:id="229" w:name="page230"/>
    <w:bookmarkEnd w:id="229"/>
    <w:p>
      <w:pPr>
        <w:ind w:left="700"/>
        <w:spacing w:after="0"/>
        <w:rPr>
          <w:sz w:val="20"/>
          <w:szCs w:val="20"/>
          <w:color w:val="auto"/>
        </w:rPr>
      </w:pPr>
      <w:r>
        <w:rPr>
          <w:rFonts w:ascii="Times New Roman" w:cs="Times New Roman" w:eastAsia="Times New Roman" w:hAnsi="Times New Roman"/>
          <w:sz w:val="20"/>
          <w:szCs w:val="20"/>
          <w:color w:val="auto"/>
        </w:rPr>
        <w:t>Notwithstanding the foregoing, Secured Obligations arising under Secured Cash Management Agreements and Secured Hedge</w:t>
      </w:r>
    </w:p>
    <w:p>
      <w:pPr>
        <w:ind w:left="60" w:right="20"/>
        <w:spacing w:after="0" w:line="204" w:lineRule="auto"/>
        <w:rPr>
          <w:sz w:val="20"/>
          <w:szCs w:val="20"/>
          <w:color w:val="auto"/>
        </w:rPr>
      </w:pPr>
      <w:r>
        <w:rPr>
          <w:rFonts w:ascii="Times New Roman" w:cs="Times New Roman" w:eastAsia="Times New Roman" w:hAnsi="Times New Roman"/>
          <w:sz w:val="20"/>
          <w:szCs w:val="20"/>
          <w:color w:val="auto"/>
        </w:rPr>
        <w:t>Agreements shall be excluded from the application described above if the Administrative Agent has not received written notice thereof, together with such supporting documentation as the Administrative Agent may request, from the applicable Cash Management Bank or</w:t>
      </w:r>
    </w:p>
    <w:p>
      <w:pPr>
        <w:ind w:left="60"/>
        <w:spacing w:after="0" w:line="211" w:lineRule="auto"/>
        <w:rPr>
          <w:sz w:val="20"/>
          <w:szCs w:val="20"/>
          <w:color w:val="auto"/>
        </w:rPr>
      </w:pPr>
      <w:r>
        <w:rPr>
          <w:rFonts w:ascii="Times New Roman" w:cs="Times New Roman" w:eastAsia="Times New Roman" w:hAnsi="Times New Roman"/>
          <w:sz w:val="20"/>
          <w:szCs w:val="20"/>
          <w:color w:val="auto"/>
        </w:rPr>
        <w:t>Hedge Bank, as the case may be, following such acceleration or exercise of remedies and at least three (3) Business Days prior to the</w:t>
      </w:r>
    </w:p>
    <w:p>
      <w:pPr>
        <w:spacing w:after="0" w:line="1" w:lineRule="exact"/>
        <w:rPr>
          <w:sz w:val="20"/>
          <w:szCs w:val="20"/>
          <w:color w:val="auto"/>
        </w:rPr>
      </w:pPr>
    </w:p>
    <w:p>
      <w:pPr>
        <w:ind w:left="60"/>
        <w:spacing w:after="0" w:line="204" w:lineRule="auto"/>
        <w:rPr>
          <w:sz w:val="20"/>
          <w:szCs w:val="20"/>
          <w:color w:val="auto"/>
        </w:rPr>
      </w:pPr>
      <w:r>
        <w:rPr>
          <w:rFonts w:ascii="Times New Roman" w:cs="Times New Roman" w:eastAsia="Times New Roman" w:hAnsi="Times New Roman"/>
          <w:sz w:val="20"/>
          <w:szCs w:val="20"/>
          <w:color w:val="auto"/>
        </w:rPr>
        <w:t>application of the proceeds thereof. Each Cash Management Bank or Hedge Bank that is not a party to this Agreement that has given the notice contemplated by the preceding sentence shall, by such notice, be deemed to have acknowledged and accepted the appointment of</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 xml:space="preserve">the Administrative Agent pursuant to the terms of </w:t>
      </w:r>
      <w:r>
        <w:rPr>
          <w:rFonts w:ascii="Times New Roman" w:cs="Times New Roman" w:eastAsia="Times New Roman" w:hAnsi="Times New Roman"/>
          <w:sz w:val="20"/>
          <w:szCs w:val="20"/>
          <w:u w:val="single" w:color="auto"/>
          <w:color w:val="auto"/>
        </w:rPr>
        <w:t>Article XI</w:t>
      </w:r>
      <w:r>
        <w:rPr>
          <w:rFonts w:ascii="Times New Roman" w:cs="Times New Roman" w:eastAsia="Times New Roman" w:hAnsi="Times New Roman"/>
          <w:sz w:val="20"/>
          <w:szCs w:val="20"/>
          <w:color w:val="auto"/>
        </w:rPr>
        <w:t xml:space="preserve"> for itself and its Affiliates as if a “Lender” party hereto.</w:t>
      </w:r>
    </w:p>
    <w:p>
      <w:pPr>
        <w:spacing w:after="0" w:line="261" w:lineRule="exact"/>
        <w:rPr>
          <w:sz w:val="20"/>
          <w:szCs w:val="20"/>
          <w:color w:val="auto"/>
        </w:rPr>
      </w:pPr>
    </w:p>
    <w:p>
      <w:pPr>
        <w:ind w:left="700"/>
        <w:spacing w:after="0"/>
        <w:tabs>
          <w:tab w:leader="none" w:pos="2120" w:val="left"/>
        </w:tabs>
        <w:rPr>
          <w:sz w:val="20"/>
          <w:szCs w:val="20"/>
          <w:color w:val="auto"/>
        </w:rPr>
      </w:pPr>
      <w:r>
        <w:rPr>
          <w:rFonts w:ascii="Times New Roman" w:cs="Times New Roman" w:eastAsia="Times New Roman" w:hAnsi="Times New Roman"/>
          <w:sz w:val="20"/>
          <w:szCs w:val="20"/>
          <w:color w:val="auto"/>
        </w:rPr>
        <w:t>SECTION 10.5</w:t>
      </w:r>
      <w:r>
        <w:rPr>
          <w:sz w:val="20"/>
          <w:szCs w:val="20"/>
          <w:color w:val="auto"/>
        </w:rPr>
        <w:tab/>
      </w:r>
      <w:r>
        <w:rPr>
          <w:rFonts w:ascii="Times New Roman" w:cs="Times New Roman" w:eastAsia="Times New Roman" w:hAnsi="Times New Roman"/>
          <w:sz w:val="19"/>
          <w:szCs w:val="19"/>
          <w:u w:val="single" w:color="auto"/>
          <w:color w:val="auto"/>
        </w:rPr>
        <w:t>Administrative Agent May File Proofs of Claim</w:t>
      </w:r>
    </w:p>
    <w:p>
      <w:pPr>
        <w:spacing w:after="0" w:line="283" w:lineRule="exact"/>
        <w:rPr>
          <w:sz w:val="20"/>
          <w:szCs w:val="20"/>
          <w:color w:val="auto"/>
        </w:rPr>
      </w:pPr>
    </w:p>
    <w:p>
      <w:pPr>
        <w:jc w:val="both"/>
        <w:ind w:left="60" w:hanging="4"/>
        <w:spacing w:after="0" w:line="222" w:lineRule="auto"/>
        <w:tabs>
          <w:tab w:leader="none" w:pos="163" w:val="left"/>
        </w:tabs>
        <w:numPr>
          <w:ilvl w:val="0"/>
          <w:numId w:val="3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case of the pendency of any proceeding under any Debtor Relief Law or any other judicial proceeding relative to any Credit Party, the Administrative Agent (irrespective of whether the principal of any Loan or L/C Obligation shall then be due and payable as herein expressed or by declaration or otherwise and irrespective of whether the Administrative Agent shall have made any demand on any Borrower) shall be entitled and empowered (but not obligated) by intervention in such proceeding or otherwise:</w:t>
      </w:r>
    </w:p>
    <w:p>
      <w:pPr>
        <w:spacing w:after="0" w:line="188" w:lineRule="exact"/>
        <w:rPr>
          <w:rFonts w:ascii="Times New Roman" w:cs="Times New Roman" w:eastAsia="Times New Roman" w:hAnsi="Times New Roman"/>
          <w:sz w:val="20"/>
          <w:szCs w:val="20"/>
          <w:color w:val="auto"/>
        </w:rPr>
      </w:pPr>
    </w:p>
    <w:p>
      <w:pPr>
        <w:jc w:val="both"/>
        <w:ind w:left="60" w:firstLine="644"/>
        <w:spacing w:after="0" w:line="216" w:lineRule="auto"/>
        <w:tabs>
          <w:tab w:leader="none" w:pos="1238" w:val="left"/>
        </w:tabs>
        <w:numPr>
          <w:ilvl w:val="1"/>
          <w:numId w:val="3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file and prove a claim for the whole amount of the principal and interest owing and unpaid in respect of the Loans, L/C Obligations and all other Secured Obligations that are owing and unpaid and to file such other documents as may be necessary or advisable in order to have the claims of the Lenders, the Issuing Lenders and the Administrative Agent (including any claim for the reasonable compensation, expenses, disbursements and advances of the Lenders, the Issuing Lenders and the Administrative Agent and their respective agents and counsel and all other amounts due the Lenders, the Issuing Lenders and the Administrative Agent under </w:t>
      </w:r>
      <w:r>
        <w:rPr>
          <w:rFonts w:ascii="Times New Roman" w:cs="Times New Roman" w:eastAsia="Times New Roman" w:hAnsi="Times New Roman"/>
          <w:sz w:val="20"/>
          <w:szCs w:val="20"/>
          <w:u w:val="single" w:color="auto"/>
          <w:color w:val="auto"/>
        </w:rPr>
        <w:t>Sections 3.3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5.3</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12.3</w:t>
      </w:r>
      <w:r>
        <w:rPr>
          <w:rFonts w:ascii="Times New Roman" w:cs="Times New Roman" w:eastAsia="Times New Roman" w:hAnsi="Times New Roman"/>
          <w:sz w:val="20"/>
          <w:szCs w:val="20"/>
          <w:color w:val="auto"/>
        </w:rPr>
        <w:t>) allowed in such judicial proceeding; and</w:t>
      </w:r>
    </w:p>
    <w:p>
      <w:pPr>
        <w:spacing w:after="0" w:line="256" w:lineRule="exact"/>
        <w:rPr>
          <w:rFonts w:ascii="Times New Roman" w:cs="Times New Roman" w:eastAsia="Times New Roman" w:hAnsi="Times New Roman"/>
          <w:sz w:val="20"/>
          <w:szCs w:val="20"/>
          <w:color w:val="auto"/>
        </w:rPr>
      </w:pPr>
    </w:p>
    <w:p>
      <w:pPr>
        <w:ind w:left="1240" w:hanging="536"/>
        <w:spacing w:after="0"/>
        <w:tabs>
          <w:tab w:leader="none" w:pos="1240" w:val="left"/>
        </w:tabs>
        <w:numPr>
          <w:ilvl w:val="1"/>
          <w:numId w:val="3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collect and receive any monies or other property payable or deliverable on any such claims and to distribute the same;</w:t>
      </w:r>
    </w:p>
    <w:p>
      <w:pPr>
        <w:spacing w:after="0" w:line="216" w:lineRule="exact"/>
        <w:rPr>
          <w:sz w:val="20"/>
          <w:szCs w:val="20"/>
          <w:color w:val="auto"/>
        </w:rPr>
      </w:pPr>
    </w:p>
    <w:p>
      <w:pPr>
        <w:ind w:left="60"/>
        <w:spacing w:after="0" w:line="215" w:lineRule="auto"/>
        <w:rPr>
          <w:sz w:val="20"/>
          <w:szCs w:val="20"/>
          <w:color w:val="auto"/>
        </w:rPr>
      </w:pPr>
      <w:r>
        <w:rPr>
          <w:rFonts w:ascii="Times New Roman" w:cs="Times New Roman" w:eastAsia="Times New Roman" w:hAnsi="Times New Roman"/>
          <w:sz w:val="20"/>
          <w:szCs w:val="20"/>
          <w:color w:val="auto"/>
        </w:rPr>
        <w:t>and any custodian, receiver, assignee, trustee, liquidator, sequestrator or other similar official in any such judicial proceeding is hereby authorized by each Lender and each Issuing Lender to make such payments to the Administrative Agent and, in the event that the</w:t>
      </w:r>
    </w:p>
    <w:p>
      <w:pPr>
        <w:ind w:left="60"/>
        <w:spacing w:after="0" w:line="212" w:lineRule="auto"/>
        <w:rPr>
          <w:sz w:val="20"/>
          <w:szCs w:val="20"/>
          <w:color w:val="auto"/>
        </w:rPr>
      </w:pPr>
      <w:r>
        <w:rPr>
          <w:rFonts w:ascii="Times New Roman" w:cs="Times New Roman" w:eastAsia="Times New Roman" w:hAnsi="Times New Roman"/>
          <w:sz w:val="20"/>
          <w:szCs w:val="20"/>
          <w:color w:val="auto"/>
        </w:rPr>
        <w:t>Administrative Agent shall consent to the making of such payments directly to the Lenders and the Issuing Lenders, to pay to the</w:t>
      </w:r>
    </w:p>
    <w:p>
      <w:pPr>
        <w:spacing w:after="0" w:line="1" w:lineRule="exact"/>
        <w:rPr>
          <w:sz w:val="20"/>
          <w:szCs w:val="20"/>
          <w:color w:val="auto"/>
        </w:rPr>
      </w:pPr>
    </w:p>
    <w:p>
      <w:pPr>
        <w:ind w:left="60"/>
        <w:spacing w:after="0" w:line="221" w:lineRule="auto"/>
        <w:rPr>
          <w:sz w:val="20"/>
          <w:szCs w:val="20"/>
          <w:color w:val="auto"/>
        </w:rPr>
      </w:pPr>
      <w:r>
        <w:rPr>
          <w:rFonts w:ascii="Times New Roman" w:cs="Times New Roman" w:eastAsia="Times New Roman" w:hAnsi="Times New Roman"/>
          <w:sz w:val="20"/>
          <w:szCs w:val="20"/>
          <w:color w:val="auto"/>
        </w:rPr>
        <w:t xml:space="preserve">Administrative Agent any amount due for the reasonable compensation, expenses, disbursements and advances of the Administrative Agent and its agents and counsel, and any other amounts due the Administrative Agent under </w:t>
      </w:r>
      <w:r>
        <w:rPr>
          <w:rFonts w:ascii="Times New Roman" w:cs="Times New Roman" w:eastAsia="Times New Roman" w:hAnsi="Times New Roman"/>
          <w:sz w:val="20"/>
          <w:szCs w:val="20"/>
          <w:u w:val="single" w:color="auto"/>
          <w:color w:val="auto"/>
        </w:rPr>
        <w:t>Sections 3.3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5.3</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12.3</w:t>
      </w:r>
      <w:r>
        <w:rPr>
          <w:rFonts w:ascii="Times New Roman" w:cs="Times New Roman" w:eastAsia="Times New Roman" w:hAnsi="Times New Roman"/>
          <w:sz w:val="20"/>
          <w:szCs w:val="20"/>
          <w:color w:val="auto"/>
        </w:rPr>
        <w:t>.</w:t>
      </w:r>
    </w:p>
    <w:p>
      <w:pPr>
        <w:spacing w:after="0" w:line="256" w:lineRule="exact"/>
        <w:rPr>
          <w:sz w:val="20"/>
          <w:szCs w:val="20"/>
          <w:color w:val="auto"/>
        </w:rPr>
      </w:pPr>
    </w:p>
    <w:p>
      <w:pPr>
        <w:ind w:left="60" w:firstLine="648"/>
        <w:spacing w:after="0" w:line="222" w:lineRule="auto"/>
        <w:rPr>
          <w:sz w:val="20"/>
          <w:szCs w:val="20"/>
          <w:color w:val="auto"/>
        </w:rPr>
      </w:pPr>
      <w:r>
        <w:rPr>
          <w:rFonts w:ascii="Times New Roman" w:cs="Times New Roman" w:eastAsia="Times New Roman" w:hAnsi="Times New Roman"/>
          <w:sz w:val="20"/>
          <w:szCs w:val="20"/>
          <w:color w:val="auto"/>
        </w:rPr>
        <w:t>Nothing contained herein shall be deemed to authorize the Administrative Agent to authorize or consent to or accept or adopt on behalf of any Lender or any Issuing Lender any plan of reorganization, arrangement, adjustment or composition affecting the Obligations</w:t>
      </w:r>
    </w:p>
    <w:p>
      <w:pPr>
        <w:spacing w:after="0" w:line="2" w:lineRule="exact"/>
        <w:rPr>
          <w:sz w:val="20"/>
          <w:szCs w:val="20"/>
          <w:color w:val="auto"/>
        </w:rPr>
      </w:pPr>
    </w:p>
    <w:p>
      <w:pPr>
        <w:ind w:left="60"/>
        <w:spacing w:after="0" w:line="221" w:lineRule="auto"/>
        <w:rPr>
          <w:sz w:val="20"/>
          <w:szCs w:val="20"/>
          <w:color w:val="auto"/>
        </w:rPr>
      </w:pPr>
      <w:r>
        <w:rPr>
          <w:rFonts w:ascii="Times New Roman" w:cs="Times New Roman" w:eastAsia="Times New Roman" w:hAnsi="Times New Roman"/>
          <w:sz w:val="20"/>
          <w:szCs w:val="20"/>
          <w:color w:val="auto"/>
        </w:rPr>
        <w:t>or the rights of any Lender or any Issuing Lender to authorize the Administrative Agent to vote in respect of the claim of any Lender or any Issuing Lender in any such proceeding.</w:t>
      </w:r>
    </w:p>
    <w:p>
      <w:pPr>
        <w:spacing w:after="0" w:line="189" w:lineRule="exact"/>
        <w:rPr>
          <w:sz w:val="20"/>
          <w:szCs w:val="20"/>
          <w:color w:val="auto"/>
        </w:rPr>
      </w:pPr>
    </w:p>
    <w:p>
      <w:pPr>
        <w:ind w:left="700"/>
        <w:spacing w:after="0"/>
        <w:tabs>
          <w:tab w:leader="none" w:pos="2120" w:val="left"/>
        </w:tabs>
        <w:rPr>
          <w:sz w:val="20"/>
          <w:szCs w:val="20"/>
          <w:color w:val="auto"/>
        </w:rPr>
      </w:pPr>
      <w:r>
        <w:rPr>
          <w:rFonts w:ascii="Times New Roman" w:cs="Times New Roman" w:eastAsia="Times New Roman" w:hAnsi="Times New Roman"/>
          <w:sz w:val="20"/>
          <w:szCs w:val="20"/>
          <w:color w:val="auto"/>
        </w:rPr>
        <w:t>SECTION 10.6</w:t>
      </w:r>
      <w:r>
        <w:rPr>
          <w:sz w:val="20"/>
          <w:szCs w:val="20"/>
          <w:color w:val="auto"/>
        </w:rPr>
        <w:tab/>
      </w:r>
      <w:r>
        <w:rPr>
          <w:rFonts w:ascii="Times New Roman" w:cs="Times New Roman" w:eastAsia="Times New Roman" w:hAnsi="Times New Roman"/>
          <w:sz w:val="19"/>
          <w:szCs w:val="19"/>
          <w:u w:val="single" w:color="auto"/>
          <w:color w:val="auto"/>
        </w:rPr>
        <w:t>Credit Bidding</w:t>
      </w:r>
      <w:r>
        <w:rPr>
          <w:rFonts w:ascii="Times New Roman" w:cs="Times New Roman" w:eastAsia="Times New Roman" w:hAnsi="Times New Roman"/>
          <w:sz w:val="19"/>
          <w:szCs w:val="19"/>
          <w:color w:val="auto"/>
        </w:rPr>
        <w:t>.</w:t>
      </w:r>
    </w:p>
    <w:p>
      <w:pPr>
        <w:spacing w:after="0" w:line="283" w:lineRule="exact"/>
        <w:rPr>
          <w:sz w:val="20"/>
          <w:szCs w:val="20"/>
          <w:color w:val="auto"/>
        </w:rPr>
      </w:pPr>
    </w:p>
    <w:p>
      <w:pPr>
        <w:jc w:val="both"/>
        <w:ind w:left="60" w:firstLine="644"/>
        <w:spacing w:after="0" w:line="217" w:lineRule="auto"/>
        <w:tabs>
          <w:tab w:leader="none" w:pos="1239" w:val="left"/>
        </w:tabs>
        <w:numPr>
          <w:ilvl w:val="0"/>
          <w:numId w:val="3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on behalf of itself and the Secured Parties, shall have the right, exercisable at the discretion of the Required Lenders, to credit bid and purchase for the benefit of the Administrative Agent and the Secured Parties all or any portion of Collateral at any sale thereof conducted by the Administrative Agent under the provisions of the UCC, and/or the PPSA, as applicable, including pursuant to Sections 9-610 or 9-620 of the UCC, at any sale thereof conducted under the provisions of the United States Bankruptcy Code, including Section 363 thereof or any of the applicable Debtor Relief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FF0000"/>
          <w:strike w:val="1"/>
        </w:rPr>
        <w:t>146960219_6</w:t>
      </w: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146</w:t>
      </w:r>
      <w:r>
        <w:rPr>
          <w:sz w:val="20"/>
          <w:szCs w:val="20"/>
          <w:color w:val="auto"/>
        </w:rPr>
        <w:tab/>
      </w: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080"/>
          </w:cols>
          <w:pgMar w:left="380" w:top="1394" w:right="439" w:bottom="1440" w:gutter="0" w:footer="0" w:header="0"/>
        </w:sectPr>
      </w:pPr>
    </w:p>
    <w:bookmarkStart w:id="230" w:name="page231"/>
    <w:bookmarkEnd w:id="230"/>
    <w:p>
      <w:pPr>
        <w:spacing w:after="0" w:line="1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or a sale under a plan of reorganization, or at any other sale or foreclosure conducted by the Administrative Agent (whether by judicial</w:t>
      </w:r>
    </w:p>
    <w:p>
      <w:pPr>
        <w:ind w:left="60" w:right="20"/>
        <w:spacing w:after="0" w:line="204" w:lineRule="auto"/>
        <w:rPr>
          <w:sz w:val="20"/>
          <w:szCs w:val="20"/>
          <w:color w:val="auto"/>
        </w:rPr>
      </w:pPr>
      <w:r>
        <w:rPr>
          <w:rFonts w:ascii="Times New Roman" w:cs="Times New Roman" w:eastAsia="Times New Roman" w:hAnsi="Times New Roman"/>
          <w:sz w:val="20"/>
          <w:szCs w:val="20"/>
          <w:color w:val="auto"/>
        </w:rPr>
        <w:t>action or otherwise) in accordance with Applicable Law. Such credit bid or purchase may be completed through one or more acquisition vehicles formed by the Administrative Agent to make such credit bid or purchase and, in connection therewith, the Administrative Agent</w:t>
      </w:r>
    </w:p>
    <w:p>
      <w:pPr>
        <w:ind w:left="60"/>
        <w:spacing w:after="0" w:line="223" w:lineRule="auto"/>
        <w:rPr>
          <w:sz w:val="20"/>
          <w:szCs w:val="20"/>
          <w:color w:val="auto"/>
        </w:rPr>
      </w:pPr>
      <w:r>
        <w:rPr>
          <w:rFonts w:ascii="Times New Roman" w:cs="Times New Roman" w:eastAsia="Times New Roman" w:hAnsi="Times New Roman"/>
          <w:sz w:val="19"/>
          <w:szCs w:val="19"/>
          <w:color w:val="auto"/>
        </w:rPr>
        <w:t>is authorized, on behalf of itself and the other Secured Parties, to adopt documents providing for the governance of the acquisition vehicle</w:t>
      </w:r>
    </w:p>
    <w:p>
      <w:pPr>
        <w:ind w:left="60"/>
        <w:spacing w:after="0" w:line="215" w:lineRule="auto"/>
        <w:rPr>
          <w:sz w:val="20"/>
          <w:szCs w:val="20"/>
          <w:color w:val="auto"/>
        </w:rPr>
      </w:pPr>
      <w:r>
        <w:rPr>
          <w:rFonts w:ascii="Times New Roman" w:cs="Times New Roman" w:eastAsia="Times New Roman" w:hAnsi="Times New Roman"/>
          <w:sz w:val="19"/>
          <w:szCs w:val="19"/>
          <w:color w:val="auto"/>
        </w:rPr>
        <w:t>or vehicles, and assign the applicable Secured Obligations to any such acquisition vehicle in exchange for Equity Interests and/or debt issued by the applicable acquisition vehicle (which shall be deemed to be held for the ratable account of the applicable Secured Parties on</w:t>
      </w:r>
    </w:p>
    <w:p>
      <w:pPr>
        <w:ind w:left="60"/>
        <w:spacing w:after="0" w:line="211" w:lineRule="auto"/>
        <w:rPr>
          <w:sz w:val="20"/>
          <w:szCs w:val="20"/>
          <w:color w:val="auto"/>
        </w:rPr>
      </w:pPr>
      <w:r>
        <w:rPr>
          <w:rFonts w:ascii="Times New Roman" w:cs="Times New Roman" w:eastAsia="Times New Roman" w:hAnsi="Times New Roman"/>
          <w:sz w:val="20"/>
          <w:szCs w:val="20"/>
          <w:color w:val="auto"/>
        </w:rPr>
        <w:t xml:space="preserve">the basis of the Secured Obligations so assigned by each Secured Party);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actions by the Administrative Agent with</w:t>
      </w:r>
    </w:p>
    <w:p>
      <w:pPr>
        <w:ind w:left="60" w:right="20"/>
        <w:spacing w:after="0" w:line="204" w:lineRule="auto"/>
        <w:rPr>
          <w:sz w:val="20"/>
          <w:szCs w:val="20"/>
          <w:color w:val="auto"/>
        </w:rPr>
      </w:pPr>
      <w:r>
        <w:rPr>
          <w:rFonts w:ascii="Times New Roman" w:cs="Times New Roman" w:eastAsia="Times New Roman" w:hAnsi="Times New Roman"/>
          <w:sz w:val="20"/>
          <w:szCs w:val="20"/>
          <w:color w:val="auto"/>
        </w:rPr>
        <w:t>respect to such acquisition vehicle or vehicles, including any disposition of the assets or Equity Interests thereof, shall be governed, directly or indirectly, by the vote of the Required Lenders, irrespective of the termination of this Agreement and without giving effect to</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 xml:space="preserve">the limitations on actions by the Required Lenders contained in </w:t>
      </w:r>
      <w:r>
        <w:rPr>
          <w:rFonts w:ascii="Times New Roman" w:cs="Times New Roman" w:eastAsia="Times New Roman" w:hAnsi="Times New Roman"/>
          <w:sz w:val="20"/>
          <w:szCs w:val="20"/>
          <w:u w:val="single" w:color="auto"/>
          <w:color w:val="auto"/>
        </w:rPr>
        <w:t>Section 12.2</w:t>
      </w:r>
      <w:r>
        <w:rPr>
          <w:rFonts w:ascii="Times New Roman" w:cs="Times New Roman" w:eastAsia="Times New Roman" w:hAnsi="Times New Roman"/>
          <w:sz w:val="20"/>
          <w:szCs w:val="20"/>
          <w:color w:val="auto"/>
        </w:rPr>
        <w:t>.</w:t>
      </w:r>
    </w:p>
    <w:p>
      <w:pPr>
        <w:spacing w:after="0" w:line="261" w:lineRule="exact"/>
        <w:rPr>
          <w:sz w:val="20"/>
          <w:szCs w:val="20"/>
          <w:color w:val="auto"/>
        </w:rPr>
      </w:pPr>
    </w:p>
    <w:p>
      <w:pPr>
        <w:jc w:val="both"/>
        <w:ind w:left="60" w:firstLine="644"/>
        <w:spacing w:after="0" w:line="222" w:lineRule="auto"/>
        <w:tabs>
          <w:tab w:leader="none" w:pos="1236" w:val="left"/>
        </w:tabs>
        <w:numPr>
          <w:ilvl w:val="0"/>
          <w:numId w:val="3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hereby agrees, on behalf of itself and each of its Affiliates that is a Secured Party, that, except as otherwise provided in any Loan Document or with the written consent of the Administrative Agent and the Required Lenders, it will not take any enforcement action, accelerate obligations under any Loan Documents, or exercise any right that it might otherwise have under Applicable Law to credit bid at foreclosure sales, UCC and/or PPSA sales, as applicable, or other similar dispositions of Collateral.</w:t>
      </w:r>
    </w:p>
    <w:p>
      <w:pPr>
        <w:spacing w:after="0" w:line="175" w:lineRule="exact"/>
        <w:rPr>
          <w:sz w:val="20"/>
          <w:szCs w:val="20"/>
          <w:color w:val="auto"/>
        </w:rPr>
      </w:pPr>
    </w:p>
    <w:p>
      <w:pPr>
        <w:ind w:left="700"/>
        <w:spacing w:after="0"/>
        <w:tabs>
          <w:tab w:leader="none" w:pos="2120" w:val="left"/>
        </w:tabs>
        <w:rPr>
          <w:sz w:val="20"/>
          <w:szCs w:val="20"/>
          <w:color w:val="auto"/>
        </w:rPr>
      </w:pPr>
      <w:r>
        <w:rPr>
          <w:rFonts w:ascii="Times New Roman" w:cs="Times New Roman" w:eastAsia="Times New Roman" w:hAnsi="Times New Roman"/>
          <w:sz w:val="20"/>
          <w:szCs w:val="20"/>
          <w:color w:val="auto"/>
        </w:rPr>
        <w:t>SECTION 10.7</w:t>
      </w:r>
      <w:r>
        <w:rPr>
          <w:sz w:val="20"/>
          <w:szCs w:val="20"/>
          <w:color w:val="auto"/>
        </w:rPr>
        <w:tab/>
      </w:r>
      <w:r>
        <w:rPr>
          <w:rFonts w:ascii="Times New Roman" w:cs="Times New Roman" w:eastAsia="Times New Roman" w:hAnsi="Times New Roman"/>
          <w:sz w:val="19"/>
          <w:szCs w:val="19"/>
          <w:u w:val="single" w:color="auto"/>
          <w:color w:val="auto"/>
        </w:rPr>
        <w:t>Judgment Currency</w:t>
      </w:r>
    </w:p>
    <w:p>
      <w:pPr>
        <w:spacing w:after="0" w:line="283" w:lineRule="exact"/>
        <w:rPr>
          <w:sz w:val="20"/>
          <w:szCs w:val="20"/>
          <w:color w:val="auto"/>
        </w:rPr>
      </w:pPr>
    </w:p>
    <w:p>
      <w:pPr>
        <w:jc w:val="both"/>
        <w:ind w:left="60" w:hanging="5"/>
        <w:spacing w:after="0" w:line="210" w:lineRule="auto"/>
        <w:tabs>
          <w:tab w:leader="none" w:pos="171" w:val="left"/>
        </w:tabs>
        <w:numPr>
          <w:ilvl w:val="0"/>
          <w:numId w:val="3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for the purpose of obtaining judgment in any court or obtaining an order enforcing a judgment, it becomes necessary to convert any amount due under this Agreement in Dollars or in any other currency (hereinafter in this </w:t>
      </w:r>
      <w:r>
        <w:rPr>
          <w:rFonts w:ascii="Times New Roman" w:cs="Times New Roman" w:eastAsia="Times New Roman" w:hAnsi="Times New Roman"/>
          <w:sz w:val="20"/>
          <w:szCs w:val="20"/>
          <w:u w:val="single" w:color="auto"/>
          <w:color w:val="auto"/>
        </w:rPr>
        <w:t>Section 10.7</w:t>
      </w:r>
      <w:r>
        <w:rPr>
          <w:rFonts w:ascii="Times New Roman" w:cs="Times New Roman" w:eastAsia="Times New Roman" w:hAnsi="Times New Roman"/>
          <w:sz w:val="20"/>
          <w:szCs w:val="20"/>
          <w:color w:val="auto"/>
        </w:rPr>
        <w:t xml:space="preserve"> called the “first currency”) into any other currency (hereinafter in this </w:t>
      </w:r>
      <w:r>
        <w:rPr>
          <w:rFonts w:ascii="Times New Roman" w:cs="Times New Roman" w:eastAsia="Times New Roman" w:hAnsi="Times New Roman"/>
          <w:sz w:val="20"/>
          <w:szCs w:val="20"/>
          <w:u w:val="single" w:color="auto"/>
          <w:color w:val="auto"/>
        </w:rPr>
        <w:t>Section 10.7</w:t>
      </w:r>
      <w:r>
        <w:rPr>
          <w:rFonts w:ascii="Times New Roman" w:cs="Times New Roman" w:eastAsia="Times New Roman" w:hAnsi="Times New Roman"/>
          <w:sz w:val="20"/>
          <w:szCs w:val="20"/>
          <w:color w:val="auto"/>
        </w:rPr>
        <w:t xml:space="preserve"> called the “second currency”), then the conversion shall be made at the Administrative Agent’s spot rate of exchange for buying the first currency with the second currency prevailing at the Administrative Agent’s close of business on the Business Day next preceding the day on which the judgment is given or (as the case may be) the order is made. Any payment made by a Credit Party to any Secured Party pursuant to this Agreement in the second currency shall constitute a discharge of the obligations of any applicable Credit Parties to pay to such Secured Party any amount originally due to the Secured Party in the first currency under this Agreement only to the extent of the amount of the first currency which such Secured Party is able, on the date of the receipt by it of such payment in any second currency, to purchase, in accordance with such Secured Party’s normal banking procedures, with the amount of such second currency so received. If the amount of the first currency falls short of the amount originally due to such Secured Party in the first currency under this Agreement, the Credit Parties agree that they will indemnify each Secured Party against and save such Secured Party harmless from any shortfall so arising. If the amount of the first currency exceeds the amount originally due to a Secured Party in the first currency under this Agreement, such Secured Party shall promptly remit such excess to the Credit Parties. The covenants contained in this </w:t>
      </w:r>
      <w:r>
        <w:rPr>
          <w:rFonts w:ascii="Times New Roman" w:cs="Times New Roman" w:eastAsia="Times New Roman" w:hAnsi="Times New Roman"/>
          <w:sz w:val="20"/>
          <w:szCs w:val="20"/>
          <w:u w:val="single" w:color="auto"/>
          <w:color w:val="auto"/>
        </w:rPr>
        <w:t>Section 10.7</w:t>
      </w:r>
      <w:r>
        <w:rPr>
          <w:rFonts w:ascii="Times New Roman" w:cs="Times New Roman" w:eastAsia="Times New Roman" w:hAnsi="Times New Roman"/>
          <w:sz w:val="20"/>
          <w:szCs w:val="20"/>
          <w:color w:val="auto"/>
        </w:rPr>
        <w:t xml:space="preserve"> shall survive the termination of the Loan Documents and payment of the obligations hereunder.</w:t>
      </w:r>
    </w:p>
    <w:p>
      <w:pPr>
        <w:spacing w:after="0" w:line="2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ARTICLE XI</w:t>
      </w:r>
    </w:p>
    <w:p>
      <w:pPr>
        <w:spacing w:after="0" w:line="2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THE ADMINISTRATIVE AGENT</w:t>
      </w:r>
    </w:p>
    <w:p>
      <w:pPr>
        <w:spacing w:after="0" w:line="229" w:lineRule="exact"/>
        <w:rPr>
          <w:sz w:val="20"/>
          <w:szCs w:val="20"/>
          <w:color w:val="auto"/>
        </w:rPr>
      </w:pPr>
    </w:p>
    <w:p>
      <w:pPr>
        <w:ind w:left="700"/>
        <w:spacing w:after="0"/>
        <w:tabs>
          <w:tab w:leader="none" w:pos="2100" w:val="left"/>
        </w:tabs>
        <w:rPr>
          <w:sz w:val="20"/>
          <w:szCs w:val="20"/>
          <w:color w:val="auto"/>
        </w:rPr>
      </w:pPr>
      <w:r>
        <w:rPr>
          <w:rFonts w:ascii="Times New Roman" w:cs="Times New Roman" w:eastAsia="Times New Roman" w:hAnsi="Times New Roman"/>
          <w:sz w:val="20"/>
          <w:szCs w:val="20"/>
          <w:color w:val="auto"/>
        </w:rPr>
        <w:t>SECTION 11.1</w:t>
      </w:r>
      <w:r>
        <w:rPr>
          <w:sz w:val="20"/>
          <w:szCs w:val="20"/>
          <w:color w:val="auto"/>
        </w:rPr>
        <w:tab/>
      </w:r>
      <w:r>
        <w:rPr>
          <w:rFonts w:ascii="Times New Roman" w:cs="Times New Roman" w:eastAsia="Times New Roman" w:hAnsi="Times New Roman"/>
          <w:sz w:val="19"/>
          <w:szCs w:val="19"/>
          <w:u w:val="single" w:color="auto"/>
          <w:color w:val="auto"/>
        </w:rPr>
        <w:t>Appointment and Authority</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FF0000"/>
          <w:strike w:val="1"/>
        </w:rPr>
        <w:t>146960219_6</w:t>
      </w: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147</w:t>
      </w:r>
      <w:r>
        <w:rPr>
          <w:sz w:val="20"/>
          <w:szCs w:val="20"/>
          <w:color w:val="auto"/>
        </w:rPr>
        <w:tab/>
      </w: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080"/>
          </w:cols>
          <w:pgMar w:left="380" w:top="1440" w:right="439" w:bottom="1440" w:gutter="0" w:footer="0" w:header="0"/>
        </w:sectPr>
      </w:pPr>
    </w:p>
    <w:bookmarkStart w:id="231" w:name="page232"/>
    <w:bookmarkEnd w:id="231"/>
    <w:p>
      <w:pPr>
        <w:spacing w:after="0" w:line="203" w:lineRule="exact"/>
        <w:rPr>
          <w:sz w:val="20"/>
          <w:szCs w:val="20"/>
          <w:color w:val="auto"/>
        </w:rPr>
      </w:pPr>
    </w:p>
    <w:p>
      <w:pPr>
        <w:jc w:val="both"/>
        <w:ind w:left="60" w:firstLine="644"/>
        <w:spacing w:after="0" w:line="212" w:lineRule="auto"/>
        <w:tabs>
          <w:tab w:leader="none" w:pos="1239" w:val="left"/>
        </w:tabs>
        <w:numPr>
          <w:ilvl w:val="0"/>
          <w:numId w:val="3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of the Lenders and each Issuing Lender hereby irrevocably appoints, designates and authorizes Wells Fargo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Except as provided in </w:t>
      </w:r>
      <w:r>
        <w:rPr>
          <w:rFonts w:ascii="Times New Roman" w:cs="Times New Roman" w:eastAsia="Times New Roman" w:hAnsi="Times New Roman"/>
          <w:sz w:val="20"/>
          <w:szCs w:val="20"/>
          <w:u w:val="single" w:color="auto"/>
          <w:color w:val="auto"/>
        </w:rPr>
        <w:t>Sections 11.6</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11.9</w:t>
      </w:r>
      <w:r>
        <w:rPr>
          <w:rFonts w:ascii="Times New Roman" w:cs="Times New Roman" w:eastAsia="Times New Roman" w:hAnsi="Times New Roman"/>
          <w:sz w:val="20"/>
          <w:szCs w:val="20"/>
          <w:color w:val="auto"/>
        </w:rPr>
        <w:t xml:space="preserve"> the provisions of this Article are solely for the benefit of the Administrative Agent, the Arrangers, the Lenders, the Issuing Lenders and their respective Related Parties, and no Consolidated Company shall have rights as a third-party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96" w:lineRule="exact"/>
        <w:rPr>
          <w:rFonts w:ascii="Times New Roman" w:cs="Times New Roman" w:eastAsia="Times New Roman" w:hAnsi="Times New Roman"/>
          <w:sz w:val="20"/>
          <w:szCs w:val="20"/>
          <w:color w:val="auto"/>
        </w:rPr>
      </w:pPr>
    </w:p>
    <w:p>
      <w:pPr>
        <w:jc w:val="both"/>
        <w:ind w:left="60" w:firstLine="644"/>
        <w:spacing w:after="0" w:line="212" w:lineRule="auto"/>
        <w:tabs>
          <w:tab w:leader="none" w:pos="1236" w:val="left"/>
        </w:tabs>
        <w:numPr>
          <w:ilvl w:val="0"/>
          <w:numId w:val="3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also act as the “</w:t>
      </w:r>
      <w:r>
        <w:rPr>
          <w:rFonts w:ascii="Times New Roman" w:cs="Times New Roman" w:eastAsia="Times New Roman" w:hAnsi="Times New Roman"/>
          <w:sz w:val="20"/>
          <w:szCs w:val="20"/>
          <w:u w:val="single" w:color="auto"/>
          <w:color w:val="auto"/>
        </w:rPr>
        <w:t>collateral agent</w:t>
      </w:r>
      <w:r>
        <w:rPr>
          <w:rFonts w:ascii="Times New Roman" w:cs="Times New Roman" w:eastAsia="Times New Roman" w:hAnsi="Times New Roman"/>
          <w:sz w:val="20"/>
          <w:szCs w:val="20"/>
          <w:color w:val="auto"/>
        </w:rPr>
        <w:t xml:space="preserve">” under the Loan Documents, and each of the Lenders (including each holder of Secured Hedge Obligations and Secured Cash Management Obligations) and the Issuing Lenders hereby irrevocably appoints and authorizes the Administrative Agent to act as the agent of such Lender and such Issuing Lender for purposes of acquiring, holding and enforcing any and all Liens on Collateral granted by any of the Credit Parties to secure any of the Secured Obligations, together with such powers and discretion as are reasonably incidental thereto (including, without limitation, to enter into additional Loan Documents or supplements to existing Loan Documents on behalf of the Secured Parties). In this connection, the Administrative Agent, as “collateral agent” and any co-agents, sub-agents and attorneys-in-fact appointed by the Administrative Agent pursuant to this </w:t>
      </w:r>
      <w:r>
        <w:rPr>
          <w:rFonts w:ascii="Times New Roman" w:cs="Times New Roman" w:eastAsia="Times New Roman" w:hAnsi="Times New Roman"/>
          <w:sz w:val="20"/>
          <w:szCs w:val="20"/>
          <w:u w:val="single" w:color="auto"/>
          <w:color w:val="auto"/>
        </w:rPr>
        <w:t>Article XI</w:t>
      </w:r>
      <w:r>
        <w:rPr>
          <w:rFonts w:ascii="Times New Roman" w:cs="Times New Roman" w:eastAsia="Times New Roman" w:hAnsi="Times New Roman"/>
          <w:sz w:val="20"/>
          <w:szCs w:val="20"/>
          <w:color w:val="auto"/>
        </w:rPr>
        <w:t xml:space="preserve"> for purposes of holding or enforcing any Lien on the Collateral (or any portion thereof) granted under the Security Documents, or for exercising any rights and remedies thereunder at the direction of the Administrative Agent), shall be entitled to the benefits of all provisions of </w:t>
      </w:r>
      <w:r>
        <w:rPr>
          <w:rFonts w:ascii="Times New Roman" w:cs="Times New Roman" w:eastAsia="Times New Roman" w:hAnsi="Times New Roman"/>
          <w:sz w:val="20"/>
          <w:szCs w:val="20"/>
          <w:u w:val="single" w:color="auto"/>
          <w:color w:val="auto"/>
        </w:rPr>
        <w:t>Articles XI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XII</w:t>
      </w:r>
      <w:r>
        <w:rPr>
          <w:rFonts w:ascii="Times New Roman" w:cs="Times New Roman" w:eastAsia="Times New Roman" w:hAnsi="Times New Roman"/>
          <w:sz w:val="20"/>
          <w:szCs w:val="20"/>
          <w:color w:val="auto"/>
        </w:rPr>
        <w:t xml:space="preserve"> (including </w:t>
      </w:r>
      <w:r>
        <w:rPr>
          <w:rFonts w:ascii="Times New Roman" w:cs="Times New Roman" w:eastAsia="Times New Roman" w:hAnsi="Times New Roman"/>
          <w:sz w:val="20"/>
          <w:szCs w:val="20"/>
          <w:u w:val="single" w:color="auto"/>
          <w:color w:val="auto"/>
        </w:rPr>
        <w:t>Section 12.3</w:t>
      </w:r>
      <w:r>
        <w:rPr>
          <w:rFonts w:ascii="Times New Roman" w:cs="Times New Roman" w:eastAsia="Times New Roman" w:hAnsi="Times New Roman"/>
          <w:sz w:val="20"/>
          <w:szCs w:val="20"/>
          <w:color w:val="auto"/>
        </w:rPr>
        <w:t>, as though such co-agents, sub-agents and attorneys-in-fact were the “collateral agent” under the Loan Documents) as if set forth in full herein with respect thereto.</w:t>
      </w:r>
    </w:p>
    <w:p>
      <w:pPr>
        <w:spacing w:after="0" w:line="195" w:lineRule="exact"/>
        <w:rPr>
          <w:sz w:val="20"/>
          <w:szCs w:val="20"/>
          <w:color w:val="auto"/>
        </w:rPr>
      </w:pPr>
    </w:p>
    <w:p>
      <w:pPr>
        <w:ind w:left="700"/>
        <w:spacing w:after="0"/>
        <w:tabs>
          <w:tab w:leader="none" w:pos="2100" w:val="left"/>
        </w:tabs>
        <w:rPr>
          <w:sz w:val="20"/>
          <w:szCs w:val="20"/>
          <w:color w:val="auto"/>
        </w:rPr>
      </w:pPr>
      <w:r>
        <w:rPr>
          <w:rFonts w:ascii="Times New Roman" w:cs="Times New Roman" w:eastAsia="Times New Roman" w:hAnsi="Times New Roman"/>
          <w:sz w:val="20"/>
          <w:szCs w:val="20"/>
          <w:color w:val="auto"/>
        </w:rPr>
        <w:t>SECTION 11.2</w:t>
      </w:r>
      <w:r>
        <w:rPr>
          <w:sz w:val="20"/>
          <w:szCs w:val="20"/>
          <w:color w:val="auto"/>
        </w:rPr>
        <w:tab/>
      </w:r>
      <w:r>
        <w:rPr>
          <w:rFonts w:ascii="Times New Roman" w:cs="Times New Roman" w:eastAsia="Times New Roman" w:hAnsi="Times New Roman"/>
          <w:sz w:val="19"/>
          <w:szCs w:val="19"/>
          <w:u w:val="single" w:color="auto"/>
          <w:color w:val="auto"/>
        </w:rPr>
        <w:t>Rights as a Lender</w:t>
      </w:r>
    </w:p>
    <w:p>
      <w:pPr>
        <w:spacing w:after="0" w:line="283" w:lineRule="exact"/>
        <w:rPr>
          <w:sz w:val="20"/>
          <w:szCs w:val="20"/>
          <w:color w:val="auto"/>
        </w:rPr>
      </w:pPr>
    </w:p>
    <w:p>
      <w:pPr>
        <w:jc w:val="both"/>
        <w:ind w:left="60" w:hanging="5"/>
        <w:spacing w:after="0" w:line="226" w:lineRule="auto"/>
        <w:tabs>
          <w:tab w:leader="none" w:pos="163" w:val="left"/>
        </w:tabs>
        <w:numPr>
          <w:ilvl w:val="0"/>
          <w:numId w:val="3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banking, trust, financial advisory, underwriting, capital markets or other business with the Consolidated Companies or other Affiliates thereof as if such Person were not the Administrative Agent hereunder and without any duty to account therefor to the Lenders or to provide notice to or consent of the Lenders with respect thereto.</w:t>
      </w:r>
    </w:p>
    <w:p>
      <w:pPr>
        <w:spacing w:after="0" w:line="180" w:lineRule="exact"/>
        <w:rPr>
          <w:sz w:val="20"/>
          <w:szCs w:val="20"/>
          <w:color w:val="auto"/>
        </w:rPr>
      </w:pPr>
    </w:p>
    <w:p>
      <w:pPr>
        <w:ind w:left="700"/>
        <w:spacing w:after="0"/>
        <w:tabs>
          <w:tab w:leader="none" w:pos="2100" w:val="left"/>
        </w:tabs>
        <w:rPr>
          <w:sz w:val="20"/>
          <w:szCs w:val="20"/>
          <w:color w:val="auto"/>
        </w:rPr>
      </w:pPr>
      <w:r>
        <w:rPr>
          <w:rFonts w:ascii="Times New Roman" w:cs="Times New Roman" w:eastAsia="Times New Roman" w:hAnsi="Times New Roman"/>
          <w:sz w:val="20"/>
          <w:szCs w:val="20"/>
          <w:color w:val="auto"/>
        </w:rPr>
        <w:t>SECTION 11.3</w:t>
      </w:r>
      <w:r>
        <w:rPr>
          <w:sz w:val="20"/>
          <w:szCs w:val="20"/>
          <w:color w:val="auto"/>
        </w:rPr>
        <w:tab/>
      </w:r>
      <w:r>
        <w:rPr>
          <w:rFonts w:ascii="Times New Roman" w:cs="Times New Roman" w:eastAsia="Times New Roman" w:hAnsi="Times New Roman"/>
          <w:sz w:val="19"/>
          <w:szCs w:val="19"/>
          <w:u w:val="single" w:color="auto"/>
          <w:color w:val="auto"/>
        </w:rPr>
        <w:t>Exculpatory Provisions</w:t>
      </w:r>
      <w:r>
        <w:rPr>
          <w:rFonts w:ascii="Times New Roman" w:cs="Times New Roman" w:eastAsia="Times New Roman" w:hAnsi="Times New Roman"/>
          <w:sz w:val="19"/>
          <w:szCs w:val="19"/>
          <w:color w:val="auto"/>
        </w:rPr>
        <w:t>.</w:t>
      </w:r>
    </w:p>
    <w:p>
      <w:pPr>
        <w:spacing w:after="0" w:line="283" w:lineRule="exact"/>
        <w:rPr>
          <w:sz w:val="20"/>
          <w:szCs w:val="20"/>
          <w:color w:val="auto"/>
        </w:rPr>
      </w:pPr>
    </w:p>
    <w:p>
      <w:pPr>
        <w:jc w:val="both"/>
        <w:ind w:left="60" w:firstLine="644"/>
        <w:spacing w:after="0" w:line="226" w:lineRule="auto"/>
        <w:tabs>
          <w:tab w:leader="none" w:pos="1239" w:val="left"/>
        </w:tabs>
        <w:numPr>
          <w:ilvl w:val="0"/>
          <w:numId w:val="3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the Arrangers and their respective Related Parties shall not have any duties or obligations except those expressly set forth herein and in the other Loan Documents, and its duties hereunder and thereunder shall be administrative in nature. Without limiting the generality of the foregoing, the Administrative Agent, the Arrangers and their respective Related Parties:</w:t>
      </w:r>
    </w:p>
    <w:p>
      <w:pPr>
        <w:spacing w:after="0" w:line="201" w:lineRule="exact"/>
        <w:rPr>
          <w:sz w:val="20"/>
          <w:szCs w:val="20"/>
          <w:color w:val="auto"/>
        </w:rPr>
      </w:pPr>
    </w:p>
    <w:p>
      <w:pPr>
        <w:ind w:left="700" w:right="120" w:firstLine="648"/>
        <w:spacing w:after="0" w:line="233" w:lineRule="auto"/>
        <w:rPr>
          <w:sz w:val="20"/>
          <w:szCs w:val="20"/>
          <w:color w:val="auto"/>
        </w:rPr>
      </w:pPr>
      <w:r>
        <w:rPr>
          <w:rFonts w:ascii="Times New Roman" w:cs="Times New Roman" w:eastAsia="Times New Roman" w:hAnsi="Times New Roman"/>
          <w:sz w:val="20"/>
          <w:szCs w:val="20"/>
          <w:color w:val="auto"/>
        </w:rPr>
        <w:t>(civ) shall not be subject to any agency, trust, fiduciary or other implied duties, regardless of whether a Default or Event of Default has occurred and is continuing;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FF0000"/>
          <w:strike w:val="1"/>
        </w:rPr>
        <w:t>146960219_6</w:t>
      </w: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148</w:t>
      </w:r>
      <w:r>
        <w:rPr>
          <w:sz w:val="20"/>
          <w:szCs w:val="20"/>
          <w:color w:val="auto"/>
        </w:rPr>
        <w:tab/>
      </w: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080"/>
          </w:cols>
          <w:pgMar w:left="380" w:top="1440" w:right="439" w:bottom="1440" w:gutter="0" w:footer="0" w:header="0"/>
        </w:sectPr>
      </w:pPr>
    </w:p>
    <w:bookmarkStart w:id="232" w:name="page233"/>
    <w:bookmarkEnd w:id="232"/>
    <w:p>
      <w:pPr>
        <w:spacing w:after="0" w:line="197" w:lineRule="exact"/>
        <w:rPr>
          <w:sz w:val="20"/>
          <w:szCs w:val="20"/>
          <w:color w:val="auto"/>
        </w:rPr>
      </w:pPr>
    </w:p>
    <w:p>
      <w:pPr>
        <w:ind w:left="1360"/>
        <w:spacing w:after="0"/>
        <w:tabs>
          <w:tab w:leader="none" w:pos="1860" w:val="left"/>
        </w:tabs>
        <w:rPr>
          <w:sz w:val="20"/>
          <w:szCs w:val="20"/>
          <w:color w:val="auto"/>
        </w:rPr>
      </w:pPr>
      <w:r>
        <w:rPr>
          <w:rFonts w:ascii="Times New Roman" w:cs="Times New Roman" w:eastAsia="Times New Roman" w:hAnsi="Times New Roman"/>
          <w:sz w:val="20"/>
          <w:szCs w:val="20"/>
          <w:color w:val="auto"/>
        </w:rPr>
        <w:t>(cv)</w:t>
        <w:tab/>
        <w:t>shall not have any duty to take any discretionary action or exercise any discretionary powers, except discretionary</w:t>
      </w:r>
    </w:p>
    <w:p>
      <w:pPr>
        <w:ind w:left="700"/>
        <w:spacing w:after="0" w:line="204" w:lineRule="auto"/>
        <w:rPr>
          <w:sz w:val="20"/>
          <w:szCs w:val="20"/>
          <w:color w:val="auto"/>
        </w:rPr>
      </w:pPr>
      <w:r>
        <w:rPr>
          <w:rFonts w:ascii="Times New Roman" w:cs="Times New Roman" w:eastAsia="Times New Roman" w:hAnsi="Times New Roman"/>
          <w:sz w:val="20"/>
          <w:szCs w:val="20"/>
          <w:color w:val="auto"/>
        </w:rPr>
        <w:t>rights and powers expressly contemplated hereby or by the other Loan Documents that the Administrative Agent is required to exercise as directed in writing by the Required Lenders (or such other number or percentage of the Lenders as shall be expressly</w:t>
      </w:r>
    </w:p>
    <w:p>
      <w:pPr>
        <w:ind w:left="700"/>
        <w:spacing w:after="0" w:line="211" w:lineRule="auto"/>
        <w:rPr>
          <w:sz w:val="20"/>
          <w:szCs w:val="20"/>
          <w:color w:val="auto"/>
        </w:rPr>
      </w:pPr>
      <w:r>
        <w:rPr>
          <w:rFonts w:ascii="Times New Roman" w:cs="Times New Roman" w:eastAsia="Times New Roman" w:hAnsi="Times New Roman"/>
          <w:sz w:val="20"/>
          <w:szCs w:val="20"/>
          <w:color w:val="auto"/>
        </w:rPr>
        <w:t xml:space="preserve">provided for herein or in the other Loan Documents),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Administrative Agent shall not be required to take any</w:t>
      </w:r>
    </w:p>
    <w:p>
      <w:pPr>
        <w:spacing w:after="0" w:line="1" w:lineRule="exact"/>
        <w:rPr>
          <w:sz w:val="20"/>
          <w:szCs w:val="20"/>
          <w:color w:val="auto"/>
        </w:rPr>
      </w:pPr>
    </w:p>
    <w:p>
      <w:pPr>
        <w:ind w:left="700"/>
        <w:spacing w:after="0" w:line="215" w:lineRule="auto"/>
        <w:rPr>
          <w:sz w:val="20"/>
          <w:szCs w:val="20"/>
          <w:color w:val="auto"/>
        </w:rPr>
      </w:pPr>
      <w:r>
        <w:rPr>
          <w:rFonts w:ascii="Times New Roman" w:cs="Times New Roman" w:eastAsia="Times New Roman" w:hAnsi="Times New Roman"/>
          <w:sz w:val="19"/>
          <w:szCs w:val="19"/>
          <w:color w:val="auto"/>
        </w:rPr>
        <w:t>action that, in its opinion or the opinion of its counsel, may expose the Administrative Agent to liability or that is contrary to any Loan Document or Applicable Law, including for the avoidance of doubt any action that may be in violation of the automatic stay</w:t>
      </w:r>
    </w:p>
    <w:p>
      <w:pPr>
        <w:ind w:left="700"/>
        <w:spacing w:after="0" w:line="228" w:lineRule="auto"/>
        <w:rPr>
          <w:sz w:val="20"/>
          <w:szCs w:val="20"/>
          <w:color w:val="auto"/>
        </w:rPr>
      </w:pPr>
      <w:r>
        <w:rPr>
          <w:rFonts w:ascii="Times New Roman" w:cs="Times New Roman" w:eastAsia="Times New Roman" w:hAnsi="Times New Roman"/>
          <w:sz w:val="20"/>
          <w:szCs w:val="20"/>
          <w:color w:val="auto"/>
        </w:rPr>
        <w:t>under any Debtor Relief Law or that may effect a forfeiture, modification or termination of property of a Defaulting Lender in violation of any Debtor Relief Law;</w:t>
      </w:r>
    </w:p>
    <w:p>
      <w:pPr>
        <w:spacing w:after="0" w:line="189" w:lineRule="exact"/>
        <w:rPr>
          <w:sz w:val="20"/>
          <w:szCs w:val="20"/>
          <w:color w:val="auto"/>
        </w:rPr>
      </w:pPr>
    </w:p>
    <w:p>
      <w:pPr>
        <w:jc w:val="both"/>
        <w:ind w:left="700" w:firstLine="649"/>
        <w:spacing w:after="0" w:line="215" w:lineRule="auto"/>
        <w:rPr>
          <w:sz w:val="20"/>
          <w:szCs w:val="20"/>
          <w:color w:val="auto"/>
        </w:rPr>
      </w:pPr>
      <w:r>
        <w:rPr>
          <w:rFonts w:ascii="Times New Roman" w:cs="Times New Roman" w:eastAsia="Times New Roman" w:hAnsi="Times New Roman"/>
          <w:sz w:val="20"/>
          <w:szCs w:val="20"/>
          <w:color w:val="auto"/>
        </w:rPr>
        <w:t>(cvi) shall not, have any duty to disclose, and shall not be liable for the failure to disclose to any Lender, any Issuing Lender or any other Person, any credit or other information relating concerning the business, prospects, operations, properties,</w:t>
      </w:r>
    </w:p>
    <w:p>
      <w:pPr>
        <w:ind w:left="700"/>
        <w:spacing w:after="0" w:line="212" w:lineRule="auto"/>
        <w:rPr>
          <w:sz w:val="20"/>
          <w:szCs w:val="20"/>
          <w:color w:val="auto"/>
        </w:rPr>
      </w:pPr>
      <w:r>
        <w:rPr>
          <w:rFonts w:ascii="Times New Roman" w:cs="Times New Roman" w:eastAsia="Times New Roman" w:hAnsi="Times New Roman"/>
          <w:sz w:val="20"/>
          <w:szCs w:val="20"/>
          <w:color w:val="auto"/>
        </w:rPr>
        <w:t>assets, financial or other condition or creditworthiness of the Consolidated Companies or any of their respective Subsidiaries or</w:t>
      </w:r>
    </w:p>
    <w:p>
      <w:pPr>
        <w:spacing w:after="0" w:line="1" w:lineRule="exact"/>
        <w:rPr>
          <w:sz w:val="20"/>
          <w:szCs w:val="20"/>
          <w:color w:val="auto"/>
        </w:rPr>
      </w:pPr>
    </w:p>
    <w:p>
      <w:pPr>
        <w:ind w:left="700"/>
        <w:spacing w:after="0" w:line="204" w:lineRule="auto"/>
        <w:rPr>
          <w:sz w:val="20"/>
          <w:szCs w:val="20"/>
          <w:color w:val="auto"/>
        </w:rPr>
      </w:pPr>
      <w:r>
        <w:rPr>
          <w:rFonts w:ascii="Times New Roman" w:cs="Times New Roman" w:eastAsia="Times New Roman" w:hAnsi="Times New Roman"/>
          <w:sz w:val="20"/>
          <w:szCs w:val="20"/>
          <w:color w:val="auto"/>
        </w:rPr>
        <w:t>Affiliates that is communicated to, obtained by or otherwise in the possession of the Person serving as the Administrative Agent, the Arrangers or their respective Related Parties in any capacity, except for notices, reports and other documents that are required</w:t>
      </w:r>
    </w:p>
    <w:p>
      <w:pPr>
        <w:spacing w:after="0" w:line="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color w:val="auto"/>
        </w:rPr>
        <w:t>to be furnished by the Administrative Agent to the Lenders pursuant to the express provisions of this Agreement; and</w:t>
      </w:r>
    </w:p>
    <w:p>
      <w:pPr>
        <w:spacing w:after="0" w:line="207" w:lineRule="exact"/>
        <w:rPr>
          <w:sz w:val="20"/>
          <w:szCs w:val="20"/>
          <w:color w:val="auto"/>
        </w:rPr>
      </w:pPr>
    </w:p>
    <w:p>
      <w:pPr>
        <w:ind w:left="700" w:firstLine="649"/>
        <w:spacing w:after="0" w:line="269" w:lineRule="auto"/>
        <w:rPr>
          <w:sz w:val="20"/>
          <w:szCs w:val="20"/>
          <w:color w:val="auto"/>
        </w:rPr>
      </w:pPr>
      <w:r>
        <w:rPr>
          <w:rFonts w:ascii="Times New Roman" w:cs="Times New Roman" w:eastAsia="Times New Roman" w:hAnsi="Times New Roman"/>
          <w:sz w:val="20"/>
          <w:szCs w:val="20"/>
          <w:color w:val="auto"/>
        </w:rPr>
        <w:t>(cvii) shall not be required to account to any Lender or any Issuing Lender for any sum or profit received by the Administrative Agent for its own account.</w:t>
      </w:r>
    </w:p>
    <w:p>
      <w:pPr>
        <w:spacing w:after="0" w:line="186" w:lineRule="exact"/>
        <w:rPr>
          <w:sz w:val="20"/>
          <w:szCs w:val="20"/>
          <w:color w:val="auto"/>
        </w:rPr>
      </w:pPr>
    </w:p>
    <w:p>
      <w:pPr>
        <w:jc w:val="both"/>
        <w:ind w:left="60" w:firstLine="644"/>
        <w:spacing w:after="0" w:line="213" w:lineRule="auto"/>
        <w:tabs>
          <w:tab w:leader="none" w:pos="1236" w:val="left"/>
        </w:tabs>
        <w:numPr>
          <w:ilvl w:val="1"/>
          <w:numId w:val="3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Administrative Agent, the Arrangers and their respective Related Parties shall not be liable for any action taken or not taken by it under or in connection with this Agreement or any other Loan Document or the transactions contemplated hereby or thereby (i) with the consent or at the request of the Required Lenders (or such other number or percentage of the Lenders as shall be necessary, or as the Administrative Agent shall believe in good faith shall be necessary, under the circumstances as provided in </w:t>
      </w:r>
      <w:r>
        <w:rPr>
          <w:rFonts w:ascii="Times New Roman" w:cs="Times New Roman" w:eastAsia="Times New Roman" w:hAnsi="Times New Roman"/>
          <w:sz w:val="20"/>
          <w:szCs w:val="20"/>
          <w:u w:val="single" w:color="auto"/>
          <w:color w:val="auto"/>
        </w:rPr>
        <w:t>Section 12.2</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10.2</w:t>
      </w:r>
      <w:r>
        <w:rPr>
          <w:rFonts w:ascii="Times New Roman" w:cs="Times New Roman" w:eastAsia="Times New Roman" w:hAnsi="Times New Roman"/>
          <w:sz w:val="20"/>
          <w:szCs w:val="20"/>
          <w:color w:val="auto"/>
        </w:rPr>
        <w:t>) or (ii) in the absence of its own gross negligence, willful misconduct or breach in bad faith of obligations hereunder as determined by a court of competent jurisdiction by final non-appealable judgment. The Administrative Agent shall be deemed not to have knowledge of any Default or Event of Default unless and until notice describing such Default or Event of Default and indicating that such notice is a “Notice of Default” is given to the Administrative Agent by a Borrower, a Lender or an Issuing Lender.</w:t>
      </w:r>
    </w:p>
    <w:p>
      <w:pPr>
        <w:spacing w:after="0" w:line="189" w:lineRule="exact"/>
        <w:rPr>
          <w:rFonts w:ascii="Times New Roman" w:cs="Times New Roman" w:eastAsia="Times New Roman" w:hAnsi="Times New Roman"/>
          <w:sz w:val="20"/>
          <w:szCs w:val="20"/>
          <w:color w:val="auto"/>
        </w:rPr>
      </w:pPr>
    </w:p>
    <w:p>
      <w:pPr>
        <w:jc w:val="both"/>
        <w:ind w:left="60" w:firstLine="644"/>
        <w:spacing w:after="0" w:line="210" w:lineRule="auto"/>
        <w:tabs>
          <w:tab w:leader="none" w:pos="1239" w:val="left"/>
        </w:tabs>
        <w:numPr>
          <w:ilvl w:val="1"/>
          <w:numId w:val="3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Administrative Agent, the Arrangers and their respective Related Parties shall not be responsible for or have any duty or obligations to any Lender or Participant or any other Person to ascertain or inquire into (i) any statement, warranty or representation made in or in connection with this Agreement or any other Loan Document, (ii) the contents of any certificate, report or other document delivered hereunder or thereunder or in connection herewith or therewith (including any report provided to it by an Issuing Lender pursuant to </w:t>
      </w:r>
      <w:r>
        <w:rPr>
          <w:rFonts w:ascii="Times New Roman" w:cs="Times New Roman" w:eastAsia="Times New Roman" w:hAnsi="Times New Roman"/>
          <w:sz w:val="20"/>
          <w:szCs w:val="20"/>
          <w:u w:val="single" w:color="auto"/>
          <w:color w:val="auto"/>
        </w:rPr>
        <w:t>Section 3.9</w:t>
      </w:r>
      <w:r>
        <w:rPr>
          <w:rFonts w:ascii="Times New Roman" w:cs="Times New Roman" w:eastAsia="Times New Roman" w:hAnsi="Times New Roman"/>
          <w:sz w:val="20"/>
          <w:szCs w:val="20"/>
          <w:color w:val="auto"/>
        </w:rPr>
        <w:t>), (iii) the performance or observance of any of the covenants, agreements or other terms or conditions set forth herein or therein or the occurrence of any Default or Event of Default, (iv) the validity, enforceability, effectiveness or genuineness of this Agreement, any other Loan Document or any other agreement, instrument or document, or the creation, perfection or priority of any Lien purported to be created by the Security Documents, (v) the value or the sufficiency of any Collateral,</w:t>
      </w:r>
    </w:p>
    <w:p>
      <w:pPr>
        <w:spacing w:after="0" w:line="5" w:lineRule="exact"/>
        <w:rPr>
          <w:rFonts w:ascii="Times New Roman" w:cs="Times New Roman" w:eastAsia="Times New Roman" w:hAnsi="Times New Roman"/>
          <w:sz w:val="20"/>
          <w:szCs w:val="20"/>
          <w:color w:val="auto"/>
        </w:rPr>
      </w:pPr>
    </w:p>
    <w:p>
      <w:pPr>
        <w:jc w:val="both"/>
        <w:ind w:left="60" w:hanging="4"/>
        <w:spacing w:after="0" w:line="216" w:lineRule="auto"/>
        <w:tabs>
          <w:tab w:leader="none" w:pos="588" w:val="left"/>
        </w:tabs>
        <w:numPr>
          <w:ilvl w:val="0"/>
          <w:numId w:val="3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satisfaction of any condition set forth in </w:t>
      </w:r>
      <w:r>
        <w:rPr>
          <w:rFonts w:ascii="Times New Roman" w:cs="Times New Roman" w:eastAsia="Times New Roman" w:hAnsi="Times New Roman"/>
          <w:sz w:val="20"/>
          <w:szCs w:val="20"/>
          <w:u w:val="single" w:color="auto"/>
          <w:color w:val="auto"/>
        </w:rPr>
        <w:t>Article VI</w:t>
      </w:r>
      <w:r>
        <w:rPr>
          <w:rFonts w:ascii="Times New Roman" w:cs="Times New Roman" w:eastAsia="Times New Roman" w:hAnsi="Times New Roman"/>
          <w:sz w:val="20"/>
          <w:szCs w:val="20"/>
          <w:color w:val="auto"/>
        </w:rPr>
        <w:t xml:space="preserve"> or elsewhere herein, other than to confirm receipt of items expressly required to be delivered to the Administrative Agent or (vii) the utilization of any Issuing Lender’s L/C Commitment (it being understood and agreed that each Issuing Lender shall monitor compliance with its own L/C Commitment without any further action by the Administrative Agent).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FF0000"/>
          <w:strike w:val="1"/>
        </w:rPr>
        <w:t>146960219_6</w:t>
      </w: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149</w:t>
      </w:r>
      <w:r>
        <w:rPr>
          <w:sz w:val="20"/>
          <w:szCs w:val="20"/>
          <w:color w:val="auto"/>
        </w:rPr>
        <w:tab/>
      </w: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080"/>
          </w:cols>
          <w:pgMar w:left="380" w:top="1440" w:right="439" w:bottom="1440" w:gutter="0" w:footer="0" w:header="0"/>
        </w:sectPr>
      </w:pPr>
    </w:p>
    <w:bookmarkStart w:id="233" w:name="page234"/>
    <w:bookmarkEnd w:id="233"/>
    <w:p>
      <w:pPr>
        <w:ind w:left="720"/>
        <w:spacing w:after="0"/>
        <w:tabs>
          <w:tab w:leader="none" w:pos="2120" w:val="left"/>
        </w:tabs>
        <w:rPr>
          <w:sz w:val="20"/>
          <w:szCs w:val="20"/>
          <w:color w:val="auto"/>
        </w:rPr>
      </w:pPr>
      <w:r>
        <w:rPr>
          <w:rFonts w:ascii="Times New Roman" w:cs="Times New Roman" w:eastAsia="Times New Roman" w:hAnsi="Times New Roman"/>
          <w:sz w:val="20"/>
          <w:szCs w:val="20"/>
          <w:color w:val="auto"/>
        </w:rPr>
        <w:t>SECTION 11.4</w:t>
      </w:r>
      <w:r>
        <w:rPr>
          <w:sz w:val="20"/>
          <w:szCs w:val="20"/>
          <w:color w:val="auto"/>
        </w:rPr>
        <w:tab/>
      </w:r>
      <w:r>
        <w:rPr>
          <w:rFonts w:ascii="Times New Roman" w:cs="Times New Roman" w:eastAsia="Times New Roman" w:hAnsi="Times New Roman"/>
          <w:sz w:val="19"/>
          <w:szCs w:val="19"/>
          <w:u w:val="single" w:color="auto"/>
          <w:color w:val="auto"/>
        </w:rPr>
        <w:t>Reliance by the Administrative Agent</w:t>
      </w:r>
    </w:p>
    <w:p>
      <w:pPr>
        <w:spacing w:after="0" w:line="283" w:lineRule="exact"/>
        <w:rPr>
          <w:sz w:val="20"/>
          <w:szCs w:val="20"/>
          <w:color w:val="auto"/>
        </w:rPr>
      </w:pPr>
    </w:p>
    <w:p>
      <w:pPr>
        <w:jc w:val="both"/>
        <w:ind w:left="80" w:hanging="4"/>
        <w:spacing w:after="0" w:line="210" w:lineRule="auto"/>
        <w:tabs>
          <w:tab w:leader="none" w:pos="184" w:val="left"/>
        </w:tabs>
        <w:numPr>
          <w:ilvl w:val="0"/>
          <w:numId w:val="3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extension, renewal or increase of a Letter of Credit, that by its terms must be fulfilled to the satisfaction of a Lender or an Issuing Lender, the Administrative Agent may presume that such condition is satisfactory to such Lender or such Issuing Lender unless the Administrative Agent shall have received notice to the contrary from such Lender or such Issuing Lender prior to the making of such Loan or the issuance of such Letter of Credit. The Administrative Agent may consult with legal counsel (who may be counsel for the Borrowers), independent accountants and other experts selected by it, and shall not be liable for any action taken or not taken by it in accordance with the advice of any such counsel, accountants or experts. Each Lender or Issuing Lender that has signed this Agreement or a signature page to an Assignment and Assumption or any other Loan Document pursuant to which it is to become a Lender or Issuing Lender hereunder shall be deemed to have consented to, approved and accepted and shall deemed satisfied with each document or other matter required thereunder to be consented to, approved or accepted by such Lender or Issuing Lender or that is to be acceptable or satisfactory to such Lender or Issuing Lender.</w:t>
      </w:r>
    </w:p>
    <w:p>
      <w:pPr>
        <w:spacing w:after="0" w:line="195" w:lineRule="exact"/>
        <w:rPr>
          <w:sz w:val="20"/>
          <w:szCs w:val="20"/>
          <w:color w:val="auto"/>
        </w:rPr>
      </w:pPr>
    </w:p>
    <w:p>
      <w:pPr>
        <w:ind w:left="720"/>
        <w:spacing w:after="0"/>
        <w:tabs>
          <w:tab w:leader="none" w:pos="2120" w:val="left"/>
        </w:tabs>
        <w:rPr>
          <w:sz w:val="20"/>
          <w:szCs w:val="20"/>
          <w:color w:val="auto"/>
        </w:rPr>
      </w:pPr>
      <w:r>
        <w:rPr>
          <w:rFonts w:ascii="Times New Roman" w:cs="Times New Roman" w:eastAsia="Times New Roman" w:hAnsi="Times New Roman"/>
          <w:sz w:val="20"/>
          <w:szCs w:val="20"/>
          <w:color w:val="auto"/>
        </w:rPr>
        <w:t>SECTION 11.5</w:t>
      </w:r>
      <w:r>
        <w:rPr>
          <w:sz w:val="20"/>
          <w:szCs w:val="20"/>
          <w:color w:val="auto"/>
        </w:rPr>
        <w:tab/>
      </w:r>
      <w:r>
        <w:rPr>
          <w:rFonts w:ascii="Times New Roman" w:cs="Times New Roman" w:eastAsia="Times New Roman" w:hAnsi="Times New Roman"/>
          <w:sz w:val="19"/>
          <w:szCs w:val="19"/>
          <w:u w:val="single" w:color="auto"/>
          <w:color w:val="auto"/>
        </w:rPr>
        <w:t>Delegation of Duties</w:t>
      </w:r>
    </w:p>
    <w:p>
      <w:pPr>
        <w:spacing w:after="0" w:line="283" w:lineRule="exact"/>
        <w:rPr>
          <w:sz w:val="20"/>
          <w:szCs w:val="20"/>
          <w:color w:val="auto"/>
        </w:rPr>
      </w:pPr>
    </w:p>
    <w:p>
      <w:pPr>
        <w:jc w:val="both"/>
        <w:ind w:left="80" w:hanging="5"/>
        <w:spacing w:after="0" w:line="215" w:lineRule="auto"/>
        <w:tabs>
          <w:tab w:leader="none" w:pos="194" w:val="left"/>
        </w:tabs>
        <w:numPr>
          <w:ilvl w:val="0"/>
          <w:numId w:val="3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may perform any and all of its duties and exercise its rights and powers 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Article shall apply to any such sub-agent and to the Related Parties of the Administrative Agent and any such sub-agent, and shall apply to their respective activities in connection with the syndication of the Credit Facility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sub-agents.</w:t>
      </w:r>
    </w:p>
    <w:p>
      <w:pPr>
        <w:spacing w:after="0" w:line="174" w:lineRule="exact"/>
        <w:rPr>
          <w:sz w:val="20"/>
          <w:szCs w:val="20"/>
          <w:color w:val="auto"/>
        </w:rPr>
      </w:pPr>
    </w:p>
    <w:p>
      <w:pPr>
        <w:ind w:left="720"/>
        <w:spacing w:after="0"/>
        <w:tabs>
          <w:tab w:leader="none" w:pos="2120" w:val="left"/>
        </w:tabs>
        <w:rPr>
          <w:sz w:val="20"/>
          <w:szCs w:val="20"/>
          <w:color w:val="auto"/>
        </w:rPr>
      </w:pPr>
      <w:r>
        <w:rPr>
          <w:rFonts w:ascii="Times New Roman" w:cs="Times New Roman" w:eastAsia="Times New Roman" w:hAnsi="Times New Roman"/>
          <w:sz w:val="20"/>
          <w:szCs w:val="20"/>
          <w:color w:val="auto"/>
        </w:rPr>
        <w:t>SECTION 11.6</w:t>
      </w:r>
      <w:r>
        <w:rPr>
          <w:sz w:val="20"/>
          <w:szCs w:val="20"/>
          <w:color w:val="auto"/>
        </w:rPr>
        <w:tab/>
      </w:r>
      <w:r>
        <w:rPr>
          <w:rFonts w:ascii="Times New Roman" w:cs="Times New Roman" w:eastAsia="Times New Roman" w:hAnsi="Times New Roman"/>
          <w:sz w:val="19"/>
          <w:szCs w:val="19"/>
          <w:u w:val="single" w:color="auto"/>
          <w:color w:val="auto"/>
        </w:rPr>
        <w:t>Resignation of Administrative Agent</w:t>
      </w:r>
      <w:r>
        <w:rPr>
          <w:rFonts w:ascii="Times New Roman" w:cs="Times New Roman" w:eastAsia="Times New Roman" w:hAnsi="Times New Roman"/>
          <w:sz w:val="19"/>
          <w:szCs w:val="19"/>
          <w:color w:val="auto"/>
        </w:rPr>
        <w:t>.</w:t>
      </w:r>
    </w:p>
    <w:p>
      <w:pPr>
        <w:spacing w:after="0" w:line="278" w:lineRule="exact"/>
        <w:rPr>
          <w:sz w:val="20"/>
          <w:szCs w:val="20"/>
          <w:color w:val="auto"/>
        </w:rPr>
      </w:pPr>
    </w:p>
    <w:p>
      <w:pPr>
        <w:ind w:left="720"/>
        <w:spacing w:after="0"/>
        <w:tabs>
          <w:tab w:leader="none" w:pos="1240" w:val="left"/>
        </w:tabs>
        <w:rPr>
          <w:sz w:val="20"/>
          <w:szCs w:val="20"/>
          <w:color w:val="auto"/>
        </w:rPr>
      </w:pPr>
      <w:r>
        <w:rPr>
          <w:rFonts w:ascii="Times New Roman" w:cs="Times New Roman" w:eastAsia="Times New Roman" w:hAnsi="Times New Roman"/>
          <w:sz w:val="20"/>
          <w:szCs w:val="20"/>
          <w:color w:val="auto"/>
        </w:rPr>
        <w:t>(at)</w:t>
        <w:tab/>
        <w:t>The Administrative Agent may at any time give notice of its resignation to the Lenders, the Issuing Lenders and the</w:t>
      </w:r>
    </w:p>
    <w:p>
      <w:pPr>
        <w:ind w:left="80"/>
        <w:spacing w:after="0" w:line="204" w:lineRule="auto"/>
        <w:rPr>
          <w:sz w:val="20"/>
          <w:szCs w:val="20"/>
          <w:color w:val="auto"/>
        </w:rPr>
      </w:pPr>
      <w:r>
        <w:rPr>
          <w:rFonts w:ascii="Times New Roman" w:cs="Times New Roman" w:eastAsia="Times New Roman" w:hAnsi="Times New Roman"/>
          <w:sz w:val="20"/>
          <w:szCs w:val="20"/>
          <w:color w:val="auto"/>
        </w:rPr>
        <w:t>Borrowers. Upon receipt of any such notice of resignation, the Required Lenders shall have the right, in consultation with the Borrowers, to appoint a successor, which shall be a bank or financial institution reasonably experienced in serving as administrative agent on</w:t>
      </w:r>
    </w:p>
    <w:p>
      <w:pPr>
        <w:ind w:left="80"/>
        <w:spacing w:after="0" w:line="211" w:lineRule="auto"/>
        <w:rPr>
          <w:sz w:val="20"/>
          <w:szCs w:val="20"/>
          <w:color w:val="auto"/>
        </w:rPr>
      </w:pPr>
      <w:r>
        <w:rPr>
          <w:rFonts w:ascii="Times New Roman" w:cs="Times New Roman" w:eastAsia="Times New Roman" w:hAnsi="Times New Roman"/>
          <w:sz w:val="20"/>
          <w:szCs w:val="20"/>
          <w:color w:val="auto"/>
        </w:rPr>
        <w:t>syndicated bank facilities with an office in the United States, or an Affiliate of any such bank or financial institution with an office in the</w:t>
      </w:r>
    </w:p>
    <w:p>
      <w:pPr>
        <w:spacing w:after="0" w:line="1" w:lineRule="exact"/>
        <w:rPr>
          <w:sz w:val="20"/>
          <w:szCs w:val="20"/>
          <w:color w:val="auto"/>
        </w:rPr>
      </w:pPr>
    </w:p>
    <w:p>
      <w:pPr>
        <w:ind w:left="80"/>
        <w:spacing w:after="0" w:line="204" w:lineRule="auto"/>
        <w:rPr>
          <w:sz w:val="20"/>
          <w:szCs w:val="20"/>
          <w:color w:val="auto"/>
        </w:rPr>
      </w:pPr>
      <w:r>
        <w:rPr>
          <w:rFonts w:ascii="Times New Roman" w:cs="Times New Roman" w:eastAsia="Times New Roman" w:hAnsi="Times New Roman"/>
          <w:sz w:val="20"/>
          <w:szCs w:val="20"/>
          <w:color w:val="auto"/>
        </w:rPr>
        <w:t>United States. If no such successor shall have been so appointed by the Required Lenders and shall have accepted such appointment within thirty (30) days after the retiring Administrative Agent gives notice of its resignation (or such earlier day as shall be agreed by the</w:t>
      </w:r>
    </w:p>
    <w:p>
      <w:pPr>
        <w:ind w:left="80"/>
        <w:spacing w:after="0" w:line="223" w:lineRule="auto"/>
        <w:rPr>
          <w:sz w:val="20"/>
          <w:szCs w:val="20"/>
          <w:color w:val="auto"/>
        </w:rPr>
      </w:pPr>
      <w:r>
        <w:rPr>
          <w:rFonts w:ascii="Times New Roman" w:cs="Times New Roman" w:eastAsia="Times New Roman" w:hAnsi="Times New Roman"/>
          <w:sz w:val="19"/>
          <w:szCs w:val="19"/>
          <w:color w:val="auto"/>
        </w:rPr>
        <w:t>Required Lenders) (the “</w:t>
      </w:r>
      <w:r>
        <w:rPr>
          <w:rFonts w:ascii="Times New Roman" w:cs="Times New Roman" w:eastAsia="Times New Roman" w:hAnsi="Times New Roman"/>
          <w:sz w:val="19"/>
          <w:szCs w:val="19"/>
          <w:u w:val="single" w:color="auto"/>
          <w:color w:val="auto"/>
        </w:rPr>
        <w:t>Resignation Effective Date</w:t>
      </w:r>
      <w:r>
        <w:rPr>
          <w:rFonts w:ascii="Times New Roman" w:cs="Times New Roman" w:eastAsia="Times New Roman" w:hAnsi="Times New Roman"/>
          <w:sz w:val="19"/>
          <w:szCs w:val="19"/>
          <w:color w:val="auto"/>
        </w:rPr>
        <w:t>”), then the retiring Administrative Agent may (but shall not be obligated to), on behalf</w:t>
      </w:r>
    </w:p>
    <w:p>
      <w:pPr>
        <w:ind w:left="80"/>
        <w:spacing w:after="0" w:line="215" w:lineRule="auto"/>
        <w:rPr>
          <w:sz w:val="20"/>
          <w:szCs w:val="20"/>
          <w:color w:val="auto"/>
        </w:rPr>
      </w:pPr>
      <w:r>
        <w:rPr>
          <w:rFonts w:ascii="Times New Roman" w:cs="Times New Roman" w:eastAsia="Times New Roman" w:hAnsi="Times New Roman"/>
          <w:sz w:val="19"/>
          <w:szCs w:val="19"/>
          <w:color w:val="auto"/>
        </w:rPr>
        <w:t xml:space="preserve">of the Lenders and the Issuing Lenders, appoint a successor Administrative Agent meeting the qualifications set forth above;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in no event shall any such successor Administrative Agent be a Defaulting Lender. Whether or not a successor has been appointed, such</w:t>
      </w:r>
    </w:p>
    <w:p>
      <w:pPr>
        <w:ind w:left="80"/>
        <w:spacing w:after="0"/>
        <w:rPr>
          <w:sz w:val="20"/>
          <w:szCs w:val="20"/>
          <w:color w:val="auto"/>
        </w:rPr>
      </w:pPr>
      <w:r>
        <w:rPr>
          <w:rFonts w:ascii="Times New Roman" w:cs="Times New Roman" w:eastAsia="Times New Roman" w:hAnsi="Times New Roman"/>
          <w:sz w:val="20"/>
          <w:szCs w:val="20"/>
          <w:color w:val="auto"/>
        </w:rPr>
        <w:t>resignation shall become effective in accordance with such notice on the Resignation Effective Date.</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FF0000"/>
          <w:strike w:val="1"/>
        </w:rPr>
        <w:t>146960219_6</w:t>
      </w:r>
    </w:p>
    <w:p>
      <w:pPr>
        <w:spacing w:after="0"/>
        <w:rPr>
          <w:sz w:val="20"/>
          <w:szCs w:val="20"/>
          <w:color w:val="auto"/>
        </w:rPr>
      </w:pPr>
      <w:r>
        <w:rPr>
          <w:rFonts w:ascii="Times New Roman" w:cs="Times New Roman" w:eastAsia="Times New Roman" w:hAnsi="Times New Roman"/>
          <w:sz w:val="20"/>
          <w:szCs w:val="20"/>
          <w:color w:val="auto"/>
        </w:rPr>
        <w:t xml:space="preserve">150  </w:t>
      </w: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100"/>
          </w:cols>
          <w:pgMar w:left="360" w:top="1399" w:right="439" w:bottom="1440" w:gutter="0" w:footer="0" w:header="0"/>
        </w:sectPr>
      </w:pPr>
    </w:p>
    <w:bookmarkStart w:id="234" w:name="page235"/>
    <w:bookmarkEnd w:id="234"/>
    <w:p>
      <w:pPr>
        <w:jc w:val="both"/>
        <w:ind w:left="60" w:firstLine="644"/>
        <w:spacing w:after="0" w:line="216" w:lineRule="auto"/>
        <w:tabs>
          <w:tab w:leader="none" w:pos="1236" w:val="left"/>
        </w:tabs>
        <w:numPr>
          <w:ilvl w:val="0"/>
          <w:numId w:val="3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Person serving as Administrative Agent is a Defaulting Lender pursuant to clause (d) of the definition thereof, the Required Lenders may, to the extent permitted by Applicable Law, by notice in writing to Centuri and such Person, remove such Person as Administrative Agent and, in consultation with the Borrowers, appoint a successor. If no such successor shall have been so appointed by the Required Lenders and shall have accepted such appointment within thirty (30) days (or such earlier day as shall be agreed by the Required Lenders) (the “</w:t>
      </w:r>
      <w:r>
        <w:rPr>
          <w:rFonts w:ascii="Times New Roman" w:cs="Times New Roman" w:eastAsia="Times New Roman" w:hAnsi="Times New Roman"/>
          <w:sz w:val="20"/>
          <w:szCs w:val="20"/>
          <w:u w:val="single" w:color="auto"/>
          <w:color w:val="auto"/>
        </w:rPr>
        <w:t>Removal Effective Date</w:t>
      </w:r>
      <w:r>
        <w:rPr>
          <w:rFonts w:ascii="Times New Roman" w:cs="Times New Roman" w:eastAsia="Times New Roman" w:hAnsi="Times New Roman"/>
          <w:sz w:val="20"/>
          <w:szCs w:val="20"/>
          <w:color w:val="auto"/>
        </w:rPr>
        <w:t>”), then such removal shall nonetheless become effective in accordance with such notice on the Removal Effective Date.</w:t>
      </w:r>
    </w:p>
    <w:p>
      <w:pPr>
        <w:spacing w:after="0" w:line="202" w:lineRule="exact"/>
        <w:rPr>
          <w:rFonts w:ascii="Times New Roman" w:cs="Times New Roman" w:eastAsia="Times New Roman" w:hAnsi="Times New Roman"/>
          <w:sz w:val="20"/>
          <w:szCs w:val="20"/>
          <w:color w:val="auto"/>
        </w:rPr>
      </w:pPr>
    </w:p>
    <w:p>
      <w:pPr>
        <w:jc w:val="both"/>
        <w:ind w:left="60" w:firstLine="644"/>
        <w:spacing w:after="0" w:line="220" w:lineRule="auto"/>
        <w:tabs>
          <w:tab w:leader="none" w:pos="1246" w:val="left"/>
        </w:tabs>
        <w:numPr>
          <w:ilvl w:val="0"/>
          <w:numId w:val="3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With effect from the Resignation Effective Date or the Removal Effective Date (as applicable), (1) the retiring or removed Administrative Agent shall be discharged from its duties and obligations hereunder and under the other Loan Documents (except that in the case of any collateral security held by the Administrative Agent on behalf of the Lenders or the Issuing Lenders under any of the Loan Documents, the retiring or removed Administrative Agent shall continue to hold such collateral security until such time as a successor Administrative Agent is appointed) and (2) except for any indemnity payments or other amounts then owed to the retiring or removed Administrative Agent, all payments, communications and determinations provided to be made by, to or through the Administrative Agent shall instead be made by or to each Lender and each Issuing Lender directly, until such time, if any, as the Required Lenders appoint a successor Administrative Agent as provided for above. Upon the acceptance of a successor’s appointment as Administrative Agent hereunder, such successor shall succeed to and become vested with all of the rights, powers, privileges and duties of the retiring or removed Administrative Agent (other than any rights to indemnity payments owed to the retiring or removed Administrative Agent), and the retiring or removed Administrative Agent shall be discharged from all of its duties and obligations hereunder or under the other Loan Documents. The fees payable by the Borrowers to a successor Administrative Agent shall be the same as those payable to its predecessor unless otherwise agreed between the Borrowers and such successor. After the retiring or removed Administrative Agent’s resignation or removal hereunder and under the other Loan Documents, the provisions of this Article and </w:t>
      </w:r>
      <w:r>
        <w:rPr>
          <w:rFonts w:ascii="Times New Roman" w:cs="Times New Roman" w:eastAsia="Times New Roman" w:hAnsi="Times New Roman"/>
          <w:sz w:val="19"/>
          <w:szCs w:val="19"/>
          <w:u w:val="single" w:color="auto"/>
          <w:color w:val="auto"/>
        </w:rPr>
        <w:t>Section 12.3</w:t>
      </w:r>
      <w:r>
        <w:rPr>
          <w:rFonts w:ascii="Times New Roman" w:cs="Times New Roman" w:eastAsia="Times New Roman" w:hAnsi="Times New Roman"/>
          <w:sz w:val="19"/>
          <w:szCs w:val="19"/>
          <w:color w:val="auto"/>
        </w:rPr>
        <w:t xml:space="preserve"> shall continue in effect for the benefit of such retiring or removed Administrative Agent, its sub-agents and their respective Related Parties in respect of any actions taken or omitted to be taken by any of them while the retiring or removed Administrative Agent was acting as Administrative Agent or relating to its duties as Administrative Agent that are carried out following its retirement or removal, including, without limitation, any actions taken with respect to acting as collateral agent or otherwise holding any Collateral on behalf of any of the Secured Parties or in respect of any actions taken in connection with the transfer of agency to a replacement or successor Administrative Agent.</w:t>
      </w:r>
    </w:p>
    <w:p>
      <w:pPr>
        <w:spacing w:after="0" w:line="190" w:lineRule="exact"/>
        <w:rPr>
          <w:rFonts w:ascii="Times New Roman" w:cs="Times New Roman" w:eastAsia="Times New Roman" w:hAnsi="Times New Roman"/>
          <w:sz w:val="19"/>
          <w:szCs w:val="19"/>
          <w:color w:val="auto"/>
        </w:rPr>
      </w:pPr>
    </w:p>
    <w:p>
      <w:pPr>
        <w:jc w:val="both"/>
        <w:ind w:left="60" w:firstLine="644"/>
        <w:spacing w:after="0" w:line="215" w:lineRule="auto"/>
        <w:tabs>
          <w:tab w:leader="none" w:pos="1237" w:val="left"/>
        </w:tabs>
        <w:numPr>
          <w:ilvl w:val="0"/>
          <w:numId w:val="3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resignation by, or removal of, Wells Fargo as Administrative Agent pursuant to this Section shall also constitute its resignation as an Issuing Lender and Swingline Lender. Upon the acceptance of a successor’s appointment as Administrative Agent hereunder, (a) such successor shall succeed to and become vested with all of the rights, powers, privileges and duties of the retiring Issuing Lender, if in its sole discretion it elects to, and Swingline Lender, (b) the retiring Issuing Lender and Swingline Lender shall be discharged from all of their respective duties and obligations hereunder or under the other Loan Documents, and (c) the successor Issuing Lender, if in its sole discretion it elects to, shall issue letters of credit in substitution for the Letters of Credit, if any, outstanding at the time of such succession or make other arrangements satisfactory to the retiring Issuing Lender to effectively assume the obligations of the retiring Issuing Lender with respect to such Letters of Credit.</w:t>
      </w:r>
    </w:p>
    <w:p>
      <w:pPr>
        <w:spacing w:after="0" w:line="188" w:lineRule="exact"/>
        <w:rPr>
          <w:sz w:val="20"/>
          <w:szCs w:val="20"/>
          <w:color w:val="auto"/>
        </w:rPr>
      </w:pPr>
    </w:p>
    <w:p>
      <w:pPr>
        <w:ind w:left="700"/>
        <w:spacing w:after="0"/>
        <w:tabs>
          <w:tab w:leader="none" w:pos="2100" w:val="left"/>
        </w:tabs>
        <w:rPr>
          <w:sz w:val="20"/>
          <w:szCs w:val="20"/>
          <w:color w:val="auto"/>
        </w:rPr>
      </w:pPr>
      <w:r>
        <w:rPr>
          <w:rFonts w:ascii="Times New Roman" w:cs="Times New Roman" w:eastAsia="Times New Roman" w:hAnsi="Times New Roman"/>
          <w:sz w:val="20"/>
          <w:szCs w:val="20"/>
          <w:color w:val="auto"/>
        </w:rPr>
        <w:t>SECTION 11.7</w:t>
      </w:r>
      <w:r>
        <w:rPr>
          <w:sz w:val="20"/>
          <w:szCs w:val="20"/>
          <w:color w:val="auto"/>
        </w:rPr>
        <w:tab/>
      </w:r>
      <w:r>
        <w:rPr>
          <w:rFonts w:ascii="Times New Roman" w:cs="Times New Roman" w:eastAsia="Times New Roman" w:hAnsi="Times New Roman"/>
          <w:sz w:val="19"/>
          <w:szCs w:val="19"/>
          <w:u w:val="single" w:color="auto"/>
          <w:color w:val="auto"/>
        </w:rPr>
        <w:t>Non-Reliance on Administrative Agent and Other Lenders</w:t>
      </w:r>
    </w:p>
    <w:p>
      <w:pPr>
        <w:spacing w:after="0" w:line="283" w:lineRule="exact"/>
        <w:rPr>
          <w:sz w:val="20"/>
          <w:szCs w:val="20"/>
          <w:color w:val="auto"/>
        </w:rPr>
      </w:pPr>
    </w:p>
    <w:p>
      <w:pPr>
        <w:jc w:val="both"/>
        <w:ind w:left="60" w:right="20" w:hanging="4"/>
        <w:spacing w:after="0" w:line="226" w:lineRule="auto"/>
        <w:tabs>
          <w:tab w:leader="none" w:pos="188" w:val="left"/>
        </w:tabs>
        <w:numPr>
          <w:ilvl w:val="0"/>
          <w:numId w:val="3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and each Issuing Lender expressly acknowledges that none of the Administrative Agent, any Arranger or any of their respective Related Parties has made any representations or warranties to it and that no act taken or failure to act by the Administrative Agent, any Arranger or any of their respective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FF0000"/>
          <w:strike w:val="1"/>
        </w:rPr>
        <w:t>146960219_6</w:t>
      </w: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151</w:t>
      </w:r>
      <w:r>
        <w:rPr>
          <w:sz w:val="20"/>
          <w:szCs w:val="20"/>
          <w:color w:val="auto"/>
        </w:rPr>
        <w:tab/>
      </w: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080"/>
          </w:cols>
          <w:pgMar w:left="380" w:top="1399" w:right="439" w:bottom="1440" w:gutter="0" w:footer="0" w:header="0"/>
        </w:sectPr>
      </w:pPr>
    </w:p>
    <w:bookmarkStart w:id="235" w:name="page236"/>
    <w:bookmarkEnd w:id="235"/>
    <w:p>
      <w:pPr>
        <w:spacing w:after="0" w:line="1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Related Parties, including any consent to, and acceptance of any assignment or review of the affairs of the Consolidated Companies and</w:t>
      </w:r>
    </w:p>
    <w:p>
      <w:pPr>
        <w:ind w:left="60"/>
        <w:spacing w:after="0" w:line="215" w:lineRule="auto"/>
        <w:rPr>
          <w:sz w:val="20"/>
          <w:szCs w:val="20"/>
          <w:color w:val="auto"/>
        </w:rPr>
      </w:pPr>
      <w:r>
        <w:rPr>
          <w:rFonts w:ascii="Times New Roman" w:cs="Times New Roman" w:eastAsia="Times New Roman" w:hAnsi="Times New Roman"/>
          <w:sz w:val="19"/>
          <w:szCs w:val="19"/>
          <w:color w:val="auto"/>
        </w:rPr>
        <w:t>their Subsidiaries or Affiliates shall be deemed to constitute a representation or warranty of the Administrative Agent, any Arranger or any of their respective Related Parties to any Lender, any Issuing Lender or any other Secured Party as to any matter, including whether the</w:t>
      </w:r>
    </w:p>
    <w:p>
      <w:pPr>
        <w:ind w:left="60"/>
        <w:spacing w:after="0" w:line="211" w:lineRule="auto"/>
        <w:rPr>
          <w:sz w:val="20"/>
          <w:szCs w:val="20"/>
          <w:color w:val="auto"/>
        </w:rPr>
      </w:pPr>
      <w:r>
        <w:rPr>
          <w:rFonts w:ascii="Times New Roman" w:cs="Times New Roman" w:eastAsia="Times New Roman" w:hAnsi="Times New Roman"/>
          <w:sz w:val="20"/>
          <w:szCs w:val="20"/>
          <w:color w:val="auto"/>
        </w:rPr>
        <w:t>Administrative Agent, any Arranger or any of their respective Related Parties have disclosed material information in their (or their</w:t>
      </w:r>
    </w:p>
    <w:p>
      <w:pPr>
        <w:ind w:left="60"/>
        <w:spacing w:after="0" w:line="215" w:lineRule="auto"/>
        <w:rPr>
          <w:sz w:val="20"/>
          <w:szCs w:val="20"/>
          <w:color w:val="auto"/>
        </w:rPr>
      </w:pPr>
      <w:r>
        <w:rPr>
          <w:rFonts w:ascii="Times New Roman" w:cs="Times New Roman" w:eastAsia="Times New Roman" w:hAnsi="Times New Roman"/>
          <w:sz w:val="19"/>
          <w:szCs w:val="19"/>
          <w:color w:val="auto"/>
        </w:rPr>
        <w:t>respective Related Parties’) possession. Each Lender and each Issuing Lender expressly acknowledges, represents and warrants to the Administrative Agent and each Arranger that (a) the Loan Documents set forth the terms of a commercial lending facility, (b) it is engaged</w:t>
      </w:r>
    </w:p>
    <w:p>
      <w:pPr>
        <w:ind w:left="60"/>
        <w:spacing w:after="0" w:line="211" w:lineRule="auto"/>
        <w:rPr>
          <w:sz w:val="20"/>
          <w:szCs w:val="20"/>
          <w:color w:val="auto"/>
        </w:rPr>
      </w:pPr>
      <w:r>
        <w:rPr>
          <w:rFonts w:ascii="Times New Roman" w:cs="Times New Roman" w:eastAsia="Times New Roman" w:hAnsi="Times New Roman"/>
          <w:sz w:val="20"/>
          <w:szCs w:val="20"/>
          <w:color w:val="auto"/>
        </w:rPr>
        <w:t>in making, acquiring, purchasing or holding commercial loans in the ordinary course and is entering into this Agreement and the other</w:t>
      </w:r>
    </w:p>
    <w:p>
      <w:pPr>
        <w:ind w:left="60"/>
        <w:spacing w:after="0" w:line="204" w:lineRule="auto"/>
        <w:rPr>
          <w:sz w:val="20"/>
          <w:szCs w:val="20"/>
          <w:color w:val="auto"/>
        </w:rPr>
      </w:pPr>
      <w:r>
        <w:rPr>
          <w:rFonts w:ascii="Times New Roman" w:cs="Times New Roman" w:eastAsia="Times New Roman" w:hAnsi="Times New Roman"/>
          <w:sz w:val="20"/>
          <w:szCs w:val="20"/>
          <w:color w:val="auto"/>
        </w:rPr>
        <w:t>Loan Documents to which it is a party as a Lender for the purpose of making, acquiring, purchasing and/or holding the commercial loans set forth herein as may be applicable to it, and not for the purpose of making, acquiring, purchasing or holding any other type of financial</w:t>
      </w:r>
    </w:p>
    <w:p>
      <w:pPr>
        <w:ind w:left="60"/>
        <w:spacing w:after="0" w:line="211" w:lineRule="auto"/>
        <w:rPr>
          <w:sz w:val="20"/>
          <w:szCs w:val="20"/>
          <w:color w:val="auto"/>
        </w:rPr>
      </w:pPr>
      <w:r>
        <w:rPr>
          <w:rFonts w:ascii="Times New Roman" w:cs="Times New Roman" w:eastAsia="Times New Roman" w:hAnsi="Times New Roman"/>
          <w:sz w:val="20"/>
          <w:szCs w:val="20"/>
          <w:color w:val="auto"/>
        </w:rPr>
        <w:t>instrument, (c) it is sophisticated with respect to decisions to make, acquire, purchase or hold the commercial loans applicable to it and</w:t>
      </w:r>
    </w:p>
    <w:p>
      <w:pPr>
        <w:spacing w:after="0" w:line="1" w:lineRule="exact"/>
        <w:rPr>
          <w:sz w:val="20"/>
          <w:szCs w:val="20"/>
          <w:color w:val="auto"/>
        </w:rPr>
      </w:pPr>
    </w:p>
    <w:p>
      <w:pPr>
        <w:ind w:left="60"/>
        <w:spacing w:after="0" w:line="204" w:lineRule="auto"/>
        <w:rPr>
          <w:sz w:val="20"/>
          <w:szCs w:val="20"/>
          <w:color w:val="auto"/>
        </w:rPr>
      </w:pPr>
      <w:r>
        <w:rPr>
          <w:rFonts w:ascii="Times New Roman" w:cs="Times New Roman" w:eastAsia="Times New Roman" w:hAnsi="Times New Roman"/>
          <w:sz w:val="20"/>
          <w:szCs w:val="20"/>
          <w:color w:val="auto"/>
        </w:rPr>
        <w:t>either it or the Person exercising discretion in making its decisions to make, acquire, purchase or hold such commercial loans is experienced in making, acquiring, purchasing or holding commercial loans, (d) it has, independently and without reliance upon the</w:t>
      </w:r>
    </w:p>
    <w:p>
      <w:pPr>
        <w:ind w:left="60"/>
        <w:spacing w:after="0" w:line="211" w:lineRule="auto"/>
        <w:rPr>
          <w:sz w:val="20"/>
          <w:szCs w:val="20"/>
          <w:color w:val="auto"/>
        </w:rPr>
      </w:pPr>
      <w:r>
        <w:rPr>
          <w:rFonts w:ascii="Times New Roman" w:cs="Times New Roman" w:eastAsia="Times New Roman" w:hAnsi="Times New Roman"/>
          <w:sz w:val="20"/>
          <w:szCs w:val="20"/>
          <w:color w:val="auto"/>
        </w:rPr>
        <w:t>Administrative Agent, any Arranger, any other Lender or any of their respective Related Parties and based on such documents and</w:t>
      </w:r>
    </w:p>
    <w:p>
      <w:pPr>
        <w:spacing w:after="0" w:line="1" w:lineRule="exact"/>
        <w:rPr>
          <w:sz w:val="20"/>
          <w:szCs w:val="20"/>
          <w:color w:val="auto"/>
        </w:rPr>
      </w:pPr>
    </w:p>
    <w:p>
      <w:pPr>
        <w:ind w:left="60"/>
        <w:spacing w:after="0" w:line="204" w:lineRule="auto"/>
        <w:rPr>
          <w:sz w:val="20"/>
          <w:szCs w:val="20"/>
          <w:color w:val="auto"/>
        </w:rPr>
      </w:pPr>
      <w:r>
        <w:rPr>
          <w:rFonts w:ascii="Times New Roman" w:cs="Times New Roman" w:eastAsia="Times New Roman" w:hAnsi="Times New Roman"/>
          <w:sz w:val="20"/>
          <w:szCs w:val="20"/>
          <w:color w:val="auto"/>
        </w:rPr>
        <w:t>information as it has deemed appropriate, made its own credit analysis and appraisal of, and investigations into, the business, prospects, operations, property, assets, liabilities, financial and other condition and creditworthiness of the Consolidated Companies and their</w:t>
      </w:r>
    </w:p>
    <w:p>
      <w:pPr>
        <w:ind w:left="60"/>
        <w:spacing w:after="0" w:line="223" w:lineRule="auto"/>
        <w:rPr>
          <w:sz w:val="20"/>
          <w:szCs w:val="20"/>
          <w:color w:val="auto"/>
        </w:rPr>
      </w:pPr>
      <w:r>
        <w:rPr>
          <w:rFonts w:ascii="Times New Roman" w:cs="Times New Roman" w:eastAsia="Times New Roman" w:hAnsi="Times New Roman"/>
          <w:sz w:val="19"/>
          <w:szCs w:val="19"/>
          <w:color w:val="auto"/>
        </w:rPr>
        <w:t>Subsidiaries, all applicable bank or other regulatory Applicable Laws relating to the Transactions and the transactions contemplated by this</w:t>
      </w:r>
    </w:p>
    <w:p>
      <w:pPr>
        <w:ind w:left="60"/>
        <w:spacing w:after="0" w:line="204" w:lineRule="auto"/>
        <w:rPr>
          <w:sz w:val="20"/>
          <w:szCs w:val="20"/>
          <w:color w:val="auto"/>
        </w:rPr>
      </w:pPr>
      <w:r>
        <w:rPr>
          <w:rFonts w:ascii="Times New Roman" w:cs="Times New Roman" w:eastAsia="Times New Roman" w:hAnsi="Times New Roman"/>
          <w:sz w:val="20"/>
          <w:szCs w:val="20"/>
          <w:color w:val="auto"/>
        </w:rPr>
        <w:t>Agreement and the other Loan Documents and (e) it has made its own independent decision to enter into this Agreement and the other Loan Documents to which it is a party and to extend credit hereunder and thereunder. Each Lender and each Issuing Lender also</w:t>
      </w:r>
    </w:p>
    <w:p>
      <w:pPr>
        <w:spacing w:after="0" w:line="1" w:lineRule="exact"/>
        <w:rPr>
          <w:sz w:val="20"/>
          <w:szCs w:val="20"/>
          <w:color w:val="auto"/>
        </w:rPr>
      </w:pPr>
    </w:p>
    <w:p>
      <w:pPr>
        <w:ind w:left="60"/>
        <w:spacing w:after="0" w:line="215" w:lineRule="auto"/>
        <w:rPr>
          <w:sz w:val="20"/>
          <w:szCs w:val="20"/>
          <w:color w:val="auto"/>
        </w:rPr>
      </w:pPr>
      <w:r>
        <w:rPr>
          <w:rFonts w:ascii="Times New Roman" w:cs="Times New Roman" w:eastAsia="Times New Roman" w:hAnsi="Times New Roman"/>
          <w:sz w:val="19"/>
          <w:szCs w:val="19"/>
          <w:color w:val="auto"/>
        </w:rPr>
        <w:t>acknowledges that (i) it will, independently and without reliance upon the Administrative Agent, any Arranger or any other Lender or any of their respective Related Parties (A) continue to make its own credit analysis, appraisals and decisions in taking or not taking action</w:t>
      </w:r>
    </w:p>
    <w:p>
      <w:pPr>
        <w:ind w:left="60"/>
        <w:spacing w:after="0" w:line="211" w:lineRule="auto"/>
        <w:rPr>
          <w:sz w:val="20"/>
          <w:szCs w:val="20"/>
          <w:color w:val="auto"/>
        </w:rPr>
      </w:pPr>
      <w:r>
        <w:rPr>
          <w:rFonts w:ascii="Times New Roman" w:cs="Times New Roman" w:eastAsia="Times New Roman" w:hAnsi="Times New Roman"/>
          <w:sz w:val="20"/>
          <w:szCs w:val="20"/>
          <w:color w:val="auto"/>
        </w:rPr>
        <w:t>under or based upon this Agreement, any other Loan Document or any related agreement or any document furnished hereunder or</w:t>
      </w:r>
    </w:p>
    <w:p>
      <w:pPr>
        <w:ind w:left="60"/>
        <w:spacing w:after="0" w:line="215" w:lineRule="auto"/>
        <w:rPr>
          <w:sz w:val="20"/>
          <w:szCs w:val="20"/>
          <w:color w:val="auto"/>
        </w:rPr>
      </w:pPr>
      <w:r>
        <w:rPr>
          <w:rFonts w:ascii="Times New Roman" w:cs="Times New Roman" w:eastAsia="Times New Roman" w:hAnsi="Times New Roman"/>
          <w:sz w:val="19"/>
          <w:szCs w:val="19"/>
          <w:color w:val="auto"/>
        </w:rPr>
        <w:t>thereunder based on such documents and information as it shall from time to time deem appropriate and its own independent investigations and (B) continue to make such investigations and inquiries as it deems necessary to inform itself as to the Consolidated Companies and</w:t>
      </w:r>
    </w:p>
    <w:p>
      <w:pPr>
        <w:ind w:left="60"/>
        <w:spacing w:after="0"/>
        <w:rPr>
          <w:sz w:val="20"/>
          <w:szCs w:val="20"/>
          <w:color w:val="auto"/>
        </w:rPr>
      </w:pPr>
      <w:r>
        <w:rPr>
          <w:rFonts w:ascii="Times New Roman" w:cs="Times New Roman" w:eastAsia="Times New Roman" w:hAnsi="Times New Roman"/>
          <w:sz w:val="20"/>
          <w:szCs w:val="20"/>
          <w:color w:val="auto"/>
        </w:rPr>
        <w:t xml:space="preserve">their Subsidiaries and (ii) it will not assert any claim in contravention of this </w:t>
      </w:r>
      <w:r>
        <w:rPr>
          <w:rFonts w:ascii="Times New Roman" w:cs="Times New Roman" w:eastAsia="Times New Roman" w:hAnsi="Times New Roman"/>
          <w:sz w:val="20"/>
          <w:szCs w:val="20"/>
          <w:u w:val="single" w:color="auto"/>
          <w:color w:val="auto"/>
        </w:rPr>
        <w:t>Section 11.7</w:t>
      </w:r>
      <w:r>
        <w:rPr>
          <w:rFonts w:ascii="Times New Roman" w:cs="Times New Roman" w:eastAsia="Times New Roman" w:hAnsi="Times New Roman"/>
          <w:sz w:val="20"/>
          <w:szCs w:val="20"/>
          <w:color w:val="auto"/>
        </w:rPr>
        <w:t>.</w:t>
      </w:r>
    </w:p>
    <w:p>
      <w:pPr>
        <w:spacing w:after="0" w:line="261" w:lineRule="exact"/>
        <w:rPr>
          <w:sz w:val="20"/>
          <w:szCs w:val="20"/>
          <w:color w:val="auto"/>
        </w:rPr>
      </w:pPr>
    </w:p>
    <w:p>
      <w:pPr>
        <w:ind w:left="700"/>
        <w:spacing w:after="0"/>
        <w:tabs>
          <w:tab w:leader="none" w:pos="2100" w:val="left"/>
        </w:tabs>
        <w:rPr>
          <w:sz w:val="20"/>
          <w:szCs w:val="20"/>
          <w:color w:val="auto"/>
        </w:rPr>
      </w:pPr>
      <w:r>
        <w:rPr>
          <w:rFonts w:ascii="Times New Roman" w:cs="Times New Roman" w:eastAsia="Times New Roman" w:hAnsi="Times New Roman"/>
          <w:sz w:val="20"/>
          <w:szCs w:val="20"/>
          <w:color w:val="auto"/>
        </w:rPr>
        <w:t>SECTION 11.8</w:t>
      </w:r>
      <w:r>
        <w:rPr>
          <w:sz w:val="20"/>
          <w:szCs w:val="20"/>
          <w:color w:val="auto"/>
        </w:rPr>
        <w:tab/>
      </w:r>
      <w:r>
        <w:rPr>
          <w:rFonts w:ascii="Times New Roman" w:cs="Times New Roman" w:eastAsia="Times New Roman" w:hAnsi="Times New Roman"/>
          <w:sz w:val="19"/>
          <w:szCs w:val="19"/>
          <w:u w:val="single" w:color="auto"/>
          <w:color w:val="auto"/>
        </w:rPr>
        <w:t>No Other Duties, Etc</w:t>
      </w:r>
    </w:p>
    <w:p>
      <w:pPr>
        <w:spacing w:after="0" w:line="283" w:lineRule="exact"/>
        <w:rPr>
          <w:sz w:val="20"/>
          <w:szCs w:val="20"/>
          <w:color w:val="auto"/>
        </w:rPr>
      </w:pPr>
    </w:p>
    <w:p>
      <w:pPr>
        <w:jc w:val="both"/>
        <w:ind w:left="60" w:firstLine="36"/>
        <w:spacing w:after="0" w:line="222" w:lineRule="auto"/>
        <w:tabs>
          <w:tab w:leader="none" w:pos="250" w:val="left"/>
        </w:tabs>
        <w:numPr>
          <w:ilvl w:val="0"/>
          <w:numId w:val="3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Anything herein to the contrary notwithstanding, none of the syndication agents, documentation agents, co-agents, arrangers or bookrunners listed on the cover page hereof shall have any powers, duties or responsibilities under this Agreement or any of the other Loan Documents, except in its capacity, as applicable, as the Administrative Agent, a Lender or an Issuing Lender hereunder, but each such Person shall have the benefit of the indemnities and exculpatory provisions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-456565</wp:posOffset>
            </wp:positionV>
            <wp:extent cx="2540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169" w:lineRule="exact"/>
        <w:rPr>
          <w:sz w:val="20"/>
          <w:szCs w:val="20"/>
          <w:color w:val="auto"/>
        </w:rPr>
      </w:pPr>
    </w:p>
    <w:p>
      <w:pPr>
        <w:ind w:left="700"/>
        <w:spacing w:after="0"/>
        <w:tabs>
          <w:tab w:leader="none" w:pos="2100" w:val="left"/>
        </w:tabs>
        <w:rPr>
          <w:sz w:val="20"/>
          <w:szCs w:val="20"/>
          <w:color w:val="auto"/>
        </w:rPr>
      </w:pPr>
      <w:r>
        <w:rPr>
          <w:rFonts w:ascii="Times New Roman" w:cs="Times New Roman" w:eastAsia="Times New Roman" w:hAnsi="Times New Roman"/>
          <w:sz w:val="20"/>
          <w:szCs w:val="20"/>
          <w:color w:val="auto"/>
        </w:rPr>
        <w:t>SECTION 11.9</w:t>
      </w:r>
      <w:r>
        <w:rPr>
          <w:sz w:val="20"/>
          <w:szCs w:val="20"/>
          <w:color w:val="auto"/>
        </w:rPr>
        <w:tab/>
      </w:r>
      <w:r>
        <w:rPr>
          <w:rFonts w:ascii="Times New Roman" w:cs="Times New Roman" w:eastAsia="Times New Roman" w:hAnsi="Times New Roman"/>
          <w:sz w:val="19"/>
          <w:szCs w:val="19"/>
          <w:u w:val="single" w:color="auto"/>
          <w:color w:val="auto"/>
        </w:rPr>
        <w:t>Collateral and Guaranty Matters</w:t>
      </w:r>
      <w:r>
        <w:rPr>
          <w:rFonts w:ascii="Times New Roman" w:cs="Times New Roman" w:eastAsia="Times New Roman" w:hAnsi="Times New Roman"/>
          <w:sz w:val="19"/>
          <w:szCs w:val="19"/>
          <w:color w:val="auto"/>
        </w:rPr>
        <w:t>.</w:t>
      </w:r>
    </w:p>
    <w:p>
      <w:pPr>
        <w:spacing w:after="0" w:line="283" w:lineRule="exact"/>
        <w:rPr>
          <w:sz w:val="20"/>
          <w:szCs w:val="20"/>
          <w:color w:val="auto"/>
        </w:rPr>
      </w:pPr>
    </w:p>
    <w:p>
      <w:pPr>
        <w:ind w:left="60" w:right="20" w:firstLine="644"/>
        <w:spacing w:after="0"/>
        <w:tabs>
          <w:tab w:leader="none" w:pos="1239" w:val="left"/>
        </w:tabs>
        <w:numPr>
          <w:ilvl w:val="0"/>
          <w:numId w:val="4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Lenders (including in its or any of its Affiliate’s capacities as a holder of Secured Hedge Obligations and Secured Cash Management Obligations) irrevocably authorize the Administrative Agent:</w:t>
      </w:r>
    </w:p>
    <w:p>
      <w:pPr>
        <w:spacing w:after="0" w:line="18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0"/>
          <w:szCs w:val="20"/>
          <w:color w:val="auto"/>
        </w:rPr>
        <w:t>(cviii) to release any Lien on any Collateral granted to or held by the Administrative Agent, for the ratable benefit of the</w:t>
      </w:r>
    </w:p>
    <w:p>
      <w:pPr>
        <w:ind w:left="700"/>
        <w:spacing w:after="0" w:line="221" w:lineRule="auto"/>
        <w:rPr>
          <w:sz w:val="20"/>
          <w:szCs w:val="20"/>
          <w:color w:val="auto"/>
        </w:rPr>
      </w:pPr>
      <w:r>
        <w:rPr>
          <w:rFonts w:ascii="Times New Roman" w:cs="Times New Roman" w:eastAsia="Times New Roman" w:hAnsi="Times New Roman"/>
          <w:sz w:val="20"/>
          <w:szCs w:val="20"/>
          <w:color w:val="auto"/>
        </w:rPr>
        <w:t>Secured Parties, under any Loan Document (A) upon the termination of the Revolving Credit Commitment and payment in full of all Secured Obligations (other than (1) contingent indemnification obligations and (2) Secured Cash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FF0000"/>
          <w:strike w:val="1"/>
        </w:rPr>
        <w:t>146960219_6</w:t>
      </w: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152</w:t>
      </w:r>
      <w:r>
        <w:rPr>
          <w:sz w:val="20"/>
          <w:szCs w:val="20"/>
          <w:color w:val="auto"/>
        </w:rPr>
        <w:tab/>
      </w: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080"/>
          </w:cols>
          <w:pgMar w:left="380" w:top="1440" w:right="439" w:bottom="1440" w:gutter="0" w:footer="0" w:header="0"/>
        </w:sectPr>
      </w:pPr>
    </w:p>
    <w:bookmarkStart w:id="236" w:name="page237"/>
    <w:bookmarkEnd w:id="236"/>
    <w:p>
      <w:pPr>
        <w:spacing w:after="0" w:line="19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color w:val="auto"/>
        </w:rPr>
        <w:t>Obligations or Secured Hedge Obligations) and the expiration or termination of all Letters of Credit (other than Letters of Credit</w:t>
      </w:r>
    </w:p>
    <w:p>
      <w:pPr>
        <w:ind w:left="700"/>
        <w:spacing w:after="0" w:line="204" w:lineRule="auto"/>
        <w:rPr>
          <w:sz w:val="20"/>
          <w:szCs w:val="20"/>
          <w:color w:val="auto"/>
        </w:rPr>
      </w:pPr>
      <w:r>
        <w:rPr>
          <w:rFonts w:ascii="Times New Roman" w:cs="Times New Roman" w:eastAsia="Times New Roman" w:hAnsi="Times New Roman"/>
          <w:sz w:val="20"/>
          <w:szCs w:val="20"/>
          <w:color w:val="auto"/>
        </w:rPr>
        <w:t>which have been Cash Collateralized or as to which other arrangements satisfactory to the Administrative Agent and the applicable Issuing Lender shall have been made),</w:t>
      </w:r>
    </w:p>
    <w:p>
      <w:pPr>
        <w:spacing w:after="0" w:line="1" w:lineRule="exact"/>
        <w:rPr>
          <w:sz w:val="20"/>
          <w:szCs w:val="20"/>
          <w:color w:val="auto"/>
        </w:rPr>
      </w:pPr>
    </w:p>
    <w:p>
      <w:pPr>
        <w:jc w:val="both"/>
        <w:ind w:left="700" w:right="20" w:firstLine="3"/>
        <w:spacing w:after="0" w:line="216" w:lineRule="auto"/>
        <w:tabs>
          <w:tab w:leader="none" w:pos="1025" w:val="left"/>
        </w:tabs>
        <w:numPr>
          <w:ilvl w:val="0"/>
          <w:numId w:val="4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that is sold or otherwise disposed of or to be sold or otherwise disposed of as part of or in connection with any sale or other disposition to a Person other than a Credit Party permitted under the Loan Documents, as certified by Centuri, or (C) if approved, authorized or ratified in writing by the Required Lenders in accordance with </w:t>
      </w:r>
      <w:r>
        <w:rPr>
          <w:rFonts w:ascii="Times New Roman" w:cs="Times New Roman" w:eastAsia="Times New Roman" w:hAnsi="Times New Roman"/>
          <w:sz w:val="20"/>
          <w:szCs w:val="20"/>
          <w:u w:val="single" w:color="auto"/>
          <w:color w:val="auto"/>
        </w:rPr>
        <w:t>Section 12.2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release of all or substantially of the Collateral shall be subject to </w:t>
      </w:r>
      <w:r>
        <w:rPr>
          <w:rFonts w:ascii="Times New Roman" w:cs="Times New Roman" w:eastAsia="Times New Roman" w:hAnsi="Times New Roman"/>
          <w:sz w:val="20"/>
          <w:szCs w:val="20"/>
          <w:u w:val="single" w:color="auto"/>
          <w:color w:val="auto"/>
        </w:rPr>
        <w:t>Section 12.2(j)</w:t>
      </w:r>
      <w:r>
        <w:rPr>
          <w:rFonts w:ascii="Times New Roman" w:cs="Times New Roman" w:eastAsia="Times New Roman" w:hAnsi="Times New Roman"/>
          <w:sz w:val="20"/>
          <w:szCs w:val="20"/>
          <w:color w:val="auto"/>
        </w:rPr>
        <w:t>;</w:t>
      </w:r>
    </w:p>
    <w:p>
      <w:pPr>
        <w:spacing w:after="0" w:line="257" w:lineRule="exact"/>
        <w:rPr>
          <w:sz w:val="20"/>
          <w:szCs w:val="20"/>
          <w:color w:val="auto"/>
        </w:rPr>
      </w:pPr>
    </w:p>
    <w:p>
      <w:pPr>
        <w:ind w:left="700" w:firstLine="649"/>
        <w:spacing w:after="0" w:line="227" w:lineRule="auto"/>
        <w:rPr>
          <w:sz w:val="20"/>
          <w:szCs w:val="20"/>
          <w:color w:val="auto"/>
        </w:rPr>
      </w:pPr>
      <w:r>
        <w:rPr>
          <w:rFonts w:ascii="Times New Roman" w:cs="Times New Roman" w:eastAsia="Times New Roman" w:hAnsi="Times New Roman"/>
          <w:sz w:val="19"/>
          <w:szCs w:val="19"/>
          <w:color w:val="auto"/>
        </w:rPr>
        <w:t xml:space="preserve">(cix) to subordinate any Lien on any Collateral granted to or held by the Administrative Agent under any Loan Document to the holder of any Lien permitted pursuant to </w:t>
      </w:r>
      <w:r>
        <w:rPr>
          <w:rFonts w:ascii="Times New Roman" w:cs="Times New Roman" w:eastAsia="Times New Roman" w:hAnsi="Times New Roman"/>
          <w:sz w:val="19"/>
          <w:szCs w:val="19"/>
          <w:u w:val="single" w:color="auto"/>
          <w:color w:val="auto"/>
        </w:rPr>
        <w:t>Section 9.2(h)</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subordination of all or substantially all</w:t>
      </w:r>
    </w:p>
    <w:p>
      <w:pPr>
        <w:ind w:left="700"/>
        <w:spacing w:after="0"/>
        <w:rPr>
          <w:sz w:val="20"/>
          <w:szCs w:val="20"/>
          <w:color w:val="auto"/>
        </w:rPr>
      </w:pPr>
      <w:r>
        <w:rPr>
          <w:rFonts w:ascii="Times New Roman" w:cs="Times New Roman" w:eastAsia="Times New Roman" w:hAnsi="Times New Roman"/>
          <w:sz w:val="20"/>
          <w:szCs w:val="20"/>
          <w:color w:val="auto"/>
        </w:rPr>
        <w:t xml:space="preserve">of the Collateral shall be subject to </w:t>
      </w:r>
      <w:r>
        <w:rPr>
          <w:rFonts w:ascii="Times New Roman" w:cs="Times New Roman" w:eastAsia="Times New Roman" w:hAnsi="Times New Roman"/>
          <w:sz w:val="20"/>
          <w:szCs w:val="20"/>
          <w:u w:val="single" w:color="auto"/>
          <w:color w:val="auto"/>
        </w:rPr>
        <w:t>Section 12.2(j)</w:t>
      </w:r>
      <w:r>
        <w:rPr>
          <w:rFonts w:ascii="Times New Roman" w:cs="Times New Roman" w:eastAsia="Times New Roman" w:hAnsi="Times New Roman"/>
          <w:sz w:val="20"/>
          <w:szCs w:val="20"/>
          <w:color w:val="auto"/>
        </w:rPr>
        <w:t>; and</w:t>
      </w:r>
    </w:p>
    <w:p>
      <w:pPr>
        <w:spacing w:after="0" w:line="261" w:lineRule="exact"/>
        <w:rPr>
          <w:sz w:val="20"/>
          <w:szCs w:val="20"/>
          <w:color w:val="auto"/>
        </w:rPr>
      </w:pPr>
    </w:p>
    <w:p>
      <w:pPr>
        <w:ind w:left="700" w:right="20" w:firstLine="649"/>
        <w:spacing w:after="0" w:line="215" w:lineRule="auto"/>
        <w:rPr>
          <w:sz w:val="20"/>
          <w:szCs w:val="20"/>
          <w:color w:val="auto"/>
        </w:rPr>
      </w:pPr>
      <w:r>
        <w:rPr>
          <w:rFonts w:ascii="Times New Roman" w:cs="Times New Roman" w:eastAsia="Times New Roman" w:hAnsi="Times New Roman"/>
          <w:sz w:val="20"/>
          <w:szCs w:val="20"/>
          <w:color w:val="auto"/>
        </w:rPr>
        <w:t xml:space="preserve">(cx) to release any Subsidiary Guarantor from its obligations under any Loan Documents if such Person ceases to be a Subsidiary as a result of a transaction permitted under the Loan Documents, as certified by Centuri;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release of</w:t>
      </w:r>
    </w:p>
    <w:p>
      <w:pPr>
        <w:spacing w:after="0" w:line="1" w:lineRule="exact"/>
        <w:rPr>
          <w:sz w:val="20"/>
          <w:szCs w:val="20"/>
          <w:color w:val="auto"/>
        </w:rPr>
      </w:pPr>
    </w:p>
    <w:p>
      <w:pPr>
        <w:ind w:left="700"/>
        <w:spacing w:after="0" w:line="228" w:lineRule="auto"/>
        <w:rPr>
          <w:sz w:val="20"/>
          <w:szCs w:val="20"/>
          <w:color w:val="auto"/>
        </w:rPr>
      </w:pPr>
      <w:r>
        <w:rPr>
          <w:rFonts w:ascii="Times New Roman" w:cs="Times New Roman" w:eastAsia="Times New Roman" w:hAnsi="Times New Roman"/>
          <w:sz w:val="20"/>
          <w:szCs w:val="20"/>
          <w:color w:val="auto"/>
        </w:rPr>
        <w:t xml:space="preserve">Subsidiary Guarantors comprising substantially all of the credit support for the Secured Obligations shall be subject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12.2(i)</w:t>
      </w:r>
      <w:r>
        <w:rPr>
          <w:rFonts w:ascii="Times New Roman" w:cs="Times New Roman" w:eastAsia="Times New Roman" w:hAnsi="Times New Roman"/>
          <w:sz w:val="20"/>
          <w:szCs w:val="20"/>
          <w:color w:val="auto"/>
        </w:rPr>
        <w:t>.</w:t>
      </w:r>
    </w:p>
    <w:p>
      <w:pPr>
        <w:spacing w:after="0" w:line="243" w:lineRule="exact"/>
        <w:rPr>
          <w:sz w:val="20"/>
          <w:szCs w:val="20"/>
          <w:color w:val="auto"/>
        </w:rPr>
      </w:pPr>
    </w:p>
    <w:p>
      <w:pPr>
        <w:ind w:left="60"/>
        <w:spacing w:after="0" w:line="234" w:lineRule="auto"/>
        <w:rPr>
          <w:sz w:val="20"/>
          <w:szCs w:val="20"/>
          <w:color w:val="auto"/>
        </w:rPr>
      </w:pPr>
      <w:r>
        <w:rPr>
          <w:rFonts w:ascii="Times New Roman" w:cs="Times New Roman" w:eastAsia="Times New Roman" w:hAnsi="Times New Roman"/>
          <w:sz w:val="19"/>
          <w:szCs w:val="19"/>
          <w:color w:val="auto"/>
        </w:rPr>
        <w:t>Upon request by the Administrative Agent at any time, the Required Lenders will confirm in writing the Administrative Agent’s authority to release or subordinate its interest in particular types or items of property, or to release any Subsidiary Guarantor from its obligations</w:t>
      </w:r>
    </w:p>
    <w:p>
      <w:pPr>
        <w:spacing w:after="0" w:line="1" w:lineRule="exact"/>
        <w:rPr>
          <w:sz w:val="20"/>
          <w:szCs w:val="20"/>
          <w:color w:val="auto"/>
        </w:rPr>
      </w:pPr>
    </w:p>
    <w:p>
      <w:pPr>
        <w:ind w:left="60"/>
        <w:spacing w:after="0" w:line="215" w:lineRule="auto"/>
        <w:rPr>
          <w:sz w:val="20"/>
          <w:szCs w:val="20"/>
          <w:color w:val="auto"/>
        </w:rPr>
      </w:pPr>
      <w:r>
        <w:rPr>
          <w:rFonts w:ascii="Times New Roman" w:cs="Times New Roman" w:eastAsia="Times New Roman" w:hAnsi="Times New Roman"/>
          <w:sz w:val="19"/>
          <w:szCs w:val="19"/>
          <w:color w:val="auto"/>
        </w:rPr>
        <w:t xml:space="preserve">under any Guaranty Agreement pursuant to this </w:t>
      </w:r>
      <w:r>
        <w:rPr>
          <w:rFonts w:ascii="Times New Roman" w:cs="Times New Roman" w:eastAsia="Times New Roman" w:hAnsi="Times New Roman"/>
          <w:sz w:val="19"/>
          <w:szCs w:val="19"/>
          <w:u w:val="single" w:color="auto"/>
          <w:color w:val="auto"/>
        </w:rPr>
        <w:t>Section 11.9</w:t>
      </w:r>
      <w:r>
        <w:rPr>
          <w:rFonts w:ascii="Times New Roman" w:cs="Times New Roman" w:eastAsia="Times New Roman" w:hAnsi="Times New Roman"/>
          <w:sz w:val="19"/>
          <w:szCs w:val="19"/>
          <w:color w:val="auto"/>
        </w:rPr>
        <w:t xml:space="preserve">. In each case as specified in this </w:t>
      </w:r>
      <w:r>
        <w:rPr>
          <w:rFonts w:ascii="Times New Roman" w:cs="Times New Roman" w:eastAsia="Times New Roman" w:hAnsi="Times New Roman"/>
          <w:sz w:val="19"/>
          <w:szCs w:val="19"/>
          <w:u w:val="single" w:color="auto"/>
          <w:color w:val="auto"/>
        </w:rPr>
        <w:t>Section 11.9</w:t>
      </w:r>
      <w:r>
        <w:rPr>
          <w:rFonts w:ascii="Times New Roman" w:cs="Times New Roman" w:eastAsia="Times New Roman" w:hAnsi="Times New Roman"/>
          <w:sz w:val="19"/>
          <w:szCs w:val="19"/>
          <w:color w:val="auto"/>
        </w:rPr>
        <w:t>, the Administrative Agent will, at the Borrowers’ expense, execute and deliver to the applicable Credit Party such documents as such Credit Party may reasonably request</w:t>
      </w:r>
    </w:p>
    <w:p>
      <w:pPr>
        <w:ind w:left="60"/>
        <w:spacing w:after="0" w:line="211" w:lineRule="auto"/>
        <w:rPr>
          <w:sz w:val="20"/>
          <w:szCs w:val="20"/>
          <w:color w:val="auto"/>
        </w:rPr>
      </w:pPr>
      <w:r>
        <w:rPr>
          <w:rFonts w:ascii="Times New Roman" w:cs="Times New Roman" w:eastAsia="Times New Roman" w:hAnsi="Times New Roman"/>
          <w:sz w:val="20"/>
          <w:szCs w:val="20"/>
          <w:color w:val="auto"/>
        </w:rPr>
        <w:t>to evidence the release of such item of Collateral from the assignment and security interest granted under the Security Documents or to</w:t>
      </w:r>
    </w:p>
    <w:p>
      <w:pPr>
        <w:ind w:left="60"/>
        <w:spacing w:after="0" w:line="215" w:lineRule="auto"/>
        <w:rPr>
          <w:sz w:val="20"/>
          <w:szCs w:val="20"/>
          <w:color w:val="auto"/>
        </w:rPr>
      </w:pPr>
      <w:r>
        <w:rPr>
          <w:rFonts w:ascii="Times New Roman" w:cs="Times New Roman" w:eastAsia="Times New Roman" w:hAnsi="Times New Roman"/>
          <w:sz w:val="19"/>
          <w:szCs w:val="19"/>
          <w:color w:val="auto"/>
        </w:rPr>
        <w:t xml:space="preserve">subordinate its interest in such item, or to release such Subsidiary Guarantor from its obligations under such Guaranty Agreement, in each case in accordance with the terms of the Loan Documents and this </w:t>
      </w:r>
      <w:r>
        <w:rPr>
          <w:rFonts w:ascii="Times New Roman" w:cs="Times New Roman" w:eastAsia="Times New Roman" w:hAnsi="Times New Roman"/>
          <w:sz w:val="19"/>
          <w:szCs w:val="19"/>
          <w:u w:val="single" w:color="auto"/>
          <w:color w:val="auto"/>
        </w:rPr>
        <w:t>Section 11.9</w:t>
      </w:r>
      <w:r>
        <w:rPr>
          <w:rFonts w:ascii="Times New Roman" w:cs="Times New Roman" w:eastAsia="Times New Roman" w:hAnsi="Times New Roman"/>
          <w:sz w:val="19"/>
          <w:szCs w:val="19"/>
          <w:color w:val="auto"/>
        </w:rPr>
        <w:t>. In the case of any such sale, transfer or disposal of any</w:t>
      </w:r>
    </w:p>
    <w:p>
      <w:pPr>
        <w:ind w:left="60"/>
        <w:spacing w:after="0" w:line="222" w:lineRule="auto"/>
        <w:rPr>
          <w:sz w:val="20"/>
          <w:szCs w:val="20"/>
          <w:color w:val="auto"/>
        </w:rPr>
      </w:pPr>
      <w:r>
        <w:rPr>
          <w:rFonts w:ascii="Times New Roman" w:cs="Times New Roman" w:eastAsia="Times New Roman" w:hAnsi="Times New Roman"/>
          <w:sz w:val="19"/>
          <w:szCs w:val="19"/>
          <w:color w:val="auto"/>
        </w:rPr>
        <w:t xml:space="preserve">property constituting Collateral in a transaction constituting an Asset Disposition permitted pursuant to </w:t>
      </w:r>
      <w:r>
        <w:rPr>
          <w:rFonts w:ascii="Times New Roman" w:cs="Times New Roman" w:eastAsia="Times New Roman" w:hAnsi="Times New Roman"/>
          <w:sz w:val="19"/>
          <w:szCs w:val="19"/>
          <w:u w:val="single" w:color="auto"/>
          <w:color w:val="auto"/>
        </w:rPr>
        <w:t>Section 9.5</w:t>
      </w:r>
      <w:r>
        <w:rPr>
          <w:rFonts w:ascii="Times New Roman" w:cs="Times New Roman" w:eastAsia="Times New Roman" w:hAnsi="Times New Roman"/>
          <w:sz w:val="19"/>
          <w:szCs w:val="19"/>
          <w:color w:val="auto"/>
        </w:rPr>
        <w:t xml:space="preserve"> to a Person other than a</w:t>
      </w:r>
    </w:p>
    <w:p>
      <w:pPr>
        <w:ind w:left="60"/>
        <w:spacing w:after="0" w:line="215" w:lineRule="auto"/>
        <w:rPr>
          <w:sz w:val="20"/>
          <w:szCs w:val="20"/>
          <w:color w:val="auto"/>
        </w:rPr>
      </w:pPr>
      <w:r>
        <w:rPr>
          <w:rFonts w:ascii="Times New Roman" w:cs="Times New Roman" w:eastAsia="Times New Roman" w:hAnsi="Times New Roman"/>
          <w:sz w:val="19"/>
          <w:szCs w:val="19"/>
          <w:color w:val="auto"/>
        </w:rPr>
        <w:t>Credit Party, the Liens created by any of the Security Documents on such property shall be automatically released without need for further action by any person. Notwithstanding anything to the contrary in this Agreement or in any other Loan Document, without the consent of</w:t>
      </w:r>
    </w:p>
    <w:p>
      <w:pPr>
        <w:ind w:left="60"/>
        <w:spacing w:after="0" w:line="211" w:lineRule="auto"/>
        <w:rPr>
          <w:sz w:val="20"/>
          <w:szCs w:val="20"/>
          <w:color w:val="auto"/>
        </w:rPr>
      </w:pPr>
      <w:r>
        <w:rPr>
          <w:rFonts w:ascii="Times New Roman" w:cs="Times New Roman" w:eastAsia="Times New Roman" w:hAnsi="Times New Roman"/>
          <w:sz w:val="20"/>
          <w:szCs w:val="20"/>
          <w:color w:val="auto"/>
        </w:rPr>
        <w:t>the Required Lenders, no Credit Party shall be released from its obligations under the Loan Documents if such Credit Party ceases to be a</w:t>
      </w:r>
    </w:p>
    <w:p>
      <w:pPr>
        <w:ind w:left="60"/>
        <w:spacing w:after="0" w:line="204" w:lineRule="auto"/>
        <w:rPr>
          <w:sz w:val="20"/>
          <w:szCs w:val="20"/>
          <w:color w:val="auto"/>
        </w:rPr>
      </w:pPr>
      <w:r>
        <w:rPr>
          <w:rFonts w:ascii="Times New Roman" w:cs="Times New Roman" w:eastAsia="Times New Roman" w:hAnsi="Times New Roman"/>
          <w:sz w:val="20"/>
          <w:szCs w:val="20"/>
          <w:color w:val="auto"/>
        </w:rPr>
        <w:t>Wholly Owned Subsidiary solely by virtue of a disposition or issuance of Equity Interests, unless (x) such disposition or issuance is a good faith disposition or issuance to a bona-fide unaffiliated third party whose primary purpose is not the release of the Guarantee and</w:t>
      </w:r>
    </w:p>
    <w:p>
      <w:pPr>
        <w:spacing w:after="0" w:line="1" w:lineRule="exact"/>
        <w:rPr>
          <w:sz w:val="20"/>
          <w:szCs w:val="20"/>
          <w:color w:val="auto"/>
        </w:rPr>
      </w:pPr>
    </w:p>
    <w:p>
      <w:pPr>
        <w:ind w:left="60"/>
        <w:spacing w:after="0" w:line="228" w:lineRule="auto"/>
        <w:rPr>
          <w:sz w:val="20"/>
          <w:szCs w:val="20"/>
          <w:color w:val="auto"/>
        </w:rPr>
      </w:pPr>
      <w:r>
        <w:rPr>
          <w:rFonts w:ascii="Times New Roman" w:cs="Times New Roman" w:eastAsia="Times New Roman" w:hAnsi="Times New Roman"/>
          <w:sz w:val="20"/>
          <w:szCs w:val="20"/>
          <w:color w:val="auto"/>
        </w:rPr>
        <w:t xml:space="preserve">obligations of such Credit Party under the Loan Documents and (y) the Investment of the Credit Parties in such Subsidiary shall be deemed a de novo Investment as at that time and such Investment shall be permitted under </w:t>
      </w:r>
      <w:r>
        <w:rPr>
          <w:rFonts w:ascii="Times New Roman" w:cs="Times New Roman" w:eastAsia="Times New Roman" w:hAnsi="Times New Roman"/>
          <w:sz w:val="20"/>
          <w:szCs w:val="20"/>
          <w:u w:val="single" w:color="auto"/>
          <w:color w:val="auto"/>
        </w:rPr>
        <w:t>Section 9.3</w:t>
      </w:r>
      <w:r>
        <w:rPr>
          <w:rFonts w:ascii="Times New Roman" w:cs="Times New Roman" w:eastAsia="Times New Roman" w:hAnsi="Times New Roman"/>
          <w:sz w:val="20"/>
          <w:szCs w:val="20"/>
          <w:color w:val="auto"/>
        </w:rPr>
        <w:t>.</w:t>
      </w:r>
    </w:p>
    <w:p>
      <w:pPr>
        <w:spacing w:after="0" w:line="243" w:lineRule="exact"/>
        <w:rPr>
          <w:sz w:val="20"/>
          <w:szCs w:val="20"/>
          <w:color w:val="auto"/>
        </w:rPr>
      </w:pPr>
    </w:p>
    <w:p>
      <w:pPr>
        <w:jc w:val="both"/>
        <w:ind w:left="60" w:firstLine="644"/>
        <w:spacing w:after="0" w:line="222" w:lineRule="auto"/>
        <w:tabs>
          <w:tab w:leader="none" w:pos="1236" w:val="left"/>
        </w:tabs>
        <w:numPr>
          <w:ilvl w:val="0"/>
          <w:numId w:val="4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Credit Party in connection therewith, nor shall the Administrative Agent be responsible or liable to the Lenders for any failure to monitor or maintain any portion of the Collateral.</w:t>
      </w:r>
    </w:p>
    <w:p>
      <w:pPr>
        <w:spacing w:after="0" w:line="189" w:lineRule="exact"/>
        <w:rPr>
          <w:sz w:val="20"/>
          <w:szCs w:val="20"/>
          <w:color w:val="auto"/>
        </w:rPr>
      </w:pPr>
    </w:p>
    <w:p>
      <w:pPr>
        <w:ind w:left="700"/>
        <w:spacing w:after="0"/>
        <w:tabs>
          <w:tab w:leader="none" w:pos="2200" w:val="left"/>
        </w:tabs>
        <w:rPr>
          <w:sz w:val="20"/>
          <w:szCs w:val="20"/>
          <w:color w:val="auto"/>
        </w:rPr>
      </w:pPr>
      <w:r>
        <w:rPr>
          <w:rFonts w:ascii="Times New Roman" w:cs="Times New Roman" w:eastAsia="Times New Roman" w:hAnsi="Times New Roman"/>
          <w:sz w:val="20"/>
          <w:szCs w:val="20"/>
          <w:color w:val="auto"/>
        </w:rPr>
        <w:t>SECTION 11.10</w:t>
      </w:r>
      <w:r>
        <w:rPr>
          <w:sz w:val="20"/>
          <w:szCs w:val="20"/>
          <w:color w:val="auto"/>
        </w:rPr>
        <w:tab/>
      </w:r>
      <w:r>
        <w:rPr>
          <w:rFonts w:ascii="Times New Roman" w:cs="Times New Roman" w:eastAsia="Times New Roman" w:hAnsi="Times New Roman"/>
          <w:sz w:val="19"/>
          <w:szCs w:val="19"/>
          <w:u w:val="single" w:color="auto"/>
          <w:color w:val="auto"/>
        </w:rPr>
        <w:t>Secured Hedge Agreements and Secured Cash Management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FF0000"/>
          <w:strike w:val="1"/>
        </w:rPr>
        <w:t>146960219_6</w:t>
      </w: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153</w:t>
      </w:r>
      <w:r>
        <w:rPr>
          <w:sz w:val="20"/>
          <w:szCs w:val="20"/>
          <w:color w:val="auto"/>
        </w:rPr>
        <w:tab/>
      </w: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080"/>
          </w:cols>
          <w:pgMar w:left="380" w:top="1440" w:right="439" w:bottom="1440" w:gutter="0" w:footer="0" w:header="0"/>
        </w:sectPr>
      </w:pPr>
    </w:p>
    <w:bookmarkStart w:id="237" w:name="page238"/>
    <w:bookmarkEnd w:id="237"/>
    <w:p>
      <w:pPr>
        <w:spacing w:after="0" w:line="203" w:lineRule="exact"/>
        <w:rPr>
          <w:sz w:val="20"/>
          <w:szCs w:val="20"/>
          <w:color w:val="auto"/>
        </w:rPr>
      </w:pPr>
    </w:p>
    <w:p>
      <w:pPr>
        <w:jc w:val="both"/>
        <w:ind w:left="60" w:hanging="4"/>
        <w:spacing w:after="0" w:line="215" w:lineRule="auto"/>
        <w:tabs>
          <w:tab w:leader="none" w:pos="166" w:val="left"/>
        </w:tabs>
        <w:numPr>
          <w:ilvl w:val="0"/>
          <w:numId w:val="4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Cash Management Bank or Hedge Bank that obtains the benefits of </w:t>
      </w:r>
      <w:r>
        <w:rPr>
          <w:rFonts w:ascii="Times New Roman" w:cs="Times New Roman" w:eastAsia="Times New Roman" w:hAnsi="Times New Roman"/>
          <w:sz w:val="20"/>
          <w:szCs w:val="20"/>
          <w:u w:val="single" w:color="auto"/>
          <w:color w:val="auto"/>
        </w:rPr>
        <w:t>Section 10.4</w:t>
      </w:r>
      <w:r>
        <w:rPr>
          <w:rFonts w:ascii="Times New Roman" w:cs="Times New Roman" w:eastAsia="Times New Roman" w:hAnsi="Times New Roman"/>
          <w:sz w:val="20"/>
          <w:szCs w:val="20"/>
          <w:color w:val="auto"/>
        </w:rPr>
        <w:t xml:space="preserve"> or any Collateral by virtue of the provisions hereof or of any Security Document shall have any right to notice of any action or to consent to, direct or object to any action hereunder or under any other Loan Document or otherwise in respect of the Collateral (including the release or impairment of any Collateral), or to notice of or to consent to any amendment, waiver or modification of the provisions hereof or of any Guarantee or any Security Document, other than in its capacity as a Lender and, in such case, only to the extent expressly provided in the Loan Documents. Except as expressly provided in </w:t>
      </w:r>
      <w:r>
        <w:rPr>
          <w:rFonts w:ascii="Times New Roman" w:cs="Times New Roman" w:eastAsia="Times New Roman" w:hAnsi="Times New Roman"/>
          <w:sz w:val="20"/>
          <w:szCs w:val="20"/>
          <w:u w:val="single" w:color="auto"/>
          <w:color w:val="auto"/>
        </w:rPr>
        <w:t>Section 10.4</w:t>
      </w:r>
      <w:r>
        <w:rPr>
          <w:rFonts w:ascii="Times New Roman" w:cs="Times New Roman" w:eastAsia="Times New Roman" w:hAnsi="Times New Roman"/>
          <w:sz w:val="20"/>
          <w:szCs w:val="20"/>
          <w:color w:val="auto"/>
        </w:rPr>
        <w:t>, the Administrative Agent shall not be required to verify the payment of, or that other satisfactory arrangements have been made with respect to, Secured Cash Management Agreements and Secured Hedge Agreements.</w:t>
      </w:r>
    </w:p>
    <w:p>
      <w:pPr>
        <w:spacing w:after="0" w:line="191" w:lineRule="exact"/>
        <w:rPr>
          <w:sz w:val="20"/>
          <w:szCs w:val="20"/>
          <w:color w:val="auto"/>
        </w:rPr>
      </w:pPr>
    </w:p>
    <w:p>
      <w:pPr>
        <w:ind w:left="700"/>
        <w:spacing w:after="0"/>
        <w:tabs>
          <w:tab w:leader="none" w:pos="2200" w:val="left"/>
        </w:tabs>
        <w:rPr>
          <w:sz w:val="20"/>
          <w:szCs w:val="20"/>
          <w:color w:val="auto"/>
        </w:rPr>
      </w:pPr>
      <w:r>
        <w:rPr>
          <w:rFonts w:ascii="Times New Roman" w:cs="Times New Roman" w:eastAsia="Times New Roman" w:hAnsi="Times New Roman"/>
          <w:sz w:val="20"/>
          <w:szCs w:val="20"/>
          <w:color w:val="auto"/>
        </w:rPr>
        <w:t>SECTION 11.11</w:t>
      </w:r>
      <w:r>
        <w:rPr>
          <w:sz w:val="20"/>
          <w:szCs w:val="20"/>
          <w:color w:val="auto"/>
        </w:rPr>
        <w:tab/>
      </w:r>
      <w:r>
        <w:rPr>
          <w:rFonts w:ascii="Times New Roman" w:cs="Times New Roman" w:eastAsia="Times New Roman" w:hAnsi="Times New Roman"/>
          <w:sz w:val="19"/>
          <w:szCs w:val="19"/>
          <w:u w:val="single" w:color="auto"/>
          <w:color w:val="auto"/>
        </w:rPr>
        <w:t>Erroneous Payments</w:t>
      </w:r>
    </w:p>
    <w:p>
      <w:pPr>
        <w:spacing w:after="0" w:line="2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60" w:firstLine="644"/>
        <w:spacing w:after="0" w:line="220" w:lineRule="auto"/>
        <w:tabs>
          <w:tab w:leader="none" w:pos="1239" w:val="left"/>
        </w:tabs>
        <w:numPr>
          <w:ilvl w:val="0"/>
          <w:numId w:val="4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Lender, each Issuing Lender, each other Secured Party and any other party hereto hereby severally agrees that if (i) the Administrative Agent notifies (which such notice shall be conclusive absent manifest error) such Lender or Issuing Lender or any other Secured Party (or the Lender Affiliate of a Secured Party) or any other Person that has received funds from the Administrative Agent or any of its Affiliates, either for its own account or on behalf of a Lender, Issuing Lender or other Secured Party (each such recipient, a “</w:t>
      </w:r>
      <w:r>
        <w:rPr>
          <w:rFonts w:ascii="Times New Roman" w:cs="Times New Roman" w:eastAsia="Times New Roman" w:hAnsi="Times New Roman"/>
          <w:sz w:val="19"/>
          <w:szCs w:val="19"/>
          <w:u w:val="single" w:color="auto"/>
          <w:color w:val="auto"/>
        </w:rPr>
        <w:t>Payment Recipient</w:t>
      </w:r>
      <w:r>
        <w:rPr>
          <w:rFonts w:ascii="Times New Roman" w:cs="Times New Roman" w:eastAsia="Times New Roman" w:hAnsi="Times New Roman"/>
          <w:sz w:val="19"/>
          <w:szCs w:val="19"/>
          <w:color w:val="auto"/>
        </w:rPr>
        <w:t xml:space="preserve">”) that the Administrative Agent has determined in its reasonable discretion that any funds received by such Payment Recipient were erroneously transmitted to, or otherwise erroneously or mistakenly received by, such Payment Recipient (whether or not known to such Payment Recipient) or (ii) any Payment Recipient receives any payment from the Administrative Agent (or any of its Affiliates) (x) that is in a different amount than, or on a different date from, that specified in a notice of payment, prepayment or repayment sent by the Administrative Agent (or any of its Affiliates) with respect to such payment, prepayment or repayment, as applicable, (y) that was not preceded or accompanied by a notice of payment, prepayment or repayment sent by the Administrative Agent (or any of its Affiliates) with respect to such payment, prepayment or repayment, as applicable, or (z) that such Payment Recipient otherwise becomes aware was transmitted or received in error or by mistake (in whole or in part) then, in each case, (A) an error in payment shall be presumed to have been made (any such amounts specified in clauses (i) or (ii) of this </w:t>
      </w:r>
      <w:r>
        <w:rPr>
          <w:rFonts w:ascii="Times New Roman" w:cs="Times New Roman" w:eastAsia="Times New Roman" w:hAnsi="Times New Roman"/>
          <w:sz w:val="19"/>
          <w:szCs w:val="19"/>
          <w:u w:val="single" w:color="auto"/>
          <w:color w:val="auto"/>
        </w:rPr>
        <w:t>Section 11.11(a),</w:t>
      </w:r>
      <w:r>
        <w:rPr>
          <w:rFonts w:ascii="Times New Roman" w:cs="Times New Roman" w:eastAsia="Times New Roman" w:hAnsi="Times New Roman"/>
          <w:sz w:val="19"/>
          <w:szCs w:val="19"/>
          <w:color w:val="auto"/>
        </w:rPr>
        <w:t xml:space="preserve"> whether received as a payment, prepayment or repayment of principal, interest, fees, distribution or otherwise; individually and collectively, an “</w:t>
      </w:r>
      <w:r>
        <w:rPr>
          <w:rFonts w:ascii="Times New Roman" w:cs="Times New Roman" w:eastAsia="Times New Roman" w:hAnsi="Times New Roman"/>
          <w:sz w:val="19"/>
          <w:szCs w:val="19"/>
          <w:u w:val="single" w:color="auto"/>
          <w:color w:val="auto"/>
        </w:rPr>
        <w:t>Erroneous Payment</w:t>
      </w:r>
      <w:r>
        <w:rPr>
          <w:rFonts w:ascii="Times New Roman" w:cs="Times New Roman" w:eastAsia="Times New Roman" w:hAnsi="Times New Roman"/>
          <w:sz w:val="19"/>
          <w:szCs w:val="19"/>
          <w:color w:val="auto"/>
        </w:rPr>
        <w:t xml:space="preserve">”), and (B) such Payment Recipient is deemed to have knowledge of such error at the time of its receipt of such Erroneous Payment;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nothing in this Section shall require the Administrative Agent to provide any of the notices specified in clauses (i) or (ii) above. Each Payment Recipient agrees that it shall not assert any right or claim to any Erroneous Payment, and hereby waives any claim, counterclaim, defense or right of set-off or recoupment with respect to any demand, claim or counterclaim by the Administrative Agent for the return of any Erroneous Payments, including without limitation waiver of any defense based on “discharge for value” or any similar doctrine.</w:t>
      </w:r>
    </w:p>
    <w:p>
      <w:pPr>
        <w:spacing w:after="0" w:line="204" w:lineRule="exact"/>
        <w:rPr>
          <w:rFonts w:ascii="Times New Roman" w:cs="Times New Roman" w:eastAsia="Times New Roman" w:hAnsi="Times New Roman"/>
          <w:sz w:val="19"/>
          <w:szCs w:val="19"/>
          <w:color w:val="auto"/>
        </w:rPr>
      </w:pPr>
    </w:p>
    <w:p>
      <w:pPr>
        <w:ind w:left="60" w:right="20" w:firstLine="644"/>
        <w:spacing w:after="0"/>
        <w:tabs>
          <w:tab w:leader="none" w:pos="1236" w:val="left"/>
        </w:tabs>
        <w:numPr>
          <w:ilvl w:val="0"/>
          <w:numId w:val="4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limiting the immediately preceding clause (a), each Payment Recipient agrees that, in the case of clause (a)(ii) above, it shall promptly notify the Administrative Agent in writing of such occurrence.</w:t>
      </w:r>
    </w:p>
    <w:p>
      <w:pPr>
        <w:spacing w:after="0" w:line="188" w:lineRule="exact"/>
        <w:rPr>
          <w:rFonts w:ascii="Times New Roman" w:cs="Times New Roman" w:eastAsia="Times New Roman" w:hAnsi="Times New Roman"/>
          <w:sz w:val="20"/>
          <w:szCs w:val="20"/>
          <w:color w:val="auto"/>
        </w:rPr>
      </w:pPr>
    </w:p>
    <w:p>
      <w:pPr>
        <w:jc w:val="both"/>
        <w:ind w:left="60" w:firstLine="644"/>
        <w:spacing w:after="0" w:line="220" w:lineRule="auto"/>
        <w:tabs>
          <w:tab w:leader="none" w:pos="1239" w:val="left"/>
        </w:tabs>
        <w:numPr>
          <w:ilvl w:val="0"/>
          <w:numId w:val="4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either clause (a)(i) or (a)(ii) above, such Erroneous Payment shall at all times remain the property of the Administrative Agent and shall be segregated by the Payment Recipient and held in trust for the benefit of the Administrative Agent, and upon demand from the Administrative Agent such Payment Recipient shall (or, shall cause any Person who received any portion of an Erroneous Payment on its behalf to), promptly, but in all events no later than two Business Days thereafter (or such later date as the Administrative Agent may, in its sole discretion, specify in writing), return to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FF0000"/>
          <w:strike w:val="1"/>
        </w:rPr>
        <w:t>146960219_6</w:t>
      </w: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154</w:t>
      </w:r>
      <w:r>
        <w:rPr>
          <w:sz w:val="20"/>
          <w:szCs w:val="20"/>
          <w:color w:val="auto"/>
        </w:rPr>
        <w:tab/>
      </w: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080"/>
          </w:cols>
          <w:pgMar w:left="380" w:top="1440" w:right="439" w:bottom="1440" w:gutter="0" w:footer="0" w:header="0"/>
        </w:sectPr>
      </w:pPr>
    </w:p>
    <w:bookmarkStart w:id="238" w:name="page239"/>
    <w:bookmarkEnd w:id="238"/>
    <w:p>
      <w:pPr>
        <w:spacing w:after="0" w:line="1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the amount of any such Erroneous Payment (or portion thereof) as to which such a demand was made in Same Day Funds and in the</w:t>
      </w:r>
    </w:p>
    <w:p>
      <w:pPr>
        <w:ind w:left="60"/>
        <w:spacing w:after="0" w:line="215" w:lineRule="auto"/>
        <w:rPr>
          <w:sz w:val="20"/>
          <w:szCs w:val="20"/>
          <w:color w:val="auto"/>
        </w:rPr>
      </w:pPr>
      <w:r>
        <w:rPr>
          <w:rFonts w:ascii="Times New Roman" w:cs="Times New Roman" w:eastAsia="Times New Roman" w:hAnsi="Times New Roman"/>
          <w:sz w:val="19"/>
          <w:szCs w:val="19"/>
          <w:color w:val="auto"/>
        </w:rPr>
        <w:t>currency so received, together with interest thereon (except to the extent waived in writing by the Administrative Agent) in respect of each day from and including the date such Erroneous Payment (or portion thereof) was received by such Payment Recipient to the date such</w:t>
      </w:r>
    </w:p>
    <w:p>
      <w:pPr>
        <w:ind w:left="60"/>
        <w:spacing w:after="0"/>
        <w:rPr>
          <w:sz w:val="20"/>
          <w:szCs w:val="20"/>
          <w:color w:val="auto"/>
        </w:rPr>
      </w:pPr>
      <w:r>
        <w:rPr>
          <w:rFonts w:ascii="Times New Roman" w:cs="Times New Roman" w:eastAsia="Times New Roman" w:hAnsi="Times New Roman"/>
          <w:sz w:val="20"/>
          <w:szCs w:val="20"/>
          <w:color w:val="auto"/>
        </w:rPr>
        <w:t>amount is repaid to the Administrative Agent at the Overnight Rate.</w:t>
      </w:r>
    </w:p>
    <w:p>
      <w:pPr>
        <w:spacing w:after="0" w:line="194" w:lineRule="exact"/>
        <w:rPr>
          <w:sz w:val="20"/>
          <w:szCs w:val="20"/>
          <w:color w:val="auto"/>
        </w:rPr>
      </w:pPr>
    </w:p>
    <w:p>
      <w:pPr>
        <w:jc w:val="both"/>
        <w:ind w:left="60" w:firstLine="644"/>
        <w:spacing w:after="0" w:line="209" w:lineRule="auto"/>
        <w:tabs>
          <w:tab w:leader="none" w:pos="1236" w:val="left"/>
        </w:tabs>
        <w:numPr>
          <w:ilvl w:val="0"/>
          <w:numId w:val="4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an Erroneous Payment (or portion thereof) is not recovered by the Administrative Agent for any reason, after demand therefor by the Administrative Agent in accordance with immediately preceding clause (c), from any Lender that is a Payment Recipient or an Affiliate of a Payment Recipient (such unrecovered amount as to such Lender, an “</w:t>
      </w:r>
      <w:r>
        <w:rPr>
          <w:rFonts w:ascii="Times New Roman" w:cs="Times New Roman" w:eastAsia="Times New Roman" w:hAnsi="Times New Roman"/>
          <w:sz w:val="20"/>
          <w:szCs w:val="20"/>
          <w:u w:val="single" w:color="auto"/>
          <w:color w:val="auto"/>
        </w:rPr>
        <w:t>Erroneous Payment Return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Deficiency</w:t>
      </w:r>
      <w:r>
        <w:rPr>
          <w:rFonts w:ascii="Times New Roman" w:cs="Times New Roman" w:eastAsia="Times New Roman" w:hAnsi="Times New Roman"/>
          <w:sz w:val="20"/>
          <w:szCs w:val="20"/>
          <w:color w:val="auto"/>
        </w:rPr>
        <w:t>”), then at the sole discretion of the Administrative Agent and upon the Administrative Agent’s written notice to such Lender (i) such Lender shall be deemed to have made a cashless assignment of the full face amount of the portion of its Loans (but not its Commitments) of the relevant Class with respect to which such Erroneous Payment was made (the “</w:t>
      </w:r>
      <w:r>
        <w:rPr>
          <w:rFonts w:ascii="Times New Roman" w:cs="Times New Roman" w:eastAsia="Times New Roman" w:hAnsi="Times New Roman"/>
          <w:sz w:val="20"/>
          <w:szCs w:val="20"/>
          <w:u w:val="single" w:color="auto"/>
          <w:color w:val="auto"/>
        </w:rPr>
        <w:t>Erroneous Payment Impacted Class</w:t>
      </w:r>
      <w:r>
        <w:rPr>
          <w:rFonts w:ascii="Times New Roman" w:cs="Times New Roman" w:eastAsia="Times New Roman" w:hAnsi="Times New Roman"/>
          <w:sz w:val="20"/>
          <w:szCs w:val="20"/>
          <w:color w:val="auto"/>
        </w:rPr>
        <w:t>”) to the Administrative Agent or, at the option of the Administrative Agent, the Administrative Agent’s applicable lending affiliate in an amount that is equal to the Erroneous Payment Return Deficiency (or such lesser amount as the Administrative Agent may specify) (such assignment of the Loans (but not Commitments) of the Erroneous Payment Impacted Class, the “</w:t>
      </w:r>
      <w:r>
        <w:rPr>
          <w:rFonts w:ascii="Times New Roman" w:cs="Times New Roman" w:eastAsia="Times New Roman" w:hAnsi="Times New Roman"/>
          <w:sz w:val="20"/>
          <w:szCs w:val="20"/>
          <w:u w:val="single" w:color="auto"/>
          <w:color w:val="auto"/>
        </w:rPr>
        <w:t>Erroneous Payment Deficiency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Assignment</w:t>
      </w:r>
      <w:r>
        <w:rPr>
          <w:rFonts w:ascii="Times New Roman" w:cs="Times New Roman" w:eastAsia="Times New Roman" w:hAnsi="Times New Roman"/>
          <w:sz w:val="20"/>
          <w:szCs w:val="20"/>
          <w:color w:val="auto"/>
        </w:rPr>
        <w:t xml:space="preserve">”) plus any accrued and unpaid interest on such assigned amount, without further consent or approval of any party hereto and without any payment by the Administrative Agent or its applicable lending affiliate as the assignee of such Erroneous Payment Deficiency Assignment. Without limitation of its rights hereunder, the Administrative Agent may cancel any Erroneous Payment Deficiency Assignment at any time by written notice to the applicable assigning Lender and upon such revocation all of the Loans assigned pursuant to such Erroneous Payment Deficiency Assignment shall be reassigned to such Lender without any requirement for payment or other consideration. The parties hereto acknowledge and agree that (1) any assignment contemplated in this clause (d) shall be made without any requirement for any payment or other consideration paid by the applicable assignee or received by the assignor, (2) the provisions of this clause (d) shall govern in the event of any conflict with the terms and conditions of </w:t>
      </w:r>
      <w:r>
        <w:rPr>
          <w:rFonts w:ascii="Times New Roman" w:cs="Times New Roman" w:eastAsia="Times New Roman" w:hAnsi="Times New Roman"/>
          <w:sz w:val="20"/>
          <w:szCs w:val="20"/>
          <w:u w:val="single" w:color="auto"/>
          <w:color w:val="auto"/>
        </w:rPr>
        <w:t>Section 12.9</w:t>
      </w:r>
      <w:r>
        <w:rPr>
          <w:rFonts w:ascii="Times New Roman" w:cs="Times New Roman" w:eastAsia="Times New Roman" w:hAnsi="Times New Roman"/>
          <w:sz w:val="20"/>
          <w:szCs w:val="20"/>
          <w:color w:val="auto"/>
        </w:rPr>
        <w:t xml:space="preserve"> and (3) the Administrative Agent may reflect such assignments in the Register without further consent or action by any other Person.</w:t>
      </w:r>
    </w:p>
    <w:p>
      <w:pPr>
        <w:spacing w:after="0" w:line="202" w:lineRule="exact"/>
        <w:rPr>
          <w:rFonts w:ascii="Times New Roman" w:cs="Times New Roman" w:eastAsia="Times New Roman" w:hAnsi="Times New Roman"/>
          <w:sz w:val="20"/>
          <w:szCs w:val="20"/>
          <w:color w:val="auto"/>
        </w:rPr>
      </w:pPr>
    </w:p>
    <w:p>
      <w:pPr>
        <w:jc w:val="both"/>
        <w:ind w:left="60" w:firstLine="644"/>
        <w:spacing w:after="0" w:line="224" w:lineRule="auto"/>
        <w:tabs>
          <w:tab w:leader="none" w:pos="1238" w:val="left"/>
        </w:tabs>
        <w:numPr>
          <w:ilvl w:val="0"/>
          <w:numId w:val="4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Each party hereto hereby agrees that (x) in the event an Erroneous Payment (or portion thereof) is not recovered from any Payment Recipient that has received such Erroneous Payment (or portion thereof) for any reason, the Administrative Agent (1) shall be subrogated to all the rights of such Payment Recipient with respect to such amount and (2) is authorized to set off, net and apply any and all amounts at any time owing to such Payment Recipient under any Loan Document, or otherwise payable or distributable by the Administrative Agent to such Payment Recipient from any source, against any amount due to the Administrative Agent under this </w:t>
      </w:r>
      <w:r>
        <w:rPr>
          <w:rFonts w:ascii="Times New Roman" w:cs="Times New Roman" w:eastAsia="Times New Roman" w:hAnsi="Times New Roman"/>
          <w:sz w:val="19"/>
          <w:szCs w:val="19"/>
          <w:u w:val="single" w:color="auto"/>
          <w:color w:val="auto"/>
        </w:rPr>
        <w:t>Section</w:t>
      </w:r>
    </w:p>
    <w:p>
      <w:pPr>
        <w:ind w:left="60"/>
        <w:spacing w:after="0" w:line="198" w:lineRule="auto"/>
        <w:rPr>
          <w:sz w:val="20"/>
          <w:szCs w:val="20"/>
          <w:color w:val="auto"/>
        </w:rPr>
      </w:pPr>
      <w:r>
        <w:rPr>
          <w:rFonts w:ascii="Times New Roman" w:cs="Times New Roman" w:eastAsia="Times New Roman" w:hAnsi="Times New Roman"/>
          <w:sz w:val="20"/>
          <w:szCs w:val="20"/>
          <w:u w:val="single" w:color="auto"/>
          <w:color w:val="auto"/>
        </w:rPr>
        <w:t>11.11</w:t>
      </w:r>
      <w:r>
        <w:rPr>
          <w:rFonts w:ascii="Times New Roman" w:cs="Times New Roman" w:eastAsia="Times New Roman" w:hAnsi="Times New Roman"/>
          <w:sz w:val="20"/>
          <w:szCs w:val="20"/>
          <w:color w:val="auto"/>
        </w:rPr>
        <w:t xml:space="preserve"> or under the indemnification provisions of this Agreement,</w:t>
      </w:r>
    </w:p>
    <w:p>
      <w:pPr>
        <w:spacing w:after="0" w:line="1" w:lineRule="exact"/>
        <w:rPr>
          <w:sz w:val="20"/>
          <w:szCs w:val="20"/>
          <w:color w:val="auto"/>
        </w:rPr>
      </w:pPr>
    </w:p>
    <w:p>
      <w:pPr>
        <w:jc w:val="both"/>
        <w:ind w:left="60" w:hanging="4"/>
        <w:spacing w:after="0" w:line="212" w:lineRule="auto"/>
        <w:tabs>
          <w:tab w:leader="none" w:pos="588" w:val="left"/>
        </w:tabs>
        <w:numPr>
          <w:ilvl w:val="0"/>
          <w:numId w:val="4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receipt of an Erroneous Payment by a Payment Recipient shall not for the purpose of this Agreement be treated as a payment, prepayment, repayment, discharge or other satisfaction of any Obligations owed by the Borrowers or any other Credit Party, except, in each case, to the extent such Erroneous Payment is, and solely with respect to the amount of such Erroneous Payment that is, comprised of funds received by the Administrative Agent from the Borrowers or any other Credit Party for the purpose of making for a payment on the Obligations and (z) to the extent that an Erroneous Payment was in any way or at any time credited as payment or satisfaction of any of the Obligations, the Obligations or any part thereof that were so credited, and all rights of the Payment Recipient, as the case may be, shall be reinstated and continue in full force and effect as if such payment or satisfaction had never been received.</w:t>
      </w:r>
    </w:p>
    <w:p>
      <w:pPr>
        <w:spacing w:after="0" w:line="189" w:lineRule="exact"/>
        <w:rPr>
          <w:rFonts w:ascii="Times New Roman" w:cs="Times New Roman" w:eastAsia="Times New Roman" w:hAnsi="Times New Roman"/>
          <w:sz w:val="20"/>
          <w:szCs w:val="20"/>
          <w:color w:val="auto"/>
        </w:rPr>
      </w:pPr>
    </w:p>
    <w:p>
      <w:pPr>
        <w:ind w:left="60" w:right="20" w:firstLine="644"/>
        <w:spacing w:after="0"/>
        <w:tabs>
          <w:tab w:leader="none" w:pos="1243" w:val="left"/>
        </w:tabs>
        <w:numPr>
          <w:ilvl w:val="1"/>
          <w:numId w:val="4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party’s obligations under this </w:t>
      </w:r>
      <w:r>
        <w:rPr>
          <w:rFonts w:ascii="Times New Roman" w:cs="Times New Roman" w:eastAsia="Times New Roman" w:hAnsi="Times New Roman"/>
          <w:sz w:val="20"/>
          <w:szCs w:val="20"/>
          <w:u w:val="single" w:color="auto"/>
          <w:color w:val="auto"/>
        </w:rPr>
        <w:t>Section 11.11</w:t>
      </w:r>
      <w:r>
        <w:rPr>
          <w:rFonts w:ascii="Times New Roman" w:cs="Times New Roman" w:eastAsia="Times New Roman" w:hAnsi="Times New Roman"/>
          <w:sz w:val="20"/>
          <w:szCs w:val="20"/>
          <w:color w:val="auto"/>
        </w:rPr>
        <w:t xml:space="preserve"> shall survive the resignation or replacement of the Administrative Agent or any transfer of right or obligations by, or the replacement of, a</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FF0000"/>
          <w:strike w:val="1"/>
        </w:rPr>
        <w:t>146960219_6</w:t>
      </w: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155</w:t>
      </w:r>
      <w:r>
        <w:rPr>
          <w:sz w:val="20"/>
          <w:szCs w:val="20"/>
          <w:color w:val="auto"/>
        </w:rPr>
        <w:tab/>
      </w: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080"/>
          </w:cols>
          <w:pgMar w:left="380" w:top="1440" w:right="439" w:bottom="1440" w:gutter="0" w:footer="0" w:header="0"/>
        </w:sectPr>
      </w:pPr>
    </w:p>
    <w:bookmarkStart w:id="239" w:name="page240"/>
    <w:bookmarkEnd w:id="239"/>
    <w:p>
      <w:pPr>
        <w:ind w:left="40" w:right="260"/>
        <w:spacing w:after="0"/>
        <w:rPr>
          <w:sz w:val="20"/>
          <w:szCs w:val="20"/>
          <w:color w:val="auto"/>
        </w:rPr>
      </w:pPr>
      <w:r>
        <w:rPr>
          <w:rFonts w:ascii="Times New Roman" w:cs="Times New Roman" w:eastAsia="Times New Roman" w:hAnsi="Times New Roman"/>
          <w:sz w:val="20"/>
          <w:szCs w:val="20"/>
          <w:color w:val="auto"/>
        </w:rPr>
        <w:t>Lender, the termination of the Commitments or the repayment, satisfaction or discharge of all Obligations (or any portion thereof) under any Loan Document.</w:t>
      </w:r>
    </w:p>
    <w:p>
      <w:pPr>
        <w:spacing w:after="0" w:line="188" w:lineRule="exact"/>
        <w:rPr>
          <w:sz w:val="20"/>
          <w:szCs w:val="20"/>
          <w:color w:val="auto"/>
        </w:rPr>
      </w:pPr>
    </w:p>
    <w:p>
      <w:pPr>
        <w:ind w:left="40" w:right="580" w:firstLine="646"/>
        <w:spacing w:after="0"/>
        <w:tabs>
          <w:tab w:leader="none" w:pos="1243" w:val="left"/>
        </w:tabs>
        <w:numPr>
          <w:ilvl w:val="0"/>
          <w:numId w:val="4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Nothing in this </w:t>
      </w:r>
      <w:r>
        <w:rPr>
          <w:rFonts w:ascii="Times New Roman" w:cs="Times New Roman" w:eastAsia="Times New Roman" w:hAnsi="Times New Roman"/>
          <w:sz w:val="20"/>
          <w:szCs w:val="20"/>
          <w:u w:val="single" w:color="auto"/>
          <w:color w:val="auto"/>
        </w:rPr>
        <w:t>Section 11.11</w:t>
      </w:r>
      <w:r>
        <w:rPr>
          <w:rFonts w:ascii="Times New Roman" w:cs="Times New Roman" w:eastAsia="Times New Roman" w:hAnsi="Times New Roman"/>
          <w:sz w:val="20"/>
          <w:szCs w:val="20"/>
          <w:color w:val="auto"/>
        </w:rPr>
        <w:t xml:space="preserve"> will constitute a waiver or release of any claim of any party hereunder arising from any Payment Recipient’s receipt of an Erroneous Payment.</w:t>
      </w:r>
    </w:p>
    <w:p>
      <w:pPr>
        <w:spacing w:after="0" w:line="3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ARTICLE XII MISCELLANEOUS</w:t>
      </w:r>
    </w:p>
    <w:p>
      <w:pPr>
        <w:spacing w:after="0" w:line="108" w:lineRule="exact"/>
        <w:rPr>
          <w:sz w:val="20"/>
          <w:szCs w:val="20"/>
          <w:color w:val="auto"/>
        </w:rPr>
      </w:pPr>
    </w:p>
    <w:p>
      <w:pPr>
        <w:ind w:left="680"/>
        <w:spacing w:after="0"/>
        <w:tabs>
          <w:tab w:leader="none" w:pos="2100" w:val="left"/>
        </w:tabs>
        <w:rPr>
          <w:sz w:val="20"/>
          <w:szCs w:val="20"/>
          <w:color w:val="auto"/>
        </w:rPr>
      </w:pPr>
      <w:r>
        <w:rPr>
          <w:rFonts w:ascii="Times New Roman" w:cs="Times New Roman" w:eastAsia="Times New Roman" w:hAnsi="Times New Roman"/>
          <w:sz w:val="20"/>
          <w:szCs w:val="20"/>
          <w:color w:val="auto"/>
        </w:rPr>
        <w:t>SECTION 12.1</w:t>
      </w:r>
      <w:r>
        <w:rPr>
          <w:sz w:val="20"/>
          <w:szCs w:val="20"/>
          <w:color w:val="auto"/>
        </w:rPr>
        <w:tab/>
      </w:r>
      <w:r>
        <w:rPr>
          <w:rFonts w:ascii="Times New Roman" w:cs="Times New Roman" w:eastAsia="Times New Roman" w:hAnsi="Times New Roman"/>
          <w:sz w:val="19"/>
          <w:szCs w:val="19"/>
          <w:u w:val="single" w:color="auto"/>
          <w:color w:val="auto"/>
        </w:rPr>
        <w:t>Notices</w:t>
      </w:r>
      <w:r>
        <w:rPr>
          <w:rFonts w:ascii="Times New Roman" w:cs="Times New Roman" w:eastAsia="Times New Roman" w:hAnsi="Times New Roman"/>
          <w:sz w:val="19"/>
          <w:szCs w:val="19"/>
          <w:color w:val="auto"/>
        </w:rPr>
        <w:t>.</w:t>
      </w:r>
    </w:p>
    <w:p>
      <w:pPr>
        <w:spacing w:after="0" w:line="297" w:lineRule="exact"/>
        <w:rPr>
          <w:sz w:val="20"/>
          <w:szCs w:val="20"/>
          <w:color w:val="auto"/>
        </w:rPr>
      </w:pPr>
    </w:p>
    <w:p>
      <w:pPr>
        <w:jc w:val="both"/>
        <w:ind w:left="40" w:firstLine="646"/>
        <w:spacing w:after="0" w:line="226" w:lineRule="auto"/>
        <w:tabs>
          <w:tab w:leader="none" w:pos="1245" w:val="left"/>
        </w:tabs>
        <w:numPr>
          <w:ilvl w:val="0"/>
          <w:numId w:val="4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 Generally</w:t>
      </w:r>
      <w:r>
        <w:rPr>
          <w:rFonts w:ascii="Times New Roman" w:cs="Times New Roman" w:eastAsia="Times New Roman" w:hAnsi="Times New Roman"/>
          <w:sz w:val="20"/>
          <w:szCs w:val="20"/>
          <w:color w:val="auto"/>
        </w:rPr>
        <w:t>. Except in the case of notices and other communications expressly permitted to be given by telephone (and except as provided in paragraph (b) below), all notices and other communications provided for herein shall be in writing and shall be delivered by hand or overnight courier service, mailed by certified or registered mail or sent by facsimile as follows:</w:t>
      </w:r>
    </w:p>
    <w:p>
      <w:pPr>
        <w:spacing w:after="0" w:line="93"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0"/>
          <w:szCs w:val="20"/>
          <w:color w:val="auto"/>
        </w:rPr>
        <w:t>If to the Borrowers: Centuri Group, Inc.</w:t>
      </w:r>
    </w:p>
    <w:p>
      <w:pPr>
        <w:spacing w:after="0" w:line="175"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0"/>
          <w:szCs w:val="20"/>
          <w:color w:val="auto"/>
        </w:rPr>
        <w:t>19820 North 7</w:t>
      </w:r>
      <w:r>
        <w:rPr>
          <w:rFonts w:ascii="Times New Roman" w:cs="Times New Roman" w:eastAsia="Times New Roman" w:hAnsi="Times New Roman"/>
          <w:sz w:val="12"/>
          <w:szCs w:val="12"/>
          <w:color w:val="auto"/>
        </w:rPr>
        <w:t>th</w:t>
      </w:r>
      <w:r>
        <w:rPr>
          <w:rFonts w:ascii="Times New Roman" w:cs="Times New Roman" w:eastAsia="Times New Roman" w:hAnsi="Times New Roman"/>
          <w:sz w:val="20"/>
          <w:szCs w:val="20"/>
          <w:color w:val="auto"/>
        </w:rPr>
        <w:t xml:space="preserve"> Avenue, #120</w:t>
      </w:r>
    </w:p>
    <w:p>
      <w:pPr>
        <w:spacing w:after="0" w:line="21"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0"/>
          <w:szCs w:val="20"/>
          <w:color w:val="auto"/>
        </w:rPr>
        <w:t>Phoenix, Arizona 85027</w:t>
      </w:r>
    </w:p>
    <w:p>
      <w:pPr>
        <w:ind w:left="2620"/>
        <w:spacing w:after="0" w:line="225" w:lineRule="auto"/>
        <w:rPr>
          <w:sz w:val="20"/>
          <w:szCs w:val="20"/>
          <w:color w:val="auto"/>
        </w:rPr>
      </w:pPr>
      <w:r>
        <w:rPr>
          <w:rFonts w:ascii="Times New Roman" w:cs="Times New Roman" w:eastAsia="Times New Roman" w:hAnsi="Times New Roman"/>
          <w:sz w:val="20"/>
          <w:szCs w:val="20"/>
          <w:color w:val="auto"/>
        </w:rPr>
        <w:t>Attention of: Jason Wilcock, Executive Vice President/General Counsel and Corporate Secretary</w:t>
      </w:r>
    </w:p>
    <w:p>
      <w:pPr>
        <w:ind w:left="2620"/>
        <w:spacing w:after="0" w:line="225" w:lineRule="auto"/>
        <w:rPr>
          <w:sz w:val="20"/>
          <w:szCs w:val="20"/>
          <w:color w:val="auto"/>
        </w:rPr>
      </w:pPr>
      <w:r>
        <w:rPr>
          <w:rFonts w:ascii="Times New Roman" w:cs="Times New Roman" w:eastAsia="Times New Roman" w:hAnsi="Times New Roman"/>
          <w:sz w:val="20"/>
          <w:szCs w:val="20"/>
          <w:color w:val="auto"/>
        </w:rPr>
        <w:t>Telephone No.: (623) 582-1235</w:t>
      </w:r>
    </w:p>
    <w:p>
      <w:pPr>
        <w:spacing w:after="0" w:line="1"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0"/>
          <w:szCs w:val="20"/>
          <w:color w:val="auto"/>
        </w:rPr>
        <w:t>Facsimile No.: (623) 582-6853</w:t>
      </w:r>
    </w:p>
    <w:p>
      <w:pPr>
        <w:spacing w:after="0" w:line="7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0"/>
          <w:szCs w:val="20"/>
          <w:color w:val="auto"/>
        </w:rPr>
        <w:t>E-mail: jwilcock@NextCenturi.com With copies to:</w:t>
      </w:r>
    </w:p>
    <w:p>
      <w:pPr>
        <w:spacing w:after="0" w:line="89"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0"/>
          <w:szCs w:val="20"/>
          <w:color w:val="auto"/>
        </w:rPr>
        <w:t>Southwest Gas Holdings, Inc. 5241 Spring Mountain Road Las</w:t>
      </w:r>
    </w:p>
    <w:p>
      <w:pPr>
        <w:ind w:left="2620"/>
        <w:spacing w:after="0" w:line="197" w:lineRule="auto"/>
        <w:rPr>
          <w:sz w:val="20"/>
          <w:szCs w:val="20"/>
          <w:color w:val="auto"/>
        </w:rPr>
      </w:pPr>
      <w:r>
        <w:rPr>
          <w:rFonts w:ascii="Times New Roman" w:cs="Times New Roman" w:eastAsia="Times New Roman" w:hAnsi="Times New Roman"/>
          <w:sz w:val="20"/>
          <w:szCs w:val="20"/>
          <w:color w:val="auto"/>
        </w:rPr>
        <w:t>Vegas, NV 89150</w:t>
      </w:r>
    </w:p>
    <w:p>
      <w:pPr>
        <w:ind w:left="2620"/>
        <w:spacing w:after="0" w:line="225" w:lineRule="auto"/>
        <w:rPr>
          <w:sz w:val="20"/>
          <w:szCs w:val="20"/>
          <w:color w:val="auto"/>
        </w:rPr>
      </w:pPr>
      <w:r>
        <w:rPr>
          <w:rFonts w:ascii="Times New Roman" w:cs="Times New Roman" w:eastAsia="Times New Roman" w:hAnsi="Times New Roman"/>
          <w:sz w:val="20"/>
          <w:szCs w:val="20"/>
          <w:color w:val="auto"/>
        </w:rPr>
        <w:t>Attention of: Karen S. Haller, General Counsel Telephone No.: (702) 364-3191</w:t>
      </w:r>
    </w:p>
    <w:p>
      <w:pPr>
        <w:spacing w:after="0" w:line="1"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0"/>
          <w:szCs w:val="20"/>
          <w:color w:val="auto"/>
        </w:rPr>
        <w:t>Facsimile No.: (702) 364-3452</w:t>
      </w:r>
    </w:p>
    <w:p>
      <w:pPr>
        <w:spacing w:after="0" w:line="86"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0"/>
          <w:szCs w:val="20"/>
          <w:color w:val="auto"/>
        </w:rPr>
        <w:t>E-mail: karen.haller@swgas.com and</w:t>
      </w:r>
    </w:p>
    <w:p>
      <w:pPr>
        <w:spacing w:after="0" w:line="89"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0"/>
          <w:szCs w:val="20"/>
          <w:color w:val="auto"/>
        </w:rPr>
        <w:t>Foley &amp; Lardner LLP</w:t>
      </w:r>
    </w:p>
    <w:p>
      <w:pPr>
        <w:ind w:left="2620"/>
        <w:spacing w:after="0" w:line="211" w:lineRule="auto"/>
        <w:rPr>
          <w:sz w:val="20"/>
          <w:szCs w:val="20"/>
          <w:color w:val="auto"/>
        </w:rPr>
      </w:pPr>
      <w:r>
        <w:rPr>
          <w:rFonts w:ascii="Times New Roman" w:cs="Times New Roman" w:eastAsia="Times New Roman" w:hAnsi="Times New Roman"/>
          <w:sz w:val="20"/>
          <w:szCs w:val="20"/>
          <w:color w:val="auto"/>
        </w:rPr>
        <w:t>777 East Wisconsin Avenue Milwaukee, WI 53202-5306 Attention</w:t>
      </w:r>
    </w:p>
    <w:p>
      <w:pPr>
        <w:ind w:left="2620"/>
        <w:spacing w:after="0" w:line="211" w:lineRule="auto"/>
        <w:rPr>
          <w:sz w:val="20"/>
          <w:szCs w:val="20"/>
          <w:color w:val="auto"/>
        </w:rPr>
      </w:pPr>
      <w:r>
        <w:rPr>
          <w:rFonts w:ascii="Times New Roman" w:cs="Times New Roman" w:eastAsia="Times New Roman" w:hAnsi="Times New Roman"/>
          <w:sz w:val="20"/>
          <w:szCs w:val="20"/>
          <w:color w:val="auto"/>
        </w:rPr>
        <w:t>of: Heidi M. Furlong Telephone No.: (414) 297-5620</w:t>
      </w:r>
    </w:p>
    <w:p>
      <w:pPr>
        <w:ind w:left="2620"/>
        <w:spacing w:after="0" w:line="226" w:lineRule="auto"/>
        <w:rPr>
          <w:sz w:val="20"/>
          <w:szCs w:val="20"/>
          <w:color w:val="auto"/>
        </w:rPr>
      </w:pPr>
      <w:r>
        <w:rPr>
          <w:rFonts w:ascii="Times New Roman" w:cs="Times New Roman" w:eastAsia="Times New Roman" w:hAnsi="Times New Roman"/>
          <w:sz w:val="20"/>
          <w:szCs w:val="20"/>
          <w:color w:val="auto"/>
        </w:rPr>
        <w:t>Facsimile: (414) 297-4900</w:t>
      </w:r>
    </w:p>
    <w:p>
      <w:pPr>
        <w:ind w:left="2620"/>
        <w:spacing w:after="0"/>
        <w:rPr>
          <w:sz w:val="20"/>
          <w:szCs w:val="20"/>
          <w:color w:val="auto"/>
        </w:rPr>
      </w:pPr>
      <w:r>
        <w:rPr>
          <w:rFonts w:ascii="Times New Roman" w:cs="Times New Roman" w:eastAsia="Times New Roman" w:hAnsi="Times New Roman"/>
          <w:sz w:val="20"/>
          <w:szCs w:val="20"/>
          <w:color w:val="auto"/>
        </w:rPr>
        <w:t>E-mail: HFurlong@foley.com</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FF0000"/>
          <w:strike w:val="1"/>
        </w:rPr>
        <w:t>146960219_6</w:t>
      </w: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156</w:t>
      </w:r>
      <w:r>
        <w:rPr>
          <w:sz w:val="20"/>
          <w:szCs w:val="20"/>
          <w:color w:val="auto"/>
        </w:rPr>
        <w:tab/>
      </w: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080"/>
          </w:cols>
          <w:pgMar w:left="380" w:top="1399" w:right="439" w:bottom="1440" w:gutter="0" w:footer="0" w:header="0"/>
        </w:sectPr>
      </w:pPr>
    </w:p>
    <w:bookmarkStart w:id="240" w:name="page241"/>
    <w:bookmarkEnd w:id="240"/>
    <w:p>
      <w:pPr>
        <w:ind w:left="2640"/>
        <w:spacing w:after="0"/>
        <w:rPr>
          <w:sz w:val="20"/>
          <w:szCs w:val="20"/>
          <w:color w:val="auto"/>
        </w:rPr>
      </w:pPr>
      <w:r>
        <w:rPr>
          <w:rFonts w:ascii="Times New Roman" w:cs="Times New Roman" w:eastAsia="Times New Roman" w:hAnsi="Times New Roman"/>
          <w:sz w:val="20"/>
          <w:szCs w:val="20"/>
          <w:color w:val="auto"/>
        </w:rPr>
        <w:t>If to Wells Fargo as Administrative Agent:</w:t>
      </w:r>
    </w:p>
    <w:p>
      <w:pPr>
        <w:spacing w:after="0" w:line="210"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0"/>
          <w:szCs w:val="20"/>
          <w:color w:val="auto"/>
        </w:rPr>
        <w:t>Wells Fargo Bank, National Association MAC D1109-019</w:t>
      </w:r>
    </w:p>
    <w:p>
      <w:pPr>
        <w:ind w:left="2640"/>
        <w:spacing w:after="0" w:line="211" w:lineRule="auto"/>
        <w:rPr>
          <w:sz w:val="20"/>
          <w:szCs w:val="20"/>
          <w:color w:val="auto"/>
        </w:rPr>
      </w:pPr>
      <w:r>
        <w:rPr>
          <w:rFonts w:ascii="Times New Roman" w:cs="Times New Roman" w:eastAsia="Times New Roman" w:hAnsi="Times New Roman"/>
          <w:sz w:val="20"/>
          <w:szCs w:val="20"/>
          <w:color w:val="auto"/>
        </w:rPr>
        <w:t>1525 West W.T. Harris Blvd. Charlotte, NC 28262</w:t>
      </w:r>
    </w:p>
    <w:p>
      <w:pPr>
        <w:ind w:left="2640"/>
        <w:spacing w:after="0"/>
        <w:rPr>
          <w:sz w:val="20"/>
          <w:szCs w:val="20"/>
          <w:color w:val="auto"/>
        </w:rPr>
      </w:pPr>
      <w:r>
        <w:rPr>
          <w:rFonts w:ascii="Times New Roman" w:cs="Times New Roman" w:eastAsia="Times New Roman" w:hAnsi="Times New Roman"/>
          <w:sz w:val="20"/>
          <w:szCs w:val="20"/>
          <w:color w:val="auto"/>
        </w:rPr>
        <w:t>Attention of: Syndication Agency Services Telephone No.: (704) 590-2703</w:t>
      </w:r>
    </w:p>
    <w:p>
      <w:pPr>
        <w:spacing w:after="0" w:line="59"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0"/>
          <w:szCs w:val="20"/>
          <w:color w:val="auto"/>
        </w:rPr>
        <w:t>Facsimile No.: (704) 715-0092 With copies to:</w:t>
      </w:r>
    </w:p>
    <w:p>
      <w:pPr>
        <w:spacing w:after="0" w:line="121"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0"/>
          <w:szCs w:val="20"/>
          <w:color w:val="auto"/>
        </w:rPr>
        <w:t>Wells Fargo Bank, National Association 100 W. Washington Street, 25</w:t>
      </w:r>
      <w:r>
        <w:rPr>
          <w:rFonts w:ascii="Times New Roman" w:cs="Times New Roman" w:eastAsia="Times New Roman" w:hAnsi="Times New Roman"/>
          <w:sz w:val="12"/>
          <w:szCs w:val="12"/>
          <w:color w:val="auto"/>
        </w:rPr>
        <w:t>th</w:t>
      </w:r>
    </w:p>
    <w:p>
      <w:pPr>
        <w:spacing w:after="0" w:line="21"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0"/>
          <w:szCs w:val="20"/>
          <w:color w:val="auto"/>
        </w:rPr>
        <w:t>Floor Phoenix, AZ 85003</w:t>
      </w:r>
    </w:p>
    <w:p>
      <w:pPr>
        <w:ind w:left="2640"/>
        <w:spacing w:after="0" w:line="225" w:lineRule="auto"/>
        <w:rPr>
          <w:sz w:val="20"/>
          <w:szCs w:val="20"/>
          <w:color w:val="auto"/>
        </w:rPr>
      </w:pPr>
      <w:r>
        <w:rPr>
          <w:rFonts w:ascii="Times New Roman" w:cs="Times New Roman" w:eastAsia="Times New Roman" w:hAnsi="Times New Roman"/>
          <w:sz w:val="20"/>
          <w:szCs w:val="20"/>
          <w:color w:val="auto"/>
        </w:rPr>
        <w:t>MAC S4101-251</w:t>
      </w:r>
    </w:p>
    <w:p>
      <w:pPr>
        <w:ind w:left="2640"/>
        <w:spacing w:after="0" w:line="197" w:lineRule="auto"/>
        <w:rPr>
          <w:sz w:val="20"/>
          <w:szCs w:val="20"/>
          <w:color w:val="auto"/>
        </w:rPr>
      </w:pPr>
      <w:r>
        <w:rPr>
          <w:rFonts w:ascii="Times New Roman" w:cs="Times New Roman" w:eastAsia="Times New Roman" w:hAnsi="Times New Roman"/>
          <w:sz w:val="20"/>
          <w:szCs w:val="20"/>
          <w:color w:val="auto"/>
        </w:rPr>
        <w:t>Attention of: Aaron Lemke Telephone No.: (602) 378-6629</w:t>
      </w:r>
    </w:p>
    <w:p>
      <w:pPr>
        <w:spacing w:after="0" w:line="1"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0"/>
          <w:szCs w:val="20"/>
          <w:color w:val="auto"/>
        </w:rPr>
        <w:t>Facsimile No.: (602) 378-1360</w:t>
      </w:r>
    </w:p>
    <w:p>
      <w:pPr>
        <w:spacing w:after="0" w:line="72"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0"/>
          <w:szCs w:val="20"/>
          <w:color w:val="auto"/>
        </w:rPr>
        <w:t>E-mail: aaron.k.lemke@wellsfargo.com If to any Lender:</w:t>
      </w:r>
    </w:p>
    <w:p>
      <w:pPr>
        <w:spacing w:after="0" w:line="108"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0"/>
          <w:szCs w:val="20"/>
          <w:color w:val="auto"/>
        </w:rPr>
        <w:t>To the address of such Lender set forth on the Register</w:t>
      </w:r>
    </w:p>
    <w:p>
      <w:pPr>
        <w:spacing w:after="0" w:line="216" w:lineRule="exact"/>
        <w:rPr>
          <w:sz w:val="20"/>
          <w:szCs w:val="20"/>
          <w:color w:val="auto"/>
        </w:rPr>
      </w:pPr>
    </w:p>
    <w:p>
      <w:pPr>
        <w:ind w:left="60" w:right="20"/>
        <w:spacing w:after="0" w:line="215" w:lineRule="auto"/>
        <w:rPr>
          <w:sz w:val="20"/>
          <w:szCs w:val="20"/>
          <w:color w:val="auto"/>
        </w:rPr>
      </w:pPr>
      <w:r>
        <w:rPr>
          <w:rFonts w:ascii="Times New Roman" w:cs="Times New Roman" w:eastAsia="Times New Roman" w:hAnsi="Times New Roman"/>
          <w:sz w:val="20"/>
          <w:szCs w:val="20"/>
          <w:color w:val="auto"/>
        </w:rPr>
        <w:t>Notices sent by hand or overnight courier service, or mailed by certified or registered mail, shall be deemed to have been given when received; notices sent by facsimile shall be deemed to have been given when sent (except that, if not given during normal business hours</w:t>
      </w:r>
    </w:p>
    <w:p>
      <w:pPr>
        <w:ind w:left="60"/>
        <w:spacing w:after="0" w:line="212" w:lineRule="auto"/>
        <w:rPr>
          <w:sz w:val="20"/>
          <w:szCs w:val="20"/>
          <w:color w:val="auto"/>
        </w:rPr>
      </w:pPr>
      <w:r>
        <w:rPr>
          <w:rFonts w:ascii="Times New Roman" w:cs="Times New Roman" w:eastAsia="Times New Roman" w:hAnsi="Times New Roman"/>
          <w:sz w:val="20"/>
          <w:szCs w:val="20"/>
          <w:color w:val="auto"/>
        </w:rPr>
        <w:t>for the recipient, shall be deemed to have been given at the opening of business on the next business day for the recipient). Notices</w:t>
      </w:r>
    </w:p>
    <w:p>
      <w:pPr>
        <w:spacing w:after="0" w:line="1" w:lineRule="exact"/>
        <w:rPr>
          <w:sz w:val="20"/>
          <w:szCs w:val="20"/>
          <w:color w:val="auto"/>
        </w:rPr>
      </w:pPr>
    </w:p>
    <w:p>
      <w:pPr>
        <w:ind w:left="60"/>
        <w:spacing w:after="0" w:line="221" w:lineRule="auto"/>
        <w:rPr>
          <w:sz w:val="20"/>
          <w:szCs w:val="20"/>
          <w:color w:val="auto"/>
        </w:rPr>
      </w:pPr>
      <w:r>
        <w:rPr>
          <w:rFonts w:ascii="Times New Roman" w:cs="Times New Roman" w:eastAsia="Times New Roman" w:hAnsi="Times New Roman"/>
          <w:sz w:val="20"/>
          <w:szCs w:val="20"/>
          <w:color w:val="auto"/>
        </w:rPr>
        <w:t>delivered through electronic communications to the extent provided in paragraph (b) below, shall be effective as provided in said paragraph (b).</w:t>
      </w:r>
    </w:p>
    <w:p>
      <w:pPr>
        <w:spacing w:after="0" w:line="202" w:lineRule="exact"/>
        <w:rPr>
          <w:sz w:val="20"/>
          <w:szCs w:val="20"/>
          <w:color w:val="auto"/>
        </w:rPr>
      </w:pPr>
    </w:p>
    <w:p>
      <w:pPr>
        <w:jc w:val="both"/>
        <w:ind w:left="60" w:firstLine="644"/>
        <w:spacing w:after="0" w:line="211" w:lineRule="auto"/>
        <w:tabs>
          <w:tab w:leader="none" w:pos="1236" w:val="left"/>
        </w:tabs>
        <w:numPr>
          <w:ilvl w:val="1"/>
          <w:numId w:val="4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Electronic Communications</w:t>
      </w:r>
      <w:r>
        <w:rPr>
          <w:rFonts w:ascii="Times New Roman" w:cs="Times New Roman" w:eastAsia="Times New Roman" w:hAnsi="Times New Roman"/>
          <w:sz w:val="20"/>
          <w:szCs w:val="20"/>
          <w:color w:val="auto"/>
        </w:rPr>
        <w:t xml:space="preserve">. Notices and other communications to the Lenders and the Issuing Lenders hereunder may be delivered or furnished by electronic communication (including e-mail and Internet or intranet websites) pursuant to procedures approved by the Administrative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foregoing shall not apply to notices to any Lender or any Issuing Lender pursuant to </w:t>
      </w:r>
      <w:r>
        <w:rPr>
          <w:rFonts w:ascii="Times New Roman" w:cs="Times New Roman" w:eastAsia="Times New Roman" w:hAnsi="Times New Roman"/>
          <w:sz w:val="20"/>
          <w:szCs w:val="20"/>
          <w:u w:val="single" w:color="auto"/>
          <w:color w:val="auto"/>
        </w:rPr>
        <w:t>Article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III</w:t>
      </w:r>
      <w:r>
        <w:rPr>
          <w:rFonts w:ascii="Times New Roman" w:cs="Times New Roman" w:eastAsia="Times New Roman" w:hAnsi="Times New Roman"/>
          <w:sz w:val="20"/>
          <w:szCs w:val="20"/>
          <w:color w:val="auto"/>
        </w:rPr>
        <w:t xml:space="preserve"> if such Lender or such Issuing Lender, as applicable, has notified the Administrative Agent that is incapable of receiving notices under such Article by electronic communication. The Administrative Agent or a Borrower may, in its discretion, agree to accept notices and other communications to it hereunder by electronic communications pursuant to procedures approved by 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approval of such procedures may be limited to particular notices or communications. 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 both clauses (i) and (ii) above, if such notice, email or other communication is not 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FF0000"/>
          <w:strike w:val="1"/>
        </w:rPr>
        <w:t>146960219_6</w:t>
      </w: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157</w:t>
      </w:r>
      <w:r>
        <w:rPr>
          <w:sz w:val="20"/>
          <w:szCs w:val="20"/>
          <w:color w:val="auto"/>
        </w:rPr>
        <w:tab/>
      </w: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080"/>
          </w:cols>
          <w:pgMar w:left="380" w:top="1399" w:right="439" w:bottom="1440" w:gutter="0" w:footer="0" w:header="0"/>
        </w:sectPr>
      </w:pPr>
    </w:p>
    <w:bookmarkStart w:id="241" w:name="page242"/>
    <w:bookmarkEnd w:id="241"/>
    <w:p>
      <w:pPr>
        <w:spacing w:after="0" w:line="203" w:lineRule="exact"/>
        <w:rPr>
          <w:sz w:val="20"/>
          <w:szCs w:val="20"/>
          <w:color w:val="auto"/>
        </w:rPr>
      </w:pPr>
    </w:p>
    <w:p>
      <w:pPr>
        <w:ind w:left="60" w:right="440"/>
        <w:spacing w:after="0"/>
        <w:rPr>
          <w:sz w:val="20"/>
          <w:szCs w:val="20"/>
          <w:color w:val="auto"/>
        </w:rPr>
      </w:pPr>
      <w:r>
        <w:rPr>
          <w:rFonts w:ascii="Times New Roman" w:cs="Times New Roman" w:eastAsia="Times New Roman" w:hAnsi="Times New Roman"/>
          <w:sz w:val="20"/>
          <w:szCs w:val="20"/>
          <w:color w:val="auto"/>
        </w:rPr>
        <w:t>during the normal business hours of the recipient, such notice, email or other communication shall be deemed to have been sent at the opening of business on the next business day for the recipient.</w:t>
      </w:r>
    </w:p>
    <w:p>
      <w:pPr>
        <w:spacing w:after="0" w:line="188" w:lineRule="exact"/>
        <w:rPr>
          <w:sz w:val="20"/>
          <w:szCs w:val="20"/>
          <w:color w:val="auto"/>
        </w:rPr>
      </w:pPr>
    </w:p>
    <w:p>
      <w:pPr>
        <w:jc w:val="both"/>
        <w:ind w:left="60" w:firstLine="644"/>
        <w:spacing w:after="0" w:line="222" w:lineRule="auto"/>
        <w:tabs>
          <w:tab w:leader="none" w:pos="1238" w:val="left"/>
        </w:tabs>
        <w:numPr>
          <w:ilvl w:val="0"/>
          <w:numId w:val="4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Administrative Agent’s Office</w:t>
      </w:r>
      <w:r>
        <w:rPr>
          <w:rFonts w:ascii="Times New Roman" w:cs="Times New Roman" w:eastAsia="Times New Roman" w:hAnsi="Times New Roman"/>
          <w:sz w:val="20"/>
          <w:szCs w:val="20"/>
          <w:color w:val="auto"/>
        </w:rPr>
        <w:t>. The Administrative Agent hereby designates its office located at the address set forth above, or any subsequent office which shall have been specified for such purpose by written notice to Centuri and Lenders, as the Administrative Agent’s Office referred to herein, to which payments due are to be made and at which Loans will be disbursed and Letters of Credit requested.</w:t>
      </w:r>
    </w:p>
    <w:p>
      <w:pPr>
        <w:spacing w:after="0" w:line="188" w:lineRule="exact"/>
        <w:rPr>
          <w:rFonts w:ascii="Times New Roman" w:cs="Times New Roman" w:eastAsia="Times New Roman" w:hAnsi="Times New Roman"/>
          <w:sz w:val="20"/>
          <w:szCs w:val="20"/>
          <w:color w:val="auto"/>
        </w:rPr>
      </w:pPr>
    </w:p>
    <w:p>
      <w:pPr>
        <w:jc w:val="both"/>
        <w:ind w:left="60" w:firstLine="644"/>
        <w:spacing w:after="0" w:line="222" w:lineRule="auto"/>
        <w:tabs>
          <w:tab w:leader="none" w:pos="1236" w:val="left"/>
        </w:tabs>
        <w:numPr>
          <w:ilvl w:val="0"/>
          <w:numId w:val="4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 of Address, Etc.</w:t>
      </w:r>
      <w:r>
        <w:rPr>
          <w:rFonts w:ascii="Times New Roman" w:cs="Times New Roman" w:eastAsia="Times New Roman" w:hAnsi="Times New Roman"/>
          <w:sz w:val="20"/>
          <w:szCs w:val="20"/>
          <w:color w:val="auto"/>
        </w:rPr>
        <w:t xml:space="preserve"> Each of the Borrowers, the Administrative Agent, any Issuing Lender or any Swingline Lender may change its address or facsimile number for notices and other communications hereunder by notice to the other parties hereto. Any Lender may change its address or facsimile number for notices and other communications hereunder by notice to Centuri, the Administrative Agent, each Issuing Lender and each Swingline Lender.</w:t>
      </w:r>
    </w:p>
    <w:p>
      <w:pPr>
        <w:spacing w:after="0" w:line="188" w:lineRule="exact"/>
        <w:rPr>
          <w:rFonts w:ascii="Times New Roman" w:cs="Times New Roman" w:eastAsia="Times New Roman" w:hAnsi="Times New Roman"/>
          <w:sz w:val="20"/>
          <w:szCs w:val="20"/>
          <w:color w:val="auto"/>
        </w:rPr>
      </w:pPr>
    </w:p>
    <w:p>
      <w:pPr>
        <w:ind w:left="1340" w:hanging="636"/>
        <w:spacing w:after="0"/>
        <w:tabs>
          <w:tab w:leader="none" w:pos="1340" w:val="left"/>
        </w:tabs>
        <w:numPr>
          <w:ilvl w:val="0"/>
          <w:numId w:val="4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Platform</w:t>
      </w:r>
      <w:r>
        <w:rPr>
          <w:rFonts w:ascii="Times New Roman" w:cs="Times New Roman" w:eastAsia="Times New Roman" w:hAnsi="Times New Roman"/>
          <w:sz w:val="20"/>
          <w:szCs w:val="20"/>
          <w:color w:val="auto"/>
        </w:rPr>
        <w:t>.</w:t>
      </w:r>
    </w:p>
    <w:p>
      <w:pPr>
        <w:spacing w:after="0" w:line="297" w:lineRule="exact"/>
        <w:rPr>
          <w:sz w:val="20"/>
          <w:szCs w:val="20"/>
          <w:color w:val="auto"/>
        </w:rPr>
      </w:pPr>
    </w:p>
    <w:p>
      <w:pPr>
        <w:ind w:left="700" w:firstLine="649"/>
        <w:spacing w:after="0" w:line="269" w:lineRule="auto"/>
        <w:rPr>
          <w:sz w:val="20"/>
          <w:szCs w:val="20"/>
          <w:color w:val="auto"/>
        </w:rPr>
      </w:pPr>
      <w:r>
        <w:rPr>
          <w:rFonts w:ascii="Times New Roman" w:cs="Times New Roman" w:eastAsia="Times New Roman" w:hAnsi="Times New Roman"/>
          <w:sz w:val="20"/>
          <w:szCs w:val="20"/>
          <w:color w:val="auto"/>
        </w:rPr>
        <w:t>(cxi) Each Credit Party agrees that the Administrative Agent may, but shall not be obligated to, make the Borrower Materials available to the Issuing Lenders and the other Lenders by posting the Borrower Materials on the Platform.</w:t>
      </w:r>
    </w:p>
    <w:p>
      <w:pPr>
        <w:spacing w:after="0" w:line="173" w:lineRule="exact"/>
        <w:rPr>
          <w:sz w:val="20"/>
          <w:szCs w:val="20"/>
          <w:color w:val="auto"/>
        </w:rPr>
      </w:pPr>
    </w:p>
    <w:p>
      <w:pPr>
        <w:ind w:left="700" w:firstLine="649"/>
        <w:spacing w:after="0" w:line="222" w:lineRule="auto"/>
        <w:rPr>
          <w:sz w:val="20"/>
          <w:szCs w:val="20"/>
          <w:color w:val="auto"/>
        </w:rPr>
      </w:pPr>
      <w:r>
        <w:rPr>
          <w:rFonts w:ascii="Times New Roman" w:cs="Times New Roman" w:eastAsia="Times New Roman" w:hAnsi="Times New Roman"/>
          <w:sz w:val="20"/>
          <w:szCs w:val="20"/>
          <w:color w:val="auto"/>
        </w:rPr>
        <w:t>(cxii) The Platform is provided “as is” and “as available.” The Agent Parties (as defined below) do not warrant the accuracy or completeness of the Borrower Materials or the adequacy of the Platform, and expressly disclaim liability for errors or</w:t>
      </w:r>
    </w:p>
    <w:p>
      <w:pPr>
        <w:spacing w:after="0" w:line="2" w:lineRule="exact"/>
        <w:rPr>
          <w:sz w:val="20"/>
          <w:szCs w:val="20"/>
          <w:color w:val="auto"/>
        </w:rPr>
      </w:pPr>
    </w:p>
    <w:p>
      <w:pPr>
        <w:ind w:left="700" w:right="20"/>
        <w:spacing w:after="0" w:line="204" w:lineRule="auto"/>
        <w:rPr>
          <w:sz w:val="20"/>
          <w:szCs w:val="20"/>
          <w:color w:val="auto"/>
        </w:rPr>
      </w:pPr>
      <w:r>
        <w:rPr>
          <w:rFonts w:ascii="Times New Roman" w:cs="Times New Roman" w:eastAsia="Times New Roman" w:hAnsi="Times New Roman"/>
          <w:sz w:val="20"/>
          <w:szCs w:val="20"/>
          <w:color w:val="auto"/>
        </w:rPr>
        <w:t>omissions in the Borrower Materials. No warranty of any kind, express, implied or statutory, including, without limitation, any warranty of merchantability, fitness for a particular purpose, non-infringement of third-party rights or freedom from viruses or</w:t>
      </w:r>
    </w:p>
    <w:p>
      <w:pPr>
        <w:ind w:left="700"/>
        <w:spacing w:after="0" w:line="211" w:lineRule="auto"/>
        <w:rPr>
          <w:sz w:val="20"/>
          <w:szCs w:val="20"/>
          <w:color w:val="auto"/>
        </w:rPr>
      </w:pPr>
      <w:r>
        <w:rPr>
          <w:rFonts w:ascii="Times New Roman" w:cs="Times New Roman" w:eastAsia="Times New Roman" w:hAnsi="Times New Roman"/>
          <w:sz w:val="20"/>
          <w:szCs w:val="20"/>
          <w:color w:val="auto"/>
        </w:rPr>
        <w:t>other code defects, is made by any Agent Party in connection with the Borrower Materials or the Platform. In no event shall the</w:t>
      </w:r>
    </w:p>
    <w:p>
      <w:pPr>
        <w:spacing w:after="0" w:line="1" w:lineRule="exact"/>
        <w:rPr>
          <w:sz w:val="20"/>
          <w:szCs w:val="20"/>
          <w:color w:val="auto"/>
        </w:rPr>
      </w:pPr>
    </w:p>
    <w:p>
      <w:pPr>
        <w:ind w:left="700"/>
        <w:spacing w:after="0" w:line="204" w:lineRule="auto"/>
        <w:rPr>
          <w:sz w:val="20"/>
          <w:szCs w:val="20"/>
          <w:color w:val="auto"/>
        </w:rPr>
      </w:pPr>
      <w:r>
        <w:rPr>
          <w:rFonts w:ascii="Times New Roman" w:cs="Times New Roman" w:eastAsia="Times New Roman" w:hAnsi="Times New Roman"/>
          <w:sz w:val="20"/>
          <w:szCs w:val="20"/>
          <w:color w:val="auto"/>
        </w:rPr>
        <w:t>Administrative Agent or any of its Related Parties (collectively, the “</w:t>
      </w:r>
      <w:r>
        <w:rPr>
          <w:rFonts w:ascii="Times New Roman" w:cs="Times New Roman" w:eastAsia="Times New Roman" w:hAnsi="Times New Roman"/>
          <w:sz w:val="20"/>
          <w:szCs w:val="20"/>
          <w:u w:val="single" w:color="auto"/>
          <w:color w:val="auto"/>
        </w:rPr>
        <w:t>Agent Parties</w:t>
      </w:r>
      <w:r>
        <w:rPr>
          <w:rFonts w:ascii="Times New Roman" w:cs="Times New Roman" w:eastAsia="Times New Roman" w:hAnsi="Times New Roman"/>
          <w:sz w:val="20"/>
          <w:szCs w:val="20"/>
          <w:color w:val="auto"/>
        </w:rPr>
        <w:t>”) have any liability to any Credit Party, any Lender or any other Person or entity for losses, claims, damages, liabilities or expenses of any kind (whether in tort, contract or</w:t>
      </w:r>
    </w:p>
    <w:p>
      <w:pPr>
        <w:ind w:left="700"/>
        <w:spacing w:after="0" w:line="211" w:lineRule="auto"/>
        <w:rPr>
          <w:sz w:val="20"/>
          <w:szCs w:val="20"/>
          <w:color w:val="auto"/>
        </w:rPr>
      </w:pPr>
      <w:r>
        <w:rPr>
          <w:rFonts w:ascii="Times New Roman" w:cs="Times New Roman" w:eastAsia="Times New Roman" w:hAnsi="Times New Roman"/>
          <w:sz w:val="20"/>
          <w:szCs w:val="20"/>
          <w:color w:val="auto"/>
        </w:rPr>
        <w:t>otherwise) arising out of any Credit Party’s or the Administrative Agent’s transmission of communications through the Internet</w:t>
      </w:r>
    </w:p>
    <w:p>
      <w:pPr>
        <w:spacing w:after="0" w:line="1" w:lineRule="exact"/>
        <w:rPr>
          <w:sz w:val="20"/>
          <w:szCs w:val="20"/>
          <w:color w:val="auto"/>
        </w:rPr>
      </w:pPr>
    </w:p>
    <w:p>
      <w:pPr>
        <w:ind w:left="700"/>
        <w:spacing w:after="0" w:line="215" w:lineRule="auto"/>
        <w:rPr>
          <w:sz w:val="20"/>
          <w:szCs w:val="20"/>
          <w:color w:val="auto"/>
        </w:rPr>
      </w:pPr>
      <w:r>
        <w:rPr>
          <w:rFonts w:ascii="Times New Roman" w:cs="Times New Roman" w:eastAsia="Times New Roman" w:hAnsi="Times New Roman"/>
          <w:sz w:val="19"/>
          <w:szCs w:val="19"/>
          <w:color w:val="auto"/>
        </w:rPr>
        <w:t>(including, without limitation, the Platform), except to the extent that such losses, claims, damages, liabilities or expenses are determined by a court of competent jurisdiction by final and nonappealable judgment to have resulted from the gross negligence or</w:t>
      </w:r>
    </w:p>
    <w:p>
      <w:pPr>
        <w:ind w:left="700"/>
        <w:spacing w:after="0" w:line="222" w:lineRule="auto"/>
        <w:rPr>
          <w:sz w:val="20"/>
          <w:szCs w:val="20"/>
          <w:color w:val="auto"/>
        </w:rPr>
      </w:pPr>
      <w:r>
        <w:rPr>
          <w:rFonts w:ascii="Times New Roman" w:cs="Times New Roman" w:eastAsia="Times New Roman" w:hAnsi="Times New Roman"/>
          <w:sz w:val="19"/>
          <w:szCs w:val="19"/>
          <w:color w:val="auto"/>
        </w:rPr>
        <w:t xml:space="preserve">willful misconduct of such Agent Party;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in no event shall any Agent Party have any liability to any Credit Party, any</w:t>
      </w:r>
    </w:p>
    <w:p>
      <w:pPr>
        <w:ind w:left="700"/>
        <w:spacing w:after="0" w:line="221" w:lineRule="auto"/>
        <w:rPr>
          <w:sz w:val="20"/>
          <w:szCs w:val="20"/>
          <w:color w:val="auto"/>
        </w:rPr>
      </w:pPr>
      <w:r>
        <w:rPr>
          <w:rFonts w:ascii="Times New Roman" w:cs="Times New Roman" w:eastAsia="Times New Roman" w:hAnsi="Times New Roman"/>
          <w:sz w:val="20"/>
          <w:szCs w:val="20"/>
          <w:color w:val="auto"/>
        </w:rPr>
        <w:t>Lender, the Issuing Lender or any other Person for indirect, special, incidental, consequential or punitive damages, losses or expenses (as opposed to actual damages, losses or expenses).</w:t>
      </w:r>
    </w:p>
    <w:p>
      <w:pPr>
        <w:spacing w:after="0" w:line="189" w:lineRule="exact"/>
        <w:rPr>
          <w:sz w:val="20"/>
          <w:szCs w:val="20"/>
          <w:color w:val="auto"/>
        </w:rPr>
      </w:pPr>
    </w:p>
    <w:p>
      <w:pPr>
        <w:jc w:val="both"/>
        <w:ind w:left="60" w:right="20" w:firstLine="644"/>
        <w:spacing w:after="0" w:line="218" w:lineRule="auto"/>
        <w:tabs>
          <w:tab w:leader="none" w:pos="1243" w:val="left"/>
        </w:tabs>
        <w:numPr>
          <w:ilvl w:val="0"/>
          <w:numId w:val="4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Private Side Designation</w:t>
      </w:r>
      <w:r>
        <w:rPr>
          <w:rFonts w:ascii="Times New Roman" w:cs="Times New Roman" w:eastAsia="Times New Roman" w:hAnsi="Times New Roman"/>
          <w:sz w:val="20"/>
          <w:szCs w:val="20"/>
          <w:color w:val="auto"/>
        </w:rPr>
        <w:t>.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Applicable Laws, to make reference to Borrower Materials that are not made available through the “Public Side Information” portion of the Platform and that may contain material non-public information with respect to the Borrowers or their respective securities for purposes of United States Federal or state securities Applicable Laws.</w:t>
      </w:r>
    </w:p>
    <w:p>
      <w:pPr>
        <w:spacing w:after="0" w:line="191" w:lineRule="exact"/>
        <w:rPr>
          <w:sz w:val="20"/>
          <w:szCs w:val="20"/>
          <w:color w:val="auto"/>
        </w:rPr>
      </w:pPr>
    </w:p>
    <w:p>
      <w:pPr>
        <w:ind w:left="700"/>
        <w:spacing w:after="0"/>
        <w:tabs>
          <w:tab w:leader="none" w:pos="2120" w:val="left"/>
        </w:tabs>
        <w:rPr>
          <w:sz w:val="20"/>
          <w:szCs w:val="20"/>
          <w:color w:val="auto"/>
        </w:rPr>
      </w:pPr>
      <w:r>
        <w:rPr>
          <w:rFonts w:ascii="Times New Roman" w:cs="Times New Roman" w:eastAsia="Times New Roman" w:hAnsi="Times New Roman"/>
          <w:sz w:val="20"/>
          <w:szCs w:val="20"/>
          <w:color w:val="auto"/>
        </w:rPr>
        <w:t>SECTION 12.2</w:t>
      </w:r>
      <w:r>
        <w:rPr>
          <w:sz w:val="20"/>
          <w:szCs w:val="20"/>
          <w:color w:val="auto"/>
        </w:rPr>
        <w:tab/>
      </w:r>
      <w:r>
        <w:rPr>
          <w:rFonts w:ascii="Times New Roman" w:cs="Times New Roman" w:eastAsia="Times New Roman" w:hAnsi="Times New Roman"/>
          <w:sz w:val="19"/>
          <w:szCs w:val="19"/>
          <w:u w:val="single" w:color="auto"/>
          <w:color w:val="auto"/>
        </w:rPr>
        <w:t>Amendments, Waivers and Consents</w:t>
      </w:r>
    </w:p>
    <w:p>
      <w:pPr>
        <w:spacing w:after="0" w:line="283" w:lineRule="exact"/>
        <w:rPr>
          <w:sz w:val="20"/>
          <w:szCs w:val="20"/>
          <w:color w:val="auto"/>
        </w:rPr>
      </w:pPr>
    </w:p>
    <w:p>
      <w:pPr>
        <w:ind w:left="60" w:right="820" w:hanging="4"/>
        <w:spacing w:after="0" w:line="233" w:lineRule="auto"/>
        <w:tabs>
          <w:tab w:leader="none" w:pos="159" w:val="left"/>
        </w:tabs>
        <w:numPr>
          <w:ilvl w:val="0"/>
          <w:numId w:val="4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set forth below or as specifically provided in any Loan Document, any term, covenant, agreement or condition of this Agreement or any of the other Loan Documents may be amended or waived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FF0000"/>
          <w:strike w:val="1"/>
        </w:rPr>
        <w:t>146960219_6</w:t>
      </w: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158</w:t>
      </w:r>
      <w:r>
        <w:rPr>
          <w:sz w:val="20"/>
          <w:szCs w:val="20"/>
          <w:color w:val="auto"/>
        </w:rPr>
        <w:tab/>
      </w: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080"/>
          </w:cols>
          <w:pgMar w:left="380" w:top="1440" w:right="439" w:bottom="1440" w:gutter="0" w:footer="0" w:header="0"/>
        </w:sectPr>
      </w:pPr>
    </w:p>
    <w:bookmarkStart w:id="242" w:name="page243"/>
    <w:bookmarkEnd w:id="242"/>
    <w:p>
      <w:pPr>
        <w:spacing w:after="0" w:line="1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by the Lenders, and any consent given by the Lenders, if, but only if, such amendment, waiver or consent is in writing signed by the</w:t>
      </w:r>
    </w:p>
    <w:p>
      <w:pPr>
        <w:ind w:left="60"/>
        <w:spacing w:after="0" w:line="204" w:lineRule="auto"/>
        <w:rPr>
          <w:sz w:val="20"/>
          <w:szCs w:val="20"/>
          <w:color w:val="auto"/>
        </w:rPr>
      </w:pPr>
      <w:r>
        <w:rPr>
          <w:rFonts w:ascii="Times New Roman" w:cs="Times New Roman" w:eastAsia="Times New Roman" w:hAnsi="Times New Roman"/>
          <w:sz w:val="20"/>
          <w:szCs w:val="20"/>
          <w:color w:val="auto"/>
        </w:rPr>
        <w:t>Required Lenders (or in the case of any amendment which directly affects only one Class under the Credit Facility, the Required Facility Lenders, and not the Required Lenders or the Required Facility Lenders, as applicable) (or by the Administrative Agent with the consent</w:t>
      </w:r>
    </w:p>
    <w:p>
      <w:pPr>
        <w:spacing w:after="0" w:line="1" w:lineRule="exact"/>
        <w:rPr>
          <w:sz w:val="20"/>
          <w:szCs w:val="20"/>
          <w:color w:val="auto"/>
        </w:rPr>
      </w:pPr>
    </w:p>
    <w:p>
      <w:pPr>
        <w:ind w:left="60" w:right="20"/>
        <w:spacing w:after="0" w:line="228" w:lineRule="auto"/>
        <w:rPr>
          <w:sz w:val="20"/>
          <w:szCs w:val="20"/>
          <w:color w:val="auto"/>
        </w:rPr>
      </w:pPr>
      <w:r>
        <w:rPr>
          <w:rFonts w:ascii="Times New Roman" w:cs="Times New Roman" w:eastAsia="Times New Roman" w:hAnsi="Times New Roman"/>
          <w:sz w:val="20"/>
          <w:szCs w:val="20"/>
          <w:color w:val="auto"/>
        </w:rPr>
        <w:t xml:space="preserve">of the Required Lenders) and delivered to the Administrative Agent and, in the case of an amendment, signed by the Borrowers;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no amendment, waiver or consent shall:</w:t>
      </w:r>
    </w:p>
    <w:p>
      <w:pPr>
        <w:spacing w:after="0" w:line="243" w:lineRule="exact"/>
        <w:rPr>
          <w:sz w:val="20"/>
          <w:szCs w:val="20"/>
          <w:color w:val="auto"/>
        </w:rPr>
      </w:pPr>
    </w:p>
    <w:p>
      <w:pPr>
        <w:jc w:val="both"/>
        <w:ind w:left="60" w:firstLine="644"/>
        <w:spacing w:after="0" w:line="218" w:lineRule="auto"/>
        <w:tabs>
          <w:tab w:leader="none" w:pos="1239" w:val="left"/>
        </w:tabs>
        <w:numPr>
          <w:ilvl w:val="0"/>
          <w:numId w:val="4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without the prior written consent of the Required Revolving Credit Lenders, amend, modify or waive (i) </w:t>
      </w:r>
      <w:r>
        <w:rPr>
          <w:rFonts w:ascii="Times New Roman" w:cs="Times New Roman" w:eastAsia="Times New Roman" w:hAnsi="Times New Roman"/>
          <w:sz w:val="20"/>
          <w:szCs w:val="20"/>
          <w:u w:val="single" w:color="auto"/>
          <w:color w:val="auto"/>
        </w:rPr>
        <w:t>Section 6.2</w:t>
      </w:r>
      <w:r>
        <w:rPr>
          <w:rFonts w:ascii="Times New Roman" w:cs="Times New Roman" w:eastAsia="Times New Roman" w:hAnsi="Times New Roman"/>
          <w:sz w:val="20"/>
          <w:szCs w:val="20"/>
          <w:color w:val="auto"/>
        </w:rPr>
        <w:t xml:space="preserve"> or any other provision of this Agreement if the effect of such amendment, modification or waiver is to require the Revolving Credit Lenders (pursuant to, in the case of any such amendment to a provision hereof other than </w:t>
      </w:r>
      <w:r>
        <w:rPr>
          <w:rFonts w:ascii="Times New Roman" w:cs="Times New Roman" w:eastAsia="Times New Roman" w:hAnsi="Times New Roman"/>
          <w:sz w:val="20"/>
          <w:szCs w:val="20"/>
          <w:u w:val="single" w:color="auto"/>
          <w:color w:val="auto"/>
        </w:rPr>
        <w:t>Section 6.2</w:t>
      </w:r>
      <w:r>
        <w:rPr>
          <w:rFonts w:ascii="Times New Roman" w:cs="Times New Roman" w:eastAsia="Times New Roman" w:hAnsi="Times New Roman"/>
          <w:sz w:val="20"/>
          <w:szCs w:val="20"/>
          <w:color w:val="auto"/>
        </w:rPr>
        <w:t>, any substantially concurrent request by any Borrower for a borrowing of Revolving Credit Loans or issuance of Letters of Credit) to make Revolving Credit Loans when such Revolving Credit Lenders would not otherwise be required to do so, (ii) the amount of the Swingline Commitment or (iii) the amount of the L/C Sublimit;</w:t>
      </w:r>
    </w:p>
    <w:p>
      <w:pPr>
        <w:spacing w:after="0" w:line="191" w:lineRule="exact"/>
        <w:rPr>
          <w:rFonts w:ascii="Times New Roman" w:cs="Times New Roman" w:eastAsia="Times New Roman" w:hAnsi="Times New Roman"/>
          <w:sz w:val="20"/>
          <w:szCs w:val="20"/>
          <w:color w:val="auto"/>
        </w:rPr>
      </w:pPr>
    </w:p>
    <w:p>
      <w:pPr>
        <w:ind w:left="60" w:right="20" w:firstLine="644"/>
        <w:spacing w:after="0" w:line="233" w:lineRule="auto"/>
        <w:tabs>
          <w:tab w:leader="none" w:pos="1236" w:val="left"/>
        </w:tabs>
        <w:numPr>
          <w:ilvl w:val="0"/>
          <w:numId w:val="4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increase the Commitment of any Lender (or reinstate any Commitment terminated pursuant to </w:t>
      </w:r>
      <w:r>
        <w:rPr>
          <w:rFonts w:ascii="Times New Roman" w:cs="Times New Roman" w:eastAsia="Times New Roman" w:hAnsi="Times New Roman"/>
          <w:sz w:val="20"/>
          <w:szCs w:val="20"/>
          <w:u w:val="single" w:color="auto"/>
          <w:color w:val="auto"/>
        </w:rPr>
        <w:t>Section 10.2</w:t>
      </w:r>
      <w:r>
        <w:rPr>
          <w:rFonts w:ascii="Times New Roman" w:cs="Times New Roman" w:eastAsia="Times New Roman" w:hAnsi="Times New Roman"/>
          <w:sz w:val="20"/>
          <w:szCs w:val="20"/>
          <w:color w:val="auto"/>
        </w:rPr>
        <w:t>) or the amount of Loans of any Lender, in any case, without the written consent of such Lender;</w:t>
      </w:r>
    </w:p>
    <w:p>
      <w:pPr>
        <w:spacing w:after="0" w:line="201" w:lineRule="exact"/>
        <w:rPr>
          <w:rFonts w:ascii="Times New Roman" w:cs="Times New Roman" w:eastAsia="Times New Roman" w:hAnsi="Times New Roman"/>
          <w:sz w:val="20"/>
          <w:szCs w:val="20"/>
          <w:color w:val="auto"/>
        </w:rPr>
      </w:pPr>
    </w:p>
    <w:p>
      <w:pPr>
        <w:jc w:val="both"/>
        <w:ind w:left="60" w:firstLine="644"/>
        <w:spacing w:after="0" w:line="217" w:lineRule="auto"/>
        <w:tabs>
          <w:tab w:leader="none" w:pos="1239" w:val="left"/>
        </w:tabs>
        <w:numPr>
          <w:ilvl w:val="0"/>
          <w:numId w:val="4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waive, extend or postpone any date fixed by this Agreement or any other Loan Document for any payment or prepayment of principal (it being understood that a waiver of a mandatory prepayment under </w:t>
      </w:r>
      <w:r>
        <w:rPr>
          <w:rFonts w:ascii="Times New Roman" w:cs="Times New Roman" w:eastAsia="Times New Roman" w:hAnsi="Times New Roman"/>
          <w:sz w:val="20"/>
          <w:szCs w:val="20"/>
          <w:u w:val="single" w:color="auto"/>
          <w:color w:val="auto"/>
        </w:rPr>
        <w:t>Section 4.4(b)</w:t>
      </w:r>
      <w:r>
        <w:rPr>
          <w:rFonts w:ascii="Times New Roman" w:cs="Times New Roman" w:eastAsia="Times New Roman" w:hAnsi="Times New Roman"/>
          <w:sz w:val="20"/>
          <w:szCs w:val="20"/>
          <w:color w:val="auto"/>
        </w:rPr>
        <w:t xml:space="preserve"> shall only require the consent of the Required Term Loan Lenders), interest, fees or other amounts due to the Lenders (or any of them) hereunder or under any other Loan Document without the written consent of each Lender directly and adversely affected thereby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waiver of a mandatory prepayment under </w:t>
      </w:r>
      <w:r>
        <w:rPr>
          <w:rFonts w:ascii="Times New Roman" w:cs="Times New Roman" w:eastAsia="Times New Roman" w:hAnsi="Times New Roman"/>
          <w:sz w:val="20"/>
          <w:szCs w:val="20"/>
          <w:u w:val="single" w:color="auto"/>
          <w:color w:val="auto"/>
        </w:rPr>
        <w:t>Section 4.4(b)</w:t>
      </w:r>
      <w:r>
        <w:rPr>
          <w:rFonts w:ascii="Times New Roman" w:cs="Times New Roman" w:eastAsia="Times New Roman" w:hAnsi="Times New Roman"/>
          <w:sz w:val="20"/>
          <w:szCs w:val="20"/>
          <w:color w:val="auto"/>
        </w:rPr>
        <w:t xml:space="preserve"> shall only require the consent of Required Lenders);</w:t>
      </w:r>
    </w:p>
    <w:p>
      <w:pPr>
        <w:spacing w:after="0" w:line="256" w:lineRule="exact"/>
        <w:rPr>
          <w:rFonts w:ascii="Times New Roman" w:cs="Times New Roman" w:eastAsia="Times New Roman" w:hAnsi="Times New Roman"/>
          <w:sz w:val="20"/>
          <w:szCs w:val="20"/>
          <w:color w:val="auto"/>
        </w:rPr>
      </w:pPr>
    </w:p>
    <w:p>
      <w:pPr>
        <w:jc w:val="both"/>
        <w:ind w:left="60" w:firstLine="644"/>
        <w:spacing w:after="0" w:line="215" w:lineRule="auto"/>
        <w:tabs>
          <w:tab w:leader="none" w:pos="1236" w:val="left"/>
        </w:tabs>
        <w:numPr>
          <w:ilvl w:val="0"/>
          <w:numId w:val="4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reduce the principal of, or the rate of interest specified herein on, any Loan or Reimbursement Obligation, or (subject to clause (iv) of the proviso set forth in the paragraph below) any fees or other amounts payable hereunder or under any other Loan Document without the written consent of each Lender directly and adversely affected thereby;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only the consent of the Required Lenders shall be necessary (i) to waive any obligation of the Borrowers to pay interest at the rate set forth in </w:t>
      </w:r>
      <w:r>
        <w:rPr>
          <w:rFonts w:ascii="Times New Roman" w:cs="Times New Roman" w:eastAsia="Times New Roman" w:hAnsi="Times New Roman"/>
          <w:sz w:val="20"/>
          <w:szCs w:val="20"/>
          <w:u w:val="single" w:color="auto"/>
          <w:color w:val="auto"/>
        </w:rPr>
        <w:t>Section 5.1(b)</w:t>
      </w:r>
      <w:r>
        <w:rPr>
          <w:rFonts w:ascii="Times New Roman" w:cs="Times New Roman" w:eastAsia="Times New Roman" w:hAnsi="Times New Roman"/>
          <w:sz w:val="20"/>
          <w:szCs w:val="20"/>
          <w:color w:val="auto"/>
        </w:rPr>
        <w:t xml:space="preserve"> during the continuance of an Event of Default or (ii) to amend any financial covenant hereunder (or any defined term used therein) even if the effect of such amendment would be to reduce the rate of interest on any Loan or L/C Obligation or to reduce any fee payable hereunder;</w:t>
      </w:r>
    </w:p>
    <w:p>
      <w:pPr>
        <w:spacing w:after="0" w:line="191" w:lineRule="exact"/>
        <w:rPr>
          <w:rFonts w:ascii="Times New Roman" w:cs="Times New Roman" w:eastAsia="Times New Roman" w:hAnsi="Times New Roman"/>
          <w:sz w:val="20"/>
          <w:szCs w:val="20"/>
          <w:color w:val="auto"/>
        </w:rPr>
      </w:pPr>
    </w:p>
    <w:p>
      <w:pPr>
        <w:ind w:left="60" w:right="20" w:firstLine="644"/>
        <w:spacing w:after="0"/>
        <w:tabs>
          <w:tab w:leader="none" w:pos="1238" w:val="left"/>
        </w:tabs>
        <w:numPr>
          <w:ilvl w:val="0"/>
          <w:numId w:val="4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change </w:t>
      </w:r>
      <w:r>
        <w:rPr>
          <w:rFonts w:ascii="Times New Roman" w:cs="Times New Roman" w:eastAsia="Times New Roman" w:hAnsi="Times New Roman"/>
          <w:sz w:val="20"/>
          <w:szCs w:val="20"/>
          <w:u w:val="single" w:color="auto"/>
          <w:color w:val="auto"/>
        </w:rPr>
        <w:t>Section 5.6</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10.4</w:t>
      </w:r>
      <w:r>
        <w:rPr>
          <w:rFonts w:ascii="Times New Roman" w:cs="Times New Roman" w:eastAsia="Times New Roman" w:hAnsi="Times New Roman"/>
          <w:sz w:val="20"/>
          <w:szCs w:val="20"/>
          <w:color w:val="auto"/>
        </w:rPr>
        <w:t xml:space="preserve"> in a manner that would alter the </w:t>
      </w:r>
      <w:r>
        <w:rPr>
          <w:rFonts w:ascii="Times New Roman" w:cs="Times New Roman" w:eastAsia="Times New Roman" w:hAnsi="Times New Roman"/>
          <w:sz w:val="20"/>
          <w:szCs w:val="20"/>
          <w:u w:val="single" w:color="auto"/>
          <w:color w:val="auto"/>
        </w:rPr>
        <w:t>pro rata</w:t>
      </w:r>
      <w:r>
        <w:rPr>
          <w:rFonts w:ascii="Times New Roman" w:cs="Times New Roman" w:eastAsia="Times New Roman" w:hAnsi="Times New Roman"/>
          <w:sz w:val="20"/>
          <w:szCs w:val="20"/>
          <w:color w:val="auto"/>
        </w:rPr>
        <w:t xml:space="preserve"> sharing of payments or order of application required thereby without the written consent of each Lender directly and adversely affected thereby;</w:t>
      </w:r>
    </w:p>
    <w:p>
      <w:pPr>
        <w:spacing w:after="0" w:line="201" w:lineRule="exact"/>
        <w:rPr>
          <w:rFonts w:ascii="Times New Roman" w:cs="Times New Roman" w:eastAsia="Times New Roman" w:hAnsi="Times New Roman"/>
          <w:sz w:val="20"/>
          <w:szCs w:val="20"/>
          <w:color w:val="auto"/>
        </w:rPr>
      </w:pPr>
    </w:p>
    <w:p>
      <w:pPr>
        <w:ind w:left="60" w:firstLine="644"/>
        <w:spacing w:after="0" w:line="269" w:lineRule="auto"/>
        <w:tabs>
          <w:tab w:leader="none" w:pos="1243" w:val="left"/>
        </w:tabs>
        <w:numPr>
          <w:ilvl w:val="0"/>
          <w:numId w:val="4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change </w:t>
      </w:r>
      <w:r>
        <w:rPr>
          <w:rFonts w:ascii="Times New Roman" w:cs="Times New Roman" w:eastAsia="Times New Roman" w:hAnsi="Times New Roman"/>
          <w:sz w:val="20"/>
          <w:szCs w:val="20"/>
          <w:u w:val="single" w:color="auto"/>
          <w:color w:val="auto"/>
        </w:rPr>
        <w:t>Section 4.4(b)(v)</w:t>
      </w:r>
      <w:r>
        <w:rPr>
          <w:rFonts w:ascii="Times New Roman" w:cs="Times New Roman" w:eastAsia="Times New Roman" w:hAnsi="Times New Roman"/>
          <w:sz w:val="20"/>
          <w:szCs w:val="20"/>
          <w:color w:val="auto"/>
        </w:rPr>
        <w:t xml:space="preserve"> in a manner that would alter the order of application of amounts prepaid pursuant thereto without the written consent of each Lender directly and adversely affected thereby;</w:t>
      </w:r>
    </w:p>
    <w:p>
      <w:pPr>
        <w:spacing w:after="0" w:line="172" w:lineRule="exact"/>
        <w:rPr>
          <w:rFonts w:ascii="Times New Roman" w:cs="Times New Roman" w:eastAsia="Times New Roman" w:hAnsi="Times New Roman"/>
          <w:sz w:val="20"/>
          <w:szCs w:val="20"/>
          <w:color w:val="auto"/>
        </w:rPr>
      </w:pPr>
    </w:p>
    <w:p>
      <w:pPr>
        <w:jc w:val="both"/>
        <w:ind w:left="60" w:firstLine="644"/>
        <w:spacing w:after="0" w:line="220" w:lineRule="auto"/>
        <w:tabs>
          <w:tab w:leader="none" w:pos="1236" w:val="left"/>
        </w:tabs>
        <w:numPr>
          <w:ilvl w:val="0"/>
          <w:numId w:val="4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otherwise permitted by this </w:t>
      </w:r>
      <w:r>
        <w:rPr>
          <w:rFonts w:ascii="Times New Roman" w:cs="Times New Roman" w:eastAsia="Times New Roman" w:hAnsi="Times New Roman"/>
          <w:sz w:val="20"/>
          <w:szCs w:val="20"/>
          <w:u w:val="single" w:color="auto"/>
          <w:color w:val="auto"/>
        </w:rPr>
        <w:t>Section 12.2</w:t>
      </w:r>
      <w:r>
        <w:rPr>
          <w:rFonts w:ascii="Times New Roman" w:cs="Times New Roman" w:eastAsia="Times New Roman" w:hAnsi="Times New Roman"/>
          <w:sz w:val="20"/>
          <w:szCs w:val="20"/>
          <w:color w:val="auto"/>
        </w:rPr>
        <w:t xml:space="preserve"> change any provision of this Section or reduce the percentages specified in the definitions of “Required Lenders,” “Required Revolving Credit Lenders”, “Required Facility Lenders” or “Required Term Loan Lenders” or any other provision hereof specifying the number or percentage of Lenders required to amend, waive or otherwise modify any rights hereunder or make any determination or grant any consent hereunder, without the written consent of each Lender directly and adversely affected thereby;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FF0000"/>
          <w:strike w:val="1"/>
        </w:rPr>
        <w:t>146960219_6</w:t>
      </w: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159</w:t>
      </w:r>
      <w:r>
        <w:rPr>
          <w:sz w:val="20"/>
          <w:szCs w:val="20"/>
          <w:color w:val="auto"/>
        </w:rPr>
        <w:tab/>
      </w: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080"/>
          </w:cols>
          <w:pgMar w:left="380" w:top="1440" w:right="439" w:bottom="1440" w:gutter="0" w:footer="0" w:header="0"/>
        </w:sectPr>
      </w:pPr>
    </w:p>
    <w:bookmarkStart w:id="243" w:name="page244"/>
    <w:bookmarkEnd w:id="243"/>
    <w:p>
      <w:pPr>
        <w:ind w:left="80" w:firstLine="644"/>
        <w:spacing w:after="0" w:line="269" w:lineRule="auto"/>
        <w:tabs>
          <w:tab w:leader="none" w:pos="1256" w:val="left"/>
        </w:tabs>
        <w:numPr>
          <w:ilvl w:val="0"/>
          <w:numId w:val="4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impose any greater restriction on the ability of any Lender under any Class to assign any of its rights or obligations hereunder without the written consent of the Required Facility Lenders under such Class;</w:t>
      </w:r>
    </w:p>
    <w:p>
      <w:pPr>
        <w:spacing w:after="0" w:line="172" w:lineRule="exact"/>
        <w:rPr>
          <w:rFonts w:ascii="Times New Roman" w:cs="Times New Roman" w:eastAsia="Times New Roman" w:hAnsi="Times New Roman"/>
          <w:sz w:val="20"/>
          <w:szCs w:val="20"/>
          <w:color w:val="auto"/>
        </w:rPr>
      </w:pPr>
    </w:p>
    <w:p>
      <w:pPr>
        <w:ind w:left="80" w:right="20" w:firstLine="644"/>
        <w:spacing w:after="0"/>
        <w:tabs>
          <w:tab w:leader="none" w:pos="1266" w:val="left"/>
        </w:tabs>
        <w:numPr>
          <w:ilvl w:val="0"/>
          <w:numId w:val="4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consent to the assignment or transfer by any Credit Party of such Credit Party’s rights and obligations under any Loan Document to which it is a party (except as permitted pursuant to </w:t>
      </w:r>
      <w:r>
        <w:rPr>
          <w:rFonts w:ascii="Times New Roman" w:cs="Times New Roman" w:eastAsia="Times New Roman" w:hAnsi="Times New Roman"/>
          <w:sz w:val="20"/>
          <w:szCs w:val="20"/>
          <w:u w:val="single" w:color="auto"/>
          <w:color w:val="auto"/>
        </w:rPr>
        <w:t>Section 9.4</w:t>
      </w:r>
      <w:r>
        <w:rPr>
          <w:rFonts w:ascii="Times New Roman" w:cs="Times New Roman" w:eastAsia="Times New Roman" w:hAnsi="Times New Roman"/>
          <w:sz w:val="20"/>
          <w:szCs w:val="20"/>
          <w:color w:val="auto"/>
        </w:rPr>
        <w:t>), in each case, without the written consent of each Lender;</w:t>
      </w:r>
    </w:p>
    <w:p>
      <w:pPr>
        <w:spacing w:after="0" w:line="188" w:lineRule="exact"/>
        <w:rPr>
          <w:rFonts w:ascii="Times New Roman" w:cs="Times New Roman" w:eastAsia="Times New Roman" w:hAnsi="Times New Roman"/>
          <w:sz w:val="20"/>
          <w:szCs w:val="20"/>
          <w:color w:val="auto"/>
        </w:rPr>
      </w:pPr>
    </w:p>
    <w:p>
      <w:pPr>
        <w:jc w:val="both"/>
        <w:ind w:left="80" w:firstLine="644"/>
        <w:spacing w:after="0" w:line="226" w:lineRule="auto"/>
        <w:tabs>
          <w:tab w:leader="none" w:pos="1266" w:val="left"/>
        </w:tabs>
        <w:numPr>
          <w:ilvl w:val="0"/>
          <w:numId w:val="4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release (i) all of the Subsidiary Guarantors or (ii) Subsidiary Guarantors comprising all or substantially all of the credit support for the Secured Obligations, in any case, from any Guaranty Agreement (other than as authorized in </w:t>
      </w:r>
      <w:r>
        <w:rPr>
          <w:rFonts w:ascii="Times New Roman" w:cs="Times New Roman" w:eastAsia="Times New Roman" w:hAnsi="Times New Roman"/>
          <w:sz w:val="20"/>
          <w:szCs w:val="20"/>
          <w:u w:val="single" w:color="auto"/>
          <w:color w:val="auto"/>
        </w:rPr>
        <w:t>Section 11.9</w:t>
      </w:r>
      <w:r>
        <w:rPr>
          <w:rFonts w:ascii="Times New Roman" w:cs="Times New Roman" w:eastAsia="Times New Roman" w:hAnsi="Times New Roman"/>
          <w:sz w:val="20"/>
          <w:szCs w:val="20"/>
          <w:color w:val="auto"/>
        </w:rPr>
        <w:t>), without the written consent of each Lender;</w:t>
      </w:r>
    </w:p>
    <w:p>
      <w:pPr>
        <w:spacing w:after="0" w:line="254" w:lineRule="exact"/>
        <w:rPr>
          <w:rFonts w:ascii="Times New Roman" w:cs="Times New Roman" w:eastAsia="Times New Roman" w:hAnsi="Times New Roman"/>
          <w:sz w:val="20"/>
          <w:szCs w:val="20"/>
          <w:color w:val="auto"/>
        </w:rPr>
      </w:pPr>
    </w:p>
    <w:p>
      <w:pPr>
        <w:jc w:val="both"/>
        <w:ind w:left="80" w:firstLine="644"/>
        <w:spacing w:after="0" w:line="230" w:lineRule="auto"/>
        <w:tabs>
          <w:tab w:leader="none" w:pos="1256" w:val="left"/>
        </w:tabs>
        <w:numPr>
          <w:ilvl w:val="0"/>
          <w:numId w:val="4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release or subordinate all or substantially all of the Collateral or release or subordinate any Security Document (or any Lien created thereby) (other than as authorized in </w:t>
      </w:r>
      <w:r>
        <w:rPr>
          <w:rFonts w:ascii="Times New Roman" w:cs="Times New Roman" w:eastAsia="Times New Roman" w:hAnsi="Times New Roman"/>
          <w:sz w:val="20"/>
          <w:szCs w:val="20"/>
          <w:u w:val="single" w:color="auto"/>
          <w:color w:val="auto"/>
        </w:rPr>
        <w:t>Section 11.9</w:t>
      </w:r>
      <w:r>
        <w:rPr>
          <w:rFonts w:ascii="Times New Roman" w:cs="Times New Roman" w:eastAsia="Times New Roman" w:hAnsi="Times New Roman"/>
          <w:sz w:val="20"/>
          <w:szCs w:val="20"/>
          <w:color w:val="auto"/>
        </w:rPr>
        <w:t xml:space="preserve"> (other than </w:t>
      </w:r>
      <w:r>
        <w:rPr>
          <w:rFonts w:ascii="Times New Roman" w:cs="Times New Roman" w:eastAsia="Times New Roman" w:hAnsi="Times New Roman"/>
          <w:sz w:val="20"/>
          <w:szCs w:val="20"/>
          <w:u w:val="single" w:color="auto"/>
          <w:color w:val="auto"/>
        </w:rPr>
        <w:t>Section 11.9(a)(i)(C)</w:t>
      </w:r>
      <w:r>
        <w:rPr>
          <w:rFonts w:ascii="Times New Roman" w:cs="Times New Roman" w:eastAsia="Times New Roman" w:hAnsi="Times New Roman"/>
          <w:sz w:val="20"/>
          <w:szCs w:val="20"/>
          <w:color w:val="auto"/>
        </w:rPr>
        <w:t>) or as otherwise specifically permitted or contemplated in this Agreement or the applicable Security Document) without the written consent of each Lender;</w:t>
      </w:r>
    </w:p>
    <w:p>
      <w:pPr>
        <w:spacing w:after="0" w:line="189" w:lineRule="exact"/>
        <w:rPr>
          <w:rFonts w:ascii="Times New Roman" w:cs="Times New Roman" w:eastAsia="Times New Roman" w:hAnsi="Times New Roman"/>
          <w:sz w:val="20"/>
          <w:szCs w:val="20"/>
          <w:color w:val="auto"/>
        </w:rPr>
      </w:pPr>
    </w:p>
    <w:p>
      <w:pPr>
        <w:jc w:val="both"/>
        <w:ind w:left="80" w:firstLine="644"/>
        <w:spacing w:after="0" w:line="222" w:lineRule="auto"/>
        <w:tabs>
          <w:tab w:leader="none" w:pos="1266" w:val="left"/>
        </w:tabs>
        <w:numPr>
          <w:ilvl w:val="0"/>
          <w:numId w:val="4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amend, waive or otherwise modify any provision of </w:t>
      </w:r>
      <w:r>
        <w:rPr>
          <w:rFonts w:ascii="Times New Roman" w:cs="Times New Roman" w:eastAsia="Times New Roman" w:hAnsi="Times New Roman"/>
          <w:sz w:val="20"/>
          <w:szCs w:val="20"/>
          <w:u w:val="single" w:color="auto"/>
          <w:color w:val="auto"/>
        </w:rPr>
        <w:t>Section 9.13</w:t>
      </w:r>
      <w:r>
        <w:rPr>
          <w:rFonts w:ascii="Times New Roman" w:cs="Times New Roman" w:eastAsia="Times New Roman" w:hAnsi="Times New Roman"/>
          <w:sz w:val="20"/>
          <w:szCs w:val="20"/>
          <w:color w:val="auto"/>
        </w:rPr>
        <w:t xml:space="preserve"> (or any defined terms used therein, but only for purposes of </w:t>
      </w:r>
      <w:r>
        <w:rPr>
          <w:rFonts w:ascii="Times New Roman" w:cs="Times New Roman" w:eastAsia="Times New Roman" w:hAnsi="Times New Roman"/>
          <w:sz w:val="20"/>
          <w:szCs w:val="20"/>
          <w:u w:val="single" w:color="auto"/>
          <w:color w:val="auto"/>
        </w:rPr>
        <w:t>Section 9.13</w:t>
      </w:r>
      <w:r>
        <w:rPr>
          <w:rFonts w:ascii="Times New Roman" w:cs="Times New Roman" w:eastAsia="Times New Roman" w:hAnsi="Times New Roman"/>
          <w:sz w:val="20"/>
          <w:szCs w:val="20"/>
          <w:color w:val="auto"/>
        </w:rPr>
        <w:t xml:space="preserve"> and not for any other purposes, including, without limitation, any pro forma compliance or incurrence tests) or waive any Event of Default resulting from a breach of the financial covenants set forth in </w:t>
      </w:r>
      <w:r>
        <w:rPr>
          <w:rFonts w:ascii="Times New Roman" w:cs="Times New Roman" w:eastAsia="Times New Roman" w:hAnsi="Times New Roman"/>
          <w:sz w:val="20"/>
          <w:szCs w:val="20"/>
          <w:u w:val="single" w:color="auto"/>
          <w:color w:val="auto"/>
        </w:rPr>
        <w:t>Section 9.13</w:t>
      </w:r>
      <w:r>
        <w:rPr>
          <w:rFonts w:ascii="Times New Roman" w:cs="Times New Roman" w:eastAsia="Times New Roman" w:hAnsi="Times New Roman"/>
          <w:sz w:val="20"/>
          <w:szCs w:val="20"/>
          <w:color w:val="auto"/>
        </w:rPr>
        <w:t>, in each case without the written consent of the Required Revolving Credit Lenders; or</w:t>
      </w:r>
    </w:p>
    <w:p>
      <w:pPr>
        <w:spacing w:after="0" w:line="188" w:lineRule="exact"/>
        <w:rPr>
          <w:rFonts w:ascii="Times New Roman" w:cs="Times New Roman" w:eastAsia="Times New Roman" w:hAnsi="Times New Roman"/>
          <w:sz w:val="20"/>
          <w:szCs w:val="20"/>
          <w:color w:val="auto"/>
        </w:rPr>
      </w:pPr>
    </w:p>
    <w:p>
      <w:pPr>
        <w:jc w:val="both"/>
        <w:ind w:left="80" w:right="20" w:firstLine="644"/>
        <w:spacing w:after="0" w:line="226" w:lineRule="auto"/>
        <w:tabs>
          <w:tab w:leader="none" w:pos="1257" w:val="left"/>
        </w:tabs>
        <w:numPr>
          <w:ilvl w:val="0"/>
          <w:numId w:val="4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subordinate any of the Obligations owed to the Lenders under a particular Credit Facility in right of payment or otherwise adversely affect the priority of payment of any of such Obligations without the consent of each Lender directly and adversely affected thereby;</w:t>
      </w:r>
    </w:p>
    <w:p>
      <w:pPr>
        <w:spacing w:after="0" w:line="187" w:lineRule="exact"/>
        <w:rPr>
          <w:sz w:val="20"/>
          <w:szCs w:val="20"/>
          <w:color w:val="auto"/>
        </w:rPr>
      </w:pPr>
    </w:p>
    <w:p>
      <w:pPr>
        <w:ind w:left="80"/>
        <w:spacing w:after="0" w:line="222" w:lineRule="auto"/>
        <w:rPr>
          <w:sz w:val="20"/>
          <w:szCs w:val="20"/>
          <w:color w:val="auto"/>
        </w:rPr>
      </w:pP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that (i) no amendment, waiver or consent shall, unless in writing and signed by each affected Issuing Lender in addition to the Lenders required above, affect the rights or duties of such Issuing Lender under this Agreement or any Letter of Credit Application</w:t>
      </w:r>
    </w:p>
    <w:p>
      <w:pPr>
        <w:spacing w:after="0" w:line="2" w:lineRule="exact"/>
        <w:rPr>
          <w:sz w:val="20"/>
          <w:szCs w:val="20"/>
          <w:color w:val="auto"/>
        </w:rPr>
      </w:pPr>
    </w:p>
    <w:p>
      <w:pPr>
        <w:ind w:left="80"/>
        <w:spacing w:after="0" w:line="204" w:lineRule="auto"/>
        <w:rPr>
          <w:sz w:val="20"/>
          <w:szCs w:val="20"/>
          <w:color w:val="auto"/>
        </w:rPr>
      </w:pPr>
      <w:r>
        <w:rPr>
          <w:rFonts w:ascii="Times New Roman" w:cs="Times New Roman" w:eastAsia="Times New Roman" w:hAnsi="Times New Roman"/>
          <w:sz w:val="20"/>
          <w:szCs w:val="20"/>
          <w:color w:val="auto"/>
        </w:rPr>
        <w:t>relating to any Letter of Credit issued or to be issued by it; (ii) no amendment, waiver or consent shall, unless in writing and signed by the applicable Swingline Lender in addition to the Lenders required above, affect the rights or duties of such Swingline Lender under this</w:t>
      </w:r>
    </w:p>
    <w:p>
      <w:pPr>
        <w:ind w:left="80"/>
        <w:spacing w:after="0" w:line="211" w:lineRule="auto"/>
        <w:rPr>
          <w:sz w:val="20"/>
          <w:szCs w:val="20"/>
          <w:color w:val="auto"/>
        </w:rPr>
      </w:pPr>
      <w:r>
        <w:rPr>
          <w:rFonts w:ascii="Times New Roman" w:cs="Times New Roman" w:eastAsia="Times New Roman" w:hAnsi="Times New Roman"/>
          <w:sz w:val="20"/>
          <w:szCs w:val="20"/>
          <w:color w:val="auto"/>
        </w:rPr>
        <w:t>Agreement; (iii) no amendment, waiver or consent shall, unless in writing and signed by the Administrative Agent in addition to the</w:t>
      </w:r>
    </w:p>
    <w:p>
      <w:pPr>
        <w:spacing w:after="0" w:line="1" w:lineRule="exact"/>
        <w:rPr>
          <w:sz w:val="20"/>
          <w:szCs w:val="20"/>
          <w:color w:val="auto"/>
        </w:rPr>
      </w:pPr>
    </w:p>
    <w:p>
      <w:pPr>
        <w:ind w:left="80"/>
        <w:spacing w:after="0" w:line="204" w:lineRule="auto"/>
        <w:rPr>
          <w:sz w:val="20"/>
          <w:szCs w:val="20"/>
          <w:color w:val="auto"/>
        </w:rPr>
      </w:pPr>
      <w:r>
        <w:rPr>
          <w:rFonts w:ascii="Times New Roman" w:cs="Times New Roman" w:eastAsia="Times New Roman" w:hAnsi="Times New Roman"/>
          <w:sz w:val="20"/>
          <w:szCs w:val="20"/>
          <w:color w:val="auto"/>
        </w:rPr>
        <w:t>Lenders required above, affect the rights or duties of the Administrative Agent under this Agreement or any other Loan Document; (iv) each Fee Letter may be amended, or rights or privileges thereunder waived, in a writing executed only by the parties thereto, (v) any</w:t>
      </w:r>
    </w:p>
    <w:p>
      <w:pPr>
        <w:ind w:left="80"/>
        <w:spacing w:after="0" w:line="211" w:lineRule="auto"/>
        <w:rPr>
          <w:sz w:val="20"/>
          <w:szCs w:val="20"/>
          <w:color w:val="auto"/>
        </w:rPr>
      </w:pPr>
      <w:r>
        <w:rPr>
          <w:rFonts w:ascii="Times New Roman" w:cs="Times New Roman" w:eastAsia="Times New Roman" w:hAnsi="Times New Roman"/>
          <w:sz w:val="20"/>
          <w:szCs w:val="20"/>
          <w:color w:val="auto"/>
        </w:rPr>
        <w:t>waiver, amendment or modification of this Agreement that by its terms affects the rights or duties under this Agreement of Lenders</w:t>
      </w:r>
    </w:p>
    <w:p>
      <w:pPr>
        <w:spacing w:after="0" w:line="1" w:lineRule="exact"/>
        <w:rPr>
          <w:sz w:val="20"/>
          <w:szCs w:val="20"/>
          <w:color w:val="auto"/>
        </w:rPr>
      </w:pPr>
    </w:p>
    <w:p>
      <w:pPr>
        <w:ind w:left="80"/>
        <w:spacing w:after="0" w:line="204" w:lineRule="auto"/>
        <w:rPr>
          <w:sz w:val="20"/>
          <w:szCs w:val="20"/>
          <w:color w:val="auto"/>
        </w:rPr>
      </w:pPr>
      <w:r>
        <w:rPr>
          <w:rFonts w:ascii="Times New Roman" w:cs="Times New Roman" w:eastAsia="Times New Roman" w:hAnsi="Times New Roman"/>
          <w:sz w:val="20"/>
          <w:szCs w:val="20"/>
          <w:color w:val="auto"/>
        </w:rPr>
        <w:t>holding Loans or Commitments of a particular Class (but not the Lenders holding Loans or Commitments of any other Class) may be effected by an agreement or agreements in writing entered into by the Borrowers and the requisite percentage in interest of the affected</w:t>
      </w:r>
    </w:p>
    <w:p>
      <w:pPr>
        <w:spacing w:after="0" w:line="1" w:lineRule="exact"/>
        <w:rPr>
          <w:sz w:val="20"/>
          <w:szCs w:val="20"/>
          <w:color w:val="auto"/>
        </w:rPr>
      </w:pPr>
    </w:p>
    <w:p>
      <w:pPr>
        <w:ind w:left="80"/>
        <w:spacing w:after="0" w:line="204" w:lineRule="auto"/>
        <w:rPr>
          <w:sz w:val="20"/>
          <w:szCs w:val="20"/>
          <w:color w:val="auto"/>
        </w:rPr>
      </w:pPr>
      <w:r>
        <w:rPr>
          <w:rFonts w:ascii="Times New Roman" w:cs="Times New Roman" w:eastAsia="Times New Roman" w:hAnsi="Times New Roman"/>
          <w:sz w:val="20"/>
          <w:szCs w:val="20"/>
          <w:color w:val="auto"/>
        </w:rPr>
        <w:t>Class of Lenders that would be required to consent thereto under this Section if such Class of Lenders were the only Class of Lenders hereunder at the time, (vi) each Letter of Credit Application may be amended, or rights or privileges thereunder waived, in a writing</w:t>
      </w:r>
    </w:p>
    <w:p>
      <w:pPr>
        <w:ind w:left="80"/>
        <w:spacing w:after="0" w:line="223" w:lineRule="auto"/>
        <w:rPr>
          <w:sz w:val="20"/>
          <w:szCs w:val="20"/>
          <w:color w:val="auto"/>
        </w:rPr>
      </w:pPr>
      <w:r>
        <w:rPr>
          <w:rFonts w:ascii="Times New Roman" w:cs="Times New Roman" w:eastAsia="Times New Roman" w:hAnsi="Times New Roman"/>
          <w:sz w:val="19"/>
          <w:szCs w:val="19"/>
          <w:color w:val="auto"/>
        </w:rPr>
        <w:t xml:space="preserve">executed only by the parties thereto;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 copy of such amended Letter of Credit Application shall be promptly delivered to the</w:t>
      </w:r>
    </w:p>
    <w:p>
      <w:pPr>
        <w:ind w:left="80"/>
        <w:spacing w:after="0" w:line="215" w:lineRule="auto"/>
        <w:rPr>
          <w:sz w:val="20"/>
          <w:szCs w:val="20"/>
          <w:color w:val="auto"/>
        </w:rPr>
      </w:pPr>
      <w:r>
        <w:rPr>
          <w:rFonts w:ascii="Times New Roman" w:cs="Times New Roman" w:eastAsia="Times New Roman" w:hAnsi="Times New Roman"/>
          <w:sz w:val="19"/>
          <w:szCs w:val="19"/>
          <w:color w:val="auto"/>
        </w:rPr>
        <w:t>Administrative Agent upon such amendment or waiver, (vii) the Administrative Agent and the Borrowers shall be permitted to amend any provision of the Loan Documents (and such amendment shall become effective without any further action or consent of any other party to</w:t>
      </w:r>
    </w:p>
    <w:p>
      <w:pPr>
        <w:ind w:left="80"/>
        <w:spacing w:after="0" w:line="222" w:lineRule="auto"/>
        <w:rPr>
          <w:sz w:val="20"/>
          <w:szCs w:val="20"/>
          <w:color w:val="auto"/>
        </w:rPr>
      </w:pPr>
      <w:r>
        <w:rPr>
          <w:rFonts w:ascii="Times New Roman" w:cs="Times New Roman" w:eastAsia="Times New Roman" w:hAnsi="Times New Roman"/>
          <w:sz w:val="19"/>
          <w:szCs w:val="19"/>
          <w:color w:val="auto"/>
        </w:rPr>
        <w:t>any Loan Document) if the Administrative Agent and the Borrowers shall have jointly identified an obvious error or any error, ambiguity,</w:t>
      </w:r>
    </w:p>
    <w:p>
      <w:pPr>
        <w:ind w:left="80"/>
        <w:spacing w:after="0" w:line="221" w:lineRule="auto"/>
        <w:rPr>
          <w:sz w:val="20"/>
          <w:szCs w:val="20"/>
          <w:color w:val="auto"/>
        </w:rPr>
      </w:pPr>
      <w:r>
        <w:rPr>
          <w:rFonts w:ascii="Times New Roman" w:cs="Times New Roman" w:eastAsia="Times New Roman" w:hAnsi="Times New Roman"/>
          <w:sz w:val="20"/>
          <w:szCs w:val="20"/>
          <w:color w:val="auto"/>
        </w:rPr>
        <w:t>defect or inconsistency, or omission of a technical or immaterial nature in any such provision; (viii) the Administrative Agent (and, if applicable, the Borrowers) may, without the consent of any Lender, enter into amendments or modifications to this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FF0000"/>
          <w:strike w:val="1"/>
        </w:rPr>
        <w:t>146960219_6</w:t>
      </w:r>
    </w:p>
    <w:p>
      <w:pPr>
        <w:spacing w:after="0"/>
        <w:rPr>
          <w:sz w:val="20"/>
          <w:szCs w:val="20"/>
          <w:color w:val="auto"/>
        </w:rPr>
      </w:pPr>
      <w:r>
        <w:rPr>
          <w:rFonts w:ascii="Times New Roman" w:cs="Times New Roman" w:eastAsia="Times New Roman" w:hAnsi="Times New Roman"/>
          <w:sz w:val="20"/>
          <w:szCs w:val="20"/>
          <w:color w:val="auto"/>
        </w:rPr>
        <w:t xml:space="preserve">160  </w:t>
      </w: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100"/>
          </w:cols>
          <w:pgMar w:left="360" w:top="1413" w:right="439" w:bottom="1440" w:gutter="0" w:footer="0" w:header="0"/>
        </w:sectPr>
      </w:pPr>
    </w:p>
    <w:bookmarkStart w:id="244" w:name="page245"/>
    <w:bookmarkEnd w:id="244"/>
    <w:p>
      <w:pPr>
        <w:ind w:left="40"/>
        <w:spacing w:after="0"/>
        <w:rPr>
          <w:sz w:val="20"/>
          <w:szCs w:val="20"/>
          <w:color w:val="auto"/>
        </w:rPr>
      </w:pPr>
      <w:r>
        <w:rPr>
          <w:rFonts w:ascii="Times New Roman" w:cs="Times New Roman" w:eastAsia="Times New Roman" w:hAnsi="Times New Roman"/>
          <w:sz w:val="20"/>
          <w:szCs w:val="20"/>
          <w:color w:val="auto"/>
        </w:rPr>
        <w:t>Agreement or any of the other Loan Documents or to enter into additional Loan Documents in order to implement any Benchmark</w:t>
      </w:r>
    </w:p>
    <w:p>
      <w:pPr>
        <w:ind w:left="40"/>
        <w:spacing w:after="0" w:line="215" w:lineRule="auto"/>
        <w:rPr>
          <w:sz w:val="20"/>
          <w:szCs w:val="20"/>
          <w:color w:val="auto"/>
        </w:rPr>
      </w:pPr>
      <w:r>
        <w:rPr>
          <w:rFonts w:ascii="Times New Roman" w:cs="Times New Roman" w:eastAsia="Times New Roman" w:hAnsi="Times New Roman"/>
          <w:sz w:val="19"/>
          <w:szCs w:val="19"/>
          <w:color w:val="auto"/>
        </w:rPr>
        <w:t xml:space="preserve">Replacement or any Benchmark Replacement Conforming Changes or otherwise effectuate the terms of </w:t>
      </w:r>
      <w:r>
        <w:rPr>
          <w:rFonts w:ascii="Times New Roman" w:cs="Times New Roman" w:eastAsia="Times New Roman" w:hAnsi="Times New Roman"/>
          <w:sz w:val="19"/>
          <w:szCs w:val="19"/>
          <w:u w:val="single" w:color="auto"/>
          <w:color w:val="auto"/>
        </w:rPr>
        <w:t>Section 5.8(c)</w:t>
      </w:r>
      <w:r>
        <w:rPr>
          <w:rFonts w:ascii="Times New Roman" w:cs="Times New Roman" w:eastAsia="Times New Roman" w:hAnsi="Times New Roman"/>
          <w:sz w:val="19"/>
          <w:szCs w:val="19"/>
          <w:color w:val="auto"/>
        </w:rPr>
        <w:t xml:space="preserve"> in accordance with the terms of </w:t>
      </w:r>
      <w:r>
        <w:rPr>
          <w:rFonts w:ascii="Times New Roman" w:cs="Times New Roman" w:eastAsia="Times New Roman" w:hAnsi="Times New Roman"/>
          <w:sz w:val="19"/>
          <w:szCs w:val="19"/>
          <w:u w:val="single" w:color="auto"/>
          <w:color w:val="auto"/>
        </w:rPr>
        <w:t>Section 5.8(c)</w:t>
      </w:r>
      <w:r>
        <w:rPr>
          <w:rFonts w:ascii="Times New Roman" w:cs="Times New Roman" w:eastAsia="Times New Roman" w:hAnsi="Times New Roman"/>
          <w:sz w:val="19"/>
          <w:szCs w:val="19"/>
          <w:color w:val="auto"/>
        </w:rPr>
        <w:t>; and (ix) the Required Revolving Credit Lenders may (x) amend or otherwise modify the financial covenants</w:t>
      </w:r>
    </w:p>
    <w:p>
      <w:pPr>
        <w:ind w:left="40"/>
        <w:spacing w:after="0" w:line="211" w:lineRule="auto"/>
        <w:rPr>
          <w:sz w:val="20"/>
          <w:szCs w:val="20"/>
          <w:color w:val="auto"/>
        </w:rPr>
      </w:pPr>
      <w:r>
        <w:rPr>
          <w:rFonts w:ascii="Times New Roman" w:cs="Times New Roman" w:eastAsia="Times New Roman" w:hAnsi="Times New Roman"/>
          <w:sz w:val="20"/>
          <w:szCs w:val="20"/>
          <w:color w:val="auto"/>
        </w:rPr>
        <w:t xml:space="preserve">set forth in </w:t>
      </w:r>
      <w:r>
        <w:rPr>
          <w:rFonts w:ascii="Times New Roman" w:cs="Times New Roman" w:eastAsia="Times New Roman" w:hAnsi="Times New Roman"/>
          <w:sz w:val="20"/>
          <w:szCs w:val="20"/>
          <w:u w:val="single" w:color="auto"/>
          <w:color w:val="auto"/>
        </w:rPr>
        <w:t>Section 9.13</w:t>
      </w:r>
      <w:r>
        <w:rPr>
          <w:rFonts w:ascii="Times New Roman" w:cs="Times New Roman" w:eastAsia="Times New Roman" w:hAnsi="Times New Roman"/>
          <w:sz w:val="20"/>
          <w:szCs w:val="20"/>
          <w:color w:val="auto"/>
        </w:rPr>
        <w:t xml:space="preserve"> or, solely for purposes of such financial covenants, the defined terms used, directly or indirectly, therein, or (y)</w:t>
      </w:r>
    </w:p>
    <w:p>
      <w:pPr>
        <w:ind w:left="40" w:right="20"/>
        <w:spacing w:after="0" w:line="204" w:lineRule="auto"/>
        <w:rPr>
          <w:sz w:val="20"/>
          <w:szCs w:val="20"/>
          <w:color w:val="auto"/>
        </w:rPr>
      </w:pPr>
      <w:r>
        <w:rPr>
          <w:rFonts w:ascii="Times New Roman" w:cs="Times New Roman" w:eastAsia="Times New Roman" w:hAnsi="Times New Roman"/>
          <w:sz w:val="20"/>
          <w:szCs w:val="20"/>
          <w:color w:val="auto"/>
        </w:rPr>
        <w:t xml:space="preserve">waive any noncompliance with the financial covenants set forth in </w:t>
      </w:r>
      <w:r>
        <w:rPr>
          <w:rFonts w:ascii="Times New Roman" w:cs="Times New Roman" w:eastAsia="Times New Roman" w:hAnsi="Times New Roman"/>
          <w:sz w:val="20"/>
          <w:szCs w:val="20"/>
          <w:u w:val="single" w:color="auto"/>
          <w:color w:val="auto"/>
        </w:rPr>
        <w:t>Section 9.13</w:t>
      </w:r>
      <w:r>
        <w:rPr>
          <w:rFonts w:ascii="Times New Roman" w:cs="Times New Roman" w:eastAsia="Times New Roman" w:hAnsi="Times New Roman"/>
          <w:sz w:val="20"/>
          <w:szCs w:val="20"/>
          <w:color w:val="auto"/>
        </w:rPr>
        <w:t xml:space="preserve"> or any Event of Default resulting from any such noncompliance, in each case without the consent of any other Lenders. Notwithstanding anything to the contrary herein, no Defaulting</w:t>
      </w:r>
    </w:p>
    <w:p>
      <w:pPr>
        <w:ind w:left="40"/>
        <w:spacing w:after="0" w:line="211" w:lineRule="auto"/>
        <w:rPr>
          <w:sz w:val="20"/>
          <w:szCs w:val="20"/>
          <w:color w:val="auto"/>
        </w:rPr>
      </w:pPr>
      <w:r>
        <w:rPr>
          <w:rFonts w:ascii="Times New Roman" w:cs="Times New Roman" w:eastAsia="Times New Roman" w:hAnsi="Times New Roman"/>
          <w:sz w:val="20"/>
          <w:szCs w:val="20"/>
          <w:color w:val="auto"/>
        </w:rPr>
        <w:t>Lender shall have any right to approve or disapprove any amendment, waiver or consent hereunder, except that (A) the Revolving Credit</w:t>
      </w:r>
    </w:p>
    <w:p>
      <w:pPr>
        <w:spacing w:after="0" w:line="1" w:lineRule="exact"/>
        <w:rPr>
          <w:sz w:val="20"/>
          <w:szCs w:val="20"/>
          <w:color w:val="auto"/>
        </w:rPr>
      </w:pPr>
    </w:p>
    <w:p>
      <w:pPr>
        <w:ind w:left="40"/>
        <w:spacing w:after="0" w:line="204" w:lineRule="auto"/>
        <w:rPr>
          <w:sz w:val="20"/>
          <w:szCs w:val="20"/>
          <w:color w:val="auto"/>
        </w:rPr>
      </w:pPr>
      <w:r>
        <w:rPr>
          <w:rFonts w:ascii="Times New Roman" w:cs="Times New Roman" w:eastAsia="Times New Roman" w:hAnsi="Times New Roman"/>
          <w:sz w:val="20"/>
          <w:szCs w:val="20"/>
          <w:color w:val="auto"/>
        </w:rPr>
        <w:t>Commitment of such Lender may not be increased or extended without the consent of such Lender, and (B) any amendment, waiver or consent hereunder which requires the consent of all Lenders or each affected Lenders that by its terms disproportionately and adversely</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affects any such Defaulting Lender relative to other affected Lenders shall require the consent of such Defaulting Lender.</w:t>
      </w:r>
    </w:p>
    <w:p>
      <w:pPr>
        <w:spacing w:after="0" w:line="1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Notwithstanding anything in this Agreement to the contrary, each Lender hereby irrevocably authorizes the Administrative Agent on its</w:t>
      </w:r>
    </w:p>
    <w:p>
      <w:pPr>
        <w:ind w:left="40"/>
        <w:spacing w:after="0" w:line="204" w:lineRule="auto"/>
        <w:rPr>
          <w:sz w:val="20"/>
          <w:szCs w:val="20"/>
          <w:color w:val="auto"/>
        </w:rPr>
      </w:pPr>
      <w:r>
        <w:rPr>
          <w:rFonts w:ascii="Times New Roman" w:cs="Times New Roman" w:eastAsia="Times New Roman" w:hAnsi="Times New Roman"/>
          <w:sz w:val="20"/>
          <w:szCs w:val="20"/>
          <w:color w:val="auto"/>
        </w:rPr>
        <w:t xml:space="preserve">behalf, and without further consent, to enter into amendments or modifications to this Agreement (including, without limitation, amendments to this </w:t>
      </w:r>
      <w:r>
        <w:rPr>
          <w:rFonts w:ascii="Times New Roman" w:cs="Times New Roman" w:eastAsia="Times New Roman" w:hAnsi="Times New Roman"/>
          <w:sz w:val="20"/>
          <w:szCs w:val="20"/>
          <w:u w:val="single" w:color="auto"/>
          <w:color w:val="auto"/>
        </w:rPr>
        <w:t>Section 12.2</w:t>
      </w:r>
      <w:r>
        <w:rPr>
          <w:rFonts w:ascii="Times New Roman" w:cs="Times New Roman" w:eastAsia="Times New Roman" w:hAnsi="Times New Roman"/>
          <w:sz w:val="20"/>
          <w:szCs w:val="20"/>
          <w:color w:val="auto"/>
        </w:rPr>
        <w:t>) or any of the other Loan Documents or enter into additional Loan Documents as the Administrative</w:t>
      </w:r>
    </w:p>
    <w:p>
      <w:pPr>
        <w:ind w:left="40"/>
        <w:spacing w:after="0" w:line="211" w:lineRule="auto"/>
        <w:rPr>
          <w:sz w:val="20"/>
          <w:szCs w:val="20"/>
          <w:color w:val="auto"/>
        </w:rPr>
      </w:pPr>
      <w:r>
        <w:rPr>
          <w:rFonts w:ascii="Times New Roman" w:cs="Times New Roman" w:eastAsia="Times New Roman" w:hAnsi="Times New Roman"/>
          <w:sz w:val="20"/>
          <w:szCs w:val="20"/>
          <w:color w:val="auto"/>
        </w:rPr>
        <w:t xml:space="preserve">Agent reasonably deems appropriate in order to effectuate the terms of </w:t>
      </w:r>
      <w:r>
        <w:rPr>
          <w:rFonts w:ascii="Times New Roman" w:cs="Times New Roman" w:eastAsia="Times New Roman" w:hAnsi="Times New Roman"/>
          <w:sz w:val="20"/>
          <w:szCs w:val="20"/>
          <w:u w:val="single" w:color="auto"/>
          <w:color w:val="auto"/>
        </w:rPr>
        <w:t>Section 5.13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5.18</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5.19</w:t>
      </w:r>
      <w:r>
        <w:rPr>
          <w:rFonts w:ascii="Times New Roman" w:cs="Times New Roman" w:eastAsia="Times New Roman" w:hAnsi="Times New Roman"/>
          <w:sz w:val="20"/>
          <w:szCs w:val="20"/>
          <w:color w:val="auto"/>
        </w:rPr>
        <w:t xml:space="preserve"> (including, without limitation, as</w:t>
      </w:r>
    </w:p>
    <w:p>
      <w:pPr>
        <w:spacing w:after="0" w:line="1" w:lineRule="exact"/>
        <w:rPr>
          <w:sz w:val="20"/>
          <w:szCs w:val="20"/>
          <w:color w:val="auto"/>
        </w:rPr>
      </w:pPr>
    </w:p>
    <w:p>
      <w:pPr>
        <w:ind w:left="40"/>
        <w:spacing w:after="0" w:line="215" w:lineRule="auto"/>
        <w:rPr>
          <w:sz w:val="20"/>
          <w:szCs w:val="20"/>
          <w:color w:val="auto"/>
        </w:rPr>
      </w:pPr>
      <w:r>
        <w:rPr>
          <w:rFonts w:ascii="Times New Roman" w:cs="Times New Roman" w:eastAsia="Times New Roman" w:hAnsi="Times New Roman"/>
          <w:sz w:val="19"/>
          <w:szCs w:val="19"/>
          <w:color w:val="auto"/>
        </w:rPr>
        <w:t>applicable, (1) to permit the Incremental Term Loans, Extended Term Loans, Incremental Revolving Credit Facility Increases, extended Revolving Credit Commitments or Extended Revolving Credit Loans, as applicable, to share ratably in the benefits of this Agreement and</w:t>
      </w:r>
    </w:p>
    <w:p>
      <w:pPr>
        <w:ind w:left="40"/>
        <w:spacing w:after="0" w:line="222" w:lineRule="auto"/>
        <w:rPr>
          <w:sz w:val="20"/>
          <w:szCs w:val="20"/>
          <w:color w:val="auto"/>
        </w:rPr>
      </w:pPr>
      <w:r>
        <w:rPr>
          <w:rFonts w:ascii="Times New Roman" w:cs="Times New Roman" w:eastAsia="Times New Roman" w:hAnsi="Times New Roman"/>
          <w:sz w:val="19"/>
          <w:szCs w:val="19"/>
          <w:color w:val="auto"/>
        </w:rPr>
        <w:t>the other Loan Documents, (2) to include the Incremental Term Loan Commitments, the Incremental Revolving Credit Facility Increase or</w:t>
      </w:r>
    </w:p>
    <w:p>
      <w:pPr>
        <w:ind w:left="40"/>
        <w:spacing w:after="0" w:line="204" w:lineRule="auto"/>
        <w:rPr>
          <w:sz w:val="20"/>
          <w:szCs w:val="20"/>
          <w:color w:val="auto"/>
        </w:rPr>
      </w:pPr>
      <w:r>
        <w:rPr>
          <w:rFonts w:ascii="Times New Roman" w:cs="Times New Roman" w:eastAsia="Times New Roman" w:hAnsi="Times New Roman"/>
          <w:sz w:val="20"/>
          <w:szCs w:val="20"/>
          <w:color w:val="auto"/>
        </w:rPr>
        <w:t>the Extended Revolving Credit Commitments, as applicable, or outstanding Incremental Term Loans, outstanding Incremental Revolving Credit Facility Increase, outstanding Extended Revolving Credit Loans or outstanding Extended Term Loans, as applicable, in any</w:t>
      </w:r>
    </w:p>
    <w:p>
      <w:pPr>
        <w:ind w:left="40"/>
        <w:spacing w:after="0" w:line="223" w:lineRule="auto"/>
        <w:rPr>
          <w:sz w:val="20"/>
          <w:szCs w:val="20"/>
          <w:color w:val="auto"/>
        </w:rPr>
      </w:pPr>
      <w:r>
        <w:rPr>
          <w:rFonts w:ascii="Times New Roman" w:cs="Times New Roman" w:eastAsia="Times New Roman" w:hAnsi="Times New Roman"/>
          <w:sz w:val="19"/>
          <w:szCs w:val="19"/>
          <w:color w:val="auto"/>
        </w:rPr>
        <w:t>determination of (i) Required Lenders or Required Revolving Credit Lenders, as applicable or (ii) similar required lender terms applicable</w:t>
      </w:r>
    </w:p>
    <w:p>
      <w:pPr>
        <w:ind w:left="40"/>
        <w:spacing w:after="0" w:line="215" w:lineRule="auto"/>
        <w:rPr>
          <w:sz w:val="20"/>
          <w:szCs w:val="20"/>
          <w:color w:val="auto"/>
        </w:rPr>
      </w:pPr>
      <w:r>
        <w:rPr>
          <w:rFonts w:ascii="Times New Roman" w:cs="Times New Roman" w:eastAsia="Times New Roman" w:hAnsi="Times New Roman"/>
          <w:sz w:val="19"/>
          <w:szCs w:val="19"/>
          <w:color w:val="auto"/>
        </w:rPr>
        <w:t xml:space="preserve">thereto);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 amendment or modification shall result in any increase in the amount of any Lender’s Commitment or any increase in any Lender’s Commitment Percentage, in each case, without the written consent of such affected Lender, (3) amend and restate</w:t>
      </w:r>
    </w:p>
    <w:p>
      <w:pPr>
        <w:ind w:left="40"/>
        <w:spacing w:after="0" w:line="211" w:lineRule="auto"/>
        <w:rPr>
          <w:sz w:val="20"/>
          <w:szCs w:val="20"/>
          <w:color w:val="auto"/>
        </w:rPr>
      </w:pPr>
      <w:r>
        <w:rPr>
          <w:rFonts w:ascii="Times New Roman" w:cs="Times New Roman" w:eastAsia="Times New Roman" w:hAnsi="Times New Roman"/>
          <w:sz w:val="20"/>
          <w:szCs w:val="20"/>
          <w:color w:val="auto"/>
        </w:rPr>
        <w:t>this Agreement if, upon giving effect to such amendment and restatement, such Lender shall no longer be a party to this Agreement (as so</w:t>
      </w:r>
    </w:p>
    <w:p>
      <w:pPr>
        <w:ind w:left="40"/>
        <w:spacing w:after="0" w:line="204" w:lineRule="auto"/>
        <w:rPr>
          <w:sz w:val="20"/>
          <w:szCs w:val="20"/>
          <w:color w:val="auto"/>
        </w:rPr>
      </w:pPr>
      <w:r>
        <w:rPr>
          <w:rFonts w:ascii="Times New Roman" w:cs="Times New Roman" w:eastAsia="Times New Roman" w:hAnsi="Times New Roman"/>
          <w:sz w:val="20"/>
          <w:szCs w:val="20"/>
          <w:color w:val="auto"/>
        </w:rPr>
        <w:t>amended and restated), the Commitments of such Lender shall have terminated, such Lender shall have no other commitment or other obligation hereunder and shall have been paid in full all principal, interest and other amounts owing to it or accrued for its account under</w:t>
      </w:r>
    </w:p>
    <w:p>
      <w:pPr>
        <w:ind w:left="40"/>
        <w:spacing w:after="0" w:line="211" w:lineRule="auto"/>
        <w:rPr>
          <w:sz w:val="20"/>
          <w:szCs w:val="20"/>
          <w:color w:val="auto"/>
        </w:rPr>
      </w:pPr>
      <w:r>
        <w:rPr>
          <w:rFonts w:ascii="Times New Roman" w:cs="Times New Roman" w:eastAsia="Times New Roman" w:hAnsi="Times New Roman"/>
          <w:sz w:val="20"/>
          <w:szCs w:val="20"/>
          <w:color w:val="auto"/>
        </w:rPr>
        <w:t>this Agreement and the other Loan Documents and (4) to make amendments to any outstanding tranche of Term Loans to permit any</w:t>
      </w:r>
    </w:p>
    <w:p>
      <w:pPr>
        <w:spacing w:after="0" w:line="1" w:lineRule="exact"/>
        <w:rPr>
          <w:sz w:val="20"/>
          <w:szCs w:val="20"/>
          <w:color w:val="auto"/>
        </w:rPr>
      </w:pPr>
    </w:p>
    <w:p>
      <w:pPr>
        <w:ind w:left="40"/>
        <w:spacing w:after="0" w:line="204" w:lineRule="auto"/>
        <w:rPr>
          <w:sz w:val="20"/>
          <w:szCs w:val="20"/>
          <w:color w:val="auto"/>
        </w:rPr>
      </w:pPr>
      <w:r>
        <w:rPr>
          <w:rFonts w:ascii="Times New Roman" w:cs="Times New Roman" w:eastAsia="Times New Roman" w:hAnsi="Times New Roman"/>
          <w:sz w:val="20"/>
          <w:szCs w:val="20"/>
          <w:color w:val="auto"/>
        </w:rPr>
        <w:t>Incremental Term Loans or Commitments relating thereto to be “fungible” (including, without limitation, for purposes of the Code) with such tranche of Term Loans, including, without limitation, increases in the Applicable Margin or any fees payable to such outstanding</w:t>
      </w:r>
    </w:p>
    <w:p>
      <w:pPr>
        <w:ind w:left="40"/>
        <w:spacing w:after="0" w:line="211" w:lineRule="auto"/>
        <w:rPr>
          <w:sz w:val="20"/>
          <w:szCs w:val="20"/>
          <w:color w:val="auto"/>
        </w:rPr>
      </w:pPr>
      <w:r>
        <w:rPr>
          <w:rFonts w:ascii="Times New Roman" w:cs="Times New Roman" w:eastAsia="Times New Roman" w:hAnsi="Times New Roman"/>
          <w:sz w:val="20"/>
          <w:szCs w:val="20"/>
          <w:color w:val="auto"/>
        </w:rPr>
        <w:t>tranche of Term Loans or providing such outstanding tranche of Term Loans with the benefit of any call protection or covenants that are</w:t>
      </w:r>
    </w:p>
    <w:p>
      <w:pPr>
        <w:spacing w:after="0" w:line="1" w:lineRule="exact"/>
        <w:rPr>
          <w:sz w:val="20"/>
          <w:szCs w:val="20"/>
          <w:color w:val="auto"/>
        </w:rPr>
      </w:pPr>
    </w:p>
    <w:p>
      <w:pPr>
        <w:ind w:left="40"/>
        <w:spacing w:after="0" w:line="215" w:lineRule="auto"/>
        <w:rPr>
          <w:sz w:val="20"/>
          <w:szCs w:val="20"/>
          <w:color w:val="auto"/>
        </w:rPr>
      </w:pPr>
      <w:r>
        <w:rPr>
          <w:rFonts w:ascii="Times New Roman" w:cs="Times New Roman" w:eastAsia="Times New Roman" w:hAnsi="Times New Roman"/>
          <w:sz w:val="19"/>
          <w:szCs w:val="19"/>
          <w:color w:val="auto"/>
        </w:rPr>
        <w:t xml:space="preserve">applicable to the proposed Incremental Term Loans or Commitments relating thereto;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any such amendments or modifications to such outstanding tranche of Term Loans shall not directly adversely affect the Lenders holding such tranche of Term Loans without their</w:t>
      </w:r>
    </w:p>
    <w:p>
      <w:pPr>
        <w:ind w:left="40"/>
        <w:spacing w:after="0"/>
        <w:rPr>
          <w:sz w:val="20"/>
          <w:szCs w:val="20"/>
          <w:color w:val="auto"/>
        </w:rPr>
      </w:pPr>
      <w:r>
        <w:rPr>
          <w:rFonts w:ascii="Times New Roman" w:cs="Times New Roman" w:eastAsia="Times New Roman" w:hAnsi="Times New Roman"/>
          <w:sz w:val="20"/>
          <w:szCs w:val="20"/>
          <w:color w:val="auto"/>
        </w:rPr>
        <w:t>consent.</w:t>
      </w:r>
    </w:p>
    <w:p>
      <w:pPr>
        <w:spacing w:after="0" w:line="194" w:lineRule="exact"/>
        <w:rPr>
          <w:sz w:val="20"/>
          <w:szCs w:val="20"/>
          <w:color w:val="auto"/>
        </w:rPr>
      </w:pPr>
    </w:p>
    <w:p>
      <w:pPr>
        <w:ind w:left="680"/>
        <w:spacing w:after="0"/>
        <w:tabs>
          <w:tab w:leader="none" w:pos="2100" w:val="left"/>
        </w:tabs>
        <w:rPr>
          <w:sz w:val="20"/>
          <w:szCs w:val="20"/>
          <w:color w:val="auto"/>
        </w:rPr>
      </w:pPr>
      <w:r>
        <w:rPr>
          <w:rFonts w:ascii="Times New Roman" w:cs="Times New Roman" w:eastAsia="Times New Roman" w:hAnsi="Times New Roman"/>
          <w:sz w:val="20"/>
          <w:szCs w:val="20"/>
          <w:color w:val="auto"/>
        </w:rPr>
        <w:t>SECTION 12.3</w:t>
      </w:r>
      <w:r>
        <w:rPr>
          <w:sz w:val="20"/>
          <w:szCs w:val="20"/>
          <w:color w:val="auto"/>
        </w:rPr>
        <w:tab/>
      </w:r>
      <w:r>
        <w:rPr>
          <w:rFonts w:ascii="Times New Roman" w:cs="Times New Roman" w:eastAsia="Times New Roman" w:hAnsi="Times New Roman"/>
          <w:sz w:val="19"/>
          <w:szCs w:val="19"/>
          <w:u w:val="single" w:color="auto"/>
          <w:color w:val="auto"/>
        </w:rPr>
        <w:t>Expenses; Indemnity</w:t>
      </w:r>
      <w:r>
        <w:rPr>
          <w:rFonts w:ascii="Times New Roman" w:cs="Times New Roman" w:eastAsia="Times New Roman" w:hAnsi="Times New Roman"/>
          <w:sz w:val="19"/>
          <w:szCs w:val="19"/>
          <w:color w:val="auto"/>
        </w:rPr>
        <w:t>.</w:t>
      </w:r>
    </w:p>
    <w:p>
      <w:pPr>
        <w:spacing w:after="0" w:line="283" w:lineRule="exact"/>
        <w:rPr>
          <w:sz w:val="20"/>
          <w:szCs w:val="20"/>
          <w:color w:val="auto"/>
        </w:rPr>
      </w:pPr>
    </w:p>
    <w:p>
      <w:pPr>
        <w:jc w:val="both"/>
        <w:ind w:left="40" w:firstLine="646"/>
        <w:spacing w:after="0" w:line="222" w:lineRule="auto"/>
        <w:tabs>
          <w:tab w:leader="none" w:pos="1245" w:val="left"/>
        </w:tabs>
        <w:numPr>
          <w:ilvl w:val="0"/>
          <w:numId w:val="4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Costs and Expenses</w:t>
      </w:r>
      <w:r>
        <w:rPr>
          <w:rFonts w:ascii="Times New Roman" w:cs="Times New Roman" w:eastAsia="Times New Roman" w:hAnsi="Times New Roman"/>
          <w:sz w:val="20"/>
          <w:szCs w:val="20"/>
          <w:color w:val="auto"/>
        </w:rPr>
        <w:t>. The Borrowers shall pay, (i) all reasonable out of pocket expenses incurred by the Administrative Agent and its Affiliates (including the reasonable fees, charges and disbursements of counsel for the Administrative Agent), the preparation, negotiation, execution, delivery and administration of this Agreement and the other Loan Documents or any amendments, modifications or waivers of the provisions hereof or thereof (whether or not the transactions contemplated hereby or thereby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FF0000"/>
          <w:strike w:val="1"/>
        </w:rPr>
        <w:t>146960219_6</w:t>
      </w: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161</w:t>
      </w:r>
      <w:r>
        <w:rPr>
          <w:sz w:val="20"/>
          <w:szCs w:val="20"/>
          <w:color w:val="auto"/>
        </w:rPr>
        <w:tab/>
      </w: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080"/>
          </w:cols>
          <w:pgMar w:left="380" w:top="1394" w:right="439" w:bottom="1440" w:gutter="0" w:footer="0" w:header="0"/>
        </w:sectPr>
      </w:pPr>
    </w:p>
    <w:bookmarkStart w:id="245" w:name="page246"/>
    <w:bookmarkEnd w:id="245"/>
    <w:p>
      <w:pPr>
        <w:spacing w:after="0" w:line="1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shall be consummated), (ii) all reasonable out of pocket expenses incurred by any Issuing Lender in connection with the issuance,</w:t>
      </w:r>
    </w:p>
    <w:p>
      <w:pPr>
        <w:ind w:left="40"/>
        <w:spacing w:after="0" w:line="204" w:lineRule="auto"/>
        <w:rPr>
          <w:sz w:val="20"/>
          <w:szCs w:val="20"/>
          <w:color w:val="auto"/>
        </w:rPr>
      </w:pPr>
      <w:r>
        <w:rPr>
          <w:rFonts w:ascii="Times New Roman" w:cs="Times New Roman" w:eastAsia="Times New Roman" w:hAnsi="Times New Roman"/>
          <w:sz w:val="20"/>
          <w:szCs w:val="20"/>
          <w:color w:val="auto"/>
        </w:rPr>
        <w:t>amendment, renewal or extension of any Letter of Credit or any demand for payment thereunder and (iii) all reasonable out of pocket expenses incurred by the Administrative Agent, any Lender or any Issuing Lender (including the reasonable fees, charges and</w:t>
      </w:r>
    </w:p>
    <w:p>
      <w:pPr>
        <w:ind w:left="40"/>
        <w:spacing w:after="0" w:line="211" w:lineRule="auto"/>
        <w:rPr>
          <w:sz w:val="20"/>
          <w:szCs w:val="20"/>
          <w:color w:val="auto"/>
        </w:rPr>
      </w:pPr>
      <w:r>
        <w:rPr>
          <w:rFonts w:ascii="Times New Roman" w:cs="Times New Roman" w:eastAsia="Times New Roman" w:hAnsi="Times New Roman"/>
          <w:sz w:val="20"/>
          <w:szCs w:val="20"/>
          <w:color w:val="auto"/>
        </w:rPr>
        <w:t>disbursements of any counsel for the Administrative Agent, any Lender or any Issuing Lender) in connection with the enforcement or</w:t>
      </w:r>
    </w:p>
    <w:p>
      <w:pPr>
        <w:spacing w:after="0" w:line="1" w:lineRule="exact"/>
        <w:rPr>
          <w:sz w:val="20"/>
          <w:szCs w:val="20"/>
          <w:color w:val="auto"/>
        </w:rPr>
      </w:pPr>
    </w:p>
    <w:p>
      <w:pPr>
        <w:ind w:left="40"/>
        <w:spacing w:after="0" w:line="215" w:lineRule="auto"/>
        <w:rPr>
          <w:sz w:val="20"/>
          <w:szCs w:val="20"/>
          <w:color w:val="auto"/>
        </w:rPr>
      </w:pPr>
      <w:r>
        <w:rPr>
          <w:rFonts w:ascii="Times New Roman" w:cs="Times New Roman" w:eastAsia="Times New Roman" w:hAnsi="Times New Roman"/>
          <w:sz w:val="19"/>
          <w:szCs w:val="19"/>
          <w:color w:val="auto"/>
        </w:rPr>
        <w:t>protection of its rights (A) in connection with this Agreement and the other Loan Documents, including its rights under this Section, or (B) in connection with the Loans made or Letters of Credit issued hereunder, including all such out of pocket expenses incurred during any</w:t>
      </w:r>
    </w:p>
    <w:p>
      <w:pPr>
        <w:ind w:left="40"/>
        <w:spacing w:after="0"/>
        <w:rPr>
          <w:sz w:val="20"/>
          <w:szCs w:val="20"/>
          <w:color w:val="auto"/>
        </w:rPr>
      </w:pPr>
      <w:r>
        <w:rPr>
          <w:rFonts w:ascii="Times New Roman" w:cs="Times New Roman" w:eastAsia="Times New Roman" w:hAnsi="Times New Roman"/>
          <w:sz w:val="20"/>
          <w:szCs w:val="20"/>
          <w:color w:val="auto"/>
        </w:rPr>
        <w:t>workout, restructuring or negotiations in respect of such Loans or Letters of Credit.</w:t>
      </w:r>
    </w:p>
    <w:p>
      <w:pPr>
        <w:spacing w:after="0" w:line="194" w:lineRule="exact"/>
        <w:rPr>
          <w:sz w:val="20"/>
          <w:szCs w:val="20"/>
          <w:color w:val="auto"/>
        </w:rPr>
      </w:pPr>
    </w:p>
    <w:p>
      <w:pPr>
        <w:jc w:val="both"/>
        <w:ind w:left="40" w:firstLine="646"/>
        <w:spacing w:after="0" w:line="209" w:lineRule="auto"/>
        <w:tabs>
          <w:tab w:leader="none" w:pos="1243" w:val="left"/>
        </w:tabs>
        <w:numPr>
          <w:ilvl w:val="0"/>
          <w:numId w:val="4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Indemnification by the Borrowers</w:t>
      </w:r>
      <w:r>
        <w:rPr>
          <w:rFonts w:ascii="Times New Roman" w:cs="Times New Roman" w:eastAsia="Times New Roman" w:hAnsi="Times New Roman"/>
          <w:sz w:val="20"/>
          <w:szCs w:val="20"/>
          <w:color w:val="auto"/>
        </w:rPr>
        <w:t>. The Borrowers shall indemnify the Administrative Agent (and any sub-agent thereof), each Arranger, each Lender and each Issuing Lender, and each Related Party of any of the foregoing Persons (each such Person being called an “</w:t>
      </w:r>
      <w:r>
        <w:rPr>
          <w:rFonts w:ascii="Times New Roman" w:cs="Times New Roman" w:eastAsia="Times New Roman" w:hAnsi="Times New Roman"/>
          <w:sz w:val="20"/>
          <w:szCs w:val="20"/>
          <w:u w:val="single" w:color="auto"/>
          <w:color w:val="auto"/>
        </w:rPr>
        <w:t>Indemnitee</w:t>
      </w:r>
      <w:r>
        <w:rPr>
          <w:rFonts w:ascii="Times New Roman" w:cs="Times New Roman" w:eastAsia="Times New Roman" w:hAnsi="Times New Roman"/>
          <w:sz w:val="20"/>
          <w:szCs w:val="20"/>
          <w:color w:val="auto"/>
        </w:rPr>
        <w:t xml:space="preserve">”) against, and hold each Indemnitee harmless from, and shall pay or reimburse any such Indemnitee for, any and all losses, claims (including, without limitation, any Environmental Claims), penalties, damages, liabilities and related expenses (including the reasonable fees, charges and disbursements of any counsel for any Indemnitee), incurred by any Indemnitee or asserted against any Indemnitee by any Person (including the Borrowers or any other Credit Party), arising out of, in connection with, or as a result of (i) the execution or delivery of this Agreement, any other Loan Document or any agreement or instrument contemplated hereby or thereby, the performance by the parties hereto of their respective obligations hereunder or thereunder or the consummation of the transactions contemplated hereby or thereby (including, without limitation, the Transactions), (ii) any Loan or Letter of Credit or the use or proposed use of the proceeds therefrom (including any refusal by any Issuing Lender to honor a demand for payment under a Letter of Credit if the documents presented in connection with such demand do not strictly comply with the terms of such Letter of Credit), (iii) any actual or alleged presence or release of Hazardous Materials on or from any property owned or operated by any Credit Party or any Subsidiary thereof, or any Environmental Claim related in any way to any Credit Party or any Subsidiary, (iv) any actual or prospective claim, litigation, investigation or proceeding relating to any of the foregoing, whether based on contract, tort or any other theory, whether brought by a third party or by any Credit Party or any Subsidiary thereof, and regardless of whether any Indemnitee is a party thereto, or (v) any claim (including, without limitation, any Environmental Claims), investigation, litigation or other proceeding (whether or not the Administrative Agent or any Lender is a party thereto) and the prosecution and defense thereof, arising out of or in any way connected with the Loans, this Agreement, any other Loan Document, or any documents contemplated by or referred to herein or therein or the transactions contemplated hereby or thereby, including without limitation, reasonable attorneys and consultant’s fees,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indemnity shall not, as to any Indemnitee, be available to the extent that such losses, claims, damages, liabilities or related expenses (A) are determined by a court of competent jurisdiction by final and nonappealable judgment to have resulted from the gross negligence or willful misconduct of such Indemnitee or (B) result from a claim brought by any Credit Party or any Subsidiary thereof against an Indemnitee for breach in bad faith of such Indemnitee’s obligations hereunder or under any other Loan Document, if such Credit Party or such Subsidiary has obtained a final and nonappealable judgment in its favor on such claim as determined by a court of competent jurisdiction. This </w:t>
      </w:r>
      <w:r>
        <w:rPr>
          <w:rFonts w:ascii="Times New Roman" w:cs="Times New Roman" w:eastAsia="Times New Roman" w:hAnsi="Times New Roman"/>
          <w:sz w:val="20"/>
          <w:szCs w:val="20"/>
          <w:u w:val="single" w:color="auto"/>
          <w:color w:val="auto"/>
        </w:rPr>
        <w:t>Section 12.3(b)</w:t>
      </w:r>
      <w:r>
        <w:rPr>
          <w:rFonts w:ascii="Times New Roman" w:cs="Times New Roman" w:eastAsia="Times New Roman" w:hAnsi="Times New Roman"/>
          <w:sz w:val="20"/>
          <w:szCs w:val="20"/>
          <w:color w:val="auto"/>
        </w:rPr>
        <w:t xml:space="preserve"> shall not apply with respect to Taxes other than any Taxes that represent losses, claims, damages, etc. arising from any non-Tax claim.</w:t>
      </w:r>
    </w:p>
    <w:p>
      <w:pPr>
        <w:spacing w:after="0" w:line="192" w:lineRule="exact"/>
        <w:rPr>
          <w:rFonts w:ascii="Times New Roman" w:cs="Times New Roman" w:eastAsia="Times New Roman" w:hAnsi="Times New Roman"/>
          <w:sz w:val="20"/>
          <w:szCs w:val="20"/>
          <w:color w:val="auto"/>
        </w:rPr>
      </w:pPr>
    </w:p>
    <w:p>
      <w:pPr>
        <w:jc w:val="both"/>
        <w:ind w:left="40" w:firstLine="646"/>
        <w:spacing w:after="0" w:line="217" w:lineRule="auto"/>
        <w:tabs>
          <w:tab w:leader="none" w:pos="1245" w:val="left"/>
        </w:tabs>
        <w:numPr>
          <w:ilvl w:val="0"/>
          <w:numId w:val="4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Reimbursement by Lenders</w:t>
      </w:r>
      <w:r>
        <w:rPr>
          <w:rFonts w:ascii="Times New Roman" w:cs="Times New Roman" w:eastAsia="Times New Roman" w:hAnsi="Times New Roman"/>
          <w:sz w:val="20"/>
          <w:szCs w:val="20"/>
          <w:color w:val="auto"/>
        </w:rPr>
        <w:t xml:space="preserve">. To the extent that the Borrowers for any reason fail to indefeasibly pay any amount required under clause (a) or (b) of this Section to be paid by it to the Administrative Agent (or any sub-agent thereof), any Arranger, any Issuing Lender, any Swingline Lender or any Related Party of any of the foregoing, each Lender severally agrees to pay to the Administrative Agent (or any such sub-agent), such Issuing Lender, such Swingline Lender or such Related Party, as the case may be, such Lender’s </w:t>
      </w:r>
      <w:r>
        <w:rPr>
          <w:rFonts w:ascii="Times New Roman" w:cs="Times New Roman" w:eastAsia="Times New Roman" w:hAnsi="Times New Roman"/>
          <w:sz w:val="20"/>
          <w:szCs w:val="20"/>
          <w:u w:val="single" w:color="auto"/>
          <w:color w:val="auto"/>
        </w:rPr>
        <w:t>pro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rata</w:t>
      </w:r>
      <w:r>
        <w:rPr>
          <w:rFonts w:ascii="Times New Roman" w:cs="Times New Roman" w:eastAsia="Times New Roman" w:hAnsi="Times New Roman"/>
          <w:sz w:val="20"/>
          <w:szCs w:val="20"/>
          <w:color w:val="auto"/>
        </w:rPr>
        <w:t xml:space="preserve"> share (determined as of the time that the applicable unreimbursed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FF0000"/>
          <w:strike w:val="1"/>
        </w:rPr>
        <w:t>146960219_6</w:t>
      </w: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162</w:t>
      </w:r>
      <w:r>
        <w:rPr>
          <w:sz w:val="20"/>
          <w:szCs w:val="20"/>
          <w:color w:val="auto"/>
        </w:rPr>
        <w:tab/>
      </w: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080"/>
          </w:cols>
          <w:pgMar w:left="380" w:top="1440" w:right="439" w:bottom="1440" w:gutter="0" w:footer="0" w:header="0"/>
        </w:sectPr>
      </w:pPr>
    </w:p>
    <w:bookmarkStart w:id="246" w:name="page247"/>
    <w:bookmarkEnd w:id="246"/>
    <w:p>
      <w:pPr>
        <w:spacing w:after="0" w:line="1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expense or indemnity payment is sought based on each Lender’s share of the Total Credit Exposure at such time, or if the Total Credit</w:t>
      </w:r>
    </w:p>
    <w:p>
      <w:pPr>
        <w:ind w:left="40"/>
        <w:spacing w:after="0" w:line="215" w:lineRule="auto"/>
        <w:rPr>
          <w:sz w:val="20"/>
          <w:szCs w:val="20"/>
          <w:color w:val="auto"/>
        </w:rPr>
      </w:pPr>
      <w:r>
        <w:rPr>
          <w:rFonts w:ascii="Times New Roman" w:cs="Times New Roman" w:eastAsia="Times New Roman" w:hAnsi="Times New Roman"/>
          <w:sz w:val="19"/>
          <w:szCs w:val="19"/>
          <w:color w:val="auto"/>
        </w:rPr>
        <w:t xml:space="preserve">Exposure has been reduced to zero, then based on such Lender’s share of the Total Credit Exposure immediately prior to such reduction) of such unpaid amount (including any such unpaid amount in respect of a claim asserted by such Lender);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with respect to such</w:t>
      </w:r>
    </w:p>
    <w:p>
      <w:pPr>
        <w:ind w:left="40"/>
        <w:spacing w:after="0" w:line="211" w:lineRule="auto"/>
        <w:rPr>
          <w:sz w:val="20"/>
          <w:szCs w:val="20"/>
          <w:color w:val="auto"/>
        </w:rPr>
      </w:pPr>
      <w:r>
        <w:rPr>
          <w:rFonts w:ascii="Times New Roman" w:cs="Times New Roman" w:eastAsia="Times New Roman" w:hAnsi="Times New Roman"/>
          <w:sz w:val="20"/>
          <w:szCs w:val="20"/>
          <w:color w:val="auto"/>
        </w:rPr>
        <w:t>unpaid amounts owed to any Issuing Lender or any Swingline Lender solely in its capacity as such, only the Revolving Credit Lenders</w:t>
      </w:r>
    </w:p>
    <w:p>
      <w:pPr>
        <w:ind w:left="40"/>
        <w:spacing w:after="0" w:line="204" w:lineRule="auto"/>
        <w:rPr>
          <w:sz w:val="20"/>
          <w:szCs w:val="20"/>
          <w:color w:val="auto"/>
        </w:rPr>
      </w:pPr>
      <w:r>
        <w:rPr>
          <w:rFonts w:ascii="Times New Roman" w:cs="Times New Roman" w:eastAsia="Times New Roman" w:hAnsi="Times New Roman"/>
          <w:sz w:val="20"/>
          <w:szCs w:val="20"/>
          <w:color w:val="auto"/>
        </w:rPr>
        <w:t>shall be required to pay such unpaid amounts, such payment to be made severally among them based on such Revolving Credit Lenders’ Revolving Credit Commitment Percentage (determined as of the time that the applicable unreimbursed expense or indemnity payment is</w:t>
      </w:r>
    </w:p>
    <w:p>
      <w:pPr>
        <w:ind w:left="40"/>
        <w:spacing w:after="0" w:line="223" w:lineRule="auto"/>
        <w:rPr>
          <w:sz w:val="20"/>
          <w:szCs w:val="20"/>
          <w:color w:val="auto"/>
        </w:rPr>
      </w:pPr>
      <w:r>
        <w:rPr>
          <w:rFonts w:ascii="Times New Roman" w:cs="Times New Roman" w:eastAsia="Times New Roman" w:hAnsi="Times New Roman"/>
          <w:sz w:val="19"/>
          <w:szCs w:val="19"/>
          <w:color w:val="auto"/>
        </w:rPr>
        <w:t>sought or, if the Revolving Credit Commitment has been reduced to zero as of such time, determined immediately prior to such reduction);</w:t>
      </w:r>
    </w:p>
    <w:p>
      <w:pPr>
        <w:ind w:left="40"/>
        <w:spacing w:after="0" w:line="204"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the unreimbursed expense or indemnified loss, claim, damage, liability or related expense, as the case may be, was incurred by or asserted against the Administrative Agent (or any such sub-agent), such Issuing Lender or such Swingline Lender in its</w:t>
      </w:r>
    </w:p>
    <w:p>
      <w:pPr>
        <w:ind w:left="40"/>
        <w:spacing w:after="0" w:line="211" w:lineRule="auto"/>
        <w:rPr>
          <w:sz w:val="20"/>
          <w:szCs w:val="20"/>
          <w:color w:val="auto"/>
        </w:rPr>
      </w:pPr>
      <w:r>
        <w:rPr>
          <w:rFonts w:ascii="Times New Roman" w:cs="Times New Roman" w:eastAsia="Times New Roman" w:hAnsi="Times New Roman"/>
          <w:sz w:val="20"/>
          <w:szCs w:val="20"/>
          <w:color w:val="auto"/>
        </w:rPr>
        <w:t>capacity as such, or against any Related Party of any of the foregoing acting for the Administrative Agent (or any such sub- agent), such</w:t>
      </w:r>
    </w:p>
    <w:p>
      <w:pPr>
        <w:spacing w:after="0" w:line="1" w:lineRule="exact"/>
        <w:rPr>
          <w:sz w:val="20"/>
          <w:szCs w:val="20"/>
          <w:color w:val="auto"/>
        </w:rPr>
      </w:pPr>
    </w:p>
    <w:p>
      <w:pPr>
        <w:ind w:left="40" w:right="20"/>
        <w:spacing w:after="0" w:line="221" w:lineRule="auto"/>
        <w:rPr>
          <w:sz w:val="20"/>
          <w:szCs w:val="20"/>
          <w:color w:val="auto"/>
        </w:rPr>
      </w:pPr>
      <w:r>
        <w:rPr>
          <w:rFonts w:ascii="Times New Roman" w:cs="Times New Roman" w:eastAsia="Times New Roman" w:hAnsi="Times New Roman"/>
          <w:sz w:val="20"/>
          <w:szCs w:val="20"/>
          <w:color w:val="auto"/>
        </w:rPr>
        <w:t xml:space="preserve">Issuing Lender or such Swingline Lender in connection with such capacity. The obligations of the Lenders under this clause (c) are subject to the provisions of </w:t>
      </w:r>
      <w:r>
        <w:rPr>
          <w:rFonts w:ascii="Times New Roman" w:cs="Times New Roman" w:eastAsia="Times New Roman" w:hAnsi="Times New Roman"/>
          <w:sz w:val="20"/>
          <w:szCs w:val="20"/>
          <w:u w:val="single" w:color="auto"/>
          <w:color w:val="auto"/>
        </w:rPr>
        <w:t>Section 5.7</w:t>
      </w:r>
      <w:r>
        <w:rPr>
          <w:rFonts w:ascii="Times New Roman" w:cs="Times New Roman" w:eastAsia="Times New Roman" w:hAnsi="Times New Roman"/>
          <w:sz w:val="20"/>
          <w:szCs w:val="20"/>
          <w:color w:val="auto"/>
        </w:rPr>
        <w:t>.</w:t>
      </w:r>
    </w:p>
    <w:p>
      <w:pPr>
        <w:spacing w:after="0" w:line="256" w:lineRule="exact"/>
        <w:rPr>
          <w:sz w:val="20"/>
          <w:szCs w:val="20"/>
          <w:color w:val="auto"/>
        </w:rPr>
      </w:pPr>
    </w:p>
    <w:p>
      <w:pPr>
        <w:jc w:val="both"/>
        <w:ind w:left="40" w:firstLine="646"/>
        <w:spacing w:after="0" w:line="213" w:lineRule="auto"/>
        <w:tabs>
          <w:tab w:leader="none" w:pos="1243" w:val="left"/>
        </w:tabs>
        <w:numPr>
          <w:ilvl w:val="0"/>
          <w:numId w:val="4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 of Consequential Damages, Etc.</w:t>
      </w:r>
      <w:r>
        <w:rPr>
          <w:rFonts w:ascii="Times New Roman" w:cs="Times New Roman" w:eastAsia="Times New Roman" w:hAnsi="Times New Roman"/>
          <w:sz w:val="20"/>
          <w:szCs w:val="20"/>
          <w:color w:val="auto"/>
        </w:rPr>
        <w:t xml:space="preserve"> To the fullest extent permitted by Applicable Law, each Borrower and each other Credit Party shall not assert, and hereby waives,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No Indemnitee referred to in clause (b) above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w:t>
      </w:r>
    </w:p>
    <w:p>
      <w:pPr>
        <w:spacing w:after="0" w:line="216" w:lineRule="exact"/>
        <w:rPr>
          <w:rFonts w:ascii="Times New Roman" w:cs="Times New Roman" w:eastAsia="Times New Roman" w:hAnsi="Times New Roman"/>
          <w:sz w:val="20"/>
          <w:szCs w:val="20"/>
          <w:color w:val="auto"/>
        </w:rPr>
      </w:pPr>
    </w:p>
    <w:p>
      <w:pPr>
        <w:ind w:left="1240" w:hanging="554"/>
        <w:spacing w:after="0"/>
        <w:tabs>
          <w:tab w:leader="none" w:pos="1240" w:val="left"/>
        </w:tabs>
        <w:numPr>
          <w:ilvl w:val="0"/>
          <w:numId w:val="4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Payments</w:t>
      </w:r>
      <w:r>
        <w:rPr>
          <w:rFonts w:ascii="Times New Roman" w:cs="Times New Roman" w:eastAsia="Times New Roman" w:hAnsi="Times New Roman"/>
          <w:sz w:val="20"/>
          <w:szCs w:val="20"/>
          <w:color w:val="auto"/>
        </w:rPr>
        <w:t>. All amounts due under this Section shall be payable promptly after written demand therefor.</w:t>
      </w:r>
    </w:p>
    <w:p>
      <w:pPr>
        <w:spacing w:after="0" w:line="229" w:lineRule="exact"/>
        <w:rPr>
          <w:rFonts w:ascii="Times New Roman" w:cs="Times New Roman" w:eastAsia="Times New Roman" w:hAnsi="Times New Roman"/>
          <w:sz w:val="20"/>
          <w:szCs w:val="20"/>
          <w:color w:val="auto"/>
        </w:rPr>
      </w:pPr>
    </w:p>
    <w:p>
      <w:pPr>
        <w:ind w:left="40" w:firstLine="646"/>
        <w:spacing w:after="0"/>
        <w:tabs>
          <w:tab w:leader="none" w:pos="1237" w:val="left"/>
        </w:tabs>
        <w:numPr>
          <w:ilvl w:val="0"/>
          <w:numId w:val="4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Survival</w:t>
      </w:r>
      <w:r>
        <w:rPr>
          <w:rFonts w:ascii="Times New Roman" w:cs="Times New Roman" w:eastAsia="Times New Roman" w:hAnsi="Times New Roman"/>
          <w:sz w:val="20"/>
          <w:szCs w:val="20"/>
          <w:color w:val="auto"/>
        </w:rPr>
        <w:t>. Each party’s obligations under this Section shall survive the termination of the Loan Documents and payment of the obligations hereunder.</w:t>
      </w:r>
    </w:p>
    <w:p>
      <w:pPr>
        <w:spacing w:after="0" w:line="188" w:lineRule="exact"/>
        <w:rPr>
          <w:sz w:val="20"/>
          <w:szCs w:val="20"/>
          <w:color w:val="auto"/>
        </w:rPr>
      </w:pPr>
    </w:p>
    <w:p>
      <w:pPr>
        <w:ind w:left="680"/>
        <w:spacing w:after="0"/>
        <w:tabs>
          <w:tab w:leader="none" w:pos="2100" w:val="left"/>
        </w:tabs>
        <w:rPr>
          <w:sz w:val="20"/>
          <w:szCs w:val="20"/>
          <w:color w:val="auto"/>
        </w:rPr>
      </w:pPr>
      <w:r>
        <w:rPr>
          <w:rFonts w:ascii="Times New Roman" w:cs="Times New Roman" w:eastAsia="Times New Roman" w:hAnsi="Times New Roman"/>
          <w:sz w:val="20"/>
          <w:szCs w:val="20"/>
          <w:color w:val="auto"/>
        </w:rPr>
        <w:t>SECTION 12.4</w:t>
      </w:r>
      <w:r>
        <w:rPr>
          <w:sz w:val="20"/>
          <w:szCs w:val="20"/>
          <w:color w:val="auto"/>
        </w:rPr>
        <w:tab/>
      </w:r>
      <w:r>
        <w:rPr>
          <w:rFonts w:ascii="Times New Roman" w:cs="Times New Roman" w:eastAsia="Times New Roman" w:hAnsi="Times New Roman"/>
          <w:sz w:val="19"/>
          <w:szCs w:val="19"/>
          <w:u w:val="single" w:color="auto"/>
          <w:color w:val="auto"/>
        </w:rPr>
        <w:t>Right of Setoff</w:t>
      </w:r>
    </w:p>
    <w:p>
      <w:pPr>
        <w:spacing w:after="0" w:line="283" w:lineRule="exact"/>
        <w:rPr>
          <w:sz w:val="20"/>
          <w:szCs w:val="20"/>
          <w:color w:val="auto"/>
        </w:rPr>
      </w:pPr>
    </w:p>
    <w:p>
      <w:pPr>
        <w:jc w:val="both"/>
        <w:ind w:left="40" w:hanging="2"/>
        <w:spacing w:after="0" w:line="211" w:lineRule="auto"/>
        <w:tabs>
          <w:tab w:leader="none" w:pos="143" w:val="left"/>
        </w:tabs>
        <w:numPr>
          <w:ilvl w:val="0"/>
          <w:numId w:val="4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 Event of Default shall have occurred and be continuing, each Lender, each Issuing Lender, each Swingline Lender and each of their respective Affiliates is hereby authorized at any time and from time to time, to the fullest extent permitted by Applicable Law, to set off and apply any and all deposits (general or special, time or demand, provisional or final, in whatever currency) at any time held and other obligations (in whatever currency) at any time owing by such Lender, such Issuing Lender, such Swingline Lender or any such Affiliate to or for the credit or the account of the Borrowers or any other Credit Party against any and all of the obligations of the Borrowers or such Credit Party now or hereafter existing under this Agreement or any other Loan Document to such Lender, such Issuing Lender or such Swingline Lender or any of their respective Affiliates, irrespective of whether or not such Lender, such Issuing Lender, such Swingline Lender or any such Affiliate shall have made any demand under this Agreement or any other Loan Document and although such obligations of the Borrowers or such Credit Party may be contingent or unmatured or are owed to a branch or office of such Lender, such Issuing Lender, such Swingline Lender or such Affiliate different from the branch, office or Affiliate holding such deposit or obligated on such indebtedness;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event that any Defaulting Lender or any Affiliate thereof shall exercise any such right of setoff, (x) all amounts so set off shall be paid over immediately to the Administrative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FF0000"/>
          <w:strike w:val="1"/>
        </w:rPr>
        <w:t>146960219_6</w:t>
      </w: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163</w:t>
      </w:r>
      <w:r>
        <w:rPr>
          <w:sz w:val="20"/>
          <w:szCs w:val="20"/>
          <w:color w:val="auto"/>
        </w:rPr>
        <w:tab/>
      </w: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080"/>
          </w:cols>
          <w:pgMar w:left="380" w:top="1440" w:right="439" w:bottom="1440" w:gutter="0" w:footer="0" w:header="0"/>
        </w:sectPr>
      </w:pPr>
    </w:p>
    <w:bookmarkStart w:id="247" w:name="page248"/>
    <w:bookmarkEnd w:id="247"/>
    <w:p>
      <w:pPr>
        <w:ind w:left="60"/>
        <w:spacing w:after="0"/>
        <w:rPr>
          <w:sz w:val="20"/>
          <w:szCs w:val="20"/>
          <w:color w:val="auto"/>
        </w:rPr>
      </w:pPr>
      <w:r>
        <w:rPr>
          <w:rFonts w:ascii="Times New Roman" w:cs="Times New Roman" w:eastAsia="Times New Roman" w:hAnsi="Times New Roman"/>
          <w:sz w:val="20"/>
          <w:szCs w:val="20"/>
          <w:color w:val="auto"/>
        </w:rPr>
        <w:t xml:space="preserve">Agent for further application in accordance with the provisions of </w:t>
      </w:r>
      <w:r>
        <w:rPr>
          <w:rFonts w:ascii="Times New Roman" w:cs="Times New Roman" w:eastAsia="Times New Roman" w:hAnsi="Times New Roman"/>
          <w:sz w:val="20"/>
          <w:szCs w:val="20"/>
          <w:u w:val="single" w:color="auto"/>
          <w:color w:val="auto"/>
        </w:rPr>
        <w:t>Section 10.4</w:t>
      </w:r>
      <w:r>
        <w:rPr>
          <w:rFonts w:ascii="Times New Roman" w:cs="Times New Roman" w:eastAsia="Times New Roman" w:hAnsi="Times New Roman"/>
          <w:sz w:val="20"/>
          <w:szCs w:val="20"/>
          <w:color w:val="auto"/>
        </w:rPr>
        <w:t xml:space="preserve"> and, pending such payment, shall be segregated by such</w:t>
      </w:r>
    </w:p>
    <w:p>
      <w:pPr>
        <w:ind w:left="60"/>
        <w:spacing w:after="0" w:line="215" w:lineRule="auto"/>
        <w:rPr>
          <w:sz w:val="20"/>
          <w:szCs w:val="20"/>
          <w:color w:val="auto"/>
        </w:rPr>
      </w:pPr>
      <w:r>
        <w:rPr>
          <w:rFonts w:ascii="Times New Roman" w:cs="Times New Roman" w:eastAsia="Times New Roman" w:hAnsi="Times New Roman"/>
          <w:sz w:val="19"/>
          <w:szCs w:val="19"/>
          <w:color w:val="auto"/>
        </w:rPr>
        <w:t>Defaulting Lender or Affiliate of a Defaulting Lender from its other funds and deemed held in trust for the benefit of the Administrative Agent, the Issuing Lenders, the Swingline Lenders and the Lenders, and (y) the Defaulting Lender or its Affiliate shall provide promptly to</w:t>
      </w:r>
    </w:p>
    <w:p>
      <w:pPr>
        <w:ind w:left="60"/>
        <w:spacing w:after="0" w:line="211" w:lineRule="auto"/>
        <w:rPr>
          <w:sz w:val="20"/>
          <w:szCs w:val="20"/>
          <w:color w:val="auto"/>
        </w:rPr>
      </w:pPr>
      <w:r>
        <w:rPr>
          <w:rFonts w:ascii="Times New Roman" w:cs="Times New Roman" w:eastAsia="Times New Roman" w:hAnsi="Times New Roman"/>
          <w:sz w:val="20"/>
          <w:szCs w:val="20"/>
          <w:color w:val="auto"/>
        </w:rPr>
        <w:t>the Administrative Agent a statement describing in reasonable detail the Secured Obligations owing to such Defaulting Lender or any of</w:t>
      </w:r>
    </w:p>
    <w:p>
      <w:pPr>
        <w:ind w:left="60"/>
        <w:spacing w:after="0" w:line="215" w:lineRule="auto"/>
        <w:rPr>
          <w:sz w:val="20"/>
          <w:szCs w:val="20"/>
          <w:color w:val="auto"/>
        </w:rPr>
      </w:pPr>
      <w:r>
        <w:rPr>
          <w:rFonts w:ascii="Times New Roman" w:cs="Times New Roman" w:eastAsia="Times New Roman" w:hAnsi="Times New Roman"/>
          <w:sz w:val="19"/>
          <w:szCs w:val="19"/>
          <w:color w:val="auto"/>
        </w:rPr>
        <w:t>its Affiliates as to which it exercised such right of setoff. The rights of each Lender, each Issuing Lender, each Swingline Lender and their respective Affiliates under this Section are in addition to other rights and remedies (including other rights of setoff) that such Lender, such</w:t>
      </w:r>
    </w:p>
    <w:p>
      <w:pPr>
        <w:ind w:left="60"/>
        <w:spacing w:after="0" w:line="211" w:lineRule="auto"/>
        <w:rPr>
          <w:sz w:val="20"/>
          <w:szCs w:val="20"/>
          <w:color w:val="auto"/>
        </w:rPr>
      </w:pPr>
      <w:r>
        <w:rPr>
          <w:rFonts w:ascii="Times New Roman" w:cs="Times New Roman" w:eastAsia="Times New Roman" w:hAnsi="Times New Roman"/>
          <w:sz w:val="20"/>
          <w:szCs w:val="20"/>
          <w:color w:val="auto"/>
        </w:rPr>
        <w:t>Issuing Lender, such Swingline Lender or their respective Affiliates may have. Each Lender, such Issuing Lender and such Swingline</w:t>
      </w:r>
    </w:p>
    <w:p>
      <w:pPr>
        <w:ind w:left="60"/>
        <w:spacing w:after="0" w:line="221" w:lineRule="auto"/>
        <w:rPr>
          <w:sz w:val="20"/>
          <w:szCs w:val="20"/>
          <w:color w:val="auto"/>
        </w:rPr>
      </w:pPr>
      <w:r>
        <w:rPr>
          <w:rFonts w:ascii="Times New Roman" w:cs="Times New Roman" w:eastAsia="Times New Roman" w:hAnsi="Times New Roman"/>
          <w:sz w:val="20"/>
          <w:szCs w:val="20"/>
          <w:color w:val="auto"/>
        </w:rPr>
        <w:t xml:space="preserve">Lender agree to notify the Borrowers and the Administrative Agent promptly after any such setoff and application;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failure to give such notice shall not affect the validity of such setoff and application.</w:t>
      </w:r>
    </w:p>
    <w:p>
      <w:pPr>
        <w:spacing w:after="0" w:line="202" w:lineRule="exact"/>
        <w:rPr>
          <w:sz w:val="20"/>
          <w:szCs w:val="20"/>
          <w:color w:val="auto"/>
        </w:rPr>
      </w:pPr>
    </w:p>
    <w:p>
      <w:pPr>
        <w:ind w:left="700"/>
        <w:spacing w:after="0"/>
        <w:tabs>
          <w:tab w:leader="none" w:pos="2120" w:val="left"/>
        </w:tabs>
        <w:rPr>
          <w:sz w:val="20"/>
          <w:szCs w:val="20"/>
          <w:color w:val="auto"/>
        </w:rPr>
      </w:pPr>
      <w:r>
        <w:rPr>
          <w:rFonts w:ascii="Times New Roman" w:cs="Times New Roman" w:eastAsia="Times New Roman" w:hAnsi="Times New Roman"/>
          <w:sz w:val="20"/>
          <w:szCs w:val="20"/>
          <w:color w:val="auto"/>
        </w:rPr>
        <w:t>SECTION 12.5</w:t>
      </w:r>
      <w:r>
        <w:rPr>
          <w:sz w:val="20"/>
          <w:szCs w:val="20"/>
          <w:color w:val="auto"/>
        </w:rPr>
        <w:tab/>
      </w:r>
      <w:r>
        <w:rPr>
          <w:rFonts w:ascii="Times New Roman" w:cs="Times New Roman" w:eastAsia="Times New Roman" w:hAnsi="Times New Roman"/>
          <w:sz w:val="19"/>
          <w:szCs w:val="19"/>
          <w:u w:val="single" w:color="auto"/>
          <w:color w:val="auto"/>
        </w:rPr>
        <w:t>Governing Law; Jurisdiction, Etc.</w:t>
      </w:r>
    </w:p>
    <w:p>
      <w:pPr>
        <w:spacing w:after="0" w:line="270" w:lineRule="exact"/>
        <w:rPr>
          <w:sz w:val="20"/>
          <w:szCs w:val="20"/>
          <w:color w:val="auto"/>
        </w:rPr>
      </w:pPr>
    </w:p>
    <w:p>
      <w:pPr>
        <w:jc w:val="both"/>
        <w:ind w:left="60" w:firstLine="644"/>
        <w:spacing w:after="0" w:line="222" w:lineRule="auto"/>
        <w:tabs>
          <w:tab w:leader="none" w:pos="1238" w:val="left"/>
        </w:tabs>
        <w:numPr>
          <w:ilvl w:val="0"/>
          <w:numId w:val="4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Agreement and the other Loan Documents and any claim, controversy, dispute or cause of action (whether in contract or tort or otherwise) based upon, arising out of or relating to this Agreement or any other Loan Document (except, as to any other Loan Document, as expressly set forth therein) and the transactions contemplated hereby and thereby shall be governed by, and construed in accordance with, the law of the State of New York.</w:t>
      </w:r>
    </w:p>
    <w:p>
      <w:pPr>
        <w:spacing w:after="0" w:line="188" w:lineRule="exact"/>
        <w:rPr>
          <w:rFonts w:ascii="Times New Roman" w:cs="Times New Roman" w:eastAsia="Times New Roman" w:hAnsi="Times New Roman"/>
          <w:sz w:val="20"/>
          <w:szCs w:val="20"/>
          <w:color w:val="auto"/>
        </w:rPr>
      </w:pPr>
    </w:p>
    <w:p>
      <w:pPr>
        <w:jc w:val="both"/>
        <w:ind w:left="60" w:firstLine="644"/>
        <w:spacing w:after="0" w:line="211" w:lineRule="auto"/>
        <w:tabs>
          <w:tab w:leader="none" w:pos="1236" w:val="left"/>
        </w:tabs>
        <w:numPr>
          <w:ilvl w:val="0"/>
          <w:numId w:val="4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Submission to Jurisdiction</w:t>
      </w:r>
      <w:r>
        <w:rPr>
          <w:rFonts w:ascii="Times New Roman" w:cs="Times New Roman" w:eastAsia="Times New Roman" w:hAnsi="Times New Roman"/>
          <w:sz w:val="20"/>
          <w:szCs w:val="20"/>
          <w:color w:val="auto"/>
        </w:rPr>
        <w:t>. The Borrowers and each other Credit Party irrevocably and unconditionally agrees that it will not commence any action, litigation or proceeding of any kind or description, whether in law or equity, whether in contract or in tort or otherwise, against the Administrative Agent, any Lender, any Issuing Lender, any Swingline Lender, or any Related Party of the foregoing in any way relating to this Agreement or any other Loan Document or the transactions relating hereto or thereto, in any forum other than the courts of the State of New York sitting in New York County, and of the United States District Court of the Southern District of New York, and any appellate court from any thereof, and each of the parties hereto irrevocably and unconditionally submits to the exclusive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Loan Document shall affect any right that the Administrative Agent, any Lender, any Issuing Lender or any Swingline Lender may otherwise have to bring any action or proceeding relating to this Agreement or any other Loan Document against the Borrowers or any other Credit Party or its properties in the courts of any jurisdiction.</w:t>
      </w:r>
    </w:p>
    <w:p>
      <w:pPr>
        <w:spacing w:after="0" w:line="206" w:lineRule="exact"/>
        <w:rPr>
          <w:rFonts w:ascii="Times New Roman" w:cs="Times New Roman" w:eastAsia="Times New Roman" w:hAnsi="Times New Roman"/>
          <w:sz w:val="20"/>
          <w:szCs w:val="20"/>
          <w:color w:val="auto"/>
        </w:rPr>
      </w:pPr>
    </w:p>
    <w:p>
      <w:pPr>
        <w:jc w:val="both"/>
        <w:ind w:left="60" w:firstLine="644"/>
        <w:spacing w:after="0" w:line="217" w:lineRule="auto"/>
        <w:tabs>
          <w:tab w:leader="none" w:pos="1238" w:val="left"/>
        </w:tabs>
        <w:numPr>
          <w:ilvl w:val="0"/>
          <w:numId w:val="4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 of Venue</w:t>
      </w:r>
      <w:r>
        <w:rPr>
          <w:rFonts w:ascii="Times New Roman" w:cs="Times New Roman" w:eastAsia="Times New Roman" w:hAnsi="Times New Roman"/>
          <w:sz w:val="20"/>
          <w:szCs w:val="20"/>
          <w:color w:val="auto"/>
        </w:rPr>
        <w:t>. The Borrowers and each other Credit Party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paragraph (b) of this Section. Each of the parties hereto hereby irrevocably waives, to the fullest extent permitted by Applicable Law, the defense of an inconvenient forum to the maintenance of such action or proceeding in any such court.</w:t>
      </w:r>
    </w:p>
    <w:p>
      <w:pPr>
        <w:spacing w:after="0" w:line="188" w:lineRule="exact"/>
        <w:rPr>
          <w:rFonts w:ascii="Times New Roman" w:cs="Times New Roman" w:eastAsia="Times New Roman" w:hAnsi="Times New Roman"/>
          <w:sz w:val="20"/>
          <w:szCs w:val="20"/>
          <w:color w:val="auto"/>
        </w:rPr>
      </w:pPr>
    </w:p>
    <w:p>
      <w:pPr>
        <w:jc w:val="both"/>
        <w:ind w:left="60" w:firstLine="644"/>
        <w:spacing w:after="0" w:line="230" w:lineRule="auto"/>
        <w:tabs>
          <w:tab w:leader="none" w:pos="1236" w:val="left"/>
        </w:tabs>
        <w:numPr>
          <w:ilvl w:val="0"/>
          <w:numId w:val="4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Service of Process</w:t>
      </w:r>
      <w:r>
        <w:rPr>
          <w:rFonts w:ascii="Times New Roman" w:cs="Times New Roman" w:eastAsia="Times New Roman" w:hAnsi="Times New Roman"/>
          <w:sz w:val="20"/>
          <w:szCs w:val="20"/>
          <w:color w:val="auto"/>
        </w:rPr>
        <w:t xml:space="preserve">. Each party hereto irrevocably consents to service of process in the manner provided for notices in </w:t>
      </w:r>
      <w:r>
        <w:rPr>
          <w:rFonts w:ascii="Times New Roman" w:cs="Times New Roman" w:eastAsia="Times New Roman" w:hAnsi="Times New Roman"/>
          <w:sz w:val="20"/>
          <w:szCs w:val="20"/>
          <w:u w:val="single" w:color="auto"/>
          <w:color w:val="auto"/>
        </w:rPr>
        <w:t>Section 12.1</w:t>
      </w:r>
      <w:r>
        <w:rPr>
          <w:rFonts w:ascii="Times New Roman" w:cs="Times New Roman" w:eastAsia="Times New Roman" w:hAnsi="Times New Roman"/>
          <w:sz w:val="20"/>
          <w:szCs w:val="20"/>
          <w:color w:val="auto"/>
        </w:rPr>
        <w:t>. Nothing in this Agreement will affect the right of any party hereto to serve process in any other manner permitted by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FF0000"/>
          <w:strike w:val="1"/>
        </w:rPr>
        <w:t>146960219_6</w:t>
      </w: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164</w:t>
      </w:r>
      <w:r>
        <w:rPr>
          <w:sz w:val="20"/>
          <w:szCs w:val="20"/>
          <w:color w:val="auto"/>
        </w:rPr>
        <w:tab/>
      </w: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080"/>
          </w:cols>
          <w:pgMar w:left="380" w:top="1394" w:right="439" w:bottom="1440" w:gutter="0" w:footer="0" w:header="0"/>
        </w:sectPr>
      </w:pPr>
    </w:p>
    <w:bookmarkStart w:id="248" w:name="page249"/>
    <w:bookmarkEnd w:id="248"/>
    <w:p>
      <w:pPr>
        <w:spacing w:after="0" w:line="203" w:lineRule="exact"/>
        <w:rPr>
          <w:sz w:val="20"/>
          <w:szCs w:val="20"/>
          <w:color w:val="auto"/>
        </w:rPr>
      </w:pPr>
    </w:p>
    <w:p>
      <w:pPr>
        <w:ind w:left="700"/>
        <w:spacing w:after="0"/>
        <w:tabs>
          <w:tab w:leader="none" w:pos="2120" w:val="left"/>
        </w:tabs>
        <w:rPr>
          <w:sz w:val="20"/>
          <w:szCs w:val="20"/>
          <w:color w:val="auto"/>
        </w:rPr>
      </w:pPr>
      <w:r>
        <w:rPr>
          <w:rFonts w:ascii="Times New Roman" w:cs="Times New Roman" w:eastAsia="Times New Roman" w:hAnsi="Times New Roman"/>
          <w:sz w:val="20"/>
          <w:szCs w:val="20"/>
          <w:color w:val="auto"/>
        </w:rPr>
        <w:t>SECTION 12.6</w:t>
      </w:r>
      <w:r>
        <w:rPr>
          <w:sz w:val="20"/>
          <w:szCs w:val="20"/>
          <w:color w:val="auto"/>
        </w:rPr>
        <w:tab/>
      </w:r>
      <w:r>
        <w:rPr>
          <w:rFonts w:ascii="Times New Roman" w:cs="Times New Roman" w:eastAsia="Times New Roman" w:hAnsi="Times New Roman"/>
          <w:sz w:val="19"/>
          <w:szCs w:val="19"/>
          <w:u w:val="single" w:color="auto"/>
          <w:color w:val="auto"/>
        </w:rPr>
        <w:t>Waiver of Jury Trial</w:t>
      </w:r>
    </w:p>
    <w:p>
      <w:pPr>
        <w:spacing w:after="0" w:line="283" w:lineRule="exact"/>
        <w:rPr>
          <w:sz w:val="20"/>
          <w:szCs w:val="20"/>
          <w:color w:val="auto"/>
        </w:rPr>
      </w:pPr>
    </w:p>
    <w:p>
      <w:pPr>
        <w:jc w:val="both"/>
        <w:ind w:left="60" w:hanging="4"/>
        <w:spacing w:after="0" w:line="213" w:lineRule="auto"/>
        <w:tabs>
          <w:tab w:leader="none" w:pos="163" w:val="left"/>
        </w:tabs>
        <w:numPr>
          <w:ilvl w:val="0"/>
          <w:numId w:val="4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188" w:lineRule="exact"/>
        <w:rPr>
          <w:sz w:val="20"/>
          <w:szCs w:val="20"/>
          <w:color w:val="auto"/>
        </w:rPr>
      </w:pPr>
    </w:p>
    <w:p>
      <w:pPr>
        <w:ind w:left="700"/>
        <w:spacing w:after="0"/>
        <w:tabs>
          <w:tab w:leader="none" w:pos="2120" w:val="left"/>
        </w:tabs>
        <w:rPr>
          <w:sz w:val="20"/>
          <w:szCs w:val="20"/>
          <w:color w:val="auto"/>
        </w:rPr>
      </w:pPr>
      <w:r>
        <w:rPr>
          <w:rFonts w:ascii="Times New Roman" w:cs="Times New Roman" w:eastAsia="Times New Roman" w:hAnsi="Times New Roman"/>
          <w:sz w:val="20"/>
          <w:szCs w:val="20"/>
          <w:color w:val="auto"/>
        </w:rPr>
        <w:t>SECTION 12.7</w:t>
      </w:r>
      <w:r>
        <w:rPr>
          <w:sz w:val="20"/>
          <w:szCs w:val="20"/>
          <w:color w:val="auto"/>
        </w:rPr>
        <w:tab/>
      </w:r>
      <w:r>
        <w:rPr>
          <w:rFonts w:ascii="Times New Roman" w:cs="Times New Roman" w:eastAsia="Times New Roman" w:hAnsi="Times New Roman"/>
          <w:sz w:val="19"/>
          <w:szCs w:val="19"/>
          <w:u w:val="single" w:color="auto"/>
          <w:color w:val="auto"/>
        </w:rPr>
        <w:t>Reversal of Payments</w:t>
      </w:r>
    </w:p>
    <w:p>
      <w:pPr>
        <w:spacing w:after="0" w:line="283" w:lineRule="exact"/>
        <w:rPr>
          <w:sz w:val="20"/>
          <w:szCs w:val="20"/>
          <w:color w:val="auto"/>
        </w:rPr>
      </w:pPr>
    </w:p>
    <w:p>
      <w:pPr>
        <w:jc w:val="both"/>
        <w:ind w:left="60" w:hanging="4"/>
        <w:spacing w:after="0" w:line="212" w:lineRule="auto"/>
        <w:tabs>
          <w:tab w:leader="none" w:pos="173" w:val="left"/>
        </w:tabs>
        <w:numPr>
          <w:ilvl w:val="0"/>
          <w:numId w:val="4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any Credit Party makes a payment or payments to the Administrative Agent for the ratable benefit of any of the Secured Parties or to any Secured Party directly or the Administrative Agent or any Secured Party receives any payment or proceeds of the Collateral or any Secured Party exercise its right of setoff, which payments or proceeds (including any proceeds of such setoff) or any part thereof are subsequently invalidated, declared to be fraudulent or preferential, set aside and/or required to be repaid to a trustee, receiver or any other party under any Debtor Relief Law, other Applicable Law or equitable cause, then, to the extent of such payment or proceeds repaid, the Secured Obligations or part thereof intended to be satisfied shall be revived and continued in full force and effect as if such payment or proceeds had not been received by the Administrative Agent, and each Lender and each Issuing Lender severally agrees to pay to the Administrative Agent upon demand its applicable ratable share (without duplication) of any amount so recovered from or repaid by the Administrative Agent plus interest thereon at a per annum rate equal to the Federal Funds Rate from the date of such demand to the date such payment is made to the Administrative Agent.</w:t>
      </w:r>
    </w:p>
    <w:p>
      <w:pPr>
        <w:spacing w:after="0" w:line="196" w:lineRule="exact"/>
        <w:rPr>
          <w:sz w:val="20"/>
          <w:szCs w:val="20"/>
          <w:color w:val="auto"/>
        </w:rPr>
      </w:pPr>
    </w:p>
    <w:p>
      <w:pPr>
        <w:ind w:left="700"/>
        <w:spacing w:after="0"/>
        <w:tabs>
          <w:tab w:leader="none" w:pos="2120" w:val="left"/>
        </w:tabs>
        <w:rPr>
          <w:sz w:val="20"/>
          <w:szCs w:val="20"/>
          <w:color w:val="auto"/>
        </w:rPr>
      </w:pPr>
      <w:r>
        <w:rPr>
          <w:rFonts w:ascii="Times New Roman" w:cs="Times New Roman" w:eastAsia="Times New Roman" w:hAnsi="Times New Roman"/>
          <w:sz w:val="20"/>
          <w:szCs w:val="20"/>
          <w:color w:val="auto"/>
        </w:rPr>
        <w:t>SECTION 12.8</w:t>
      </w:r>
      <w:r>
        <w:rPr>
          <w:sz w:val="20"/>
          <w:szCs w:val="20"/>
          <w:color w:val="auto"/>
        </w:rPr>
        <w:tab/>
      </w:r>
      <w:r>
        <w:rPr>
          <w:rFonts w:ascii="Times New Roman" w:cs="Times New Roman" w:eastAsia="Times New Roman" w:hAnsi="Times New Roman"/>
          <w:sz w:val="19"/>
          <w:szCs w:val="19"/>
          <w:u w:val="single" w:color="auto"/>
          <w:color w:val="auto"/>
        </w:rPr>
        <w:t>Injunctive Relief</w:t>
      </w:r>
    </w:p>
    <w:p>
      <w:pPr>
        <w:spacing w:after="0" w:line="297" w:lineRule="exact"/>
        <w:rPr>
          <w:sz w:val="20"/>
          <w:szCs w:val="20"/>
          <w:color w:val="auto"/>
        </w:rPr>
      </w:pPr>
    </w:p>
    <w:p>
      <w:pPr>
        <w:jc w:val="both"/>
        <w:ind w:left="60" w:hanging="4"/>
        <w:spacing w:after="0" w:line="249" w:lineRule="auto"/>
        <w:tabs>
          <w:tab w:leader="none" w:pos="165" w:val="left"/>
        </w:tabs>
        <w:numPr>
          <w:ilvl w:val="0"/>
          <w:numId w:val="4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Borrowers recognizes that, in the event the Borrowers fail to perform, observe or discharge any of its obligations or liabilities under this Agreement, any remedy of law may prove to be inadequate relief to the Lenders. Therefore, the Borrowers agree that the Lenders, at the Lenders’ option, shall be entitled to temporary and permanent injunctive relief in any such case without the necessity of proving actual damages.</w:t>
      </w:r>
    </w:p>
    <w:p>
      <w:pPr>
        <w:spacing w:after="0" w:line="207" w:lineRule="exact"/>
        <w:rPr>
          <w:sz w:val="20"/>
          <w:szCs w:val="20"/>
          <w:color w:val="auto"/>
        </w:rPr>
      </w:pPr>
    </w:p>
    <w:p>
      <w:pPr>
        <w:ind w:left="700"/>
        <w:spacing w:after="0"/>
        <w:tabs>
          <w:tab w:leader="none" w:pos="2120" w:val="left"/>
        </w:tabs>
        <w:rPr>
          <w:sz w:val="20"/>
          <w:szCs w:val="20"/>
          <w:color w:val="auto"/>
        </w:rPr>
      </w:pPr>
      <w:r>
        <w:rPr>
          <w:rFonts w:ascii="Times New Roman" w:cs="Times New Roman" w:eastAsia="Times New Roman" w:hAnsi="Times New Roman"/>
          <w:sz w:val="20"/>
          <w:szCs w:val="20"/>
          <w:color w:val="auto"/>
        </w:rPr>
        <w:t>SECTION 12.9</w:t>
      </w:r>
      <w:r>
        <w:rPr>
          <w:sz w:val="20"/>
          <w:szCs w:val="20"/>
          <w:color w:val="auto"/>
        </w:rPr>
        <w:tab/>
      </w:r>
      <w:r>
        <w:rPr>
          <w:rFonts w:ascii="Times New Roman" w:cs="Times New Roman" w:eastAsia="Times New Roman" w:hAnsi="Times New Roman"/>
          <w:sz w:val="19"/>
          <w:szCs w:val="19"/>
          <w:u w:val="single" w:color="auto"/>
          <w:color w:val="auto"/>
        </w:rPr>
        <w:t>Successors and Assigns; Participations</w:t>
      </w:r>
      <w:r>
        <w:rPr>
          <w:rFonts w:ascii="Times New Roman" w:cs="Times New Roman" w:eastAsia="Times New Roman" w:hAnsi="Times New Roman"/>
          <w:sz w:val="19"/>
          <w:szCs w:val="19"/>
          <w:color w:val="auto"/>
        </w:rPr>
        <w:t>.</w:t>
      </w:r>
    </w:p>
    <w:p>
      <w:pPr>
        <w:spacing w:after="0" w:line="270" w:lineRule="exact"/>
        <w:rPr>
          <w:sz w:val="20"/>
          <w:szCs w:val="20"/>
          <w:color w:val="auto"/>
        </w:rPr>
      </w:pPr>
    </w:p>
    <w:p>
      <w:pPr>
        <w:jc w:val="both"/>
        <w:ind w:left="60" w:firstLine="644"/>
        <w:spacing w:after="0" w:line="221" w:lineRule="auto"/>
        <w:tabs>
          <w:tab w:leader="none" w:pos="1238" w:val="left"/>
        </w:tabs>
        <w:numPr>
          <w:ilvl w:val="1"/>
          <w:numId w:val="4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Successors and Assigns Generally</w:t>
      </w:r>
      <w:r>
        <w:rPr>
          <w:rFonts w:ascii="Times New Roman" w:cs="Times New Roman" w:eastAsia="Times New Roman" w:hAnsi="Times New Roman"/>
          <w:sz w:val="19"/>
          <w:szCs w:val="19"/>
          <w:color w:val="auto"/>
        </w:rPr>
        <w:t>. The provisions of this Agreement shall be binding upon and inure to the benefit of the parties hereto and their respective successors and assigns permitted hereby, except that neither the Borrowers nor any other Credit Party may assign or otherwise transfer any of its rights or obligations hereunder without the prior written consent of the Administrative Agent and each Lender and no Lender may assign or otherwise transfer any of its rights or obligations hereunder except (i) to an assignee in accordance with the provisions of paragraph (b) of this Section, (ii) by way of participation in accordance with the provisions of paragraph</w:t>
      </w:r>
    </w:p>
    <w:p>
      <w:pPr>
        <w:spacing w:after="0" w:line="1" w:lineRule="exact"/>
        <w:rPr>
          <w:rFonts w:ascii="Times New Roman" w:cs="Times New Roman" w:eastAsia="Times New Roman" w:hAnsi="Times New Roman"/>
          <w:sz w:val="19"/>
          <w:szCs w:val="19"/>
          <w:color w:val="auto"/>
        </w:rPr>
      </w:pPr>
    </w:p>
    <w:p>
      <w:pPr>
        <w:ind w:left="340" w:hanging="284"/>
        <w:spacing w:after="0" w:line="211" w:lineRule="auto"/>
        <w:tabs>
          <w:tab w:leader="none" w:pos="340" w:val="left"/>
        </w:tabs>
        <w:numPr>
          <w:ilvl w:val="0"/>
          <w:numId w:val="4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this Section or (iii) by way of pledge or assignment of a security interest subject to the restrictions of paragraph (e) of this Section</w:t>
      </w:r>
    </w:p>
    <w:p>
      <w:pPr>
        <w:ind w:left="60"/>
        <w:spacing w:after="0" w:line="228" w:lineRule="auto"/>
        <w:rPr>
          <w:sz w:val="20"/>
          <w:szCs w:val="20"/>
          <w:color w:val="auto"/>
        </w:rPr>
      </w:pPr>
      <w:r>
        <w:rPr>
          <w:rFonts w:ascii="Times New Roman" w:cs="Times New Roman" w:eastAsia="Times New Roman" w:hAnsi="Times New Roman"/>
          <w:sz w:val="20"/>
          <w:szCs w:val="20"/>
          <w:color w:val="auto"/>
        </w:rPr>
        <w:t>(and any other attempted assignment or transfer by any party hereto shall be null and void). Nothing in this Agreement, expressed or implied, shall be construed to confer upon any Person (other than the parties hereto, their respective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FF0000"/>
          <w:strike w:val="1"/>
        </w:rPr>
        <w:t>146960219_6</w:t>
      </w: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165</w:t>
      </w:r>
      <w:r>
        <w:rPr>
          <w:sz w:val="20"/>
          <w:szCs w:val="20"/>
          <w:color w:val="auto"/>
        </w:rPr>
        <w:tab/>
      </w: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080"/>
          </w:cols>
          <w:pgMar w:left="380" w:top="1440" w:right="439" w:bottom="1440" w:gutter="0" w:footer="0" w:header="0"/>
        </w:sectPr>
      </w:pPr>
    </w:p>
    <w:bookmarkStart w:id="249" w:name="page250"/>
    <w:bookmarkEnd w:id="249"/>
    <w:p>
      <w:pPr>
        <w:jc w:val="both"/>
        <w:ind w:left="40"/>
        <w:spacing w:after="0" w:line="254" w:lineRule="auto"/>
        <w:rPr>
          <w:sz w:val="20"/>
          <w:szCs w:val="20"/>
          <w:color w:val="auto"/>
        </w:rPr>
      </w:pPr>
      <w:r>
        <w:rPr>
          <w:rFonts w:ascii="Times New Roman" w:cs="Times New Roman" w:eastAsia="Times New Roman" w:hAnsi="Times New Roman"/>
          <w:sz w:val="20"/>
          <w:szCs w:val="20"/>
          <w:color w:val="auto"/>
        </w:rPr>
        <w:t>successors and assigns permitted hereby, Participants to the extent provided in paragraph (d) of this Section and, to the extent expressly contemplated hereby, the Related Parties of each of the Administrative Agent and the Lenders) any legal or equitable right, remedy or claim under or by reason of this Agreement.</w:t>
      </w:r>
    </w:p>
    <w:p>
      <w:pPr>
        <w:spacing w:after="0" w:line="188" w:lineRule="exact"/>
        <w:rPr>
          <w:sz w:val="20"/>
          <w:szCs w:val="20"/>
          <w:color w:val="auto"/>
        </w:rPr>
      </w:pPr>
    </w:p>
    <w:p>
      <w:pPr>
        <w:jc w:val="both"/>
        <w:ind w:left="40" w:right="20" w:firstLine="646"/>
        <w:spacing w:after="0" w:line="230" w:lineRule="auto"/>
        <w:tabs>
          <w:tab w:leader="none" w:pos="1243" w:val="left"/>
        </w:tabs>
        <w:numPr>
          <w:ilvl w:val="0"/>
          <w:numId w:val="4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Assignments by Lenders</w:t>
      </w:r>
      <w:r>
        <w:rPr>
          <w:rFonts w:ascii="Times New Roman" w:cs="Times New Roman" w:eastAsia="Times New Roman" w:hAnsi="Times New Roman"/>
          <w:sz w:val="20"/>
          <w:szCs w:val="20"/>
          <w:color w:val="auto"/>
        </w:rPr>
        <w:t xml:space="preserve">. Any Lender may at any time assign to one or more assignees all or a portion of its rights and obligations under this Agreement (including all or a portion of its Revolving Credit Commitment and the Loans at the time owing to 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each case with respect to any Credit Facility, any such assignment shall be subject to the following conditions:</w:t>
      </w:r>
    </w:p>
    <w:p>
      <w:pPr>
        <w:spacing w:after="0" w:line="18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0"/>
          <w:szCs w:val="20"/>
          <w:color w:val="auto"/>
        </w:rPr>
        <w:t xml:space="preserve">(cxiii) </w:t>
      </w:r>
      <w:r>
        <w:rPr>
          <w:rFonts w:ascii="Times New Roman" w:cs="Times New Roman" w:eastAsia="Times New Roman" w:hAnsi="Times New Roman"/>
          <w:sz w:val="20"/>
          <w:szCs w:val="20"/>
          <w:u w:val="single" w:color="auto"/>
          <w:color w:val="auto"/>
        </w:rPr>
        <w:t>Minimum Amounts</w:t>
      </w:r>
      <w:r>
        <w:rPr>
          <w:rFonts w:ascii="Times New Roman" w:cs="Times New Roman" w:eastAsia="Times New Roman" w:hAnsi="Times New Roman"/>
          <w:sz w:val="20"/>
          <w:szCs w:val="20"/>
          <w:color w:val="auto"/>
        </w:rPr>
        <w:t>.</w:t>
      </w:r>
    </w:p>
    <w:p>
      <w:pPr>
        <w:spacing w:after="0" w:line="283" w:lineRule="exact"/>
        <w:rPr>
          <w:sz w:val="20"/>
          <w:szCs w:val="20"/>
          <w:color w:val="auto"/>
        </w:rPr>
      </w:pPr>
    </w:p>
    <w:p>
      <w:pPr>
        <w:jc w:val="both"/>
        <w:ind w:left="1340" w:firstLine="642"/>
        <w:spacing w:after="0" w:line="217" w:lineRule="auto"/>
        <w:tabs>
          <w:tab w:leader="none" w:pos="2533" w:val="left"/>
        </w:tabs>
        <w:numPr>
          <w:ilvl w:val="0"/>
          <w:numId w:val="4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an assignment of the entire remaining amount of the assigning Lender’s Commitment and/or the Loans at the time owing to it (in each case with respect to any Credit Facility) or contemporaneous assignments to related Approved Funds that equal at least the amount specified in paragraph (b)(i)(B) of this Section in the aggregate or in the case of an assignment to a Lender, an Affiliate of a Lender or an Approved Fund, no minimum amount need be assigned; and</w:t>
      </w:r>
    </w:p>
    <w:p>
      <w:pPr>
        <w:spacing w:after="0" w:line="202" w:lineRule="exact"/>
        <w:rPr>
          <w:rFonts w:ascii="Times New Roman" w:cs="Times New Roman" w:eastAsia="Times New Roman" w:hAnsi="Times New Roman"/>
          <w:sz w:val="20"/>
          <w:szCs w:val="20"/>
          <w:color w:val="auto"/>
        </w:rPr>
      </w:pPr>
    </w:p>
    <w:p>
      <w:pPr>
        <w:jc w:val="both"/>
        <w:ind w:left="1340" w:firstLine="642"/>
        <w:spacing w:after="0" w:line="211" w:lineRule="auto"/>
        <w:tabs>
          <w:tab w:leader="none" w:pos="2536" w:val="left"/>
        </w:tabs>
        <w:numPr>
          <w:ilvl w:val="0"/>
          <w:numId w:val="4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any case not described in paragraph (b)(i)(A) of this Section, the aggregate amount of the Commitment (which for this purpose includes Loans outstanding thereunder) or, if the applicable Commitment is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$5,000,000, in the case of any assignment in respect of the Revolving Credit Facility, or $1,000,000, in the case of any assignment in respect of the Term Loan Facility, unless each of the Administrative Agent and, so long as no Event of Default has occurred and is continuing, Centuri otherwise consents (each such consent not to be unreasonably withheld or delayed);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Centuri shall be deemed to have given its consent five (5) Business Days after the date written notice thereof has been delivered by the assigning Lender (through the Administrative Agent) unless such consent is expressly refused by Centuri prior to such fifth (5th) Business Day;</w:t>
      </w:r>
    </w:p>
    <w:p>
      <w:pPr>
        <w:spacing w:after="0" w:line="192" w:lineRule="exact"/>
        <w:rPr>
          <w:sz w:val="20"/>
          <w:szCs w:val="20"/>
          <w:color w:val="auto"/>
        </w:rPr>
      </w:pPr>
    </w:p>
    <w:p>
      <w:pPr>
        <w:ind w:left="680" w:firstLine="648"/>
        <w:spacing w:after="0" w:line="222" w:lineRule="auto"/>
        <w:rPr>
          <w:sz w:val="20"/>
          <w:szCs w:val="20"/>
          <w:color w:val="auto"/>
        </w:rPr>
      </w:pPr>
      <w:r>
        <w:rPr>
          <w:rFonts w:ascii="Times New Roman" w:cs="Times New Roman" w:eastAsia="Times New Roman" w:hAnsi="Times New Roman"/>
          <w:sz w:val="20"/>
          <w:szCs w:val="20"/>
          <w:color w:val="auto"/>
        </w:rPr>
        <w:t xml:space="preserve">(cxiv) </w:t>
      </w:r>
      <w:r>
        <w:rPr>
          <w:rFonts w:ascii="Times New Roman" w:cs="Times New Roman" w:eastAsia="Times New Roman" w:hAnsi="Times New Roman"/>
          <w:sz w:val="20"/>
          <w:szCs w:val="20"/>
          <w:u w:val="single" w:color="auto"/>
          <w:color w:val="auto"/>
        </w:rPr>
        <w:t>Proportionate Amounts</w:t>
      </w:r>
      <w:r>
        <w:rPr>
          <w:rFonts w:ascii="Times New Roman" w:cs="Times New Roman" w:eastAsia="Times New Roman" w:hAnsi="Times New Roman"/>
          <w:sz w:val="20"/>
          <w:szCs w:val="20"/>
          <w:color w:val="auto"/>
        </w:rPr>
        <w:t>. Each partial assignment shall be made as an assignment of a proportionate part of all the assigning Lender’s rights and obligations under this Agreement with respect to the Loan or the Commitment assigned and each</w:t>
      </w:r>
    </w:p>
    <w:p>
      <w:pPr>
        <w:spacing w:after="0" w:line="2" w:lineRule="exact"/>
        <w:rPr>
          <w:sz w:val="20"/>
          <w:szCs w:val="20"/>
          <w:color w:val="auto"/>
        </w:rPr>
      </w:pPr>
    </w:p>
    <w:p>
      <w:pPr>
        <w:ind w:left="680" w:right="20"/>
        <w:spacing w:after="0" w:line="221" w:lineRule="auto"/>
        <w:rPr>
          <w:sz w:val="20"/>
          <w:szCs w:val="20"/>
          <w:color w:val="auto"/>
        </w:rPr>
      </w:pPr>
      <w:r>
        <w:rPr>
          <w:rFonts w:ascii="Times New Roman" w:cs="Times New Roman" w:eastAsia="Times New Roman" w:hAnsi="Times New Roman"/>
          <w:sz w:val="20"/>
          <w:szCs w:val="20"/>
          <w:color w:val="auto"/>
        </w:rPr>
        <w:t>assignment of Term Loans shall be a ratable assignment of the assigning Lender’s Term Loans made to the US Borrowers and the assigning Lender’s Term Loans made to the Canadian Borrowers (if any);</w:t>
      </w:r>
    </w:p>
    <w:p>
      <w:pPr>
        <w:spacing w:after="0" w:line="18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0"/>
          <w:szCs w:val="20"/>
          <w:color w:val="auto"/>
        </w:rPr>
        <w:t xml:space="preserve">(cxv)  </w:t>
      </w:r>
      <w:r>
        <w:rPr>
          <w:rFonts w:ascii="Times New Roman" w:cs="Times New Roman" w:eastAsia="Times New Roman" w:hAnsi="Times New Roman"/>
          <w:sz w:val="20"/>
          <w:szCs w:val="20"/>
          <w:u w:val="single" w:color="auto"/>
          <w:color w:val="auto"/>
        </w:rPr>
        <w:t>Required Consents</w:t>
      </w:r>
      <w:r>
        <w:rPr>
          <w:rFonts w:ascii="Times New Roman" w:cs="Times New Roman" w:eastAsia="Times New Roman" w:hAnsi="Times New Roman"/>
          <w:sz w:val="20"/>
          <w:szCs w:val="20"/>
          <w:color w:val="auto"/>
        </w:rPr>
        <w:t>. No consent shall be required for any assignment except to the extent required by paragraph (b)</w:t>
      </w:r>
    </w:p>
    <w:p>
      <w:pPr>
        <w:ind w:left="680"/>
        <w:spacing w:after="0"/>
        <w:rPr>
          <w:sz w:val="20"/>
          <w:szCs w:val="20"/>
          <w:color w:val="auto"/>
        </w:rPr>
      </w:pPr>
      <w:r>
        <w:rPr>
          <w:rFonts w:ascii="Times New Roman" w:cs="Times New Roman" w:eastAsia="Times New Roman" w:hAnsi="Times New Roman"/>
          <w:sz w:val="20"/>
          <w:szCs w:val="20"/>
          <w:color w:val="auto"/>
        </w:rPr>
        <w:t>(i)(B) of this Section and, in addition:</w:t>
      </w:r>
    </w:p>
    <w:p>
      <w:pPr>
        <w:spacing w:after="0" w:line="188" w:lineRule="exact"/>
        <w:rPr>
          <w:sz w:val="20"/>
          <w:szCs w:val="20"/>
          <w:color w:val="auto"/>
        </w:rPr>
      </w:pPr>
    </w:p>
    <w:p>
      <w:pPr>
        <w:ind w:left="2520" w:hanging="538"/>
        <w:spacing w:after="0"/>
        <w:tabs>
          <w:tab w:leader="none" w:pos="2520" w:val="left"/>
        </w:tabs>
        <w:numPr>
          <w:ilvl w:val="1"/>
          <w:numId w:val="4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consent of Centuri (such consent not to be unreasonably withheld or delayed) shall be required unless</w:t>
      </w:r>
    </w:p>
    <w:p>
      <w:pPr>
        <w:jc w:val="both"/>
        <w:ind w:left="1340" w:hanging="7"/>
        <w:spacing w:after="0" w:line="216" w:lineRule="auto"/>
        <w:tabs>
          <w:tab w:leader="none" w:pos="1648" w:val="left"/>
        </w:tabs>
        <w:numPr>
          <w:ilvl w:val="0"/>
          <w:numId w:val="4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 Event of Default has occurred and is continuing at the time of such assignment or (y) such assignment is to a Lender, an Affiliate of a Lender or an Approved Fund;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Centuri shall be deemed to have consented to any such assignment unless it shall object thereto by written notice to the Administrative Agent within five (5) Business Days after having received notice thereof; and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FF0000"/>
          <w:strike w:val="1"/>
        </w:rPr>
        <w:t>146960219_6</w:t>
      </w: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166</w:t>
      </w:r>
      <w:r>
        <w:rPr>
          <w:sz w:val="20"/>
          <w:szCs w:val="20"/>
          <w:color w:val="auto"/>
        </w:rPr>
        <w:tab/>
      </w: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080"/>
          </w:cols>
          <w:pgMar w:left="380" w:top="1413" w:right="439" w:bottom="1440" w:gutter="0" w:footer="0" w:header="0"/>
        </w:sectPr>
      </w:pPr>
    </w:p>
    <w:bookmarkStart w:id="250" w:name="page251"/>
    <w:bookmarkEnd w:id="250"/>
    <w:p>
      <w:pPr>
        <w:spacing w:after="0" w:line="203" w:lineRule="exact"/>
        <w:rPr>
          <w:sz w:val="20"/>
          <w:szCs w:val="20"/>
          <w:color w:val="auto"/>
        </w:rPr>
      </w:pPr>
    </w:p>
    <w:p>
      <w:pPr>
        <w:ind w:left="1340" w:right="60"/>
        <w:spacing w:after="0"/>
        <w:rPr>
          <w:sz w:val="20"/>
          <w:szCs w:val="20"/>
          <w:color w:val="auto"/>
        </w:rPr>
      </w:pPr>
      <w:r>
        <w:rPr>
          <w:rFonts w:ascii="Times New Roman" w:cs="Times New Roman" w:eastAsia="Times New Roman" w:hAnsi="Times New Roman"/>
          <w:sz w:val="20"/>
          <w:szCs w:val="20"/>
          <w:color w:val="auto"/>
        </w:rPr>
        <w:t>that Centuri’s consent shall not be required during the period commencing on the Closing Date and ending on the date that is ninety (90) days following the Closing Date;</w:t>
      </w:r>
    </w:p>
    <w:p>
      <w:pPr>
        <w:spacing w:after="0" w:line="188" w:lineRule="exact"/>
        <w:rPr>
          <w:sz w:val="20"/>
          <w:szCs w:val="20"/>
          <w:color w:val="auto"/>
        </w:rPr>
      </w:pPr>
    </w:p>
    <w:p>
      <w:pPr>
        <w:jc w:val="both"/>
        <w:ind w:left="1340" w:firstLine="641"/>
        <w:spacing w:after="0" w:line="222" w:lineRule="auto"/>
        <w:tabs>
          <w:tab w:leader="none" w:pos="2546" w:val="left"/>
        </w:tabs>
        <w:numPr>
          <w:ilvl w:val="0"/>
          <w:numId w:val="4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consent of the Administrative Agent (such consent not to be unreasonably withheld or delayed) shall be required for assignments in respect of (i) the Revolving Credit Facility if such assignment is to a Person that is not a Lender with a Revolving Credit Commitment, an Affiliate of such Lender or an Approved Fund with respect to such Lender or (ii) the Term Loans to a Person who is not a Lender, an Affiliate of a Lender or an Approved Fund; and</w:t>
      </w:r>
    </w:p>
    <w:p>
      <w:pPr>
        <w:spacing w:after="0" w:line="188" w:lineRule="exact"/>
        <w:rPr>
          <w:rFonts w:ascii="Times New Roman" w:cs="Times New Roman" w:eastAsia="Times New Roman" w:hAnsi="Times New Roman"/>
          <w:sz w:val="20"/>
          <w:szCs w:val="20"/>
          <w:color w:val="auto"/>
        </w:rPr>
      </w:pPr>
    </w:p>
    <w:p>
      <w:pPr>
        <w:ind w:left="1340" w:firstLine="641"/>
        <w:spacing w:after="0"/>
        <w:tabs>
          <w:tab w:leader="none" w:pos="2535" w:val="left"/>
        </w:tabs>
        <w:numPr>
          <w:ilvl w:val="0"/>
          <w:numId w:val="4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consents of the Issuing Lenders and the Swingline Lenders (such consents not to be unreasonably withheld or delayed) shall be required for any assignment in respect of the Revolving Credit Facility.</w:t>
      </w:r>
    </w:p>
    <w:p>
      <w:pPr>
        <w:spacing w:after="0" w:line="188" w:lineRule="exact"/>
        <w:rPr>
          <w:sz w:val="20"/>
          <w:szCs w:val="20"/>
          <w:color w:val="auto"/>
        </w:rPr>
      </w:pPr>
    </w:p>
    <w:p>
      <w:pPr>
        <w:jc w:val="both"/>
        <w:ind w:left="680" w:firstLine="648"/>
        <w:spacing w:after="0" w:line="215" w:lineRule="auto"/>
        <w:rPr>
          <w:sz w:val="20"/>
          <w:szCs w:val="20"/>
          <w:color w:val="auto"/>
        </w:rPr>
      </w:pPr>
      <w:r>
        <w:rPr>
          <w:rFonts w:ascii="Times New Roman" w:cs="Times New Roman" w:eastAsia="Times New Roman" w:hAnsi="Times New Roman"/>
          <w:sz w:val="20"/>
          <w:szCs w:val="20"/>
          <w:color w:val="auto"/>
        </w:rPr>
        <w:t xml:space="preserve">(cxvi) </w:t>
      </w:r>
      <w:r>
        <w:rPr>
          <w:rFonts w:ascii="Times New Roman" w:cs="Times New Roman" w:eastAsia="Times New Roman" w:hAnsi="Times New Roman"/>
          <w:sz w:val="20"/>
          <w:szCs w:val="20"/>
          <w:u w:val="single" w:color="auto"/>
          <w:color w:val="auto"/>
        </w:rPr>
        <w:t>Assignment and Assumption</w:t>
      </w:r>
      <w:r>
        <w:rPr>
          <w:rFonts w:ascii="Times New Roman" w:cs="Times New Roman" w:eastAsia="Times New Roman" w:hAnsi="Times New Roman"/>
          <w:sz w:val="20"/>
          <w:szCs w:val="20"/>
          <w:color w:val="auto"/>
        </w:rPr>
        <w:t xml:space="preserve">. The parties to each assignment shall execute and deliver to the Administrative Agent an Assignment and Assumption, together with a processing and recordation fee of $3,500 for each assignment;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w:t>
      </w:r>
    </w:p>
    <w:p>
      <w:pPr>
        <w:ind w:left="680"/>
        <w:spacing w:after="0" w:line="212" w:lineRule="auto"/>
        <w:rPr>
          <w:sz w:val="20"/>
          <w:szCs w:val="20"/>
          <w:color w:val="auto"/>
        </w:rPr>
      </w:pPr>
      <w:r>
        <w:rPr>
          <w:rFonts w:ascii="Times New Roman" w:cs="Times New Roman" w:eastAsia="Times New Roman" w:hAnsi="Times New Roman"/>
          <w:sz w:val="20"/>
          <w:szCs w:val="20"/>
          <w:color w:val="auto"/>
        </w:rPr>
        <w:t>only one such fee will be payable in connection with simultaneous assignments to two or more related Approved Funds by a</w:t>
      </w:r>
    </w:p>
    <w:p>
      <w:pPr>
        <w:spacing w:after="0" w:line="1" w:lineRule="exact"/>
        <w:rPr>
          <w:sz w:val="20"/>
          <w:szCs w:val="20"/>
          <w:color w:val="auto"/>
        </w:rPr>
      </w:pPr>
    </w:p>
    <w:p>
      <w:pPr>
        <w:jc w:val="both"/>
        <w:ind w:left="680" w:right="20"/>
        <w:spacing w:after="0" w:line="233" w:lineRule="auto"/>
        <w:rPr>
          <w:sz w:val="20"/>
          <w:szCs w:val="20"/>
          <w:color w:val="auto"/>
        </w:rPr>
      </w:pPr>
      <w:r>
        <w:rPr>
          <w:rFonts w:ascii="Times New Roman" w:cs="Times New Roman" w:eastAsia="Times New Roman" w:hAnsi="Times New Roman"/>
          <w:sz w:val="19"/>
          <w:szCs w:val="19"/>
          <w:color w:val="auto"/>
        </w:rPr>
        <w:t>Lender and (B) the Administrative Agent may, in its sole discretion, elect to waive such processing and recordation fee in the case of any assignment. The assignee, if it is not a Lender, shall deliver to the Administrative Agent an Administrative Questionnaire.</w:t>
      </w:r>
    </w:p>
    <w:p>
      <w:pPr>
        <w:spacing w:after="0" w:line="202" w:lineRule="exact"/>
        <w:rPr>
          <w:sz w:val="20"/>
          <w:szCs w:val="20"/>
          <w:color w:val="auto"/>
        </w:rPr>
      </w:pPr>
    </w:p>
    <w:p>
      <w:pPr>
        <w:jc w:val="both"/>
        <w:ind w:left="680" w:firstLine="648"/>
        <w:spacing w:after="0" w:line="254" w:lineRule="auto"/>
        <w:rPr>
          <w:sz w:val="20"/>
          <w:szCs w:val="20"/>
          <w:color w:val="auto"/>
        </w:rPr>
      </w:pPr>
      <w:r>
        <w:rPr>
          <w:rFonts w:ascii="Times New Roman" w:cs="Times New Roman" w:eastAsia="Times New Roman" w:hAnsi="Times New Roman"/>
          <w:sz w:val="20"/>
          <w:szCs w:val="20"/>
          <w:color w:val="auto"/>
        </w:rPr>
        <w:t xml:space="preserve">(cxvii) </w:t>
      </w:r>
      <w:r>
        <w:rPr>
          <w:rFonts w:ascii="Times New Roman" w:cs="Times New Roman" w:eastAsia="Times New Roman" w:hAnsi="Times New Roman"/>
          <w:sz w:val="20"/>
          <w:szCs w:val="20"/>
          <w:u w:val="single" w:color="auto"/>
          <w:color w:val="auto"/>
        </w:rPr>
        <w:t>No Assignment to Certain Persons</w:t>
      </w:r>
      <w:r>
        <w:rPr>
          <w:rFonts w:ascii="Times New Roman" w:cs="Times New Roman" w:eastAsia="Times New Roman" w:hAnsi="Times New Roman"/>
          <w:sz w:val="20"/>
          <w:szCs w:val="20"/>
          <w:color w:val="auto"/>
        </w:rPr>
        <w:t>. No such assignment shall be made to (A) the Borrowers or any of the Borrowers’ respective Subsidiaries or Affiliates or (B) any Defaulting Lender or any of its Subsidiaries, or any Person who, upon becoming a Lender hereunder, would constitute any of the foregoing Persons described in this clause (B).</w:t>
      </w:r>
    </w:p>
    <w:p>
      <w:pPr>
        <w:spacing w:after="0" w:line="215" w:lineRule="exact"/>
        <w:rPr>
          <w:sz w:val="20"/>
          <w:szCs w:val="20"/>
          <w:color w:val="auto"/>
        </w:rPr>
      </w:pPr>
    </w:p>
    <w:p>
      <w:pPr>
        <w:jc w:val="both"/>
        <w:ind w:left="680" w:firstLine="648"/>
        <w:spacing w:after="0" w:line="269" w:lineRule="auto"/>
        <w:rPr>
          <w:sz w:val="20"/>
          <w:szCs w:val="20"/>
          <w:color w:val="auto"/>
        </w:rPr>
      </w:pPr>
      <w:r>
        <w:rPr>
          <w:rFonts w:ascii="Times New Roman" w:cs="Times New Roman" w:eastAsia="Times New Roman" w:hAnsi="Times New Roman"/>
          <w:sz w:val="20"/>
          <w:szCs w:val="20"/>
          <w:color w:val="auto"/>
        </w:rPr>
        <w:t xml:space="preserve">(cxviii) </w:t>
      </w:r>
      <w:r>
        <w:rPr>
          <w:rFonts w:ascii="Times New Roman" w:cs="Times New Roman" w:eastAsia="Times New Roman" w:hAnsi="Times New Roman"/>
          <w:sz w:val="20"/>
          <w:szCs w:val="20"/>
          <w:u w:val="single" w:color="auto"/>
          <w:color w:val="auto"/>
        </w:rPr>
        <w:t>No Assignment to Natural Persons</w:t>
      </w:r>
      <w:r>
        <w:rPr>
          <w:rFonts w:ascii="Times New Roman" w:cs="Times New Roman" w:eastAsia="Times New Roman" w:hAnsi="Times New Roman"/>
          <w:sz w:val="20"/>
          <w:szCs w:val="20"/>
          <w:color w:val="auto"/>
        </w:rPr>
        <w:t>. No such assignment shall be made to a natural Person (or a holding company, investment vehicle or trust for, or owned and operated for the primary benefit of, a natural Person).</w:t>
      </w:r>
    </w:p>
    <w:p>
      <w:pPr>
        <w:spacing w:after="0" w:line="16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0"/>
          <w:szCs w:val="20"/>
          <w:color w:val="auto"/>
        </w:rPr>
        <w:t xml:space="preserve">(cxix) </w:t>
      </w:r>
      <w:r>
        <w:rPr>
          <w:rFonts w:ascii="Times New Roman" w:cs="Times New Roman" w:eastAsia="Times New Roman" w:hAnsi="Times New Roman"/>
          <w:sz w:val="20"/>
          <w:szCs w:val="20"/>
          <w:u w:val="single" w:color="auto"/>
          <w:color w:val="auto"/>
        </w:rPr>
        <w:t>Certain Additional Payments</w:t>
      </w:r>
      <w:r>
        <w:rPr>
          <w:rFonts w:ascii="Times New Roman" w:cs="Times New Roman" w:eastAsia="Times New Roman" w:hAnsi="Times New Roman"/>
          <w:sz w:val="20"/>
          <w:szCs w:val="20"/>
          <w:color w:val="auto"/>
        </w:rPr>
        <w:t>. In connection with any assignment of rights and obligations of any Defaulting</w:t>
      </w:r>
    </w:p>
    <w:p>
      <w:pPr>
        <w:jc w:val="both"/>
        <w:ind w:left="680"/>
        <w:spacing w:after="0" w:line="204" w:lineRule="auto"/>
        <w:rPr>
          <w:sz w:val="20"/>
          <w:szCs w:val="20"/>
          <w:color w:val="auto"/>
        </w:rPr>
      </w:pPr>
      <w:r>
        <w:rPr>
          <w:rFonts w:ascii="Times New Roman" w:cs="Times New Roman" w:eastAsia="Times New Roman" w:hAnsi="Times New Roman"/>
          <w:sz w:val="20"/>
          <w:szCs w:val="20"/>
          <w:color w:val="auto"/>
        </w:rPr>
        <w:t>Lender hereunder, no such assignment shall be effective unless and until, in addition to the other conditions thereto set forth herein, the parties to the assignment shall make such additional payments to the Administrative Agent in an aggregate amount</w:t>
      </w:r>
    </w:p>
    <w:p>
      <w:pPr>
        <w:ind w:left="680"/>
        <w:spacing w:after="0" w:line="223" w:lineRule="auto"/>
        <w:rPr>
          <w:sz w:val="20"/>
          <w:szCs w:val="20"/>
          <w:color w:val="auto"/>
        </w:rPr>
      </w:pPr>
      <w:r>
        <w:rPr>
          <w:rFonts w:ascii="Times New Roman" w:cs="Times New Roman" w:eastAsia="Times New Roman" w:hAnsi="Times New Roman"/>
          <w:sz w:val="19"/>
          <w:szCs w:val="19"/>
          <w:color w:val="auto"/>
        </w:rPr>
        <w:t>sufficient, upon distribution thereof as appropriate (which may be outright payment, purchases by the assignee of participations or</w:t>
      </w:r>
    </w:p>
    <w:p>
      <w:pPr>
        <w:jc w:val="both"/>
        <w:ind w:left="680"/>
        <w:spacing w:after="0" w:line="215" w:lineRule="auto"/>
        <w:rPr>
          <w:sz w:val="20"/>
          <w:szCs w:val="20"/>
          <w:color w:val="auto"/>
        </w:rPr>
      </w:pPr>
      <w:r>
        <w:rPr>
          <w:rFonts w:ascii="Times New Roman" w:cs="Times New Roman" w:eastAsia="Times New Roman" w:hAnsi="Times New Roman"/>
          <w:sz w:val="19"/>
          <w:szCs w:val="19"/>
          <w:color w:val="auto"/>
        </w:rPr>
        <w:t xml:space="preserve">subparticipations, or other compensating actions, including funding, with the consent of Centuri and the Administrative Agent, the applicable </w:t>
      </w:r>
      <w:r>
        <w:rPr>
          <w:rFonts w:ascii="Times New Roman" w:cs="Times New Roman" w:eastAsia="Times New Roman" w:hAnsi="Times New Roman"/>
          <w:sz w:val="19"/>
          <w:szCs w:val="19"/>
          <w:u w:val="single" w:color="auto"/>
          <w:color w:val="auto"/>
        </w:rPr>
        <w:t>pro rata</w:t>
      </w:r>
      <w:r>
        <w:rPr>
          <w:rFonts w:ascii="Times New Roman" w:cs="Times New Roman" w:eastAsia="Times New Roman" w:hAnsi="Times New Roman"/>
          <w:sz w:val="19"/>
          <w:szCs w:val="19"/>
          <w:color w:val="auto"/>
        </w:rPr>
        <w:t xml:space="preserve"> share of Loans previously requested, but not funded by, the Defaulting Lender, to each of which the applicable</w:t>
      </w:r>
    </w:p>
    <w:p>
      <w:pPr>
        <w:ind w:left="680"/>
        <w:spacing w:after="0" w:line="211" w:lineRule="auto"/>
        <w:rPr>
          <w:sz w:val="20"/>
          <w:szCs w:val="20"/>
          <w:color w:val="auto"/>
        </w:rPr>
      </w:pPr>
      <w:r>
        <w:rPr>
          <w:rFonts w:ascii="Times New Roman" w:cs="Times New Roman" w:eastAsia="Times New Roman" w:hAnsi="Times New Roman"/>
          <w:sz w:val="20"/>
          <w:szCs w:val="20"/>
          <w:color w:val="auto"/>
        </w:rPr>
        <w:t>assignee and assignor hereby irrevocably consent), to (A) pay and satisfy in full all payment liabilities then owed by such</w:t>
      </w:r>
    </w:p>
    <w:p>
      <w:pPr>
        <w:jc w:val="both"/>
        <w:ind w:left="680" w:right="20"/>
        <w:spacing w:after="0" w:line="215" w:lineRule="auto"/>
        <w:rPr>
          <w:sz w:val="20"/>
          <w:szCs w:val="20"/>
          <w:color w:val="auto"/>
        </w:rPr>
      </w:pPr>
      <w:r>
        <w:rPr>
          <w:rFonts w:ascii="Times New Roman" w:cs="Times New Roman" w:eastAsia="Times New Roman" w:hAnsi="Times New Roman"/>
          <w:sz w:val="19"/>
          <w:szCs w:val="19"/>
          <w:color w:val="auto"/>
        </w:rPr>
        <w:t xml:space="preserve">Defaulting Lender to the Administrative Agent, the Issuing Lenders, the Swingline Lenders and each other Lender hereunder (and interest accrued thereon), and (B) acquire (and fund as appropriate) its full </w:t>
      </w:r>
      <w:r>
        <w:rPr>
          <w:rFonts w:ascii="Times New Roman" w:cs="Times New Roman" w:eastAsia="Times New Roman" w:hAnsi="Times New Roman"/>
          <w:sz w:val="19"/>
          <w:szCs w:val="19"/>
          <w:u w:val="single" w:color="auto"/>
          <w:color w:val="auto"/>
        </w:rPr>
        <w:t>pro rata</w:t>
      </w:r>
      <w:r>
        <w:rPr>
          <w:rFonts w:ascii="Times New Roman" w:cs="Times New Roman" w:eastAsia="Times New Roman" w:hAnsi="Times New Roman"/>
          <w:sz w:val="19"/>
          <w:szCs w:val="19"/>
          <w:color w:val="auto"/>
        </w:rPr>
        <w:t xml:space="preserve"> share of all Loans and participations in Letters</w:t>
      </w:r>
    </w:p>
    <w:p>
      <w:pPr>
        <w:ind w:left="680"/>
        <w:spacing w:after="0" w:line="211" w:lineRule="auto"/>
        <w:rPr>
          <w:sz w:val="20"/>
          <w:szCs w:val="20"/>
          <w:color w:val="auto"/>
        </w:rPr>
      </w:pPr>
      <w:r>
        <w:rPr>
          <w:rFonts w:ascii="Times New Roman" w:cs="Times New Roman" w:eastAsia="Times New Roman" w:hAnsi="Times New Roman"/>
          <w:sz w:val="20"/>
          <w:szCs w:val="20"/>
          <w:color w:val="auto"/>
        </w:rPr>
        <w:t>of Credit and Swingline Loans in accordance with its Revolving Credit Commitment Percentage. Notwithstanding the foregoing,</w:t>
      </w:r>
    </w:p>
    <w:p>
      <w:pPr>
        <w:jc w:val="both"/>
        <w:ind w:left="680"/>
        <w:spacing w:after="0" w:line="215" w:lineRule="auto"/>
        <w:rPr>
          <w:sz w:val="20"/>
          <w:szCs w:val="20"/>
          <w:color w:val="auto"/>
        </w:rPr>
      </w:pPr>
      <w:r>
        <w:rPr>
          <w:rFonts w:ascii="Times New Roman" w:cs="Times New Roman" w:eastAsia="Times New Roman" w:hAnsi="Times New Roman"/>
          <w:sz w:val="19"/>
          <w:szCs w:val="19"/>
          <w:color w:val="auto"/>
        </w:rPr>
        <w:t>in the event that any assignment of rights and obligations of any Defaulting Lender hereunder shall become effective under Applicable Law without compliance with the provisions of this paragraph, then the assignee of such interest shall be deemed to be</w:t>
      </w:r>
    </w:p>
    <w:p>
      <w:pPr>
        <w:ind w:left="680"/>
        <w:spacing w:after="0"/>
        <w:rPr>
          <w:sz w:val="20"/>
          <w:szCs w:val="20"/>
          <w:color w:val="auto"/>
        </w:rPr>
      </w:pPr>
      <w:r>
        <w:rPr>
          <w:rFonts w:ascii="Times New Roman" w:cs="Times New Roman" w:eastAsia="Times New Roman" w:hAnsi="Times New Roman"/>
          <w:sz w:val="20"/>
          <w:szCs w:val="20"/>
          <w:color w:val="auto"/>
        </w:rPr>
        <w:t>a Defaulting Lender for all purposes of this Agreement until such compliance occurs.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FF0000"/>
          <w:strike w:val="1"/>
        </w:rPr>
        <w:t>146960219_6</w:t>
      </w: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167</w:t>
      </w:r>
      <w:r>
        <w:rPr>
          <w:sz w:val="20"/>
          <w:szCs w:val="20"/>
          <w:color w:val="auto"/>
        </w:rPr>
        <w:tab/>
      </w: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080"/>
          </w:cols>
          <w:pgMar w:left="380" w:top="1440" w:right="439" w:bottom="1440" w:gutter="0" w:footer="0" w:header="0"/>
        </w:sectPr>
      </w:pPr>
    </w:p>
    <w:bookmarkStart w:id="251" w:name="page252"/>
    <w:bookmarkEnd w:id="251"/>
    <w:p>
      <w:pPr>
        <w:ind w:left="60"/>
        <w:spacing w:after="0"/>
        <w:rPr>
          <w:sz w:val="20"/>
          <w:szCs w:val="20"/>
          <w:color w:val="auto"/>
        </w:rPr>
      </w:pPr>
      <w:r>
        <w:rPr>
          <w:rFonts w:ascii="Times New Roman" w:cs="Times New Roman" w:eastAsia="Times New Roman" w:hAnsi="Times New Roman"/>
          <w:sz w:val="20"/>
          <w:szCs w:val="20"/>
          <w:color w:val="auto"/>
        </w:rPr>
        <w:t>Subject to acceptance and recording thereof by the Administrative Agent pursuant to paragraph (c) of this Section, from and after the</w:t>
      </w:r>
    </w:p>
    <w:p>
      <w:pPr>
        <w:ind w:left="60"/>
        <w:spacing w:after="0" w:line="204" w:lineRule="auto"/>
        <w:rPr>
          <w:sz w:val="20"/>
          <w:szCs w:val="20"/>
          <w:color w:val="auto"/>
        </w:rPr>
      </w:pPr>
      <w:r>
        <w:rPr>
          <w:rFonts w:ascii="Times New Roman" w:cs="Times New Roman" w:eastAsia="Times New Roman" w:hAnsi="Times New Roman"/>
          <w:sz w:val="20"/>
          <w:szCs w:val="20"/>
          <w:color w:val="auto"/>
        </w:rPr>
        <w:t>effective date specified in each Assignment and Assumption, the assignee thereunder shall be a party to this Agreement and, to the extent of the interest assigned by such Assignment and Assumption, have the rights and obligations of a Lender under this Agreement, and the</w:t>
      </w:r>
    </w:p>
    <w:p>
      <w:pPr>
        <w:ind w:left="60"/>
        <w:spacing w:after="0" w:line="211" w:lineRule="auto"/>
        <w:rPr>
          <w:sz w:val="20"/>
          <w:szCs w:val="20"/>
          <w:color w:val="auto"/>
        </w:rPr>
      </w:pPr>
      <w:r>
        <w:rPr>
          <w:rFonts w:ascii="Times New Roman" w:cs="Times New Roman" w:eastAsia="Times New Roman" w:hAnsi="Times New Roman"/>
          <w:sz w:val="20"/>
          <w:szCs w:val="20"/>
          <w:color w:val="auto"/>
        </w:rPr>
        <w:t>assigning Lender thereunder shall, to the extent of the interest assigned by such Assignment and Assumption, be released from its</w:t>
      </w:r>
    </w:p>
    <w:p>
      <w:pPr>
        <w:spacing w:after="0" w:line="1" w:lineRule="exact"/>
        <w:rPr>
          <w:sz w:val="20"/>
          <w:szCs w:val="20"/>
          <w:color w:val="auto"/>
        </w:rPr>
      </w:pPr>
    </w:p>
    <w:p>
      <w:pPr>
        <w:ind w:left="60"/>
        <w:spacing w:after="0" w:line="215" w:lineRule="auto"/>
        <w:rPr>
          <w:sz w:val="20"/>
          <w:szCs w:val="20"/>
          <w:color w:val="auto"/>
        </w:rPr>
      </w:pPr>
      <w:r>
        <w:rPr>
          <w:rFonts w:ascii="Times New Roman" w:cs="Times New Roman" w:eastAsia="Times New Roman" w:hAnsi="Times New Roman"/>
          <w:sz w:val="19"/>
          <w:szCs w:val="19"/>
          <w:color w:val="auto"/>
        </w:rPr>
        <w:t xml:space="preserve">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cs="Times New Roman" w:eastAsia="Times New Roman" w:hAnsi="Times New Roman"/>
          <w:sz w:val="19"/>
          <w:szCs w:val="19"/>
          <w:u w:val="single" w:color="auto"/>
          <w:color w:val="auto"/>
        </w:rPr>
        <w:t>Sections</w:t>
      </w:r>
    </w:p>
    <w:p>
      <w:pPr>
        <w:ind w:left="60"/>
        <w:spacing w:after="0" w:line="222" w:lineRule="auto"/>
        <w:rPr>
          <w:sz w:val="20"/>
          <w:szCs w:val="20"/>
          <w:color w:val="auto"/>
        </w:rPr>
      </w:pPr>
      <w:r>
        <w:rPr>
          <w:rFonts w:ascii="Times New Roman" w:cs="Times New Roman" w:eastAsia="Times New Roman" w:hAnsi="Times New Roman"/>
          <w:sz w:val="19"/>
          <w:szCs w:val="19"/>
          <w:u w:val="single" w:color="auto"/>
          <w:color w:val="auto"/>
        </w:rPr>
        <w:t>5.8</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5.9</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5.10</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5.11</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12.3</w:t>
      </w:r>
      <w:r>
        <w:rPr>
          <w:rFonts w:ascii="Times New Roman" w:cs="Times New Roman" w:eastAsia="Times New Roman" w:hAnsi="Times New Roman"/>
          <w:sz w:val="19"/>
          <w:szCs w:val="19"/>
          <w:color w:val="auto"/>
        </w:rPr>
        <w:t xml:space="preserve"> with respect to facts and circumstances occurring prior to the effective date of such assignment;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w:t>
      </w:r>
    </w:p>
    <w:p>
      <w:pPr>
        <w:ind w:left="60"/>
        <w:spacing w:after="0" w:line="204" w:lineRule="auto"/>
        <w:rPr>
          <w:sz w:val="20"/>
          <w:szCs w:val="20"/>
          <w:color w:val="auto"/>
        </w:rPr>
      </w:pPr>
      <w:r>
        <w:rPr>
          <w:rFonts w:ascii="Times New Roman" w:cs="Times New Roman" w:eastAsia="Times New Roman" w:hAnsi="Times New Roman"/>
          <w:sz w:val="20"/>
          <w:szCs w:val="20"/>
          <w:color w:val="auto"/>
        </w:rPr>
        <w:t>except to the extent otherwise expressly agreed by the affected parties, no assignment by a Defaulting Lender will constitute a waiver or release of any claim of any party hereunder arising from that Lender’s having been a Defaulting Lender. Any assignment or transfer by a</w:t>
      </w:r>
    </w:p>
    <w:p>
      <w:pPr>
        <w:ind w:left="60"/>
        <w:spacing w:after="0" w:line="211" w:lineRule="auto"/>
        <w:rPr>
          <w:sz w:val="20"/>
          <w:szCs w:val="20"/>
          <w:color w:val="auto"/>
        </w:rPr>
      </w:pPr>
      <w:r>
        <w:rPr>
          <w:rFonts w:ascii="Times New Roman" w:cs="Times New Roman" w:eastAsia="Times New Roman" w:hAnsi="Times New Roman"/>
          <w:sz w:val="20"/>
          <w:szCs w:val="20"/>
          <w:color w:val="auto"/>
        </w:rPr>
        <w:t>Lender of rights or obligations under this Agreement that does not comply with this paragraph shall be treated for purposes of this</w:t>
      </w:r>
    </w:p>
    <w:p>
      <w:pPr>
        <w:spacing w:after="0" w:line="1" w:lineRule="exact"/>
        <w:rPr>
          <w:sz w:val="20"/>
          <w:szCs w:val="20"/>
          <w:color w:val="auto"/>
        </w:rPr>
      </w:pPr>
    </w:p>
    <w:p>
      <w:pPr>
        <w:ind w:left="60"/>
        <w:spacing w:after="0" w:line="215" w:lineRule="auto"/>
        <w:rPr>
          <w:sz w:val="20"/>
          <w:szCs w:val="20"/>
          <w:color w:val="auto"/>
        </w:rPr>
      </w:pPr>
      <w:r>
        <w:rPr>
          <w:rFonts w:ascii="Times New Roman" w:cs="Times New Roman" w:eastAsia="Times New Roman" w:hAnsi="Times New Roman"/>
          <w:sz w:val="19"/>
          <w:szCs w:val="19"/>
          <w:color w:val="auto"/>
        </w:rPr>
        <w:t>Agreement as a sale by such Lender of a participation in such rights and obligations in accordance with paragraph (d) of this Section (other than a purported assignment to a natural Person or any Borrower or any of the Borrowers’ Subsidiaries or Affiliates, which shall be null</w:t>
      </w:r>
    </w:p>
    <w:p>
      <w:pPr>
        <w:ind w:left="60"/>
        <w:spacing w:after="0"/>
        <w:rPr>
          <w:sz w:val="20"/>
          <w:szCs w:val="20"/>
          <w:color w:val="auto"/>
        </w:rPr>
      </w:pPr>
      <w:r>
        <w:rPr>
          <w:rFonts w:ascii="Times New Roman" w:cs="Times New Roman" w:eastAsia="Times New Roman" w:hAnsi="Times New Roman"/>
          <w:sz w:val="20"/>
          <w:szCs w:val="20"/>
          <w:color w:val="auto"/>
        </w:rPr>
        <w:t>and void.)</w:t>
      </w:r>
    </w:p>
    <w:p>
      <w:pPr>
        <w:spacing w:after="0" w:line="194" w:lineRule="exact"/>
        <w:rPr>
          <w:sz w:val="20"/>
          <w:szCs w:val="20"/>
          <w:color w:val="auto"/>
        </w:rPr>
      </w:pPr>
    </w:p>
    <w:p>
      <w:pPr>
        <w:jc w:val="both"/>
        <w:ind w:left="60" w:firstLine="644"/>
        <w:spacing w:after="0" w:line="215" w:lineRule="auto"/>
        <w:tabs>
          <w:tab w:leader="none" w:pos="1239" w:val="left"/>
        </w:tabs>
        <w:numPr>
          <w:ilvl w:val="0"/>
          <w:numId w:val="4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Register</w:t>
      </w:r>
      <w:r>
        <w:rPr>
          <w:rFonts w:ascii="Times New Roman" w:cs="Times New Roman" w:eastAsia="Times New Roman" w:hAnsi="Times New Roman"/>
          <w:sz w:val="20"/>
          <w:szCs w:val="20"/>
          <w:color w:val="auto"/>
        </w:rPr>
        <w:t>. The Administrative Agent, acting solely for this purpose as a non-fiduciary agent of the Borrowers, shall maintain at one of its offices in Charlotte, North Carolina, a copy of each Assignment and Assumption and each Incremental Amendment delivered to it and a register for the recordation of the names and addresses of the Lenders, and the Commitment of, and principal amounts of (and stated interest on) the Loans owing to, each Lender pursuant to the terms hereof from time to time (the “</w:t>
      </w:r>
      <w:r>
        <w:rPr>
          <w:rFonts w:ascii="Times New Roman" w:cs="Times New Roman" w:eastAsia="Times New Roman" w:hAnsi="Times New Roman"/>
          <w:sz w:val="20"/>
          <w:szCs w:val="20"/>
          <w:u w:val="single" w:color="auto"/>
          <w:color w:val="auto"/>
        </w:rPr>
        <w:t>Register</w:t>
      </w:r>
      <w:r>
        <w:rPr>
          <w:rFonts w:ascii="Times New Roman" w:cs="Times New Roman" w:eastAsia="Times New Roman" w:hAnsi="Times New Roman"/>
          <w:sz w:val="20"/>
          <w:szCs w:val="20"/>
          <w:color w:val="auto"/>
        </w:rPr>
        <w:t>”). The entries in the Register shall be conclusive, absent manifest error, and the Borrowers, the Administrative Agent and the Lenders shall treat each Person whose name is recorded in the Register pursuant to the terms hereof as a Lender hereunder for all purposes of this Agreement. The Register shall be available for inspection by the Borrowers and any Lender (but only to the extent of entries in the Register that are applicable to such Lender), at any reasonable time and from time to time upon reasonable prior notice.</w:t>
      </w:r>
    </w:p>
    <w:p>
      <w:pPr>
        <w:spacing w:after="0" w:line="187" w:lineRule="exact"/>
        <w:rPr>
          <w:rFonts w:ascii="Times New Roman" w:cs="Times New Roman" w:eastAsia="Times New Roman" w:hAnsi="Times New Roman"/>
          <w:sz w:val="20"/>
          <w:szCs w:val="20"/>
          <w:color w:val="auto"/>
        </w:rPr>
      </w:pPr>
    </w:p>
    <w:p>
      <w:pPr>
        <w:jc w:val="both"/>
        <w:ind w:left="60" w:firstLine="644"/>
        <w:spacing w:after="0" w:line="224" w:lineRule="auto"/>
        <w:tabs>
          <w:tab w:leader="none" w:pos="1236" w:val="left"/>
        </w:tabs>
        <w:numPr>
          <w:ilvl w:val="0"/>
          <w:numId w:val="4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Participations</w:t>
      </w:r>
      <w:r>
        <w:rPr>
          <w:rFonts w:ascii="Times New Roman" w:cs="Times New Roman" w:eastAsia="Times New Roman" w:hAnsi="Times New Roman"/>
          <w:sz w:val="19"/>
          <w:szCs w:val="19"/>
          <w:color w:val="auto"/>
        </w:rPr>
        <w:t>. Any Lender may at any time, without the consent of, or notice to, the Borrowers or the Administrative Agent, sell participations to any Person (other than a natural Person (or a holding company, investment vehicle or trust for, or owned and operated for the primary benefit of, a natural person) or any Borrower or any of the Borrowers’ Subsidiaries or Affiliates) (each, a “</w:t>
      </w:r>
      <w:r>
        <w:rPr>
          <w:rFonts w:ascii="Times New Roman" w:cs="Times New Roman" w:eastAsia="Times New Roman" w:hAnsi="Times New Roman"/>
          <w:sz w:val="19"/>
          <w:szCs w:val="19"/>
          <w:u w:val="single" w:color="auto"/>
          <w:color w:val="auto"/>
        </w:rPr>
        <w:t>Participant</w:t>
      </w:r>
      <w:r>
        <w:rPr>
          <w:rFonts w:ascii="Times New Roman" w:cs="Times New Roman" w:eastAsia="Times New Roman" w:hAnsi="Times New Roman"/>
          <w:sz w:val="19"/>
          <w:szCs w:val="19"/>
          <w:color w:val="auto"/>
        </w:rPr>
        <w:t xml:space="preserve">”) in all or a portion of such Lender’s rights and/or obligations under this Agreement (including all or a portion of its Commitment and/or the Loans owing to it);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such Lender’s obligations under this Agreement shall remain unchanged, (ii) such Lender shall remain solely responsible to the other parties hereto for the performance of such obligations and (iii) the Borrowers, the Administrative Agent, the Issuing Lenders, the Swingline Lenders and the other Lenders shall continue to deal solely and directly with such Lender in connection with such Lender’s rights and obligations under this Agreement. For the avoidance of doubt, each Lender shall be responsible for the indemnity under </w:t>
      </w:r>
      <w:r>
        <w:rPr>
          <w:rFonts w:ascii="Times New Roman" w:cs="Times New Roman" w:eastAsia="Times New Roman" w:hAnsi="Times New Roman"/>
          <w:sz w:val="19"/>
          <w:szCs w:val="19"/>
          <w:u w:val="single" w:color="auto"/>
          <w:color w:val="auto"/>
        </w:rPr>
        <w:t>Section 12.3(c)</w:t>
      </w:r>
      <w:r>
        <w:rPr>
          <w:rFonts w:ascii="Times New Roman" w:cs="Times New Roman" w:eastAsia="Times New Roman" w:hAnsi="Times New Roman"/>
          <w:sz w:val="19"/>
          <w:szCs w:val="19"/>
          <w:color w:val="auto"/>
        </w:rPr>
        <w:t xml:space="preserve"> with respect to any payments made by such Lender to its Participant(s).</w:t>
      </w:r>
    </w:p>
    <w:p>
      <w:pPr>
        <w:spacing w:after="0" w:line="190" w:lineRule="exact"/>
        <w:rPr>
          <w:sz w:val="20"/>
          <w:szCs w:val="20"/>
          <w:color w:val="auto"/>
        </w:rPr>
      </w:pPr>
    </w:p>
    <w:p>
      <w:pPr>
        <w:ind w:left="60"/>
        <w:spacing w:after="0" w:line="234" w:lineRule="auto"/>
        <w:rPr>
          <w:sz w:val="20"/>
          <w:szCs w:val="20"/>
          <w:color w:val="auto"/>
        </w:rPr>
      </w:pPr>
      <w:r>
        <w:rPr>
          <w:rFonts w:ascii="Times New Roman" w:cs="Times New Roman" w:eastAsia="Times New Roman" w:hAnsi="Times New Roman"/>
          <w:sz w:val="19"/>
          <w:szCs w:val="19"/>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w:t>
      </w:r>
    </w:p>
    <w:p>
      <w:pPr>
        <w:spacing w:after="0" w:line="1" w:lineRule="exact"/>
        <w:rPr>
          <w:sz w:val="20"/>
          <w:szCs w:val="20"/>
          <w:color w:val="auto"/>
        </w:rPr>
      </w:pPr>
    </w:p>
    <w:p>
      <w:pPr>
        <w:ind w:left="60"/>
        <w:spacing w:after="0" w:line="204" w:lineRule="auto"/>
        <w:rPr>
          <w:sz w:val="20"/>
          <w:szCs w:val="20"/>
          <w:color w:val="auto"/>
        </w:rPr>
      </w:pPr>
      <w:r>
        <w:rPr>
          <w:rFonts w:ascii="Times New Roman" w:cs="Times New Roman" w:eastAsia="Times New Roman" w:hAnsi="Times New Roman"/>
          <w:sz w:val="20"/>
          <w:szCs w:val="20"/>
          <w:color w:val="auto"/>
        </w:rPr>
        <w:t xml:space="preserve">agreement or instrument may provide that such Lender will not, without the consent of the Participant, agree to any amendment, modification or waiver described in </w:t>
      </w:r>
      <w:r>
        <w:rPr>
          <w:rFonts w:ascii="Times New Roman" w:cs="Times New Roman" w:eastAsia="Times New Roman" w:hAnsi="Times New Roman"/>
          <w:sz w:val="20"/>
          <w:szCs w:val="20"/>
          <w:u w:val="single" w:color="auto"/>
          <w:color w:val="auto"/>
        </w:rPr>
        <w:t>Section 12.2(b)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(e)</w:t>
      </w:r>
      <w:r>
        <w:rPr>
          <w:rFonts w:ascii="Times New Roman" w:cs="Times New Roman" w:eastAsia="Times New Roman" w:hAnsi="Times New Roman"/>
          <w:sz w:val="20"/>
          <w:szCs w:val="20"/>
          <w:color w:val="auto"/>
        </w:rPr>
        <w:t xml:space="preserve"> that directly and adversely affects such Participant. The Borrowers</w:t>
      </w:r>
    </w:p>
    <w:p>
      <w:pPr>
        <w:ind w:left="60"/>
        <w:spacing w:after="0" w:line="211" w:lineRule="auto"/>
        <w:rPr>
          <w:sz w:val="20"/>
          <w:szCs w:val="20"/>
          <w:color w:val="auto"/>
        </w:rPr>
      </w:pPr>
      <w:r>
        <w:rPr>
          <w:rFonts w:ascii="Times New Roman" w:cs="Times New Roman" w:eastAsia="Times New Roman" w:hAnsi="Times New Roman"/>
          <w:sz w:val="20"/>
          <w:szCs w:val="20"/>
          <w:color w:val="auto"/>
        </w:rPr>
        <w:t xml:space="preserve">agree that each Participant shall be entitled to the benefits of </w:t>
      </w:r>
      <w:r>
        <w:rPr>
          <w:rFonts w:ascii="Times New Roman" w:cs="Times New Roman" w:eastAsia="Times New Roman" w:hAnsi="Times New Roman"/>
          <w:sz w:val="20"/>
          <w:szCs w:val="20"/>
          <w:u w:val="single" w:color="auto"/>
          <w:color w:val="auto"/>
        </w:rPr>
        <w:t>Sections 5.9</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5.10</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5.11</w:t>
      </w:r>
      <w:r>
        <w:rPr>
          <w:rFonts w:ascii="Times New Roman" w:cs="Times New Roman" w:eastAsia="Times New Roman" w:hAnsi="Times New Roman"/>
          <w:sz w:val="20"/>
          <w:szCs w:val="20"/>
          <w:color w:val="auto"/>
        </w:rPr>
        <w:t xml:space="preserve"> (subject to the requirements and limitations</w:t>
      </w:r>
    </w:p>
    <w:p>
      <w:pPr>
        <w:spacing w:after="0" w:line="1" w:lineRule="exact"/>
        <w:rPr>
          <w:sz w:val="20"/>
          <w:szCs w:val="20"/>
          <w:color w:val="auto"/>
        </w:rPr>
      </w:pPr>
    </w:p>
    <w:p>
      <w:pPr>
        <w:ind w:left="60" w:right="20"/>
        <w:spacing w:after="0" w:line="221" w:lineRule="auto"/>
        <w:rPr>
          <w:sz w:val="20"/>
          <w:szCs w:val="20"/>
          <w:color w:val="auto"/>
        </w:rPr>
      </w:pPr>
      <w:r>
        <w:rPr>
          <w:rFonts w:ascii="Times New Roman" w:cs="Times New Roman" w:eastAsia="Times New Roman" w:hAnsi="Times New Roman"/>
          <w:sz w:val="20"/>
          <w:szCs w:val="20"/>
          <w:color w:val="auto"/>
        </w:rPr>
        <w:t xml:space="preserve">therein, including the requirements under </w:t>
      </w:r>
      <w:r>
        <w:rPr>
          <w:rFonts w:ascii="Times New Roman" w:cs="Times New Roman" w:eastAsia="Times New Roman" w:hAnsi="Times New Roman"/>
          <w:sz w:val="20"/>
          <w:szCs w:val="20"/>
          <w:u w:val="single" w:color="auto"/>
          <w:color w:val="auto"/>
        </w:rPr>
        <w:t>Section 5.11(g)</w:t>
      </w:r>
      <w:r>
        <w:rPr>
          <w:rFonts w:ascii="Times New Roman" w:cs="Times New Roman" w:eastAsia="Times New Roman" w:hAnsi="Times New Roman"/>
          <w:sz w:val="20"/>
          <w:szCs w:val="20"/>
          <w:color w:val="auto"/>
        </w:rPr>
        <w:t xml:space="preserve"> (it being understood that the documentation required under </w:t>
      </w:r>
      <w:r>
        <w:rPr>
          <w:rFonts w:ascii="Times New Roman" w:cs="Times New Roman" w:eastAsia="Times New Roman" w:hAnsi="Times New Roman"/>
          <w:sz w:val="20"/>
          <w:szCs w:val="20"/>
          <w:u w:val="single" w:color="auto"/>
          <w:color w:val="auto"/>
        </w:rPr>
        <w:t>Section 5.11(g)</w:t>
      </w:r>
      <w:r>
        <w:rPr>
          <w:rFonts w:ascii="Times New Roman" w:cs="Times New Roman" w:eastAsia="Times New Roman" w:hAnsi="Times New Roman"/>
          <w:sz w:val="20"/>
          <w:szCs w:val="20"/>
          <w:color w:val="auto"/>
        </w:rPr>
        <w:t xml:space="preserve"> shall be delivered to the participating</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FF0000"/>
          <w:strike w:val="1"/>
        </w:rPr>
        <w:t>146960219_6</w:t>
      </w: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168</w:t>
      </w:r>
      <w:r>
        <w:rPr>
          <w:sz w:val="20"/>
          <w:szCs w:val="20"/>
          <w:color w:val="auto"/>
        </w:rPr>
        <w:tab/>
      </w: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080"/>
          </w:cols>
          <w:pgMar w:left="380" w:top="1394" w:right="439" w:bottom="1440" w:gutter="0" w:footer="0" w:header="0"/>
        </w:sectPr>
      </w:pPr>
    </w:p>
    <w:bookmarkStart w:id="252" w:name="page253"/>
    <w:bookmarkEnd w:id="252"/>
    <w:p>
      <w:pPr>
        <w:ind w:left="40"/>
        <w:spacing w:after="0"/>
        <w:rPr>
          <w:sz w:val="20"/>
          <w:szCs w:val="20"/>
          <w:color w:val="auto"/>
        </w:rPr>
      </w:pPr>
      <w:r>
        <w:rPr>
          <w:rFonts w:ascii="Times New Roman" w:cs="Times New Roman" w:eastAsia="Times New Roman" w:hAnsi="Times New Roman"/>
          <w:sz w:val="20"/>
          <w:szCs w:val="20"/>
          <w:color w:val="auto"/>
        </w:rPr>
        <w:t>Lender)) to the same extent as if it were a Lender and had acquired its interest by assignment pursuant to paragraph (b) of this Section;</w:t>
      </w:r>
    </w:p>
    <w:p>
      <w:pPr>
        <w:ind w:left="40"/>
        <w:spacing w:after="0" w:line="215" w:lineRule="auto"/>
        <w:rPr>
          <w:sz w:val="20"/>
          <w:szCs w:val="20"/>
          <w:color w:val="auto"/>
        </w:rPr>
      </w:pP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Participant (A) agrees to be subject to the provisions of </w:t>
      </w:r>
      <w:r>
        <w:rPr>
          <w:rFonts w:ascii="Times New Roman" w:cs="Times New Roman" w:eastAsia="Times New Roman" w:hAnsi="Times New Roman"/>
          <w:sz w:val="19"/>
          <w:szCs w:val="19"/>
          <w:u w:val="single" w:color="auto"/>
          <w:color w:val="auto"/>
        </w:rPr>
        <w:t>Section 5.12</w:t>
      </w:r>
      <w:r>
        <w:rPr>
          <w:rFonts w:ascii="Times New Roman" w:cs="Times New Roman" w:eastAsia="Times New Roman" w:hAnsi="Times New Roman"/>
          <w:sz w:val="19"/>
          <w:szCs w:val="19"/>
          <w:color w:val="auto"/>
        </w:rPr>
        <w:t xml:space="preserve"> as if it were an assignee under paragraph (b) of this Section; and (B) shall not be entitled to receive any greater payment under </w:t>
      </w:r>
      <w:r>
        <w:rPr>
          <w:rFonts w:ascii="Times New Roman" w:cs="Times New Roman" w:eastAsia="Times New Roman" w:hAnsi="Times New Roman"/>
          <w:sz w:val="19"/>
          <w:szCs w:val="19"/>
          <w:u w:val="single" w:color="auto"/>
          <w:color w:val="auto"/>
        </w:rPr>
        <w:t>Sections 5.10</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5.11</w:t>
      </w:r>
      <w:r>
        <w:rPr>
          <w:rFonts w:ascii="Times New Roman" w:cs="Times New Roman" w:eastAsia="Times New Roman" w:hAnsi="Times New Roman"/>
          <w:sz w:val="19"/>
          <w:szCs w:val="19"/>
          <w:color w:val="auto"/>
        </w:rPr>
        <w:t>, with respect to any participation, than its</w:t>
      </w:r>
    </w:p>
    <w:p>
      <w:pPr>
        <w:ind w:left="40"/>
        <w:spacing w:after="0" w:line="211" w:lineRule="auto"/>
        <w:rPr>
          <w:sz w:val="20"/>
          <w:szCs w:val="20"/>
          <w:color w:val="auto"/>
        </w:rPr>
      </w:pPr>
      <w:r>
        <w:rPr>
          <w:rFonts w:ascii="Times New Roman" w:cs="Times New Roman" w:eastAsia="Times New Roman" w:hAnsi="Times New Roman"/>
          <w:sz w:val="20"/>
          <w:szCs w:val="20"/>
          <w:color w:val="auto"/>
        </w:rPr>
        <w:t>participating Lender would have been entitled to receive, except to the extent such entitlement to receive a greater payment results from a</w:t>
      </w:r>
    </w:p>
    <w:p>
      <w:pPr>
        <w:jc w:val="both"/>
        <w:ind w:left="40"/>
        <w:spacing w:after="0" w:line="204" w:lineRule="auto"/>
        <w:rPr>
          <w:sz w:val="20"/>
          <w:szCs w:val="20"/>
          <w:color w:val="auto"/>
        </w:rPr>
      </w:pPr>
      <w:r>
        <w:rPr>
          <w:rFonts w:ascii="Times New Roman" w:cs="Times New Roman" w:eastAsia="Times New Roman" w:hAnsi="Times New Roman"/>
          <w:sz w:val="20"/>
          <w:szCs w:val="20"/>
          <w:color w:val="auto"/>
        </w:rPr>
        <w:t xml:space="preserve">Change in Law that occurs after the Participant acquired the applicable participation. Each Lender that sells a participation agrees, at the Borrowers’ request and expense, to use reasonable efforts to cooperate with the Borrowers to effectuate the provisions of </w:t>
      </w:r>
      <w:r>
        <w:rPr>
          <w:rFonts w:ascii="Times New Roman" w:cs="Times New Roman" w:eastAsia="Times New Roman" w:hAnsi="Times New Roman"/>
          <w:sz w:val="20"/>
          <w:szCs w:val="20"/>
          <w:u w:val="single" w:color="auto"/>
          <w:color w:val="auto"/>
        </w:rPr>
        <w:t>Section 5.12(b)</w:t>
      </w:r>
    </w:p>
    <w:p>
      <w:pPr>
        <w:spacing w:after="0" w:line="1" w:lineRule="exact"/>
        <w:rPr>
          <w:sz w:val="20"/>
          <w:szCs w:val="20"/>
          <w:color w:val="auto"/>
        </w:rPr>
      </w:pPr>
    </w:p>
    <w:p>
      <w:pPr>
        <w:ind w:left="40"/>
        <w:spacing w:after="0" w:line="228" w:lineRule="auto"/>
        <w:rPr>
          <w:sz w:val="20"/>
          <w:szCs w:val="20"/>
          <w:color w:val="auto"/>
        </w:rPr>
      </w:pPr>
      <w:r>
        <w:rPr>
          <w:rFonts w:ascii="Times New Roman" w:cs="Times New Roman" w:eastAsia="Times New Roman" w:hAnsi="Times New Roman"/>
          <w:sz w:val="20"/>
          <w:szCs w:val="20"/>
          <w:color w:val="auto"/>
        </w:rPr>
        <w:t xml:space="preserve">with respect to any Participant. To the extent permitted by law, each Participant also shall be entitled to the benefits of </w:t>
      </w:r>
      <w:r>
        <w:rPr>
          <w:rFonts w:ascii="Times New Roman" w:cs="Times New Roman" w:eastAsia="Times New Roman" w:hAnsi="Times New Roman"/>
          <w:sz w:val="20"/>
          <w:szCs w:val="20"/>
          <w:u w:val="single" w:color="auto"/>
          <w:color w:val="auto"/>
        </w:rPr>
        <w:t>Section 12.4</w:t>
      </w:r>
      <w:r>
        <w:rPr>
          <w:rFonts w:ascii="Times New Roman" w:cs="Times New Roman" w:eastAsia="Times New Roman" w:hAnsi="Times New Roman"/>
          <w:sz w:val="20"/>
          <w:szCs w:val="20"/>
          <w:color w:val="auto"/>
        </w:rPr>
        <w:t xml:space="preserve"> as though it were a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Participant agrees to be subject to </w:t>
      </w:r>
      <w:r>
        <w:rPr>
          <w:rFonts w:ascii="Times New Roman" w:cs="Times New Roman" w:eastAsia="Times New Roman" w:hAnsi="Times New Roman"/>
          <w:sz w:val="20"/>
          <w:szCs w:val="20"/>
          <w:u w:val="single" w:color="auto"/>
          <w:color w:val="auto"/>
        </w:rPr>
        <w:t>Section 5.6</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12. 4</w:t>
      </w:r>
      <w:r>
        <w:rPr>
          <w:rFonts w:ascii="Times New Roman" w:cs="Times New Roman" w:eastAsia="Times New Roman" w:hAnsi="Times New Roman"/>
          <w:sz w:val="20"/>
          <w:szCs w:val="20"/>
          <w:color w:val="auto"/>
        </w:rPr>
        <w:t xml:space="preserve"> as though it were a Lender.</w:t>
      </w:r>
    </w:p>
    <w:p>
      <w:pPr>
        <w:spacing w:after="0" w:line="243" w:lineRule="exact"/>
        <w:rPr>
          <w:sz w:val="20"/>
          <w:szCs w:val="20"/>
          <w:color w:val="auto"/>
        </w:rPr>
      </w:pPr>
    </w:p>
    <w:p>
      <w:pPr>
        <w:ind w:left="40"/>
        <w:spacing w:after="0" w:line="234" w:lineRule="auto"/>
        <w:rPr>
          <w:sz w:val="20"/>
          <w:szCs w:val="20"/>
          <w:color w:val="auto"/>
        </w:rPr>
      </w:pPr>
      <w:r>
        <w:rPr>
          <w:rFonts w:ascii="Times New Roman" w:cs="Times New Roman" w:eastAsia="Times New Roman" w:hAnsi="Times New Roman"/>
          <w:sz w:val="19"/>
          <w:szCs w:val="19"/>
          <w:color w:val="auto"/>
        </w:rPr>
        <w:t>Each Lender that sells a participation shall, acting solely for this purpose as a non-fiduciary agent of the Borrowers, maintain a register on which it enters the name and address of each Participant and the principal amounts of (and stated interest on) each Participant’s interest in</w:t>
      </w:r>
    </w:p>
    <w:p>
      <w:pPr>
        <w:spacing w:after="0" w:line="1" w:lineRule="exact"/>
        <w:rPr>
          <w:sz w:val="20"/>
          <w:szCs w:val="20"/>
          <w:color w:val="auto"/>
        </w:rPr>
      </w:pPr>
    </w:p>
    <w:p>
      <w:pPr>
        <w:ind w:left="40"/>
        <w:spacing w:after="0" w:line="215" w:lineRule="auto"/>
        <w:rPr>
          <w:sz w:val="20"/>
          <w:szCs w:val="20"/>
          <w:color w:val="auto"/>
        </w:rPr>
      </w:pPr>
      <w:r>
        <w:rPr>
          <w:rFonts w:ascii="Times New Roman" w:cs="Times New Roman" w:eastAsia="Times New Roman" w:hAnsi="Times New Roman"/>
          <w:sz w:val="19"/>
          <w:szCs w:val="19"/>
          <w:color w:val="auto"/>
        </w:rPr>
        <w:t>the Loans or other obligations under the Loan Documents (the “</w:t>
      </w:r>
      <w:r>
        <w:rPr>
          <w:rFonts w:ascii="Times New Roman" w:cs="Times New Roman" w:eastAsia="Times New Roman" w:hAnsi="Times New Roman"/>
          <w:sz w:val="19"/>
          <w:szCs w:val="19"/>
          <w:u w:val="single" w:color="auto"/>
          <w:color w:val="auto"/>
        </w:rPr>
        <w:t>Participant Register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 Lender shall have any obligation to disclose all or any portion of the Participant Register (including the identity of any Participant or any information relating to a Participant’s</w:t>
      </w:r>
    </w:p>
    <w:p>
      <w:pPr>
        <w:ind w:left="40"/>
        <w:spacing w:after="0" w:line="211" w:lineRule="auto"/>
        <w:rPr>
          <w:sz w:val="20"/>
          <w:szCs w:val="20"/>
          <w:color w:val="auto"/>
        </w:rPr>
      </w:pPr>
      <w:r>
        <w:rPr>
          <w:rFonts w:ascii="Times New Roman" w:cs="Times New Roman" w:eastAsia="Times New Roman" w:hAnsi="Times New Roman"/>
          <w:sz w:val="20"/>
          <w:szCs w:val="20"/>
          <w:color w:val="auto"/>
        </w:rPr>
        <w:t>interest in any commitments, loans, letters of credit or its other obligations under any Loan Document) to any Person except to the extent</w:t>
      </w:r>
    </w:p>
    <w:p>
      <w:pPr>
        <w:ind w:left="40"/>
        <w:spacing w:after="0" w:line="204" w:lineRule="auto"/>
        <w:rPr>
          <w:sz w:val="20"/>
          <w:szCs w:val="20"/>
          <w:color w:val="auto"/>
        </w:rPr>
      </w:pPr>
      <w:r>
        <w:rPr>
          <w:rFonts w:ascii="Times New Roman" w:cs="Times New Roman" w:eastAsia="Times New Roman" w:hAnsi="Times New Roman"/>
          <w:sz w:val="20"/>
          <w:szCs w:val="20"/>
          <w:color w:val="auto"/>
        </w:rPr>
        <w:t>that such disclosure is necessary to establish that such commitment, loan, letter of credit or other obligation is in registered form under Section 5f.103-1(c) of the United States Treasury Regulations. The entries in the Participant Register shall be conclusive absent manifest</w:t>
      </w:r>
    </w:p>
    <w:p>
      <w:pPr>
        <w:ind w:left="40"/>
        <w:spacing w:after="0" w:line="223" w:lineRule="auto"/>
        <w:rPr>
          <w:sz w:val="20"/>
          <w:szCs w:val="20"/>
          <w:color w:val="auto"/>
        </w:rPr>
      </w:pPr>
      <w:r>
        <w:rPr>
          <w:rFonts w:ascii="Times New Roman" w:cs="Times New Roman" w:eastAsia="Times New Roman" w:hAnsi="Times New Roman"/>
          <w:sz w:val="19"/>
          <w:szCs w:val="19"/>
          <w:color w:val="auto"/>
        </w:rPr>
        <w:t>error, and such Lender shall treat each Person whose name is recorded in the Participant Register as the owner of such participation for all</w:t>
      </w:r>
    </w:p>
    <w:p>
      <w:pPr>
        <w:ind w:left="40" w:right="20"/>
        <w:spacing w:after="0" w:line="221" w:lineRule="auto"/>
        <w:rPr>
          <w:sz w:val="20"/>
          <w:szCs w:val="20"/>
          <w:color w:val="auto"/>
        </w:rPr>
      </w:pPr>
      <w:r>
        <w:rPr>
          <w:rFonts w:ascii="Times New Roman" w:cs="Times New Roman" w:eastAsia="Times New Roman" w:hAnsi="Times New Roman"/>
          <w:sz w:val="20"/>
          <w:szCs w:val="20"/>
          <w:color w:val="auto"/>
        </w:rPr>
        <w:t>purposes of this Agreement notwithstanding any notice to the contrary. For the avoidance of doubt, the Administrative Agent (in its capacity as Administrative Agent) shall have no responsibility for maintaining a Participant Register.</w:t>
      </w:r>
    </w:p>
    <w:p>
      <w:pPr>
        <w:spacing w:after="0" w:line="189" w:lineRule="exact"/>
        <w:rPr>
          <w:sz w:val="20"/>
          <w:szCs w:val="20"/>
          <w:color w:val="auto"/>
        </w:rPr>
      </w:pPr>
    </w:p>
    <w:p>
      <w:pPr>
        <w:jc w:val="both"/>
        <w:ind w:left="40" w:firstLine="646"/>
        <w:spacing w:after="0" w:line="222" w:lineRule="auto"/>
        <w:tabs>
          <w:tab w:leader="none" w:pos="1245" w:val="left"/>
        </w:tabs>
        <w:numPr>
          <w:ilvl w:val="0"/>
          <w:numId w:val="4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Certain Pledges</w:t>
      </w:r>
      <w:r>
        <w:rPr>
          <w:rFonts w:ascii="Times New Roman" w:cs="Times New Roman" w:eastAsia="Times New Roman" w:hAnsi="Times New Roman"/>
          <w:sz w:val="20"/>
          <w:szCs w:val="20"/>
          <w:color w:val="auto"/>
        </w:rPr>
        <w:t xml:space="preserve">. Any Lender may at any time pledge or assign a security interest in all or any portion of its rights under this Agreement to secure obligations of such Lender, including without limitation any pledge or assignment to secure obligations to a Federal Reserve Bank;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such pledge or assignment shall release such Lender from any of its obligations hereunder or substitute any such pledgee or assignee for such Lender as a party hereto.</w:t>
      </w:r>
    </w:p>
    <w:p>
      <w:pPr>
        <w:spacing w:after="0" w:line="202" w:lineRule="exact"/>
        <w:rPr>
          <w:rFonts w:ascii="Times New Roman" w:cs="Times New Roman" w:eastAsia="Times New Roman" w:hAnsi="Times New Roman"/>
          <w:sz w:val="20"/>
          <w:szCs w:val="20"/>
          <w:color w:val="auto"/>
        </w:rPr>
      </w:pPr>
    </w:p>
    <w:p>
      <w:pPr>
        <w:jc w:val="both"/>
        <w:ind w:left="40" w:firstLine="646"/>
        <w:spacing w:after="0" w:line="222" w:lineRule="auto"/>
        <w:tabs>
          <w:tab w:leader="none" w:pos="1237" w:val="left"/>
        </w:tabs>
        <w:numPr>
          <w:ilvl w:val="0"/>
          <w:numId w:val="4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Cashless Settlement</w:t>
      </w:r>
      <w:r>
        <w:rPr>
          <w:rFonts w:ascii="Times New Roman" w:cs="Times New Roman" w:eastAsia="Times New Roman" w:hAnsi="Times New Roman"/>
          <w:sz w:val="20"/>
          <w:szCs w:val="20"/>
          <w:color w:val="auto"/>
        </w:rPr>
        <w:t>. Notwithstanding anything to the contrary contained in this Agreement, any Lender may exchange, continue or rollover all or a portion of its Loans in connection with any refinancing, extension, loan modification or similar transaction permitted by the terms of this Agreement, pursuant to a cashless settlement mechanism approved by the Borrowers, the Administrative Agent and such Lender.</w:t>
      </w:r>
    </w:p>
    <w:p>
      <w:pPr>
        <w:spacing w:after="0" w:line="175" w:lineRule="exact"/>
        <w:rPr>
          <w:sz w:val="20"/>
          <w:szCs w:val="20"/>
          <w:color w:val="auto"/>
        </w:rPr>
      </w:pPr>
    </w:p>
    <w:p>
      <w:pPr>
        <w:ind w:left="680"/>
        <w:spacing w:after="0"/>
        <w:tabs>
          <w:tab w:leader="none" w:pos="2200" w:val="left"/>
        </w:tabs>
        <w:rPr>
          <w:sz w:val="20"/>
          <w:szCs w:val="20"/>
          <w:color w:val="auto"/>
        </w:rPr>
      </w:pPr>
      <w:r>
        <w:rPr>
          <w:rFonts w:ascii="Times New Roman" w:cs="Times New Roman" w:eastAsia="Times New Roman" w:hAnsi="Times New Roman"/>
          <w:sz w:val="20"/>
          <w:szCs w:val="20"/>
          <w:color w:val="auto"/>
        </w:rPr>
        <w:t>SECTION 12.10</w:t>
      </w:r>
      <w:r>
        <w:rPr>
          <w:sz w:val="20"/>
          <w:szCs w:val="20"/>
          <w:color w:val="auto"/>
        </w:rPr>
        <w:tab/>
      </w:r>
      <w:r>
        <w:rPr>
          <w:rFonts w:ascii="Times New Roman" w:cs="Times New Roman" w:eastAsia="Times New Roman" w:hAnsi="Times New Roman"/>
          <w:sz w:val="19"/>
          <w:szCs w:val="19"/>
          <w:u w:val="single" w:color="auto"/>
          <w:color w:val="auto"/>
        </w:rPr>
        <w:t>Treatment of Certain Information; Confidentiality</w:t>
      </w:r>
    </w:p>
    <w:p>
      <w:pPr>
        <w:spacing w:after="0" w:line="283" w:lineRule="exact"/>
        <w:rPr>
          <w:sz w:val="20"/>
          <w:szCs w:val="20"/>
          <w:color w:val="auto"/>
        </w:rPr>
      </w:pPr>
    </w:p>
    <w:p>
      <w:pPr>
        <w:jc w:val="both"/>
        <w:ind w:left="40" w:hanging="2"/>
        <w:spacing w:after="0" w:line="213" w:lineRule="auto"/>
        <w:tabs>
          <w:tab w:leader="none" w:pos="165" w:val="left"/>
        </w:tabs>
        <w:numPr>
          <w:ilvl w:val="0"/>
          <w:numId w:val="4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Administrative Agent, the Lenders and the Issuing Lenders agrees to maintain the confidentiality of the Information (as defined below), except that Information may be disclosed (a) to its Affiliates and to its and its Related Parties (it being understood that the Persons to whom such disclosure is made will be informed of the confidential nature of such Information and instructed to keep such Information confidential), (b) to the extent required or requested by, or required to be disclosed to, any regulatory or similar authority purporting to have jurisdiction over such Person or its Related Parties (including any self-regulatory authority, such as the National Association of Insurance Commissioners), (c) as to the extent required by Applicable Laws or regulations or in any legal, judicial or administrative proceeding or other compulsory process, (d) to any other party hereto, (e) in connection with the exercise of any remedies under this Agreement, under any other Loan Document or under any Secured Hedge</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FF0000"/>
          <w:strike w:val="1"/>
        </w:rPr>
        <w:t>146960219_6</w:t>
      </w: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169</w:t>
      </w:r>
      <w:r>
        <w:rPr>
          <w:sz w:val="20"/>
          <w:szCs w:val="20"/>
          <w:color w:val="auto"/>
        </w:rPr>
        <w:tab/>
      </w: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080"/>
          </w:cols>
          <w:pgMar w:left="380" w:top="1394" w:right="439" w:bottom="1440" w:gutter="0" w:footer="0" w:header="0"/>
        </w:sectPr>
      </w:pPr>
    </w:p>
    <w:bookmarkStart w:id="253" w:name="page254"/>
    <w:bookmarkEnd w:id="253"/>
    <w:p>
      <w:pPr>
        <w:ind w:left="80"/>
        <w:spacing w:after="0"/>
        <w:rPr>
          <w:sz w:val="20"/>
          <w:szCs w:val="20"/>
          <w:color w:val="auto"/>
        </w:rPr>
      </w:pPr>
      <w:r>
        <w:rPr>
          <w:rFonts w:ascii="Times New Roman" w:cs="Times New Roman" w:eastAsia="Times New Roman" w:hAnsi="Times New Roman"/>
          <w:sz w:val="19"/>
          <w:szCs w:val="19"/>
          <w:color w:val="auto"/>
        </w:rPr>
        <w:t>Agreement or Secured Cash Management Agreement, or any action or proceeding relating to this Agreement, any other Loan Document or</w:t>
      </w:r>
    </w:p>
    <w:p>
      <w:pPr>
        <w:spacing w:after="0" w:line="6" w:lineRule="exact"/>
        <w:rPr>
          <w:sz w:val="20"/>
          <w:szCs w:val="20"/>
          <w:color w:val="auto"/>
        </w:rPr>
      </w:pPr>
    </w:p>
    <w:p>
      <w:pPr>
        <w:ind w:left="80"/>
        <w:spacing w:after="0" w:line="215" w:lineRule="auto"/>
        <w:rPr>
          <w:sz w:val="20"/>
          <w:szCs w:val="20"/>
          <w:color w:val="auto"/>
        </w:rPr>
      </w:pPr>
      <w:r>
        <w:rPr>
          <w:rFonts w:ascii="Times New Roman" w:cs="Times New Roman" w:eastAsia="Times New Roman" w:hAnsi="Times New Roman"/>
          <w:sz w:val="19"/>
          <w:szCs w:val="19"/>
          <w:color w:val="auto"/>
        </w:rPr>
        <w:t>any Secured Hedge Agreement or Secured Cash Management Agreement, or the enforcement of rights hereunder or thereunder, (f) subject to an agreement containing provisions substantially the same as those of this Section, to (i) any assignee of or Participant in, or any</w:t>
      </w:r>
    </w:p>
    <w:p>
      <w:pPr>
        <w:ind w:left="80"/>
        <w:spacing w:after="0" w:line="211" w:lineRule="auto"/>
        <w:rPr>
          <w:sz w:val="20"/>
          <w:szCs w:val="20"/>
          <w:color w:val="auto"/>
        </w:rPr>
      </w:pPr>
      <w:r>
        <w:rPr>
          <w:rFonts w:ascii="Times New Roman" w:cs="Times New Roman" w:eastAsia="Times New Roman" w:hAnsi="Times New Roman"/>
          <w:sz w:val="20"/>
          <w:szCs w:val="20"/>
          <w:color w:val="auto"/>
        </w:rPr>
        <w:t>prospective assignee of or Participant in, any of its rights and obligations under this Agreement or (ii) any actual or prospective party (or</w:t>
      </w:r>
    </w:p>
    <w:p>
      <w:pPr>
        <w:ind w:left="80"/>
        <w:spacing w:after="0" w:line="204" w:lineRule="auto"/>
        <w:rPr>
          <w:sz w:val="20"/>
          <w:szCs w:val="20"/>
          <w:color w:val="auto"/>
        </w:rPr>
      </w:pPr>
      <w:r>
        <w:rPr>
          <w:rFonts w:ascii="Times New Roman" w:cs="Times New Roman" w:eastAsia="Times New Roman" w:hAnsi="Times New Roman"/>
          <w:sz w:val="20"/>
          <w:szCs w:val="20"/>
          <w:color w:val="auto"/>
        </w:rPr>
        <w:t>its Related Parties) to any swap, derivative or other transaction under which payments are to be made by reference to the Borrowers and their respective obligations, this Agreement or payments hereunder, (g) on a confidential basis to (i) any rating agency in connection with</w:t>
      </w:r>
    </w:p>
    <w:p>
      <w:pPr>
        <w:ind w:left="80"/>
        <w:spacing w:after="0" w:line="211" w:lineRule="auto"/>
        <w:rPr>
          <w:sz w:val="20"/>
          <w:szCs w:val="20"/>
          <w:color w:val="auto"/>
        </w:rPr>
      </w:pPr>
      <w:r>
        <w:rPr>
          <w:rFonts w:ascii="Times New Roman" w:cs="Times New Roman" w:eastAsia="Times New Roman" w:hAnsi="Times New Roman"/>
          <w:sz w:val="20"/>
          <w:szCs w:val="20"/>
          <w:color w:val="auto"/>
        </w:rPr>
        <w:t>rating the Consolidated Companies or the Credit Facility or (ii) the CUSIP Service Bureau or any similar agency in connection with the</w:t>
      </w:r>
    </w:p>
    <w:p>
      <w:pPr>
        <w:spacing w:after="0" w:line="1" w:lineRule="exact"/>
        <w:rPr>
          <w:sz w:val="20"/>
          <w:szCs w:val="20"/>
          <w:color w:val="auto"/>
        </w:rPr>
      </w:pPr>
    </w:p>
    <w:p>
      <w:pPr>
        <w:jc w:val="both"/>
        <w:ind w:left="80"/>
        <w:spacing w:after="0" w:line="215" w:lineRule="auto"/>
        <w:rPr>
          <w:sz w:val="20"/>
          <w:szCs w:val="20"/>
          <w:color w:val="auto"/>
        </w:rPr>
      </w:pPr>
      <w:r>
        <w:rPr>
          <w:rFonts w:ascii="Times New Roman" w:cs="Times New Roman" w:eastAsia="Times New Roman" w:hAnsi="Times New Roman"/>
          <w:sz w:val="19"/>
          <w:szCs w:val="19"/>
          <w:color w:val="auto"/>
        </w:rPr>
        <w:t>issuance and monitoring of CUSIP numbers with respect to the Credit Facility, (h) with the consent of Centuri, (i) to Gold Sheets and other similar bank trade publications, such information to consist of deal terms and other information customarily found in such publications, (j)</w:t>
      </w:r>
    </w:p>
    <w:p>
      <w:pPr>
        <w:ind w:left="80"/>
        <w:spacing w:after="0" w:line="211" w:lineRule="auto"/>
        <w:rPr>
          <w:sz w:val="20"/>
          <w:szCs w:val="20"/>
          <w:color w:val="auto"/>
        </w:rPr>
      </w:pPr>
      <w:r>
        <w:rPr>
          <w:rFonts w:ascii="Times New Roman" w:cs="Times New Roman" w:eastAsia="Times New Roman" w:hAnsi="Times New Roman"/>
          <w:sz w:val="20"/>
          <w:szCs w:val="20"/>
          <w:color w:val="auto"/>
        </w:rPr>
        <w:t>to the extent such Information (i) becomes publicly available other than as a result of a breach of this Section or (ii) becomes available to</w:t>
      </w:r>
    </w:p>
    <w:p>
      <w:pPr>
        <w:ind w:left="80"/>
        <w:spacing w:after="0" w:line="215" w:lineRule="auto"/>
        <w:rPr>
          <w:sz w:val="20"/>
          <w:szCs w:val="20"/>
          <w:color w:val="auto"/>
        </w:rPr>
      </w:pPr>
      <w:r>
        <w:rPr>
          <w:rFonts w:ascii="Times New Roman" w:cs="Times New Roman" w:eastAsia="Times New Roman" w:hAnsi="Times New Roman"/>
          <w:sz w:val="19"/>
          <w:szCs w:val="19"/>
          <w:color w:val="auto"/>
        </w:rPr>
        <w:t>the Administrative Agent, any Lender, any Issuing Lender or any of their respective Affiliates from a third party that is not, to such Person’s knowledge, subject to confidentiality obligations to the Borrowers, (k) to governmental regulatory authorities in connection with</w:t>
      </w:r>
    </w:p>
    <w:p>
      <w:pPr>
        <w:ind w:left="80"/>
        <w:spacing w:after="0" w:line="211" w:lineRule="auto"/>
        <w:rPr>
          <w:sz w:val="20"/>
          <w:szCs w:val="20"/>
          <w:color w:val="auto"/>
        </w:rPr>
      </w:pPr>
      <w:r>
        <w:rPr>
          <w:rFonts w:ascii="Times New Roman" w:cs="Times New Roman" w:eastAsia="Times New Roman" w:hAnsi="Times New Roman"/>
          <w:sz w:val="20"/>
          <w:szCs w:val="20"/>
          <w:color w:val="auto"/>
        </w:rPr>
        <w:t>any regulatory examination of the Administrative Agent or any Lender or in accordance with the Administrative Agent’s or any Lender’s</w:t>
      </w:r>
    </w:p>
    <w:p>
      <w:pPr>
        <w:ind w:left="80"/>
        <w:spacing w:after="0" w:line="215" w:lineRule="auto"/>
        <w:rPr>
          <w:sz w:val="20"/>
          <w:szCs w:val="20"/>
          <w:color w:val="auto"/>
        </w:rPr>
      </w:pPr>
      <w:r>
        <w:rPr>
          <w:rFonts w:ascii="Times New Roman" w:cs="Times New Roman" w:eastAsia="Times New Roman" w:hAnsi="Times New Roman"/>
          <w:sz w:val="19"/>
          <w:szCs w:val="19"/>
          <w:color w:val="auto"/>
        </w:rPr>
        <w:t>regulatory compliance policy if the Administrative Agent or such Lender deems necessary for the mitigation of claims by those authorities against the Administrative Agent or such Lender or any of its subsidiaries or affiliates, (l) to the extent that such information is</w:t>
      </w:r>
    </w:p>
    <w:p>
      <w:pPr>
        <w:ind w:left="80"/>
        <w:spacing w:after="0" w:line="211" w:lineRule="auto"/>
        <w:rPr>
          <w:sz w:val="20"/>
          <w:szCs w:val="20"/>
          <w:color w:val="auto"/>
        </w:rPr>
      </w:pPr>
      <w:r>
        <w:rPr>
          <w:rFonts w:ascii="Times New Roman" w:cs="Times New Roman" w:eastAsia="Times New Roman" w:hAnsi="Times New Roman"/>
          <w:sz w:val="20"/>
          <w:szCs w:val="20"/>
          <w:color w:val="auto"/>
        </w:rPr>
        <w:t>independently developed by such Person, or (m) for purposes of establishing a “due diligence” defense. For purposes of this Section,</w:t>
      </w:r>
    </w:p>
    <w:p>
      <w:pPr>
        <w:ind w:left="80"/>
        <w:spacing w:after="0" w:line="21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Information</w:t>
      </w:r>
      <w:r>
        <w:rPr>
          <w:rFonts w:ascii="Times New Roman" w:cs="Times New Roman" w:eastAsia="Times New Roman" w:hAnsi="Times New Roman"/>
          <w:sz w:val="19"/>
          <w:szCs w:val="19"/>
          <w:color w:val="auto"/>
        </w:rPr>
        <w:t>” means all information received from any Credit Party or any Subsidiary thereof relating to any Credit Party or any Subsidiary thereof or any of their respective businesses, other than any such information that is available to the Administrative Agent, any</w:t>
      </w:r>
    </w:p>
    <w:p>
      <w:pPr>
        <w:ind w:left="80"/>
        <w:spacing w:after="0" w:line="215" w:lineRule="auto"/>
        <w:rPr>
          <w:sz w:val="20"/>
          <w:szCs w:val="20"/>
          <w:color w:val="auto"/>
        </w:rPr>
      </w:pPr>
      <w:r>
        <w:rPr>
          <w:rFonts w:ascii="Times New Roman" w:cs="Times New Roman" w:eastAsia="Times New Roman" w:hAnsi="Times New Roman"/>
          <w:sz w:val="19"/>
          <w:szCs w:val="19"/>
          <w:color w:val="auto"/>
        </w:rPr>
        <w:t xml:space="preserve">Lender or any Issuing Lender on a nonconfidential basis prior to disclosure by any Credit Party or any Subsidiary thereof;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in the case of information received from a Credit Party or any Subsidiary thereof after the date hereof, such information is clearly identified</w:t>
      </w:r>
    </w:p>
    <w:p>
      <w:pPr>
        <w:ind w:left="80"/>
        <w:spacing w:after="0" w:line="222" w:lineRule="auto"/>
        <w:rPr>
          <w:sz w:val="20"/>
          <w:szCs w:val="20"/>
          <w:color w:val="auto"/>
        </w:rPr>
      </w:pPr>
      <w:r>
        <w:rPr>
          <w:rFonts w:ascii="Times New Roman" w:cs="Times New Roman" w:eastAsia="Times New Roman" w:hAnsi="Times New Roman"/>
          <w:sz w:val="19"/>
          <w:szCs w:val="19"/>
          <w:color w:val="auto"/>
        </w:rPr>
        <w:t>at the time of delivery as confidential. Any Person required to maintain the confidentiality of Information as provided in this Section shall</w:t>
      </w:r>
    </w:p>
    <w:p>
      <w:pPr>
        <w:ind w:left="80"/>
        <w:spacing w:after="0" w:line="221" w:lineRule="auto"/>
        <w:rPr>
          <w:sz w:val="20"/>
          <w:szCs w:val="20"/>
          <w:color w:val="auto"/>
        </w:rPr>
      </w:pPr>
      <w:r>
        <w:rPr>
          <w:rFonts w:ascii="Times New Roman" w:cs="Times New Roman" w:eastAsia="Times New Roman" w:hAnsi="Times New Roman"/>
          <w:sz w:val="20"/>
          <w:szCs w:val="20"/>
          <w:color w:val="auto"/>
        </w:rPr>
        <w:t>be considered to have complied with its obligation to do so if such Person has exercised the same degree of care to maintain the confidentiality of such Information as such Person would accord to its own confidential information.</w:t>
      </w:r>
    </w:p>
    <w:p>
      <w:pPr>
        <w:spacing w:after="0" w:line="202" w:lineRule="exact"/>
        <w:rPr>
          <w:sz w:val="20"/>
          <w:szCs w:val="20"/>
          <w:color w:val="auto"/>
        </w:rPr>
      </w:pPr>
    </w:p>
    <w:p>
      <w:pPr>
        <w:ind w:left="720"/>
        <w:spacing w:after="0"/>
        <w:tabs>
          <w:tab w:leader="none" w:pos="2220" w:val="left"/>
        </w:tabs>
        <w:rPr>
          <w:sz w:val="20"/>
          <w:szCs w:val="20"/>
          <w:color w:val="auto"/>
        </w:rPr>
      </w:pPr>
      <w:r>
        <w:rPr>
          <w:rFonts w:ascii="Times New Roman" w:cs="Times New Roman" w:eastAsia="Times New Roman" w:hAnsi="Times New Roman"/>
          <w:sz w:val="20"/>
          <w:szCs w:val="20"/>
          <w:color w:val="auto"/>
        </w:rPr>
        <w:t>SECTION 12.11</w:t>
      </w:r>
      <w:r>
        <w:rPr>
          <w:sz w:val="20"/>
          <w:szCs w:val="20"/>
          <w:color w:val="auto"/>
        </w:rPr>
        <w:tab/>
      </w:r>
      <w:r>
        <w:rPr>
          <w:rFonts w:ascii="Times New Roman" w:cs="Times New Roman" w:eastAsia="Times New Roman" w:hAnsi="Times New Roman"/>
          <w:sz w:val="19"/>
          <w:szCs w:val="19"/>
          <w:u w:val="single" w:color="auto"/>
          <w:color w:val="auto"/>
        </w:rPr>
        <w:t>Performance of Duties</w:t>
      </w:r>
    </w:p>
    <w:p>
      <w:pPr>
        <w:spacing w:after="0" w:line="283" w:lineRule="exact"/>
        <w:rPr>
          <w:sz w:val="20"/>
          <w:szCs w:val="20"/>
          <w:color w:val="auto"/>
        </w:rPr>
      </w:pPr>
    </w:p>
    <w:p>
      <w:pPr>
        <w:ind w:left="80" w:right="340" w:hanging="4"/>
        <w:spacing w:after="0" w:line="233" w:lineRule="auto"/>
        <w:tabs>
          <w:tab w:leader="none" w:pos="179" w:val="left"/>
        </w:tabs>
        <w:numPr>
          <w:ilvl w:val="0"/>
          <w:numId w:val="4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Credit Party’s obligations under this Agreement and each of the other Loan Documents shall be performed by such Credit Party at its sole cost and expense.</w:t>
      </w:r>
    </w:p>
    <w:p>
      <w:pPr>
        <w:spacing w:after="0" w:line="188" w:lineRule="exact"/>
        <w:rPr>
          <w:sz w:val="20"/>
          <w:szCs w:val="20"/>
          <w:color w:val="auto"/>
        </w:rPr>
      </w:pPr>
    </w:p>
    <w:p>
      <w:pPr>
        <w:ind w:left="720"/>
        <w:spacing w:after="0"/>
        <w:tabs>
          <w:tab w:leader="none" w:pos="2240" w:val="left"/>
        </w:tabs>
        <w:rPr>
          <w:sz w:val="20"/>
          <w:szCs w:val="20"/>
          <w:color w:val="auto"/>
        </w:rPr>
      </w:pPr>
      <w:r>
        <w:rPr>
          <w:rFonts w:ascii="Times New Roman" w:cs="Times New Roman" w:eastAsia="Times New Roman" w:hAnsi="Times New Roman"/>
          <w:sz w:val="20"/>
          <w:szCs w:val="20"/>
          <w:color w:val="auto"/>
        </w:rPr>
        <w:t>SECTION 12.12</w:t>
      </w:r>
      <w:r>
        <w:rPr>
          <w:sz w:val="20"/>
          <w:szCs w:val="20"/>
          <w:color w:val="auto"/>
        </w:rPr>
        <w:tab/>
      </w:r>
      <w:r>
        <w:rPr>
          <w:rFonts w:ascii="Times New Roman" w:cs="Times New Roman" w:eastAsia="Times New Roman" w:hAnsi="Times New Roman"/>
          <w:sz w:val="19"/>
          <w:szCs w:val="19"/>
          <w:u w:val="single" w:color="auto"/>
          <w:color w:val="auto"/>
        </w:rPr>
        <w:t>All Powers Coupled with Interest</w:t>
      </w:r>
    </w:p>
    <w:p>
      <w:pPr>
        <w:spacing w:after="0" w:line="283" w:lineRule="exact"/>
        <w:rPr>
          <w:sz w:val="20"/>
          <w:szCs w:val="20"/>
          <w:color w:val="auto"/>
        </w:rPr>
      </w:pPr>
    </w:p>
    <w:p>
      <w:pPr>
        <w:jc w:val="both"/>
        <w:ind w:left="80" w:hanging="4"/>
        <w:spacing w:after="0" w:line="222" w:lineRule="auto"/>
        <w:tabs>
          <w:tab w:leader="none" w:pos="202" w:val="left"/>
        </w:tabs>
        <w:numPr>
          <w:ilvl w:val="0"/>
          <w:numId w:val="4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powers of attorney and other authorizations granted to the Lenders, the Administrative Agent and any Persons designated by the Administrative Agent or any Lender pursuant to any provisions of this Agreement or any of the other Loan Documents shall be deemed coupled with an interest and shall be irrevocable so long as any of the Obligations remain unpaid or unsatisfied, any of the Commitments remain in effect or the Credit Facility has not been terminated.</w:t>
      </w:r>
    </w:p>
    <w:p>
      <w:pPr>
        <w:spacing w:after="0" w:line="189" w:lineRule="exact"/>
        <w:rPr>
          <w:sz w:val="20"/>
          <w:szCs w:val="20"/>
          <w:color w:val="auto"/>
        </w:rPr>
      </w:pPr>
    </w:p>
    <w:p>
      <w:pPr>
        <w:ind w:left="720"/>
        <w:spacing w:after="0"/>
        <w:tabs>
          <w:tab w:leader="none" w:pos="2240" w:val="left"/>
        </w:tabs>
        <w:rPr>
          <w:sz w:val="20"/>
          <w:szCs w:val="20"/>
          <w:color w:val="auto"/>
        </w:rPr>
      </w:pPr>
      <w:r>
        <w:rPr>
          <w:rFonts w:ascii="Times New Roman" w:cs="Times New Roman" w:eastAsia="Times New Roman" w:hAnsi="Times New Roman"/>
          <w:sz w:val="20"/>
          <w:szCs w:val="20"/>
          <w:color w:val="auto"/>
        </w:rPr>
        <w:t>SECTION 12.13</w:t>
      </w:r>
      <w:r>
        <w:rPr>
          <w:sz w:val="20"/>
          <w:szCs w:val="20"/>
          <w:color w:val="auto"/>
        </w:rPr>
        <w:tab/>
      </w:r>
      <w:r>
        <w:rPr>
          <w:rFonts w:ascii="Times New Roman" w:cs="Times New Roman" w:eastAsia="Times New Roman" w:hAnsi="Times New Roman"/>
          <w:sz w:val="19"/>
          <w:szCs w:val="19"/>
          <w:u w:val="single" w:color="auto"/>
          <w:color w:val="auto"/>
        </w:rPr>
        <w:t>Survival</w:t>
      </w:r>
      <w:r>
        <w:rPr>
          <w:rFonts w:ascii="Times New Roman" w:cs="Times New Roman" w:eastAsia="Times New Roman" w:hAnsi="Times New Roman"/>
          <w:sz w:val="19"/>
          <w:szCs w:val="19"/>
          <w:color w:val="auto"/>
        </w:rPr>
        <w:t>.</w:t>
      </w:r>
    </w:p>
    <w:p>
      <w:pPr>
        <w:spacing w:after="0" w:line="283" w:lineRule="exact"/>
        <w:rPr>
          <w:sz w:val="20"/>
          <w:szCs w:val="20"/>
          <w:color w:val="auto"/>
        </w:rPr>
      </w:pPr>
    </w:p>
    <w:p>
      <w:pPr>
        <w:jc w:val="both"/>
        <w:ind w:left="80" w:firstLine="644"/>
        <w:spacing w:after="0" w:line="222" w:lineRule="auto"/>
        <w:tabs>
          <w:tab w:leader="none" w:pos="1258" w:val="left"/>
        </w:tabs>
        <w:numPr>
          <w:ilvl w:val="0"/>
          <w:numId w:val="4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representations and warranties set forth in </w:t>
      </w:r>
      <w:r>
        <w:rPr>
          <w:rFonts w:ascii="Times New Roman" w:cs="Times New Roman" w:eastAsia="Times New Roman" w:hAnsi="Times New Roman"/>
          <w:sz w:val="20"/>
          <w:szCs w:val="20"/>
          <w:u w:val="single" w:color="auto"/>
          <w:color w:val="auto"/>
        </w:rPr>
        <w:t>Article VII</w:t>
      </w:r>
      <w:r>
        <w:rPr>
          <w:rFonts w:ascii="Times New Roman" w:cs="Times New Roman" w:eastAsia="Times New Roman" w:hAnsi="Times New Roman"/>
          <w:sz w:val="20"/>
          <w:szCs w:val="20"/>
          <w:color w:val="auto"/>
        </w:rPr>
        <w:t xml:space="preserve"> and all representations and warranties contained in any certificate, or any of the Loan Documents (including, but not limited to, any such representation or warranty made in or in connection with any amendment thereto) shall constitute representations and warranties made under this Agreement. All representations and warranties made under</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FF0000"/>
          <w:strike w:val="1"/>
        </w:rPr>
        <w:t>146960219_6</w:t>
      </w:r>
    </w:p>
    <w:p>
      <w:pPr>
        <w:spacing w:after="0"/>
        <w:rPr>
          <w:sz w:val="20"/>
          <w:szCs w:val="20"/>
          <w:color w:val="auto"/>
        </w:rPr>
      </w:pPr>
      <w:r>
        <w:rPr>
          <w:rFonts w:ascii="Times New Roman" w:cs="Times New Roman" w:eastAsia="Times New Roman" w:hAnsi="Times New Roman"/>
          <w:sz w:val="20"/>
          <w:szCs w:val="20"/>
          <w:color w:val="auto"/>
        </w:rPr>
        <w:t xml:space="preserve">170  </w:t>
      </w: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100"/>
          </w:cols>
          <w:pgMar w:left="360" w:top="1399" w:right="439" w:bottom="1440" w:gutter="0" w:footer="0" w:header="0"/>
        </w:sectPr>
      </w:pPr>
    </w:p>
    <w:bookmarkStart w:id="254" w:name="page255"/>
    <w:bookmarkEnd w:id="254"/>
    <w:p>
      <w:pPr>
        <w:ind w:left="80"/>
        <w:spacing w:after="0"/>
        <w:rPr>
          <w:sz w:val="20"/>
          <w:szCs w:val="20"/>
          <w:color w:val="auto"/>
        </w:rPr>
      </w:pPr>
      <w:r>
        <w:rPr>
          <w:rFonts w:ascii="Times New Roman" w:cs="Times New Roman" w:eastAsia="Times New Roman" w:hAnsi="Times New Roman"/>
          <w:sz w:val="20"/>
          <w:szCs w:val="20"/>
          <w:color w:val="auto"/>
        </w:rPr>
        <w:t>this Agreement shall be made or deemed to be made at and as of the Closing Date (except those that are expressly made as of a specific</w:t>
      </w:r>
    </w:p>
    <w:p>
      <w:pPr>
        <w:ind w:left="80" w:right="20"/>
        <w:spacing w:after="0" w:line="221" w:lineRule="auto"/>
        <w:rPr>
          <w:sz w:val="20"/>
          <w:szCs w:val="20"/>
          <w:color w:val="auto"/>
        </w:rPr>
      </w:pPr>
      <w:r>
        <w:rPr>
          <w:rFonts w:ascii="Times New Roman" w:cs="Times New Roman" w:eastAsia="Times New Roman" w:hAnsi="Times New Roman"/>
          <w:sz w:val="20"/>
          <w:szCs w:val="20"/>
          <w:color w:val="auto"/>
        </w:rPr>
        <w:t>date), shall survive the Closing Date and shall not be waived by the execution and delivery of this Agreement, any investigation made by or on behalf of the Lenders or any borrowing hereunder.</w:t>
      </w:r>
    </w:p>
    <w:p>
      <w:pPr>
        <w:spacing w:after="0" w:line="202" w:lineRule="exact"/>
        <w:rPr>
          <w:sz w:val="20"/>
          <w:szCs w:val="20"/>
          <w:color w:val="auto"/>
        </w:rPr>
      </w:pPr>
    </w:p>
    <w:p>
      <w:pPr>
        <w:jc w:val="both"/>
        <w:ind w:left="80" w:firstLine="644"/>
        <w:spacing w:after="0" w:line="222" w:lineRule="auto"/>
        <w:tabs>
          <w:tab w:leader="none" w:pos="1256" w:val="left"/>
        </w:tabs>
        <w:numPr>
          <w:ilvl w:val="0"/>
          <w:numId w:val="4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 termination of this Agreement, the indemnities to which the Administrative Agent and the Lenders are entitled under the provisions of this </w:t>
      </w:r>
      <w:r>
        <w:rPr>
          <w:rFonts w:ascii="Times New Roman" w:cs="Times New Roman" w:eastAsia="Times New Roman" w:hAnsi="Times New Roman"/>
          <w:sz w:val="20"/>
          <w:szCs w:val="20"/>
          <w:u w:val="single" w:color="auto"/>
          <w:color w:val="auto"/>
        </w:rPr>
        <w:t>Article XII</w:t>
      </w:r>
      <w:r>
        <w:rPr>
          <w:rFonts w:ascii="Times New Roman" w:cs="Times New Roman" w:eastAsia="Times New Roman" w:hAnsi="Times New Roman"/>
          <w:sz w:val="20"/>
          <w:szCs w:val="20"/>
          <w:color w:val="auto"/>
        </w:rPr>
        <w:t xml:space="preserve"> and any other provision of this Agreement and the other Loan Documents shall continue in full force and effect and shall protect the Administrative Agent and the Lenders against events arising after such termination as well as before.</w:t>
      </w:r>
    </w:p>
    <w:p>
      <w:pPr>
        <w:spacing w:after="0" w:line="175" w:lineRule="exact"/>
        <w:rPr>
          <w:sz w:val="20"/>
          <w:szCs w:val="20"/>
          <w:color w:val="auto"/>
        </w:rPr>
      </w:pPr>
    </w:p>
    <w:p>
      <w:pPr>
        <w:ind w:left="720"/>
        <w:spacing w:after="0"/>
        <w:tabs>
          <w:tab w:leader="none" w:pos="2240" w:val="left"/>
        </w:tabs>
        <w:rPr>
          <w:sz w:val="20"/>
          <w:szCs w:val="20"/>
          <w:color w:val="auto"/>
        </w:rPr>
      </w:pPr>
      <w:r>
        <w:rPr>
          <w:rFonts w:ascii="Times New Roman" w:cs="Times New Roman" w:eastAsia="Times New Roman" w:hAnsi="Times New Roman"/>
          <w:sz w:val="20"/>
          <w:szCs w:val="20"/>
          <w:color w:val="auto"/>
        </w:rPr>
        <w:t>SECTION 12.14</w:t>
      </w:r>
      <w:r>
        <w:rPr>
          <w:sz w:val="20"/>
          <w:szCs w:val="20"/>
          <w:color w:val="auto"/>
        </w:rPr>
        <w:tab/>
      </w:r>
      <w:r>
        <w:rPr>
          <w:rFonts w:ascii="Times New Roman" w:cs="Times New Roman" w:eastAsia="Times New Roman" w:hAnsi="Times New Roman"/>
          <w:sz w:val="19"/>
          <w:szCs w:val="19"/>
          <w:u w:val="single" w:color="auto"/>
          <w:color w:val="auto"/>
        </w:rPr>
        <w:t>Titles and Captions</w:t>
      </w:r>
    </w:p>
    <w:p>
      <w:pPr>
        <w:spacing w:after="0" w:line="283" w:lineRule="exact"/>
        <w:rPr>
          <w:sz w:val="20"/>
          <w:szCs w:val="20"/>
          <w:color w:val="auto"/>
        </w:rPr>
      </w:pPr>
    </w:p>
    <w:p>
      <w:pPr>
        <w:ind w:left="80" w:right="340" w:hanging="4"/>
        <w:spacing w:after="0"/>
        <w:tabs>
          <w:tab w:leader="none" w:pos="179" w:val="left"/>
        </w:tabs>
        <w:numPr>
          <w:ilvl w:val="0"/>
          <w:numId w:val="4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Titles and captions of Articles, Sections and subsections in, and the table of contents of, this Agreement are for convenience only, and neither limit nor amplify the provisions of this Agreement.</w:t>
      </w:r>
    </w:p>
    <w:p>
      <w:pPr>
        <w:spacing w:after="0" w:line="188" w:lineRule="exact"/>
        <w:rPr>
          <w:sz w:val="20"/>
          <w:szCs w:val="20"/>
          <w:color w:val="auto"/>
        </w:rPr>
      </w:pPr>
    </w:p>
    <w:p>
      <w:pPr>
        <w:ind w:left="720"/>
        <w:spacing w:after="0"/>
        <w:tabs>
          <w:tab w:leader="none" w:pos="2240" w:val="left"/>
        </w:tabs>
        <w:rPr>
          <w:sz w:val="20"/>
          <w:szCs w:val="20"/>
          <w:color w:val="auto"/>
        </w:rPr>
      </w:pPr>
      <w:r>
        <w:rPr>
          <w:rFonts w:ascii="Times New Roman" w:cs="Times New Roman" w:eastAsia="Times New Roman" w:hAnsi="Times New Roman"/>
          <w:sz w:val="20"/>
          <w:szCs w:val="20"/>
          <w:color w:val="auto"/>
        </w:rPr>
        <w:t>SECTION 12.15</w:t>
      </w:r>
      <w:r>
        <w:rPr>
          <w:sz w:val="20"/>
          <w:szCs w:val="20"/>
          <w:color w:val="auto"/>
        </w:rPr>
        <w:tab/>
      </w:r>
      <w:r>
        <w:rPr>
          <w:rFonts w:ascii="Times New Roman" w:cs="Times New Roman" w:eastAsia="Times New Roman" w:hAnsi="Times New Roman"/>
          <w:sz w:val="19"/>
          <w:szCs w:val="19"/>
          <w:u w:val="single" w:color="auto"/>
          <w:color w:val="auto"/>
        </w:rPr>
        <w:t>Severability of Provisions</w:t>
      </w:r>
    </w:p>
    <w:p>
      <w:pPr>
        <w:spacing w:after="0" w:line="297" w:lineRule="exact"/>
        <w:rPr>
          <w:sz w:val="20"/>
          <w:szCs w:val="20"/>
          <w:color w:val="auto"/>
        </w:rPr>
      </w:pPr>
    </w:p>
    <w:p>
      <w:pPr>
        <w:jc w:val="both"/>
        <w:ind w:left="80" w:hanging="4"/>
        <w:spacing w:after="0" w:line="254" w:lineRule="auto"/>
        <w:tabs>
          <w:tab w:leader="none" w:pos="189" w:val="left"/>
        </w:tabs>
        <w:numPr>
          <w:ilvl w:val="0"/>
          <w:numId w:val="4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provision of this Agreement or any other Loan Document which is prohibited or unenforceable in any jurisdiction shall, as to such jurisdiction, be ineffective only to the extent of such prohibition or unenforceability without invalidating the remainder of such provision or the remaining provisions hereof or thereof or affecting the validity or enforceability of such provision in any other jurisdiction.</w:t>
      </w:r>
    </w:p>
    <w:p>
      <w:pPr>
        <w:spacing w:after="0" w:line="188" w:lineRule="exact"/>
        <w:rPr>
          <w:sz w:val="20"/>
          <w:szCs w:val="20"/>
          <w:color w:val="auto"/>
        </w:rPr>
      </w:pPr>
    </w:p>
    <w:p>
      <w:pPr>
        <w:ind w:left="720"/>
        <w:spacing w:after="0"/>
        <w:tabs>
          <w:tab w:leader="none" w:pos="2240" w:val="left"/>
        </w:tabs>
        <w:rPr>
          <w:sz w:val="20"/>
          <w:szCs w:val="20"/>
          <w:color w:val="auto"/>
        </w:rPr>
      </w:pPr>
      <w:r>
        <w:rPr>
          <w:rFonts w:ascii="Times New Roman" w:cs="Times New Roman" w:eastAsia="Times New Roman" w:hAnsi="Times New Roman"/>
          <w:sz w:val="20"/>
          <w:szCs w:val="20"/>
          <w:color w:val="auto"/>
        </w:rPr>
        <w:t>SECTION 12.16</w:t>
      </w:r>
      <w:r>
        <w:rPr>
          <w:sz w:val="20"/>
          <w:szCs w:val="20"/>
          <w:color w:val="auto"/>
        </w:rPr>
        <w:tab/>
      </w:r>
      <w:r>
        <w:rPr>
          <w:rFonts w:ascii="Times New Roman" w:cs="Times New Roman" w:eastAsia="Times New Roman" w:hAnsi="Times New Roman"/>
          <w:sz w:val="19"/>
          <w:szCs w:val="19"/>
          <w:u w:val="single" w:color="auto"/>
          <w:color w:val="auto"/>
        </w:rPr>
        <w:t>Counterparts; Integration; Effectiveness; Electronic Execution</w:t>
      </w:r>
      <w:r>
        <w:rPr>
          <w:rFonts w:ascii="Times New Roman" w:cs="Times New Roman" w:eastAsia="Times New Roman" w:hAnsi="Times New Roman"/>
          <w:sz w:val="19"/>
          <w:szCs w:val="19"/>
          <w:color w:val="auto"/>
        </w:rPr>
        <w:t>.</w:t>
      </w:r>
    </w:p>
    <w:p>
      <w:pPr>
        <w:spacing w:after="0" w:line="283" w:lineRule="exact"/>
        <w:rPr>
          <w:sz w:val="20"/>
          <w:szCs w:val="20"/>
          <w:color w:val="auto"/>
        </w:rPr>
      </w:pPr>
    </w:p>
    <w:p>
      <w:pPr>
        <w:jc w:val="both"/>
        <w:ind w:left="80" w:firstLine="644"/>
        <w:spacing w:after="0" w:line="213" w:lineRule="auto"/>
        <w:tabs>
          <w:tab w:leader="none" w:pos="1258" w:val="left"/>
        </w:tabs>
        <w:numPr>
          <w:ilvl w:val="0"/>
          <w:numId w:val="4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 Integration; Effectiveness</w:t>
      </w:r>
      <w:r>
        <w:rPr>
          <w:rFonts w:ascii="Times New Roman" w:cs="Times New Roman" w:eastAsia="Times New Roman" w:hAnsi="Times New Roman"/>
          <w:sz w:val="20"/>
          <w:szCs w:val="20"/>
          <w:color w:val="auto"/>
        </w:rPr>
        <w:t xml:space="preserve">. This Agreement may be executed in counterparts (and by different parties hereto in different counterparts), each of which shall constitute an original, but all of which when taken together shall constitute a single contract. This Agreement and the other Loan Documents, and any separate letter agreements with respect to fees payable to the Administrative Agent, the Issuing Lenders, the Swingline Lenders and/or the Arrangers, constitute the entire contract among the parties relating to the subject matter hereof and supersede any and all previous agreements and understandings, oral or written, relating to the subject matter hereof. Except as provided in </w:t>
      </w:r>
      <w:r>
        <w:rPr>
          <w:rFonts w:ascii="Times New Roman" w:cs="Times New Roman" w:eastAsia="Times New Roman" w:hAnsi="Times New Roman"/>
          <w:sz w:val="20"/>
          <w:szCs w:val="20"/>
          <w:u w:val="single" w:color="auto"/>
          <w:color w:val="auto"/>
        </w:rPr>
        <w:t>Section 6.1</w:t>
      </w:r>
      <w:r>
        <w:rPr>
          <w:rFonts w:ascii="Times New Roman" w:cs="Times New Roman" w:eastAsia="Times New Roman" w:hAnsi="Times New Roman"/>
          <w:sz w:val="20"/>
          <w:szCs w:val="20"/>
          <w:color w:val="auto"/>
        </w:rPr>
        <w:t>, this Agreement shall become effective when it shall have been executed by the Administrative Agent and when the Administrative Agent shall have received counterparts hereof that, when taken together, bear the signatures of each of the other parties hereto. Delivery of an executed counterpart of a signature page of this Agreement by facsimile or in electronic (i.e., “pdf” or “tif”) format shall be effective as delivery of a manually executed counterpart of this Agreement.</w:t>
      </w:r>
    </w:p>
    <w:p>
      <w:pPr>
        <w:spacing w:after="0" w:line="188" w:lineRule="exact"/>
        <w:rPr>
          <w:rFonts w:ascii="Times New Roman" w:cs="Times New Roman" w:eastAsia="Times New Roman" w:hAnsi="Times New Roman"/>
          <w:sz w:val="20"/>
          <w:szCs w:val="20"/>
          <w:color w:val="auto"/>
        </w:rPr>
      </w:pPr>
    </w:p>
    <w:p>
      <w:pPr>
        <w:jc w:val="both"/>
        <w:ind w:left="80" w:firstLine="644"/>
        <w:spacing w:after="0" w:line="224" w:lineRule="auto"/>
        <w:tabs>
          <w:tab w:leader="none" w:pos="1256" w:val="left"/>
        </w:tabs>
        <w:numPr>
          <w:ilvl w:val="0"/>
          <w:numId w:val="4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Electronic Execution</w:t>
      </w:r>
      <w:r>
        <w:rPr>
          <w:rFonts w:ascii="Times New Roman" w:cs="Times New Roman" w:eastAsia="Times New Roman" w:hAnsi="Times New Roman"/>
          <w:sz w:val="19"/>
          <w:szCs w:val="19"/>
          <w:color w:val="auto"/>
        </w:rPr>
        <w:t>. The words “execute,” “execution,” “signed,” “signature,” “delivery” and words of like import in or related to this Agreement, any other Loan Document or any document, amendment, approval, consent, waiver, modification, information, notice, certificate, report, statement, disclosure, or authorization to be signed or delivered in connection with this Agreement or any other Loan Document or the transactions contemplated hereby shall be deemed to include Electronic Signatures or execution in the form of an Electronic Record, and contract formations on electronic platforms approved by the Administrative Agent, deliveries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Each party hereto agrees that any Electronic Signature or execution in the form of an Electronic Record shall be valid and binding on itself and each of the other parties hereto</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FF0000"/>
          <w:strike w:val="1"/>
        </w:rPr>
        <w:t>146960219_6</w:t>
      </w:r>
    </w:p>
    <w:p>
      <w:pPr>
        <w:spacing w:after="0"/>
        <w:rPr>
          <w:sz w:val="20"/>
          <w:szCs w:val="20"/>
          <w:color w:val="auto"/>
        </w:rPr>
      </w:pPr>
      <w:r>
        <w:rPr>
          <w:rFonts w:ascii="Times New Roman" w:cs="Times New Roman" w:eastAsia="Times New Roman" w:hAnsi="Times New Roman"/>
          <w:sz w:val="20"/>
          <w:szCs w:val="20"/>
          <w:color w:val="auto"/>
        </w:rPr>
        <w:t xml:space="preserve">171  </w:t>
      </w: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100"/>
          </w:cols>
          <w:pgMar w:left="360" w:top="1394" w:right="439" w:bottom="1440" w:gutter="0" w:footer="0" w:header="0"/>
        </w:sectPr>
      </w:pPr>
    </w:p>
    <w:bookmarkStart w:id="255" w:name="page256"/>
    <w:bookmarkEnd w:id="255"/>
    <w:p>
      <w:pPr>
        <w:ind w:left="60"/>
        <w:spacing w:after="0"/>
        <w:rPr>
          <w:sz w:val="20"/>
          <w:szCs w:val="20"/>
          <w:color w:val="auto"/>
        </w:rPr>
      </w:pPr>
      <w:r>
        <w:rPr>
          <w:rFonts w:ascii="Times New Roman" w:cs="Times New Roman" w:eastAsia="Times New Roman" w:hAnsi="Times New Roman"/>
          <w:sz w:val="19"/>
          <w:szCs w:val="19"/>
          <w:color w:val="auto"/>
        </w:rPr>
        <w:t>to the same extent as a manual, original signature. For the avoidance of doubt, the authorization under this paragraph may include, without</w:t>
      </w:r>
    </w:p>
    <w:p>
      <w:pPr>
        <w:spacing w:after="0" w:line="6" w:lineRule="exact"/>
        <w:rPr>
          <w:sz w:val="20"/>
          <w:szCs w:val="20"/>
          <w:color w:val="auto"/>
        </w:rPr>
      </w:pPr>
    </w:p>
    <w:p>
      <w:pPr>
        <w:jc w:val="both"/>
        <w:ind w:left="60"/>
        <w:spacing w:after="0" w:line="204" w:lineRule="auto"/>
        <w:rPr>
          <w:sz w:val="20"/>
          <w:szCs w:val="20"/>
          <w:color w:val="auto"/>
        </w:rPr>
      </w:pPr>
      <w:r>
        <w:rPr>
          <w:rFonts w:ascii="Times New Roman" w:cs="Times New Roman" w:eastAsia="Times New Roman" w:hAnsi="Times New Roman"/>
          <w:sz w:val="20"/>
          <w:szCs w:val="20"/>
          <w:color w:val="auto"/>
        </w:rPr>
        <w:t>limitation, use or acceptance by the parties of a manually signed paper which has been converted into electronic form (such as scanned into PDF format), or an electronically signed paper converted into another format, for transmission, delivery and/or retention.</w:t>
      </w:r>
    </w:p>
    <w:p>
      <w:pPr>
        <w:ind w:left="60"/>
        <w:spacing w:after="0" w:line="211" w:lineRule="auto"/>
        <w:rPr>
          <w:sz w:val="20"/>
          <w:szCs w:val="20"/>
          <w:color w:val="auto"/>
        </w:rPr>
      </w:pPr>
      <w:r>
        <w:rPr>
          <w:rFonts w:ascii="Times New Roman" w:cs="Times New Roman" w:eastAsia="Times New Roman" w:hAnsi="Times New Roman"/>
          <w:sz w:val="20"/>
          <w:szCs w:val="20"/>
          <w:color w:val="auto"/>
        </w:rPr>
        <w:t>Notwithstanding anything contained herein to the contrary, the Administrative Agent is under no obligation to accept an Electronic</w:t>
      </w:r>
    </w:p>
    <w:p>
      <w:pPr>
        <w:spacing w:after="0" w:line="1" w:lineRule="exact"/>
        <w:rPr>
          <w:sz w:val="20"/>
          <w:szCs w:val="20"/>
          <w:color w:val="auto"/>
        </w:rPr>
      </w:pPr>
    </w:p>
    <w:p>
      <w:pPr>
        <w:ind w:left="60"/>
        <w:spacing w:after="0" w:line="204" w:lineRule="auto"/>
        <w:rPr>
          <w:sz w:val="20"/>
          <w:szCs w:val="20"/>
          <w:color w:val="auto"/>
        </w:rPr>
      </w:pPr>
      <w:r>
        <w:rPr>
          <w:rFonts w:ascii="Times New Roman" w:cs="Times New Roman" w:eastAsia="Times New Roman" w:hAnsi="Times New Roman"/>
          <w:sz w:val="20"/>
          <w:szCs w:val="20"/>
          <w:color w:val="auto"/>
        </w:rPr>
        <w:t xml:space="preserve">Signature in any form or in any format unless expressly agreed to by the Administrative Agent pursuant to procedures approved by 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without limiting the foregoing, (i) to the extent the Administrative Agent has agreed to accept such Electronic Signature</w:t>
      </w:r>
    </w:p>
    <w:p>
      <w:pPr>
        <w:ind w:left="60"/>
        <w:spacing w:after="0" w:line="211" w:lineRule="auto"/>
        <w:rPr>
          <w:sz w:val="20"/>
          <w:szCs w:val="20"/>
          <w:color w:val="auto"/>
        </w:rPr>
      </w:pPr>
      <w:r>
        <w:rPr>
          <w:rFonts w:ascii="Times New Roman" w:cs="Times New Roman" w:eastAsia="Times New Roman" w:hAnsi="Times New Roman"/>
          <w:sz w:val="20"/>
          <w:szCs w:val="20"/>
          <w:color w:val="auto"/>
        </w:rPr>
        <w:t>from any party hereto, the Administrative Agent and the other parties hereto shall be entitled to rely on any such Electronic Signature</w:t>
      </w:r>
    </w:p>
    <w:p>
      <w:pPr>
        <w:spacing w:after="0" w:line="1" w:lineRule="exact"/>
        <w:rPr>
          <w:sz w:val="20"/>
          <w:szCs w:val="20"/>
          <w:color w:val="auto"/>
        </w:rPr>
      </w:pPr>
    </w:p>
    <w:p>
      <w:pPr>
        <w:ind w:left="60"/>
        <w:spacing w:after="0" w:line="215" w:lineRule="auto"/>
        <w:rPr>
          <w:sz w:val="20"/>
          <w:szCs w:val="20"/>
          <w:color w:val="auto"/>
        </w:rPr>
      </w:pPr>
      <w:r>
        <w:rPr>
          <w:rFonts w:ascii="Times New Roman" w:cs="Times New Roman" w:eastAsia="Times New Roman" w:hAnsi="Times New Roman"/>
          <w:sz w:val="19"/>
          <w:szCs w:val="19"/>
          <w:color w:val="auto"/>
        </w:rPr>
        <w:t>purportedly given by or on behalf of the executing party without further verification and (ii) upon the request of the Administrative Agent or any Lender, any Electronic Signature shall be promptly followed by an original manually executed counterpart thereof. Without limiting</w:t>
      </w:r>
    </w:p>
    <w:p>
      <w:pPr>
        <w:ind w:left="60"/>
        <w:spacing w:after="0" w:line="222" w:lineRule="auto"/>
        <w:rPr>
          <w:sz w:val="20"/>
          <w:szCs w:val="20"/>
          <w:color w:val="auto"/>
        </w:rPr>
      </w:pPr>
      <w:r>
        <w:rPr>
          <w:rFonts w:ascii="Times New Roman" w:cs="Times New Roman" w:eastAsia="Times New Roman" w:hAnsi="Times New Roman"/>
          <w:sz w:val="19"/>
          <w:szCs w:val="19"/>
          <w:color w:val="auto"/>
        </w:rPr>
        <w:t>the generality of the foregoing, each party hereto hereby (A) agrees that, for all purposes, including without limitation, in connection with</w:t>
      </w:r>
    </w:p>
    <w:p>
      <w:pPr>
        <w:ind w:left="60"/>
        <w:spacing w:after="0" w:line="204" w:lineRule="auto"/>
        <w:rPr>
          <w:sz w:val="20"/>
          <w:szCs w:val="20"/>
          <w:color w:val="auto"/>
        </w:rPr>
      </w:pPr>
      <w:r>
        <w:rPr>
          <w:rFonts w:ascii="Times New Roman" w:cs="Times New Roman" w:eastAsia="Times New Roman" w:hAnsi="Times New Roman"/>
          <w:sz w:val="20"/>
          <w:szCs w:val="20"/>
          <w:color w:val="auto"/>
        </w:rPr>
        <w:t>any workout, restructuring, enforcement of remedies, bankruptcy proceedings or litigation among the Administrative Agent, the Lenders and any of the Credit Parties, electronic images of this Agreement or any other Loan Document (in each case, including with respect to</w:t>
      </w:r>
    </w:p>
    <w:p>
      <w:pPr>
        <w:ind w:left="60"/>
        <w:spacing w:after="0" w:line="211" w:lineRule="auto"/>
        <w:rPr>
          <w:sz w:val="20"/>
          <w:szCs w:val="20"/>
          <w:color w:val="auto"/>
        </w:rPr>
      </w:pPr>
      <w:r>
        <w:rPr>
          <w:rFonts w:ascii="Times New Roman" w:cs="Times New Roman" w:eastAsia="Times New Roman" w:hAnsi="Times New Roman"/>
          <w:sz w:val="20"/>
          <w:szCs w:val="20"/>
          <w:color w:val="auto"/>
        </w:rPr>
        <w:t>any signature pages thereto) shall have the same legal effect, validity and enforceability as any paper original, and (B) waives any</w:t>
      </w:r>
    </w:p>
    <w:p>
      <w:pPr>
        <w:spacing w:after="0" w:line="1" w:lineRule="exact"/>
        <w:rPr>
          <w:sz w:val="20"/>
          <w:szCs w:val="20"/>
          <w:color w:val="auto"/>
        </w:rPr>
      </w:pPr>
    </w:p>
    <w:p>
      <w:pPr>
        <w:ind w:left="60"/>
        <w:spacing w:after="0" w:line="221" w:lineRule="auto"/>
        <w:rPr>
          <w:sz w:val="20"/>
          <w:szCs w:val="20"/>
          <w:color w:val="auto"/>
        </w:rPr>
      </w:pPr>
      <w:r>
        <w:rPr>
          <w:rFonts w:ascii="Times New Roman" w:cs="Times New Roman" w:eastAsia="Times New Roman" w:hAnsi="Times New Roman"/>
          <w:sz w:val="20"/>
          <w:szCs w:val="20"/>
          <w:color w:val="auto"/>
        </w:rPr>
        <w:t>argument, defense or right to contest the validity or enforceability of the Loan Documents based solely on the lack of paper original copies of any Loan Documents, including with respect to any signature pages thereto.</w:t>
      </w:r>
    </w:p>
    <w:p>
      <w:pPr>
        <w:spacing w:after="0" w:line="189" w:lineRule="exact"/>
        <w:rPr>
          <w:sz w:val="20"/>
          <w:szCs w:val="20"/>
          <w:color w:val="auto"/>
        </w:rPr>
      </w:pPr>
    </w:p>
    <w:p>
      <w:pPr>
        <w:ind w:left="700"/>
        <w:spacing w:after="0"/>
        <w:tabs>
          <w:tab w:leader="none" w:pos="2220" w:val="left"/>
        </w:tabs>
        <w:rPr>
          <w:sz w:val="20"/>
          <w:szCs w:val="20"/>
          <w:color w:val="auto"/>
        </w:rPr>
      </w:pPr>
      <w:r>
        <w:rPr>
          <w:rFonts w:ascii="Times New Roman" w:cs="Times New Roman" w:eastAsia="Times New Roman" w:hAnsi="Times New Roman"/>
          <w:sz w:val="20"/>
          <w:szCs w:val="20"/>
          <w:color w:val="auto"/>
        </w:rPr>
        <w:t>SECTION 12.17</w:t>
      </w:r>
      <w:r>
        <w:rPr>
          <w:sz w:val="20"/>
          <w:szCs w:val="20"/>
          <w:color w:val="auto"/>
        </w:rPr>
        <w:tab/>
      </w:r>
      <w:r>
        <w:rPr>
          <w:rFonts w:ascii="Times New Roman" w:cs="Times New Roman" w:eastAsia="Times New Roman" w:hAnsi="Times New Roman"/>
          <w:sz w:val="19"/>
          <w:szCs w:val="19"/>
          <w:u w:val="single" w:color="auto"/>
          <w:color w:val="auto"/>
        </w:rPr>
        <w:t>Term of Agreement</w:t>
      </w:r>
    </w:p>
    <w:p>
      <w:pPr>
        <w:spacing w:after="0" w:line="283" w:lineRule="exact"/>
        <w:rPr>
          <w:sz w:val="20"/>
          <w:szCs w:val="20"/>
          <w:color w:val="auto"/>
        </w:rPr>
      </w:pPr>
    </w:p>
    <w:p>
      <w:pPr>
        <w:jc w:val="both"/>
        <w:ind w:left="60" w:hanging="4"/>
        <w:spacing w:after="0" w:line="216" w:lineRule="auto"/>
        <w:tabs>
          <w:tab w:leader="none" w:pos="184" w:val="left"/>
        </w:tabs>
        <w:numPr>
          <w:ilvl w:val="0"/>
          <w:numId w:val="4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shall remain in effect from the Closing Date through and including the date upon which all Obligations (other than contingent indemnification obligations not then due) arising hereunder or under any other Loan Document shall have been indefeasibly and irrevocably paid and satisfied in full, all Letters of Credit have been terminated or expired (or been Cash Collateralized) or otherwise satisfied in a manner acceptable to the Issuing Lender) and the Revolving Credit Commitment has been terminated. No termination of this Agreement shall affect the rights and obligations of the parties hereto arising prior to such termination or in respect of any provision of this Agreement which survives such termination.</w:t>
      </w:r>
    </w:p>
    <w:p>
      <w:pPr>
        <w:spacing w:after="0" w:line="189" w:lineRule="exact"/>
        <w:rPr>
          <w:sz w:val="20"/>
          <w:szCs w:val="20"/>
          <w:color w:val="auto"/>
        </w:rPr>
      </w:pPr>
    </w:p>
    <w:p>
      <w:pPr>
        <w:ind w:left="700"/>
        <w:spacing w:after="0"/>
        <w:tabs>
          <w:tab w:leader="none" w:pos="2220" w:val="left"/>
        </w:tabs>
        <w:rPr>
          <w:sz w:val="20"/>
          <w:szCs w:val="20"/>
          <w:color w:val="auto"/>
        </w:rPr>
      </w:pPr>
      <w:r>
        <w:rPr>
          <w:rFonts w:ascii="Times New Roman" w:cs="Times New Roman" w:eastAsia="Times New Roman" w:hAnsi="Times New Roman"/>
          <w:sz w:val="20"/>
          <w:szCs w:val="20"/>
          <w:color w:val="auto"/>
        </w:rPr>
        <w:t>SECTION 12.18</w:t>
      </w:r>
      <w:r>
        <w:rPr>
          <w:sz w:val="20"/>
          <w:szCs w:val="20"/>
          <w:color w:val="auto"/>
        </w:rPr>
        <w:tab/>
      </w:r>
      <w:r>
        <w:rPr>
          <w:rFonts w:ascii="Times New Roman" w:cs="Times New Roman" w:eastAsia="Times New Roman" w:hAnsi="Times New Roman"/>
          <w:sz w:val="19"/>
          <w:szCs w:val="19"/>
          <w:u w:val="single" w:color="auto"/>
          <w:color w:val="auto"/>
        </w:rPr>
        <w:t>USA PATRIOT Act; Anti-Money Laundering Laws</w:t>
      </w:r>
    </w:p>
    <w:p>
      <w:pPr>
        <w:spacing w:after="0" w:line="283" w:lineRule="exact"/>
        <w:rPr>
          <w:sz w:val="20"/>
          <w:szCs w:val="20"/>
          <w:color w:val="auto"/>
        </w:rPr>
      </w:pPr>
    </w:p>
    <w:p>
      <w:pPr>
        <w:jc w:val="both"/>
        <w:ind w:left="60" w:hanging="4"/>
        <w:spacing w:after="0" w:line="222" w:lineRule="auto"/>
        <w:tabs>
          <w:tab w:leader="none" w:pos="168" w:val="left"/>
        </w:tabs>
        <w:numPr>
          <w:ilvl w:val="0"/>
          <w:numId w:val="4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and each Lender hereby notifies the Borrowers that pursuant to the requirements of the PATRIOT Act or any other Anti-Money Laundering Laws, each of them is required to obtain, verify and record information that identifies each Credit Party, which information includes the name and address of each Credit Party and other information that will allow such Lender to identify each Credit Party in accordance with the PATRIOT Act or such Anti-Money Laundering Laws.</w:t>
      </w:r>
    </w:p>
    <w:p>
      <w:pPr>
        <w:spacing w:after="0" w:line="189" w:lineRule="exact"/>
        <w:rPr>
          <w:sz w:val="20"/>
          <w:szCs w:val="20"/>
          <w:color w:val="auto"/>
        </w:rPr>
      </w:pPr>
    </w:p>
    <w:p>
      <w:pPr>
        <w:ind w:left="700"/>
        <w:spacing w:after="0"/>
        <w:tabs>
          <w:tab w:leader="none" w:pos="2220" w:val="left"/>
        </w:tabs>
        <w:rPr>
          <w:sz w:val="20"/>
          <w:szCs w:val="20"/>
          <w:color w:val="auto"/>
        </w:rPr>
      </w:pPr>
      <w:r>
        <w:rPr>
          <w:rFonts w:ascii="Times New Roman" w:cs="Times New Roman" w:eastAsia="Times New Roman" w:hAnsi="Times New Roman"/>
          <w:sz w:val="20"/>
          <w:szCs w:val="20"/>
          <w:color w:val="auto"/>
        </w:rPr>
        <w:t>SECTION 12.19</w:t>
      </w:r>
      <w:r>
        <w:rPr>
          <w:sz w:val="20"/>
          <w:szCs w:val="20"/>
          <w:color w:val="auto"/>
        </w:rPr>
        <w:tab/>
      </w:r>
      <w:r>
        <w:rPr>
          <w:rFonts w:ascii="Times New Roman" w:cs="Times New Roman" w:eastAsia="Times New Roman" w:hAnsi="Times New Roman"/>
          <w:sz w:val="19"/>
          <w:szCs w:val="19"/>
          <w:u w:val="single" w:color="auto"/>
          <w:color w:val="auto"/>
        </w:rPr>
        <w:t>Independent Effect of Covenants</w:t>
      </w:r>
    </w:p>
    <w:p>
      <w:pPr>
        <w:spacing w:after="0" w:line="283" w:lineRule="exact"/>
        <w:rPr>
          <w:sz w:val="20"/>
          <w:szCs w:val="20"/>
          <w:color w:val="auto"/>
        </w:rPr>
      </w:pPr>
    </w:p>
    <w:p>
      <w:pPr>
        <w:jc w:val="both"/>
        <w:ind w:left="60" w:hanging="4"/>
        <w:spacing w:after="0" w:line="222" w:lineRule="auto"/>
        <w:tabs>
          <w:tab w:leader="none" w:pos="170" w:val="left"/>
        </w:tabs>
        <w:numPr>
          <w:ilvl w:val="0"/>
          <w:numId w:val="4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Borrowers expressly acknowledge and agree that each covenant contained in </w:t>
      </w:r>
      <w:r>
        <w:rPr>
          <w:rFonts w:ascii="Times New Roman" w:cs="Times New Roman" w:eastAsia="Times New Roman" w:hAnsi="Times New Roman"/>
          <w:sz w:val="20"/>
          <w:szCs w:val="20"/>
          <w:u w:val="single" w:color="auto"/>
          <w:color w:val="auto"/>
        </w:rPr>
        <w:t>Articles VIII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IX</w:t>
      </w:r>
      <w:r>
        <w:rPr>
          <w:rFonts w:ascii="Times New Roman" w:cs="Times New Roman" w:eastAsia="Times New Roman" w:hAnsi="Times New Roman"/>
          <w:sz w:val="20"/>
          <w:szCs w:val="20"/>
          <w:color w:val="auto"/>
        </w:rPr>
        <w:t xml:space="preserve"> hereof shall be given independent effect. Accordingly, the Borrowers shall not engage in any transaction or other act otherwise permitted under any covenant contained in </w:t>
      </w:r>
      <w:r>
        <w:rPr>
          <w:rFonts w:ascii="Times New Roman" w:cs="Times New Roman" w:eastAsia="Times New Roman" w:hAnsi="Times New Roman"/>
          <w:sz w:val="20"/>
          <w:szCs w:val="20"/>
          <w:u w:val="single" w:color="auto"/>
          <w:color w:val="auto"/>
        </w:rPr>
        <w:t>Articles VIII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IX</w:t>
      </w:r>
      <w:r>
        <w:rPr>
          <w:rFonts w:ascii="Times New Roman" w:cs="Times New Roman" w:eastAsia="Times New Roman" w:hAnsi="Times New Roman"/>
          <w:sz w:val="20"/>
          <w:szCs w:val="20"/>
          <w:color w:val="auto"/>
        </w:rPr>
        <w:t xml:space="preserve">, before or after giving effect to such transaction or act, the Borrowers shall or would be in breach of any other covenant contained in </w:t>
      </w:r>
      <w:r>
        <w:rPr>
          <w:rFonts w:ascii="Times New Roman" w:cs="Times New Roman" w:eastAsia="Times New Roman" w:hAnsi="Times New Roman"/>
          <w:sz w:val="20"/>
          <w:szCs w:val="20"/>
          <w:u w:val="single" w:color="auto"/>
          <w:color w:val="auto"/>
        </w:rPr>
        <w:t>Articles VIII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IX</w:t>
      </w:r>
      <w:r>
        <w:rPr>
          <w:rFonts w:ascii="Times New Roman" w:cs="Times New Roman" w:eastAsia="Times New Roman" w:hAnsi="Times New Roman"/>
          <w:sz w:val="20"/>
          <w:szCs w:val="20"/>
          <w:color w:val="auto"/>
        </w:rPr>
        <w:t>.</w:t>
      </w:r>
    </w:p>
    <w:p>
      <w:pPr>
        <w:spacing w:after="0" w:line="256" w:lineRule="exact"/>
        <w:rPr>
          <w:sz w:val="20"/>
          <w:szCs w:val="20"/>
          <w:color w:val="auto"/>
        </w:rPr>
      </w:pPr>
    </w:p>
    <w:p>
      <w:pPr>
        <w:ind w:left="700"/>
        <w:spacing w:after="0"/>
        <w:tabs>
          <w:tab w:leader="none" w:pos="2220" w:val="left"/>
        </w:tabs>
        <w:rPr>
          <w:sz w:val="20"/>
          <w:szCs w:val="20"/>
          <w:color w:val="auto"/>
        </w:rPr>
      </w:pPr>
      <w:r>
        <w:rPr>
          <w:rFonts w:ascii="Times New Roman" w:cs="Times New Roman" w:eastAsia="Times New Roman" w:hAnsi="Times New Roman"/>
          <w:sz w:val="20"/>
          <w:szCs w:val="20"/>
          <w:color w:val="auto"/>
        </w:rPr>
        <w:t>SECTION 12.20</w:t>
      </w:r>
      <w:r>
        <w:rPr>
          <w:sz w:val="20"/>
          <w:szCs w:val="20"/>
          <w:color w:val="auto"/>
        </w:rPr>
        <w:tab/>
      </w:r>
      <w:r>
        <w:rPr>
          <w:rFonts w:ascii="Times New Roman" w:cs="Times New Roman" w:eastAsia="Times New Roman" w:hAnsi="Times New Roman"/>
          <w:sz w:val="19"/>
          <w:szCs w:val="19"/>
          <w:u w:val="single" w:color="auto"/>
          <w:color w:val="auto"/>
        </w:rPr>
        <w:t>No Advisory or Fiduciary Responsibility</w:t>
      </w:r>
      <w:r>
        <w:rPr>
          <w:rFonts w:ascii="Times New Roman" w:cs="Times New Roman" w:eastAsia="Times New Roman" w:hAnsi="Times New Roman"/>
          <w:sz w:val="19"/>
          <w:szCs w:val="19"/>
          <w:color w:val="auto"/>
        </w:rPr>
        <w:t>.</w:t>
      </w:r>
    </w:p>
    <w:p>
      <w:pPr>
        <w:spacing w:after="0" w:line="270" w:lineRule="exact"/>
        <w:rPr>
          <w:sz w:val="20"/>
          <w:szCs w:val="20"/>
          <w:color w:val="auto"/>
        </w:rPr>
      </w:pPr>
    </w:p>
    <w:p>
      <w:pPr>
        <w:jc w:val="both"/>
        <w:ind w:left="60" w:right="20" w:firstLine="730"/>
        <w:spacing w:after="0" w:line="230" w:lineRule="auto"/>
        <w:rPr>
          <w:sz w:val="20"/>
          <w:szCs w:val="20"/>
          <w:color w:val="auto"/>
        </w:rPr>
      </w:pPr>
      <w:r>
        <w:rPr>
          <w:rFonts w:ascii="Times New Roman" w:cs="Times New Roman" w:eastAsia="Times New Roman" w:hAnsi="Times New Roman"/>
          <w:sz w:val="20"/>
          <w:szCs w:val="20"/>
          <w:color w:val="auto"/>
        </w:rPr>
        <w:t>(au) In connection with all aspects of each transaction contemplated hereby, each Credit Party acknowledges and agrees, and acknowledges its Affiliates’ understanding, that (i) the facilities provided for hereunder and any related arranging or other services in connection therewith (including in connection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FF0000"/>
          <w:strike w:val="1"/>
        </w:rPr>
        <w:t>146960219_6</w:t>
      </w: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172</w:t>
      </w:r>
      <w:r>
        <w:rPr>
          <w:sz w:val="20"/>
          <w:szCs w:val="20"/>
          <w:color w:val="auto"/>
        </w:rPr>
        <w:tab/>
      </w: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080"/>
          </w:cols>
          <w:pgMar w:left="380" w:top="1399" w:right="439" w:bottom="1440" w:gutter="0" w:footer="0" w:header="0"/>
        </w:sectPr>
      </w:pPr>
    </w:p>
    <w:bookmarkStart w:id="256" w:name="page257"/>
    <w:bookmarkEnd w:id="256"/>
    <w:p>
      <w:pPr>
        <w:spacing w:after="0" w:line="1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with any amendment, waiver or other modification hereof or of any other Loan Document) are an arm’s- length commercial transaction</w:t>
      </w:r>
    </w:p>
    <w:p>
      <w:pPr>
        <w:ind w:left="60"/>
        <w:spacing w:after="0" w:line="215" w:lineRule="auto"/>
        <w:rPr>
          <w:sz w:val="20"/>
          <w:szCs w:val="20"/>
          <w:color w:val="auto"/>
        </w:rPr>
      </w:pPr>
      <w:r>
        <w:rPr>
          <w:rFonts w:ascii="Times New Roman" w:cs="Times New Roman" w:eastAsia="Times New Roman" w:hAnsi="Times New Roman"/>
          <w:sz w:val="19"/>
          <w:szCs w:val="19"/>
          <w:color w:val="auto"/>
        </w:rPr>
        <w:t>between the Borrowers and their respective Affiliates, on the one hand, and the Administrative Agent, the Arrangers and the Lenders, on the other hand, and each Borrower is capable of evaluating and understanding and understands and accepts the terms, risks and conditions</w:t>
      </w:r>
    </w:p>
    <w:p>
      <w:pPr>
        <w:ind w:left="60"/>
        <w:spacing w:after="0" w:line="222" w:lineRule="auto"/>
        <w:rPr>
          <w:sz w:val="20"/>
          <w:szCs w:val="20"/>
          <w:color w:val="auto"/>
        </w:rPr>
      </w:pPr>
      <w:r>
        <w:rPr>
          <w:rFonts w:ascii="Times New Roman" w:cs="Times New Roman" w:eastAsia="Times New Roman" w:hAnsi="Times New Roman"/>
          <w:sz w:val="19"/>
          <w:szCs w:val="19"/>
          <w:color w:val="auto"/>
        </w:rPr>
        <w:t>of the transactions contemplated hereby and by the other Loan Documents (including any amendment, waiver or other modification hereof</w:t>
      </w:r>
    </w:p>
    <w:p>
      <w:pPr>
        <w:ind w:left="60"/>
        <w:spacing w:after="0" w:line="204" w:lineRule="auto"/>
        <w:rPr>
          <w:sz w:val="20"/>
          <w:szCs w:val="20"/>
          <w:color w:val="auto"/>
        </w:rPr>
      </w:pPr>
      <w:r>
        <w:rPr>
          <w:rFonts w:ascii="Times New Roman" w:cs="Times New Roman" w:eastAsia="Times New Roman" w:hAnsi="Times New Roman"/>
          <w:sz w:val="20"/>
          <w:szCs w:val="20"/>
          <w:color w:val="auto"/>
        </w:rPr>
        <w:t>or thereof), (ii) in connection with the process leading to such transaction, each of the Administrative Agent, the Arrangers and the Lenders is and has been acting solely as a principal and is not the financial advisor, agent or fiduciary, for the Borrowers or any of their</w:t>
      </w:r>
    </w:p>
    <w:p>
      <w:pPr>
        <w:ind w:left="60"/>
        <w:spacing w:after="0" w:line="223" w:lineRule="auto"/>
        <w:rPr>
          <w:sz w:val="20"/>
          <w:szCs w:val="20"/>
          <w:color w:val="auto"/>
        </w:rPr>
      </w:pPr>
      <w:r>
        <w:rPr>
          <w:rFonts w:ascii="Times New Roman" w:cs="Times New Roman" w:eastAsia="Times New Roman" w:hAnsi="Times New Roman"/>
          <w:sz w:val="19"/>
          <w:szCs w:val="19"/>
          <w:color w:val="auto"/>
        </w:rPr>
        <w:t>respective Affiliates, stockholders, creditors or employees or any other Person, (iii) none of the Administrative Agent, the Arrangers or the</w:t>
      </w:r>
    </w:p>
    <w:p>
      <w:pPr>
        <w:ind w:left="60"/>
        <w:spacing w:after="0" w:line="204" w:lineRule="auto"/>
        <w:rPr>
          <w:sz w:val="20"/>
          <w:szCs w:val="20"/>
          <w:color w:val="auto"/>
        </w:rPr>
      </w:pPr>
      <w:r>
        <w:rPr>
          <w:rFonts w:ascii="Times New Roman" w:cs="Times New Roman" w:eastAsia="Times New Roman" w:hAnsi="Times New Roman"/>
          <w:sz w:val="20"/>
          <w:szCs w:val="20"/>
          <w:color w:val="auto"/>
        </w:rPr>
        <w:t>Lenders has assumed or will assume an advisory, agency or fiduciary responsibility in favor of the Borrowers with respect to any of the transactions contemplated hereby or the process leading thereto, including with respect to any amendment, waiver or other modification</w:t>
      </w:r>
    </w:p>
    <w:p>
      <w:pPr>
        <w:ind w:left="60"/>
        <w:spacing w:after="0" w:line="223" w:lineRule="auto"/>
        <w:rPr>
          <w:sz w:val="20"/>
          <w:szCs w:val="20"/>
          <w:color w:val="auto"/>
        </w:rPr>
      </w:pPr>
      <w:r>
        <w:rPr>
          <w:rFonts w:ascii="Times New Roman" w:cs="Times New Roman" w:eastAsia="Times New Roman" w:hAnsi="Times New Roman"/>
          <w:sz w:val="19"/>
          <w:szCs w:val="19"/>
          <w:color w:val="auto"/>
        </w:rPr>
        <w:t>hereof or of any other Loan Document (irrespective of whether any Arranger or Lender has advised or is currently advising the Borrowers</w:t>
      </w:r>
    </w:p>
    <w:p>
      <w:pPr>
        <w:ind w:left="60"/>
        <w:spacing w:after="0" w:line="215" w:lineRule="auto"/>
        <w:rPr>
          <w:sz w:val="20"/>
          <w:szCs w:val="20"/>
          <w:color w:val="auto"/>
        </w:rPr>
      </w:pPr>
      <w:r>
        <w:rPr>
          <w:rFonts w:ascii="Times New Roman" w:cs="Times New Roman" w:eastAsia="Times New Roman" w:hAnsi="Times New Roman"/>
          <w:sz w:val="19"/>
          <w:szCs w:val="19"/>
          <w:color w:val="auto"/>
        </w:rPr>
        <w:t>or any of their respective Affiliates on other matters) and none of the Administrative Agent, the Arrangers or the Lenders has any obligation to the Borrowers or any of its Affiliates with respect to the financing transactions contemplated hereby except those obligations</w:t>
      </w:r>
    </w:p>
    <w:p>
      <w:pPr>
        <w:ind w:left="60"/>
        <w:spacing w:after="0" w:line="211" w:lineRule="auto"/>
        <w:rPr>
          <w:sz w:val="20"/>
          <w:szCs w:val="20"/>
          <w:color w:val="auto"/>
        </w:rPr>
      </w:pPr>
      <w:r>
        <w:rPr>
          <w:rFonts w:ascii="Times New Roman" w:cs="Times New Roman" w:eastAsia="Times New Roman" w:hAnsi="Times New Roman"/>
          <w:sz w:val="20"/>
          <w:szCs w:val="20"/>
          <w:color w:val="auto"/>
        </w:rPr>
        <w:t>expressly set forth herein and in the other Loan Documents, (iv) the Arrangers and the Lenders and their respective Affiliates may be</w:t>
      </w:r>
    </w:p>
    <w:p>
      <w:pPr>
        <w:ind w:left="60"/>
        <w:spacing w:after="0" w:line="204" w:lineRule="auto"/>
        <w:rPr>
          <w:sz w:val="20"/>
          <w:szCs w:val="20"/>
          <w:color w:val="auto"/>
        </w:rPr>
      </w:pPr>
      <w:r>
        <w:rPr>
          <w:rFonts w:ascii="Times New Roman" w:cs="Times New Roman" w:eastAsia="Times New Roman" w:hAnsi="Times New Roman"/>
          <w:sz w:val="20"/>
          <w:szCs w:val="20"/>
          <w:color w:val="auto"/>
        </w:rPr>
        <w:t>engaged in a broad range of transactions that involve interests that differ from, and may conflict with, those of the Borrowers and their respective Affiliates, and none of the Administrative Agent, the Arrangers or the Lenders has any obligation to disclose any of such</w:t>
      </w:r>
    </w:p>
    <w:p>
      <w:pPr>
        <w:ind w:left="60"/>
        <w:spacing w:after="0" w:line="223" w:lineRule="auto"/>
        <w:rPr>
          <w:sz w:val="20"/>
          <w:szCs w:val="20"/>
          <w:color w:val="auto"/>
        </w:rPr>
      </w:pPr>
      <w:r>
        <w:rPr>
          <w:rFonts w:ascii="Times New Roman" w:cs="Times New Roman" w:eastAsia="Times New Roman" w:hAnsi="Times New Roman"/>
          <w:sz w:val="19"/>
          <w:szCs w:val="19"/>
          <w:color w:val="auto"/>
        </w:rPr>
        <w:t>interests by virtue of any advisory, agency or fiduciary relationship and (v) the Administrative Agent, the Arrangers and the Lenders have</w:t>
      </w:r>
    </w:p>
    <w:p>
      <w:pPr>
        <w:ind w:left="60"/>
        <w:spacing w:after="0" w:line="204" w:lineRule="auto"/>
        <w:rPr>
          <w:sz w:val="20"/>
          <w:szCs w:val="20"/>
          <w:color w:val="auto"/>
        </w:rPr>
      </w:pPr>
      <w:r>
        <w:rPr>
          <w:rFonts w:ascii="Times New Roman" w:cs="Times New Roman" w:eastAsia="Times New Roman" w:hAnsi="Times New Roman"/>
          <w:sz w:val="20"/>
          <w:szCs w:val="20"/>
          <w:color w:val="auto"/>
        </w:rPr>
        <w:t>not provided and will not provide any legal, accounting, regulatory or tax advice with respect to any of the transactions contemplated hereby (including any amendment, waiver or other modification hereof or of any other Loan Document) and the Credit Parties have</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consulted their own legal, accounting, regulatory and tax advisors to the extent they have deemed appropriate.</w:t>
      </w:r>
    </w:p>
    <w:p>
      <w:pPr>
        <w:spacing w:after="0" w:line="194" w:lineRule="exact"/>
        <w:rPr>
          <w:sz w:val="20"/>
          <w:szCs w:val="20"/>
          <w:color w:val="auto"/>
        </w:rPr>
      </w:pPr>
    </w:p>
    <w:p>
      <w:pPr>
        <w:jc w:val="both"/>
        <w:ind w:left="60" w:firstLine="726"/>
        <w:spacing w:after="0" w:line="215" w:lineRule="auto"/>
        <w:tabs>
          <w:tab w:leader="none" w:pos="1236" w:val="left"/>
        </w:tabs>
        <w:numPr>
          <w:ilvl w:val="0"/>
          <w:numId w:val="4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Credit Party acknowledges and agrees that each Lender, the Arrangers and any Affiliate thereof may lend money to, invest in, and generally engage in any kind of business with, any of the Borrowers, any Affiliate thereof or any other person or entity that may do business with or own securities of any of the foregoing, all as if such Lender, Arranger or Affiliate thereof were not a Lender or Arranger or an Affiliate thereof (or an agent or any other person with any similar role under the Credit Facilities) and without any duty to account therefor to any other Lender, the Arrangers, the Borrowers or any Affiliate of the foregoing. Each Lender, the Arrangers and any Affiliate thereof may accept fees and other consideration from the Borrowers or any Affiliate thereof for services in connection with this Agreement, the Credit Facilities or otherwise without having to account for the same to any other Lender, the Arrangers, the Borrowers or any Affiliate of the foregoing.</w:t>
      </w:r>
    </w:p>
    <w:p>
      <w:pPr>
        <w:spacing w:after="0" w:line="188" w:lineRule="exact"/>
        <w:rPr>
          <w:sz w:val="20"/>
          <w:szCs w:val="20"/>
          <w:color w:val="auto"/>
        </w:rPr>
      </w:pPr>
    </w:p>
    <w:p>
      <w:pPr>
        <w:ind w:left="700"/>
        <w:spacing w:after="0"/>
        <w:tabs>
          <w:tab w:leader="none" w:pos="2220" w:val="left"/>
        </w:tabs>
        <w:rPr>
          <w:sz w:val="20"/>
          <w:szCs w:val="20"/>
          <w:color w:val="auto"/>
        </w:rPr>
      </w:pPr>
      <w:r>
        <w:rPr>
          <w:rFonts w:ascii="Times New Roman" w:cs="Times New Roman" w:eastAsia="Times New Roman" w:hAnsi="Times New Roman"/>
          <w:sz w:val="20"/>
          <w:szCs w:val="20"/>
          <w:color w:val="auto"/>
        </w:rPr>
        <w:t>SECTION 12.21</w:t>
      </w:r>
      <w:r>
        <w:rPr>
          <w:sz w:val="20"/>
          <w:szCs w:val="20"/>
          <w:color w:val="auto"/>
        </w:rPr>
        <w:tab/>
      </w:r>
      <w:r>
        <w:rPr>
          <w:rFonts w:ascii="Times New Roman" w:cs="Times New Roman" w:eastAsia="Times New Roman" w:hAnsi="Times New Roman"/>
          <w:sz w:val="19"/>
          <w:szCs w:val="19"/>
          <w:u w:val="single" w:color="auto"/>
          <w:color w:val="auto"/>
        </w:rPr>
        <w:t>Inconsistencies with Other Documents</w:t>
      </w:r>
    </w:p>
    <w:p>
      <w:pPr>
        <w:spacing w:after="0" w:line="283" w:lineRule="exact"/>
        <w:rPr>
          <w:sz w:val="20"/>
          <w:szCs w:val="20"/>
          <w:color w:val="auto"/>
        </w:rPr>
      </w:pPr>
    </w:p>
    <w:p>
      <w:pPr>
        <w:jc w:val="both"/>
        <w:ind w:left="60" w:hanging="4"/>
        <w:spacing w:after="0" w:line="222" w:lineRule="auto"/>
        <w:tabs>
          <w:tab w:leader="none" w:pos="162" w:val="left"/>
        </w:tabs>
        <w:numPr>
          <w:ilvl w:val="0"/>
          <w:numId w:val="4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event there is a conflict or inconsistency between this Agreement and any other Loan Document, the terms of this Agreement shall control;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provision of the Security Documents which imposes additional burdens on the Consolidated Companies or further restricts the rights of the Consolidated Companies or gives the Administrative Agent or Lenders additional rights shall not be deemed to be in conflict or inconsistent with this Agreement and shall be given full force and effect.</w:t>
      </w:r>
    </w:p>
    <w:p>
      <w:pPr>
        <w:spacing w:after="0" w:line="175" w:lineRule="exact"/>
        <w:rPr>
          <w:sz w:val="20"/>
          <w:szCs w:val="20"/>
          <w:color w:val="auto"/>
        </w:rPr>
      </w:pPr>
    </w:p>
    <w:p>
      <w:pPr>
        <w:ind w:left="700"/>
        <w:spacing w:after="0"/>
        <w:tabs>
          <w:tab w:leader="none" w:pos="2220" w:val="left"/>
        </w:tabs>
        <w:rPr>
          <w:sz w:val="20"/>
          <w:szCs w:val="20"/>
          <w:color w:val="auto"/>
        </w:rPr>
      </w:pPr>
      <w:r>
        <w:rPr>
          <w:rFonts w:ascii="Times New Roman" w:cs="Times New Roman" w:eastAsia="Times New Roman" w:hAnsi="Times New Roman"/>
          <w:sz w:val="20"/>
          <w:szCs w:val="20"/>
          <w:color w:val="auto"/>
        </w:rPr>
        <w:t>SECTION 12.22</w:t>
      </w:r>
      <w:r>
        <w:rPr>
          <w:sz w:val="20"/>
          <w:szCs w:val="20"/>
          <w:color w:val="auto"/>
        </w:rPr>
        <w:tab/>
      </w:r>
      <w:r>
        <w:rPr>
          <w:rFonts w:ascii="Times New Roman" w:cs="Times New Roman" w:eastAsia="Times New Roman" w:hAnsi="Times New Roman"/>
          <w:sz w:val="19"/>
          <w:szCs w:val="19"/>
          <w:u w:val="single" w:color="auto"/>
          <w:color w:val="auto"/>
        </w:rPr>
        <w:t>Acknowledgement and Consent to Bail-In of Affected Financial Institutions</w:t>
      </w:r>
    </w:p>
    <w:p>
      <w:pPr>
        <w:spacing w:after="0" w:line="283" w:lineRule="exact"/>
        <w:rPr>
          <w:sz w:val="20"/>
          <w:szCs w:val="20"/>
          <w:color w:val="auto"/>
        </w:rPr>
      </w:pPr>
    </w:p>
    <w:p>
      <w:pPr>
        <w:jc w:val="both"/>
        <w:ind w:left="60" w:hanging="4"/>
        <w:spacing w:after="0" w:line="226" w:lineRule="auto"/>
        <w:tabs>
          <w:tab w:leader="none" w:pos="175" w:val="left"/>
        </w:tabs>
        <w:numPr>
          <w:ilvl w:val="0"/>
          <w:numId w:val="4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FF0000"/>
          <w:strike w:val="1"/>
        </w:rPr>
        <w:t>146960219_6</w:t>
      </w: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173</w:t>
      </w:r>
      <w:r>
        <w:rPr>
          <w:sz w:val="20"/>
          <w:szCs w:val="20"/>
          <w:color w:val="auto"/>
        </w:rPr>
        <w:tab/>
      </w: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080"/>
          </w:cols>
          <w:pgMar w:left="380" w:top="1440" w:right="439" w:bottom="1440" w:gutter="0" w:footer="0" w:header="0"/>
        </w:sectPr>
      </w:pPr>
    </w:p>
    <w:bookmarkStart w:id="257" w:name="page258"/>
    <w:bookmarkEnd w:id="257"/>
    <w:p>
      <w:pPr>
        <w:spacing w:after="0" w:line="203" w:lineRule="exact"/>
        <w:rPr>
          <w:sz w:val="20"/>
          <w:szCs w:val="20"/>
          <w:color w:val="auto"/>
        </w:rPr>
      </w:pPr>
    </w:p>
    <w:p>
      <w:pPr>
        <w:ind w:left="60" w:right="200"/>
        <w:spacing w:after="0"/>
        <w:rPr>
          <w:sz w:val="20"/>
          <w:szCs w:val="20"/>
          <w:color w:val="auto"/>
        </w:rPr>
      </w:pPr>
      <w:r>
        <w:rPr>
          <w:rFonts w:ascii="Times New Roman" w:cs="Times New Roman" w:eastAsia="Times New Roman" w:hAnsi="Times New Roman"/>
          <w:sz w:val="20"/>
          <w:szCs w:val="20"/>
          <w:color w:val="auto"/>
        </w:rPr>
        <w:t>subject to the Write-Down and Conversion Powers of the applicable Resolution Authority and agrees and consents to, and acknowledges and agrees to be bound by:</w:t>
      </w:r>
    </w:p>
    <w:p>
      <w:pPr>
        <w:spacing w:after="0" w:line="202" w:lineRule="exact"/>
        <w:rPr>
          <w:sz w:val="20"/>
          <w:szCs w:val="20"/>
          <w:color w:val="auto"/>
        </w:rPr>
      </w:pPr>
    </w:p>
    <w:p>
      <w:pPr>
        <w:ind w:left="60" w:firstLine="644"/>
        <w:spacing w:after="0" w:line="269" w:lineRule="auto"/>
        <w:tabs>
          <w:tab w:leader="none" w:pos="1238" w:val="left"/>
        </w:tabs>
        <w:numPr>
          <w:ilvl w:val="0"/>
          <w:numId w:val="4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72" w:lineRule="exact"/>
        <w:rPr>
          <w:rFonts w:ascii="Times New Roman" w:cs="Times New Roman" w:eastAsia="Times New Roman" w:hAnsi="Times New Roman"/>
          <w:sz w:val="20"/>
          <w:szCs w:val="20"/>
          <w:color w:val="auto"/>
        </w:rPr>
      </w:pPr>
    </w:p>
    <w:p>
      <w:pPr>
        <w:ind w:left="1360" w:right="3540" w:hanging="656"/>
        <w:spacing w:after="0" w:line="496" w:lineRule="auto"/>
        <w:tabs>
          <w:tab w:leader="none" w:pos="1349" w:val="left"/>
        </w:tabs>
        <w:numPr>
          <w:ilvl w:val="0"/>
          <w:numId w:val="4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effects of any Bail-In Action on any such liability, including, if applicable; (cxx) a reduction in full or in part or cancellation of any such liability;</w:t>
      </w:r>
    </w:p>
    <w:p>
      <w:pPr>
        <w:ind w:left="1360"/>
        <w:spacing w:after="0" w:line="235" w:lineRule="auto"/>
        <w:rPr>
          <w:sz w:val="20"/>
          <w:szCs w:val="20"/>
          <w:color w:val="auto"/>
        </w:rPr>
      </w:pPr>
      <w:r>
        <w:rPr>
          <w:rFonts w:ascii="Times New Roman" w:cs="Times New Roman" w:eastAsia="Times New Roman" w:hAnsi="Times New Roman"/>
          <w:sz w:val="20"/>
          <w:szCs w:val="20"/>
          <w:color w:val="auto"/>
        </w:rPr>
        <w:t>(cxxi) a conversion of all, or a portion of, such liability into shares or other instruments of ownership in such Affected</w:t>
      </w:r>
    </w:p>
    <w:p>
      <w:pPr>
        <w:spacing w:after="0" w:line="1" w:lineRule="exact"/>
        <w:rPr>
          <w:sz w:val="20"/>
          <w:szCs w:val="20"/>
          <w:color w:val="auto"/>
        </w:rPr>
      </w:pPr>
    </w:p>
    <w:p>
      <w:pPr>
        <w:ind w:left="700"/>
        <w:spacing w:after="0" w:line="204" w:lineRule="auto"/>
        <w:rPr>
          <w:sz w:val="20"/>
          <w:szCs w:val="20"/>
          <w:color w:val="auto"/>
        </w:rPr>
      </w:pPr>
      <w:r>
        <w:rPr>
          <w:rFonts w:ascii="Times New Roman" w:cs="Times New Roman" w:eastAsia="Times New Roman" w:hAnsi="Times New Roman"/>
          <w:sz w:val="20"/>
          <w:szCs w:val="20"/>
          <w:color w:val="auto"/>
        </w:rPr>
        <w:t>Financial Institution, its parent undertaking, or a bridge institution that may be issued to it or otherwise conferred on it, and that such shares or other instruments of ownership will be accepted by it in lieu of any rights with respect to any such liability under</w:t>
      </w:r>
    </w:p>
    <w:p>
      <w:pPr>
        <w:spacing w:after="0" w:line="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color w:val="auto"/>
        </w:rPr>
        <w:t>this Agreement or any other Loan Documents; or</w:t>
      </w:r>
    </w:p>
    <w:p>
      <w:pPr>
        <w:spacing w:after="0" w:line="194" w:lineRule="exact"/>
        <w:rPr>
          <w:sz w:val="20"/>
          <w:szCs w:val="20"/>
          <w:color w:val="auto"/>
        </w:rPr>
      </w:pPr>
    </w:p>
    <w:p>
      <w:pPr>
        <w:ind w:left="700" w:right="20" w:firstLine="648"/>
        <w:spacing w:after="0"/>
        <w:rPr>
          <w:sz w:val="20"/>
          <w:szCs w:val="20"/>
          <w:color w:val="auto"/>
        </w:rPr>
      </w:pPr>
      <w:r>
        <w:rPr>
          <w:rFonts w:ascii="Times New Roman" w:cs="Times New Roman" w:eastAsia="Times New Roman" w:hAnsi="Times New Roman"/>
          <w:sz w:val="20"/>
          <w:szCs w:val="20"/>
          <w:color w:val="auto"/>
        </w:rPr>
        <w:t>(cxxii)the variation of the terms of such liability in connection with the exercise of the Write-Down and Conversion Powers of the applicable Resolution Authority.</w:t>
      </w:r>
    </w:p>
    <w:p>
      <w:pPr>
        <w:spacing w:after="0" w:line="188" w:lineRule="exact"/>
        <w:rPr>
          <w:sz w:val="20"/>
          <w:szCs w:val="20"/>
          <w:color w:val="auto"/>
        </w:rPr>
      </w:pPr>
    </w:p>
    <w:p>
      <w:pPr>
        <w:ind w:left="700"/>
        <w:spacing w:after="0"/>
        <w:tabs>
          <w:tab w:leader="none" w:pos="2220" w:val="left"/>
        </w:tabs>
        <w:rPr>
          <w:sz w:val="20"/>
          <w:szCs w:val="20"/>
          <w:color w:val="auto"/>
        </w:rPr>
      </w:pPr>
      <w:r>
        <w:rPr>
          <w:rFonts w:ascii="Times New Roman" w:cs="Times New Roman" w:eastAsia="Times New Roman" w:hAnsi="Times New Roman"/>
          <w:sz w:val="20"/>
          <w:szCs w:val="20"/>
          <w:color w:val="auto"/>
        </w:rPr>
        <w:t>SECTION 12.23</w:t>
      </w:r>
      <w:r>
        <w:rPr>
          <w:sz w:val="20"/>
          <w:szCs w:val="20"/>
          <w:color w:val="auto"/>
        </w:rPr>
        <w:tab/>
      </w:r>
      <w:r>
        <w:rPr>
          <w:rFonts w:ascii="Times New Roman" w:cs="Times New Roman" w:eastAsia="Times New Roman" w:hAnsi="Times New Roman"/>
          <w:sz w:val="19"/>
          <w:szCs w:val="19"/>
          <w:u w:val="single" w:color="auto"/>
          <w:color w:val="auto"/>
        </w:rPr>
        <w:t>Certain ERISA Matters</w:t>
      </w:r>
      <w:r>
        <w:rPr>
          <w:rFonts w:ascii="Times New Roman" w:cs="Times New Roman" w:eastAsia="Times New Roman" w:hAnsi="Times New Roman"/>
          <w:sz w:val="19"/>
          <w:szCs w:val="19"/>
          <w:color w:val="auto"/>
        </w:rPr>
        <w:t>.</w:t>
      </w:r>
    </w:p>
    <w:p>
      <w:pPr>
        <w:spacing w:after="0" w:line="270" w:lineRule="exact"/>
        <w:rPr>
          <w:sz w:val="20"/>
          <w:szCs w:val="20"/>
          <w:color w:val="auto"/>
        </w:rPr>
      </w:pPr>
    </w:p>
    <w:p>
      <w:pPr>
        <w:jc w:val="both"/>
        <w:ind w:left="60" w:firstLine="644"/>
        <w:spacing w:after="0" w:line="222" w:lineRule="auto"/>
        <w:tabs>
          <w:tab w:leader="none" w:pos="1239" w:val="left"/>
        </w:tabs>
        <w:numPr>
          <w:ilvl w:val="0"/>
          <w:numId w:val="4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each Arranger and their respective Affiliates, and not, for the avoidance of doubt, to or for the benefit of the Borrower or any other Credit Party, that at least one of the following is and will be true:</w:t>
      </w:r>
    </w:p>
    <w:p>
      <w:pPr>
        <w:spacing w:after="0" w:line="189" w:lineRule="exact"/>
        <w:rPr>
          <w:sz w:val="20"/>
          <w:szCs w:val="20"/>
          <w:color w:val="auto"/>
        </w:rPr>
      </w:pPr>
    </w:p>
    <w:p>
      <w:pPr>
        <w:ind w:left="700" w:firstLine="648"/>
        <w:spacing w:after="0" w:line="215" w:lineRule="auto"/>
        <w:rPr>
          <w:sz w:val="20"/>
          <w:szCs w:val="20"/>
          <w:color w:val="auto"/>
        </w:rPr>
      </w:pPr>
      <w:r>
        <w:rPr>
          <w:rFonts w:ascii="Times New Roman" w:cs="Times New Roman" w:eastAsia="Times New Roman" w:hAnsi="Times New Roman"/>
          <w:sz w:val="20"/>
          <w:szCs w:val="20"/>
          <w:color w:val="auto"/>
        </w:rPr>
        <w:t>(cxxiii) such Lender is not using “plan assets” (within the meaning of Section 3(42) of ERISA or otherwise) of one or more Benefit Plans with respect to such Lender’s entrance into, participation in, administration of and performance of the</w:t>
      </w:r>
    </w:p>
    <w:p>
      <w:pPr>
        <w:spacing w:after="0" w:line="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color w:val="auto"/>
        </w:rPr>
        <w:t>Loans, the Letters of Credit or the Commitments;</w:t>
      </w:r>
    </w:p>
    <w:p>
      <w:pPr>
        <w:spacing w:after="0" w:line="194" w:lineRule="exact"/>
        <w:rPr>
          <w:sz w:val="20"/>
          <w:szCs w:val="20"/>
          <w:color w:val="auto"/>
        </w:rPr>
      </w:pPr>
    </w:p>
    <w:p>
      <w:pPr>
        <w:ind w:left="700" w:firstLine="648"/>
        <w:spacing w:after="0" w:line="215" w:lineRule="auto"/>
        <w:rPr>
          <w:sz w:val="20"/>
          <w:szCs w:val="20"/>
          <w:color w:val="auto"/>
        </w:rPr>
      </w:pPr>
      <w:r>
        <w:rPr>
          <w:rFonts w:ascii="Times New Roman" w:cs="Times New Roman" w:eastAsia="Times New Roman" w:hAnsi="Times New Roman"/>
          <w:sz w:val="20"/>
          <w:szCs w:val="20"/>
          <w:color w:val="auto"/>
        </w:rPr>
        <w:t>(cxxiv) the transaction exemption set forth in one or more PTEs, such as PTE 84-14 (a class exemption for certain transactions determined by independent qualified professional asset managers), PTE 95-60 (a class exemption for certain</w:t>
      </w:r>
    </w:p>
    <w:p>
      <w:pPr>
        <w:ind w:left="700"/>
        <w:spacing w:after="0" w:line="212" w:lineRule="auto"/>
        <w:rPr>
          <w:sz w:val="20"/>
          <w:szCs w:val="20"/>
          <w:color w:val="auto"/>
        </w:rPr>
      </w:pPr>
      <w:r>
        <w:rPr>
          <w:rFonts w:ascii="Times New Roman" w:cs="Times New Roman" w:eastAsia="Times New Roman" w:hAnsi="Times New Roman"/>
          <w:sz w:val="20"/>
          <w:szCs w:val="20"/>
          <w:color w:val="auto"/>
        </w:rPr>
        <w:t>transactions involving insurance company general accounts), PTE 90-1 (a class exemption for certain transactions involving</w:t>
      </w:r>
    </w:p>
    <w:p>
      <w:pPr>
        <w:spacing w:after="0" w:line="1" w:lineRule="exact"/>
        <w:rPr>
          <w:sz w:val="20"/>
          <w:szCs w:val="20"/>
          <w:color w:val="auto"/>
        </w:rPr>
      </w:pPr>
    </w:p>
    <w:p>
      <w:pPr>
        <w:ind w:left="700"/>
        <w:spacing w:after="0" w:line="204" w:lineRule="auto"/>
        <w:rPr>
          <w:sz w:val="20"/>
          <w:szCs w:val="20"/>
          <w:color w:val="auto"/>
        </w:rPr>
      </w:pPr>
      <w:r>
        <w:rPr>
          <w:rFonts w:ascii="Times New Roman" w:cs="Times New Roman" w:eastAsia="Times New Roman" w:hAnsi="Times New Roman"/>
          <w:sz w:val="20"/>
          <w:szCs w:val="20"/>
          <w:color w:val="auto"/>
        </w:rPr>
        <w:t>insurance company pooled separate accounts), PTE 91-38 (a class exemption for certain transactions involving bank collective investment funds) or PTE 96-23 (a class exemption for certain transactions determined by in-house asset managers), is applicable</w:t>
      </w:r>
    </w:p>
    <w:p>
      <w:pPr>
        <w:spacing w:after="0" w:line="1" w:lineRule="exact"/>
        <w:rPr>
          <w:sz w:val="20"/>
          <w:szCs w:val="20"/>
          <w:color w:val="auto"/>
        </w:rPr>
      </w:pPr>
    </w:p>
    <w:p>
      <w:pPr>
        <w:ind w:left="700"/>
        <w:spacing w:after="0" w:line="228" w:lineRule="auto"/>
        <w:rPr>
          <w:sz w:val="20"/>
          <w:szCs w:val="20"/>
          <w:color w:val="auto"/>
        </w:rPr>
      </w:pPr>
      <w:r>
        <w:rPr>
          <w:rFonts w:ascii="Times New Roman" w:cs="Times New Roman" w:eastAsia="Times New Roman" w:hAnsi="Times New Roman"/>
          <w:sz w:val="20"/>
          <w:szCs w:val="20"/>
          <w:color w:val="auto"/>
        </w:rPr>
        <w:t>with respect to such Lender’s entrance into, participation in, administration of and performance of the Loans, the Letters of Credit, the Commitments and this Agreement;</w:t>
      </w:r>
    </w:p>
    <w:p>
      <w:pPr>
        <w:spacing w:after="0" w:line="176" w:lineRule="exact"/>
        <w:rPr>
          <w:sz w:val="20"/>
          <w:szCs w:val="20"/>
          <w:color w:val="auto"/>
        </w:rPr>
      </w:pPr>
    </w:p>
    <w:p>
      <w:pPr>
        <w:ind w:left="700" w:firstLine="648"/>
        <w:spacing w:after="0" w:line="222" w:lineRule="auto"/>
        <w:rPr>
          <w:sz w:val="20"/>
          <w:szCs w:val="20"/>
          <w:color w:val="auto"/>
        </w:rPr>
      </w:pPr>
      <w:r>
        <w:rPr>
          <w:rFonts w:ascii="Times New Roman" w:cs="Times New Roman" w:eastAsia="Times New Roman" w:hAnsi="Times New Roman"/>
          <w:sz w:val="20"/>
          <w:szCs w:val="20"/>
          <w:color w:val="auto"/>
        </w:rPr>
        <w:t>(cxxv)(A) such Lender is an investment fund managed by a “Qualified Professional Asset Manager” (within the meaning of Part VI of PTE 84-14), (B) such Qualified Professional Asset Manager made the investment decision on behalf of such Lender</w:t>
      </w:r>
    </w:p>
    <w:p>
      <w:pPr>
        <w:spacing w:after="0" w:line="2" w:lineRule="exact"/>
        <w:rPr>
          <w:sz w:val="20"/>
          <w:szCs w:val="20"/>
          <w:color w:val="auto"/>
        </w:rPr>
      </w:pPr>
    </w:p>
    <w:p>
      <w:pPr>
        <w:ind w:left="700"/>
        <w:spacing w:after="0" w:line="215" w:lineRule="auto"/>
        <w:rPr>
          <w:sz w:val="20"/>
          <w:szCs w:val="20"/>
          <w:color w:val="auto"/>
        </w:rPr>
      </w:pPr>
      <w:r>
        <w:rPr>
          <w:rFonts w:ascii="Times New Roman" w:cs="Times New Roman" w:eastAsia="Times New Roman" w:hAnsi="Times New Roman"/>
          <w:sz w:val="19"/>
          <w:szCs w:val="19"/>
          <w:color w:val="auto"/>
        </w:rPr>
        <w:t>to enter into, participate in, administer and perform the Loans, the Letters of Credit, the Commitments and this Agreement, (C) the entrance into, participation in, administration of and performance of the Loans, the Letters of Credit, the Commitments and this</w:t>
      </w:r>
    </w:p>
    <w:p>
      <w:pPr>
        <w:ind w:left="700"/>
        <w:spacing w:after="0" w:line="225" w:lineRule="auto"/>
        <w:rPr>
          <w:sz w:val="20"/>
          <w:szCs w:val="20"/>
          <w:color w:val="auto"/>
        </w:rPr>
      </w:pPr>
      <w:r>
        <w:rPr>
          <w:rFonts w:ascii="Times New Roman" w:cs="Times New Roman" w:eastAsia="Times New Roman" w:hAnsi="Times New Roman"/>
          <w:sz w:val="20"/>
          <w:szCs w:val="20"/>
          <w:color w:val="auto"/>
        </w:rPr>
        <w:t>Agreement satisfies the requirements of sub-sections (b) through</w:t>
      </w:r>
    </w:p>
    <w:p>
      <w:pPr>
        <w:ind w:left="700"/>
        <w:spacing w:after="0"/>
        <w:rPr>
          <w:sz w:val="20"/>
          <w:szCs w:val="20"/>
          <w:color w:val="auto"/>
        </w:rPr>
      </w:pPr>
      <w:r>
        <w:rPr>
          <w:rFonts w:ascii="Times New Roman" w:cs="Times New Roman" w:eastAsia="Times New Roman" w:hAnsi="Times New Roman"/>
          <w:sz w:val="20"/>
          <w:szCs w:val="20"/>
          <w:color w:val="auto"/>
        </w:rPr>
        <w:t>(g) of Part I of PTE 84-14 and (D) to the best knowledge of such Lender, the requirements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FF0000"/>
          <w:strike w:val="1"/>
        </w:rPr>
        <w:t>146960219_6</w:t>
      </w: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174</w:t>
      </w:r>
      <w:r>
        <w:rPr>
          <w:sz w:val="20"/>
          <w:szCs w:val="20"/>
          <w:color w:val="auto"/>
        </w:rPr>
        <w:tab/>
      </w: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080"/>
          </w:cols>
          <w:pgMar w:left="380" w:top="1440" w:right="439" w:bottom="1440" w:gutter="0" w:footer="0" w:header="0"/>
        </w:sectPr>
      </w:pPr>
    </w:p>
    <w:bookmarkStart w:id="258" w:name="page259"/>
    <w:bookmarkEnd w:id="258"/>
    <w:p>
      <w:pPr>
        <w:spacing w:after="0" w:line="20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color w:val="auto"/>
        </w:rPr>
        <w:t>subsection (a) of Part I of PTE 84-14 are satisfied with respect to such Lender’s entrance into, participation in, administration of and performance of the Loans, the Letters of Credit, the Commitments and this Agreement; or</w:t>
      </w:r>
    </w:p>
    <w:p>
      <w:pPr>
        <w:spacing w:after="0" w:line="175" w:lineRule="exact"/>
        <w:rPr>
          <w:sz w:val="20"/>
          <w:szCs w:val="20"/>
          <w:color w:val="auto"/>
        </w:rPr>
      </w:pPr>
    </w:p>
    <w:p>
      <w:pPr>
        <w:ind w:left="700" w:right="180" w:firstLine="648"/>
        <w:spacing w:after="0"/>
        <w:rPr>
          <w:sz w:val="20"/>
          <w:szCs w:val="20"/>
          <w:color w:val="auto"/>
        </w:rPr>
      </w:pPr>
      <w:r>
        <w:rPr>
          <w:rFonts w:ascii="Times New Roman" w:cs="Times New Roman" w:eastAsia="Times New Roman" w:hAnsi="Times New Roman"/>
          <w:sz w:val="20"/>
          <w:szCs w:val="20"/>
          <w:color w:val="auto"/>
        </w:rPr>
        <w:t>(cxxvi) such other representation, warranty and covenant as may be agreed in writing between the Administrative Agent, in its sole discretion, and such Lender.</w:t>
      </w:r>
    </w:p>
    <w:p>
      <w:pPr>
        <w:spacing w:after="0" w:line="188" w:lineRule="exact"/>
        <w:rPr>
          <w:sz w:val="20"/>
          <w:szCs w:val="20"/>
          <w:color w:val="auto"/>
        </w:rPr>
      </w:pPr>
    </w:p>
    <w:p>
      <w:pPr>
        <w:jc w:val="both"/>
        <w:ind w:left="60" w:firstLine="692"/>
        <w:spacing w:after="0" w:line="224" w:lineRule="auto"/>
        <w:tabs>
          <w:tab w:leader="none" w:pos="1051" w:val="left"/>
        </w:tabs>
        <w:numPr>
          <w:ilvl w:val="0"/>
          <w:numId w:val="4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addition, unless either (1) sub-clause (i) in the immediately preceding clause (a) is true with respect to a Lender or (2) a Lender has provided another representation, 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each Arranger and their respective Affiliates, and not, for the avoidance of doubt, to or for the benefit of the Borrower or any other Credit Party, that none of the Administrative Agent, any Arranger and their respective Affiliates is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w:t>
      </w:r>
    </w:p>
    <w:p>
      <w:pPr>
        <w:spacing w:after="0" w:line="19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color w:val="auto"/>
        </w:rPr>
        <w:t xml:space="preserve">SECTION 12.24 </w:t>
      </w:r>
      <w:r>
        <w:rPr>
          <w:rFonts w:ascii="Times New Roman" w:cs="Times New Roman" w:eastAsia="Times New Roman" w:hAnsi="Times New Roman"/>
          <w:sz w:val="20"/>
          <w:szCs w:val="20"/>
          <w:u w:val="single" w:color="auto"/>
          <w:color w:val="auto"/>
        </w:rPr>
        <w:t>Acknowledgement Regarding Any Supported QFCs</w:t>
      </w:r>
    </w:p>
    <w:p>
      <w:pPr>
        <w:spacing w:after="0" w:line="283" w:lineRule="exact"/>
        <w:rPr>
          <w:sz w:val="20"/>
          <w:szCs w:val="20"/>
          <w:color w:val="auto"/>
        </w:rPr>
      </w:pPr>
    </w:p>
    <w:p>
      <w:pPr>
        <w:jc w:val="both"/>
        <w:ind w:left="60" w:hanging="5"/>
        <w:spacing w:after="0" w:line="215" w:lineRule="auto"/>
        <w:tabs>
          <w:tab w:leader="none" w:pos="161" w:val="left"/>
        </w:tabs>
        <w:numPr>
          <w:ilvl w:val="0"/>
          <w:numId w:val="4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that the Loan Documents </w:t>
      </w:r>
      <w:r>
        <w:rPr>
          <w:rFonts w:ascii="Times New Roman" w:cs="Times New Roman" w:eastAsia="Times New Roman" w:hAnsi="Times New Roman"/>
          <w:sz w:val="20"/>
          <w:szCs w:val="20"/>
          <w:u w:val="single" w:color="auto"/>
          <w:color w:val="auto"/>
        </w:rPr>
        <w:t>provide</w:t>
      </w:r>
      <w:r>
        <w:rPr>
          <w:rFonts w:ascii="Times New Roman" w:cs="Times New Roman" w:eastAsia="Times New Roman" w:hAnsi="Times New Roman"/>
          <w:sz w:val="20"/>
          <w:szCs w:val="20"/>
          <w:color w:val="auto"/>
        </w:rPr>
        <w:t xml:space="preserve"> support, through a guarantee or otherwise, for Hedge Agreements or any other agreement or instrument that is a QFC (such support, “</w:t>
      </w:r>
      <w:r>
        <w:rPr>
          <w:rFonts w:ascii="Times New Roman" w:cs="Times New Roman" w:eastAsia="Times New Roman" w:hAnsi="Times New Roman"/>
          <w:sz w:val="20"/>
          <w:szCs w:val="20"/>
          <w:u w:val="single" w:color="auto"/>
          <w:color w:val="auto"/>
        </w:rPr>
        <w:t>QFC Credit Support</w:t>
      </w:r>
      <w:r>
        <w:rPr>
          <w:rFonts w:ascii="Times New Roman" w:cs="Times New Roman" w:eastAsia="Times New Roman" w:hAnsi="Times New Roman"/>
          <w:sz w:val="20"/>
          <w:szCs w:val="20"/>
          <w:color w:val="auto"/>
        </w:rPr>
        <w:t>” and, each such QFC, a “</w:t>
      </w:r>
      <w:r>
        <w:rPr>
          <w:rFonts w:ascii="Times New Roman" w:cs="Times New Roman" w:eastAsia="Times New Roman" w:hAnsi="Times New Roman"/>
          <w:sz w:val="20"/>
          <w:szCs w:val="20"/>
          <w:u w:val="single" w:color="auto"/>
          <w:color w:val="auto"/>
        </w:rPr>
        <w:t>Supported QFC</w:t>
      </w:r>
      <w:r>
        <w:rPr>
          <w:rFonts w:ascii="Times New Roman" w:cs="Times New Roman" w:eastAsia="Times New Roman" w:hAnsi="Times New Roman"/>
          <w:sz w:val="20"/>
          <w:szCs w:val="20"/>
          <w:color w:val="auto"/>
        </w:rPr>
        <w:t>”), the parties acknowledge and agree as follows with respect to the resolution power of the FDIC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20"/>
          <w:szCs w:val="20"/>
          <w:u w:val="single" w:color="auto"/>
          <w:color w:val="auto"/>
        </w:rPr>
        <w:t>U.S. Special Resolution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Regimes</w:t>
      </w:r>
      <w:r>
        <w:rPr>
          <w:rFonts w:ascii="Times New Roman" w:cs="Times New Roman" w:eastAsia="Times New Roman" w:hAnsi="Times New Roman"/>
          <w:sz w:val="20"/>
          <w:szCs w:val="20"/>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91" w:lineRule="exact"/>
        <w:rPr>
          <w:rFonts w:ascii="Times New Roman" w:cs="Times New Roman" w:eastAsia="Times New Roman" w:hAnsi="Times New Roman"/>
          <w:sz w:val="20"/>
          <w:szCs w:val="20"/>
          <w:color w:val="auto"/>
        </w:rPr>
      </w:pPr>
    </w:p>
    <w:p>
      <w:pPr>
        <w:jc w:val="both"/>
        <w:ind w:left="60" w:firstLine="644"/>
        <w:spacing w:after="0" w:line="211" w:lineRule="auto"/>
        <w:tabs>
          <w:tab w:leader="none" w:pos="1238" w:val="left"/>
        </w:tabs>
        <w:numPr>
          <w:ilvl w:val="1"/>
          <w:numId w:val="4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a Covered Entity that is party to a Supported QFC (each, a “</w:t>
      </w:r>
      <w:r>
        <w:rPr>
          <w:rFonts w:ascii="Times New Roman" w:cs="Times New Roman" w:eastAsia="Times New Roman" w:hAnsi="Times New Roman"/>
          <w:sz w:val="20"/>
          <w:szCs w:val="20"/>
          <w:u w:val="single" w:color="auto"/>
          <w:color w:val="auto"/>
        </w:rPr>
        <w:t>Covered Party</w:t>
      </w:r>
      <w:r>
        <w:rPr>
          <w:rFonts w:ascii="Times New Roman" w:cs="Times New Roman" w:eastAsia="Times New Roman" w:hAnsi="Times New Roman"/>
          <w:sz w:val="20"/>
          <w:szCs w:val="20"/>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92" w:lineRule="exact"/>
        <w:rPr>
          <w:rFonts w:ascii="Times New Roman" w:cs="Times New Roman" w:eastAsia="Times New Roman" w:hAnsi="Times New Roman"/>
          <w:sz w:val="20"/>
          <w:szCs w:val="20"/>
          <w:color w:val="auto"/>
        </w:rPr>
      </w:pPr>
    </w:p>
    <w:p>
      <w:pPr>
        <w:ind w:left="1340" w:hanging="636"/>
        <w:spacing w:after="0"/>
        <w:tabs>
          <w:tab w:leader="none" w:pos="1340" w:val="left"/>
        </w:tabs>
        <w:numPr>
          <w:ilvl w:val="1"/>
          <w:numId w:val="4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As used in this </w:t>
      </w:r>
      <w:r>
        <w:rPr>
          <w:rFonts w:ascii="Times New Roman" w:cs="Times New Roman" w:eastAsia="Times New Roman" w:hAnsi="Times New Roman"/>
          <w:sz w:val="20"/>
          <w:szCs w:val="20"/>
          <w:u w:val="single" w:color="auto"/>
          <w:color w:val="auto"/>
        </w:rPr>
        <w:t>Section 12.24</w:t>
      </w:r>
      <w:r>
        <w:rPr>
          <w:rFonts w:ascii="Times New Roman" w:cs="Times New Roman" w:eastAsia="Times New Roman" w:hAnsi="Times New Roman"/>
          <w:sz w:val="20"/>
          <w:szCs w:val="20"/>
          <w:color w:val="auto"/>
        </w:rPr>
        <w:t>, the following terms have the following meanings: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FF0000"/>
          <w:strike w:val="1"/>
        </w:rPr>
        <w:t>146960219_6</w:t>
      </w: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175</w:t>
      </w:r>
      <w:r>
        <w:rPr>
          <w:sz w:val="20"/>
          <w:szCs w:val="20"/>
          <w:color w:val="auto"/>
        </w:rPr>
        <w:tab/>
      </w: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080"/>
          </w:cols>
          <w:pgMar w:left="380" w:top="1440" w:right="439" w:bottom="1440" w:gutter="0" w:footer="0" w:header="0"/>
        </w:sectPr>
      </w:pPr>
    </w:p>
    <w:bookmarkStart w:id="259" w:name="page260"/>
    <w:bookmarkEnd w:id="259"/>
    <w:p>
      <w:pPr>
        <w:spacing w:after="0" w:line="203" w:lineRule="exact"/>
        <w:rPr>
          <w:sz w:val="20"/>
          <w:szCs w:val="20"/>
          <w:color w:val="auto"/>
        </w:rPr>
      </w:pPr>
    </w:p>
    <w:p>
      <w:pPr>
        <w:ind w:left="700" w:right="100"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BHC Act Affiliate</w:t>
      </w:r>
      <w:r>
        <w:rPr>
          <w:rFonts w:ascii="Times New Roman" w:cs="Times New Roman" w:eastAsia="Times New Roman" w:hAnsi="Times New Roman"/>
          <w:sz w:val="20"/>
          <w:szCs w:val="20"/>
          <w:color w:val="auto"/>
        </w:rPr>
        <w:t>” of a party means an “affiliate” (as such term is defined under, and interpreted in accordance with, 12 U.S.C. 1841(k)) of such party.</w:t>
      </w:r>
    </w:p>
    <w:p>
      <w:pPr>
        <w:spacing w:after="0" w:line="18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Covered Entity</w:t>
      </w:r>
      <w:r>
        <w:rPr>
          <w:rFonts w:ascii="Times New Roman" w:cs="Times New Roman" w:eastAsia="Times New Roman" w:hAnsi="Times New Roman"/>
          <w:sz w:val="20"/>
          <w:szCs w:val="20"/>
          <w:color w:val="auto"/>
        </w:rPr>
        <w:t>” means any of the following:</w:t>
      </w:r>
    </w:p>
    <w:p>
      <w:pPr>
        <w:spacing w:after="0" w:line="297" w:lineRule="exact"/>
        <w:rPr>
          <w:sz w:val="20"/>
          <w:szCs w:val="20"/>
          <w:color w:val="auto"/>
        </w:rPr>
      </w:pPr>
    </w:p>
    <w:p>
      <w:pPr>
        <w:ind w:left="1360" w:right="620" w:firstLine="649"/>
        <w:spacing w:after="0" w:line="269" w:lineRule="auto"/>
        <w:rPr>
          <w:sz w:val="20"/>
          <w:szCs w:val="20"/>
          <w:color w:val="auto"/>
        </w:rPr>
      </w:pPr>
      <w:r>
        <w:rPr>
          <w:rFonts w:ascii="Times New Roman" w:cs="Times New Roman" w:eastAsia="Times New Roman" w:hAnsi="Times New Roman"/>
          <w:sz w:val="20"/>
          <w:szCs w:val="20"/>
          <w:color w:val="auto"/>
        </w:rPr>
        <w:t>(cxxvii) a “covered entity” as that term is defined in, and interpreted in accordance with, 12 C.F.R. § 252.82(b);</w:t>
      </w:r>
    </w:p>
    <w:p>
      <w:pPr>
        <w:spacing w:after="0" w:line="173" w:lineRule="exact"/>
        <w:rPr>
          <w:sz w:val="20"/>
          <w:szCs w:val="20"/>
          <w:color w:val="auto"/>
        </w:rPr>
      </w:pPr>
    </w:p>
    <w:p>
      <w:pPr>
        <w:ind w:left="1360" w:right="700" w:firstLine="649"/>
        <w:spacing w:after="0"/>
        <w:rPr>
          <w:sz w:val="20"/>
          <w:szCs w:val="20"/>
          <w:color w:val="auto"/>
        </w:rPr>
      </w:pPr>
      <w:r>
        <w:rPr>
          <w:rFonts w:ascii="Times New Roman" w:cs="Times New Roman" w:eastAsia="Times New Roman" w:hAnsi="Times New Roman"/>
          <w:sz w:val="20"/>
          <w:szCs w:val="20"/>
          <w:color w:val="auto"/>
        </w:rPr>
        <w:t>(cxxviii) a “covered bank” as that term is defined in, and interpreted in accordance with, 12 C.F.R. § 47.3(b); or</w:t>
      </w:r>
    </w:p>
    <w:p>
      <w:pPr>
        <w:spacing w:after="0" w:line="188" w:lineRule="exact"/>
        <w:rPr>
          <w:sz w:val="20"/>
          <w:szCs w:val="20"/>
          <w:color w:val="auto"/>
        </w:rPr>
      </w:pPr>
    </w:p>
    <w:p>
      <w:pPr>
        <w:ind w:left="2000"/>
        <w:spacing w:after="0"/>
        <w:tabs>
          <w:tab w:leader="none" w:pos="3160" w:val="left"/>
        </w:tabs>
        <w:rPr>
          <w:sz w:val="20"/>
          <w:szCs w:val="20"/>
          <w:color w:val="auto"/>
        </w:rPr>
      </w:pPr>
      <w:r>
        <w:rPr>
          <w:rFonts w:ascii="Times New Roman" w:cs="Times New Roman" w:eastAsia="Times New Roman" w:hAnsi="Times New Roman"/>
          <w:sz w:val="19"/>
          <w:szCs w:val="19"/>
          <w:color w:val="auto"/>
        </w:rPr>
        <w:t>(cxxix)</w:t>
      </w:r>
      <w:r>
        <w:rPr>
          <w:sz w:val="20"/>
          <w:szCs w:val="20"/>
          <w:color w:val="auto"/>
        </w:rPr>
        <w:tab/>
      </w:r>
      <w:r>
        <w:rPr>
          <w:rFonts w:ascii="Times New Roman" w:cs="Times New Roman" w:eastAsia="Times New Roman" w:hAnsi="Times New Roman"/>
          <w:sz w:val="19"/>
          <w:szCs w:val="19"/>
          <w:color w:val="auto"/>
        </w:rPr>
        <w:t>a “covered FSI” as that term is defined in, and interpreted in accordance with, 12 C.F.R. § 382.2(b).</w:t>
      </w:r>
    </w:p>
    <w:p>
      <w:pPr>
        <w:spacing w:after="0" w:line="227" w:lineRule="exact"/>
        <w:rPr>
          <w:sz w:val="20"/>
          <w:szCs w:val="20"/>
          <w:color w:val="auto"/>
        </w:rPr>
      </w:pPr>
    </w:p>
    <w:p>
      <w:pPr>
        <w:ind w:left="700" w:right="640" w:firstLine="647"/>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 Right</w:t>
      </w:r>
      <w:r>
        <w:rPr>
          <w:rFonts w:ascii="Times New Roman" w:cs="Times New Roman" w:eastAsia="Times New Roman" w:hAnsi="Times New Roman"/>
          <w:sz w:val="20"/>
          <w:szCs w:val="20"/>
          <w:color w:val="auto"/>
        </w:rPr>
        <w:t>” has the meaning assigned to that term in, and shall be interpreted in accordance with, 12 C.F.R. §§ 252.81, 47.2 or 382.1, as applicable.</w:t>
      </w:r>
    </w:p>
    <w:p>
      <w:pPr>
        <w:spacing w:after="0" w:line="202" w:lineRule="exact"/>
        <w:rPr>
          <w:sz w:val="20"/>
          <w:szCs w:val="20"/>
          <w:color w:val="auto"/>
        </w:rPr>
      </w:pPr>
    </w:p>
    <w:p>
      <w:pPr>
        <w:ind w:left="700" w:right="10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QFC</w:t>
      </w:r>
      <w:r>
        <w:rPr>
          <w:rFonts w:ascii="Times New Roman" w:cs="Times New Roman" w:eastAsia="Times New Roman" w:hAnsi="Times New Roman"/>
          <w:sz w:val="20"/>
          <w:szCs w:val="20"/>
          <w:color w:val="auto"/>
        </w:rPr>
        <w:t>” has the meaning assigned to the term “qualified financial contract” in, and shall be interpreted in accordance with, 12 U.S.C. 5390(c)(8)(D).</w:t>
      </w:r>
    </w:p>
    <w:p>
      <w:pPr>
        <w:spacing w:after="0" w:line="186" w:lineRule="exact"/>
        <w:rPr>
          <w:sz w:val="20"/>
          <w:szCs w:val="20"/>
          <w:color w:val="auto"/>
        </w:rPr>
      </w:pPr>
    </w:p>
    <w:p>
      <w:pPr>
        <w:ind w:left="700"/>
        <w:spacing w:after="0"/>
        <w:tabs>
          <w:tab w:leader="none" w:pos="2220" w:val="left"/>
        </w:tabs>
        <w:rPr>
          <w:sz w:val="20"/>
          <w:szCs w:val="20"/>
          <w:color w:val="auto"/>
        </w:rPr>
      </w:pPr>
      <w:r>
        <w:rPr>
          <w:rFonts w:ascii="Times New Roman" w:cs="Times New Roman" w:eastAsia="Times New Roman" w:hAnsi="Times New Roman"/>
          <w:sz w:val="20"/>
          <w:szCs w:val="20"/>
          <w:color w:val="auto"/>
        </w:rPr>
        <w:t>SECTION 12.25</w:t>
      </w:r>
      <w:r>
        <w:rPr>
          <w:sz w:val="20"/>
          <w:szCs w:val="20"/>
          <w:color w:val="auto"/>
        </w:rPr>
        <w:tab/>
      </w:r>
      <w:r>
        <w:rPr>
          <w:rFonts w:ascii="Times New Roman" w:cs="Times New Roman" w:eastAsia="Times New Roman" w:hAnsi="Times New Roman"/>
          <w:sz w:val="19"/>
          <w:szCs w:val="19"/>
          <w:u w:val="single" w:color="auto"/>
          <w:color w:val="auto"/>
        </w:rPr>
        <w:t>Amendment and Restatement; No Novation</w:t>
      </w:r>
    </w:p>
    <w:p>
      <w:pPr>
        <w:spacing w:after="0" w:line="283" w:lineRule="exact"/>
        <w:rPr>
          <w:sz w:val="20"/>
          <w:szCs w:val="20"/>
          <w:color w:val="auto"/>
        </w:rPr>
      </w:pPr>
    </w:p>
    <w:p>
      <w:pPr>
        <w:jc w:val="both"/>
        <w:ind w:left="60" w:hanging="5"/>
        <w:spacing w:after="0" w:line="213" w:lineRule="auto"/>
        <w:tabs>
          <w:tab w:leader="none" w:pos="167" w:val="left"/>
        </w:tabs>
        <w:numPr>
          <w:ilvl w:val="0"/>
          <w:numId w:val="4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constitutes an amendment and restatement of the Existing Credit Agreement, effective from and after the Closing Date. The execution and delivery of this Agreement shall not constitute a novation of any indebtedness or other obligations owing to the Lenders or the Administrative Agent under the Existing Credit Agreement based on facts or events occurring or existing prior to the execution and delivery of this Agreement. On the Closing Date, the credit facilities described in the Existing Credit Agreement, shall be amended, supplemented, modified and restated in their entirety by the facilities described herein, and all loans and other obligations of any Borrower outstanding as of such date under the Existing Credit Agreement, shall be deemed to be loans and obligations outstanding under the corresponding facilities described herein, without any further action by any Person, except that the Administrative Agent shall make such transfers of funds as are necessary in order that the outstanding balance of such Loans, together with any Loans funded on the Closing Date, reflect the respective Commitments of the Lenders hereunder.</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Signature pages omitted</w:t>
      </w:r>
      <w:r>
        <w:rPr>
          <w:rFonts w:ascii="Times New Roman" w:cs="Times New Roman" w:eastAsia="Times New Roman" w:hAnsi="Times New Roman"/>
          <w:sz w:val="20"/>
          <w:szCs w:val="20"/>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FF0000"/>
          <w:strike w:val="1"/>
        </w:rPr>
        <w:t>146960219_6</w:t>
      </w: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176</w:t>
      </w:r>
      <w:r>
        <w:rPr>
          <w:sz w:val="20"/>
          <w:szCs w:val="20"/>
          <w:color w:val="auto"/>
        </w:rPr>
        <w:tab/>
      </w:r>
      <w:r>
        <w:rPr>
          <w:rFonts w:ascii="Times New Roman" w:cs="Times New Roman" w:eastAsia="Times New Roman" w:hAnsi="Times New Roman"/>
          <w:sz w:val="14"/>
          <w:szCs w:val="14"/>
          <w:u w:val="single" w:color="auto"/>
          <w:color w:val="0000FF"/>
        </w:rPr>
        <w:t>165457743_4</w:t>
      </w:r>
    </w:p>
    <w:p>
      <w:pPr>
        <w:sectPr>
          <w:pgSz w:w="11900" w:h="16838" w:orient="portrait"/>
          <w:cols w:equalWidth="0" w:num="1">
            <w:col w:w="11080"/>
          </w:cols>
          <w:pgMar w:left="380" w:top="1440" w:right="439" w:bottom="1440" w:gutter="0" w:footer="0" w:header="0"/>
        </w:sectPr>
      </w:pPr>
    </w:p>
    <w:bookmarkStart w:id="260" w:name="page261"/>
    <w:bookmarkEnd w:id="260"/>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0"/>
          <w:szCs w:val="20"/>
          <w:u w:val="single" w:color="auto"/>
          <w:color w:val="auto"/>
        </w:rPr>
        <w:t>EXHIBIT B</w:t>
      </w:r>
    </w:p>
    <w:p>
      <w:pPr>
        <w:ind w:left="5500"/>
        <w:spacing w:after="0" w:line="233" w:lineRule="auto"/>
        <w:rPr>
          <w:sz w:val="20"/>
          <w:szCs w:val="20"/>
          <w:color w:val="auto"/>
        </w:rPr>
      </w:pPr>
      <w:r>
        <w:rPr>
          <w:rFonts w:ascii="Times New Roman" w:cs="Times New Roman" w:eastAsia="Times New Roman" w:hAnsi="Times New Roman"/>
          <w:sz w:val="20"/>
          <w:szCs w:val="20"/>
          <w:color w:val="auto"/>
        </w:rPr>
        <w:t>to</w:t>
      </w:r>
    </w:p>
    <w:p>
      <w:pPr>
        <w:ind w:left="2480"/>
        <w:spacing w:after="0" w:line="212" w:lineRule="auto"/>
        <w:rPr>
          <w:sz w:val="20"/>
          <w:szCs w:val="20"/>
          <w:color w:val="auto"/>
        </w:rPr>
      </w:pPr>
      <w:r>
        <w:rPr>
          <w:rFonts w:ascii="Times New Roman" w:cs="Times New Roman" w:eastAsia="Times New Roman" w:hAnsi="Times New Roman"/>
          <w:sz w:val="20"/>
          <w:szCs w:val="20"/>
          <w:color w:val="auto"/>
        </w:rPr>
        <w:t>Second Amended and Restated Credit Agreement dated as of August 27, 2021</w:t>
      </w:r>
    </w:p>
    <w:p>
      <w:pPr>
        <w:jc w:val="center"/>
        <w:ind w:right="-1080"/>
        <w:spacing w:after="0" w:line="197" w:lineRule="auto"/>
        <w:rPr>
          <w:sz w:val="20"/>
          <w:szCs w:val="20"/>
          <w:color w:val="auto"/>
        </w:rPr>
      </w:pPr>
      <w:r>
        <w:rPr>
          <w:rFonts w:ascii="Times New Roman" w:cs="Times New Roman" w:eastAsia="Times New Roman" w:hAnsi="Times New Roman"/>
          <w:sz w:val="20"/>
          <w:szCs w:val="20"/>
          <w:color w:val="auto"/>
        </w:rPr>
        <w:t>by and among Centuri Group, Inc.</w:t>
      </w:r>
    </w:p>
    <w:p>
      <w:pPr>
        <w:jc w:val="center"/>
        <w:ind w:right="-1080"/>
        <w:spacing w:after="0" w:line="225" w:lineRule="auto"/>
        <w:rPr>
          <w:sz w:val="20"/>
          <w:szCs w:val="20"/>
          <w:color w:val="auto"/>
        </w:rPr>
      </w:pPr>
      <w:r>
        <w:rPr>
          <w:rFonts w:ascii="Times New Roman" w:cs="Times New Roman" w:eastAsia="Times New Roman" w:hAnsi="Times New Roman"/>
          <w:sz w:val="20"/>
          <w:szCs w:val="20"/>
          <w:color w:val="auto"/>
        </w:rPr>
        <w:t>and each Additional Borrower that becomes a party thereto as a US Borrower, as US Borrowers,</w:t>
      </w:r>
    </w:p>
    <w:p>
      <w:pPr>
        <w:ind w:left="4420"/>
        <w:spacing w:after="0" w:line="226" w:lineRule="auto"/>
        <w:rPr>
          <w:sz w:val="20"/>
          <w:szCs w:val="20"/>
          <w:color w:val="auto"/>
        </w:rPr>
      </w:pPr>
      <w:r>
        <w:rPr>
          <w:rFonts w:ascii="Times New Roman" w:cs="Times New Roman" w:eastAsia="Times New Roman" w:hAnsi="Times New Roman"/>
          <w:sz w:val="20"/>
          <w:szCs w:val="20"/>
          <w:color w:val="auto"/>
        </w:rPr>
        <w:t>Centuri Canada Division Inc.</w:t>
      </w:r>
    </w:p>
    <w:p>
      <w:pPr>
        <w:jc w:val="right"/>
        <w:ind w:right="199"/>
        <w:spacing w:after="0" w:line="211" w:lineRule="auto"/>
        <w:rPr>
          <w:sz w:val="20"/>
          <w:szCs w:val="20"/>
          <w:color w:val="auto"/>
        </w:rPr>
      </w:pPr>
      <w:r>
        <w:rPr>
          <w:rFonts w:ascii="Times New Roman" w:cs="Times New Roman" w:eastAsia="Times New Roman" w:hAnsi="Times New Roman"/>
          <w:sz w:val="20"/>
          <w:szCs w:val="20"/>
          <w:color w:val="auto"/>
        </w:rPr>
        <w:t>and each Additional Borrower that becomes a party thereto as a Canadian Borrower, as Canadian Borrowers,</w:t>
      </w:r>
    </w:p>
    <w:p>
      <w:pPr>
        <w:jc w:val="center"/>
        <w:ind w:right="-1080"/>
        <w:spacing w:after="0" w:line="211" w:lineRule="auto"/>
        <w:rPr>
          <w:sz w:val="20"/>
          <w:szCs w:val="20"/>
          <w:color w:val="auto"/>
        </w:rPr>
      </w:pPr>
      <w:r>
        <w:rPr>
          <w:rFonts w:ascii="Times New Roman" w:cs="Times New Roman" w:eastAsia="Times New Roman" w:hAnsi="Times New Roman"/>
          <w:sz w:val="20"/>
          <w:szCs w:val="20"/>
          <w:color w:val="auto"/>
        </w:rPr>
        <w:t>the lenders party thereto, as Lenders,</w:t>
      </w:r>
    </w:p>
    <w:p>
      <w:pPr>
        <w:jc w:val="center"/>
        <w:ind w:right="-1080"/>
        <w:spacing w:after="0" w:line="226" w:lineRule="auto"/>
        <w:rPr>
          <w:sz w:val="20"/>
          <w:szCs w:val="20"/>
          <w:color w:val="auto"/>
        </w:rPr>
      </w:pPr>
      <w:r>
        <w:rPr>
          <w:rFonts w:ascii="Times New Roman" w:cs="Times New Roman" w:eastAsia="Times New Roman" w:hAnsi="Times New Roman"/>
          <w:sz w:val="20"/>
          <w:szCs w:val="20"/>
          <w:color w:val="auto"/>
        </w:rPr>
        <w:t>and</w:t>
      </w:r>
    </w:p>
    <w:p>
      <w:pPr>
        <w:jc w:val="center"/>
        <w:ind w:right="-1080"/>
        <w:spacing w:after="0"/>
        <w:rPr>
          <w:sz w:val="20"/>
          <w:szCs w:val="20"/>
          <w:color w:val="auto"/>
        </w:rPr>
      </w:pPr>
      <w:r>
        <w:rPr>
          <w:rFonts w:ascii="Times New Roman" w:cs="Times New Roman" w:eastAsia="Times New Roman" w:hAnsi="Times New Roman"/>
          <w:sz w:val="20"/>
          <w:szCs w:val="20"/>
          <w:color w:val="auto"/>
        </w:rPr>
        <w:t>Wells Fargo Bank, National Association, as Administrative Agent</w:t>
      </w:r>
    </w:p>
    <w:p>
      <w:pPr>
        <w:spacing w:after="0" w:line="194"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0"/>
          <w:szCs w:val="20"/>
          <w:u w:val="single" w:color="auto"/>
          <w:color w:val="auto"/>
        </w:rPr>
        <w:t>FORM OF NOTICE OF BORROWING</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166115119_2</w:t>
      </w:r>
    </w:p>
    <w:p>
      <w:pPr>
        <w:sectPr>
          <w:pgSz w:w="11900" w:h="16838" w:orient="portrait"/>
          <w:cols w:equalWidth="0" w:num="1">
            <w:col w:w="10099"/>
          </w:cols>
          <w:pgMar w:left="360" w:top="1440" w:right="1440" w:bottom="1440" w:gutter="0" w:footer="0" w:header="0"/>
        </w:sectPr>
      </w:pPr>
    </w:p>
    <w:bookmarkStart w:id="261" w:name="page262"/>
    <w:bookmarkEnd w:id="261"/>
    <w:p>
      <w:pPr>
        <w:jc w:val="center"/>
        <w:ind w:right="-79"/>
        <w:spacing w:after="0"/>
        <w:rPr>
          <w:sz w:val="20"/>
          <w:szCs w:val="20"/>
          <w:color w:val="auto"/>
        </w:rPr>
      </w:pPr>
      <w:r>
        <w:rPr>
          <w:rFonts w:ascii="Times New Roman" w:cs="Times New Roman" w:eastAsia="Times New Roman" w:hAnsi="Times New Roman"/>
          <w:sz w:val="20"/>
          <w:szCs w:val="20"/>
          <w:u w:val="single" w:color="auto"/>
          <w:color w:val="auto"/>
        </w:rPr>
        <w:t>NOTICE OF BORROWING</w:t>
      </w:r>
    </w:p>
    <w:p>
      <w:pPr>
        <w:spacing w:after="0" w:line="200" w:lineRule="exact"/>
        <w:rPr>
          <w:sz w:val="20"/>
          <w:szCs w:val="20"/>
          <w:color w:val="auto"/>
        </w:rPr>
      </w:pPr>
    </w:p>
    <w:p>
      <w:pPr>
        <w:spacing w:after="0" w:line="32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color w:val="auto"/>
        </w:rPr>
        <w:t>Dated 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-10795</wp:posOffset>
            </wp:positionV>
            <wp:extent cx="12573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26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Wells Fargo Bank, National Association, as Administrative Agent</w:t>
      </w:r>
    </w:p>
    <w:p>
      <w:pPr>
        <w:ind w:left="80"/>
        <w:spacing w:after="0" w:line="233" w:lineRule="auto"/>
        <w:rPr>
          <w:sz w:val="20"/>
          <w:szCs w:val="20"/>
          <w:color w:val="auto"/>
        </w:rPr>
      </w:pPr>
      <w:r>
        <w:rPr>
          <w:rFonts w:ascii="Times New Roman" w:cs="Times New Roman" w:eastAsia="Times New Roman" w:hAnsi="Times New Roman"/>
          <w:sz w:val="20"/>
          <w:szCs w:val="20"/>
          <w:color w:val="auto"/>
        </w:rPr>
        <w:t>MAC D 1109-019</w:t>
      </w:r>
    </w:p>
    <w:p>
      <w:pPr>
        <w:spacing w:after="0" w:line="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1525 West W.T. Harris Blvd. Charlotte, North Carolina 28262</w:t>
      </w:r>
    </w:p>
    <w:p>
      <w:pPr>
        <w:spacing w:after="0" w:line="5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Attention: Syndication Agency Services Ladies and Gentlemen:</w:t>
      </w:r>
    </w:p>
    <w:p>
      <w:pPr>
        <w:spacing w:after="0" w:line="11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 xml:space="preserve">This irrevocable Notice of Borrowing is delivered to you pursuant to </w:t>
      </w:r>
      <w:r>
        <w:rPr>
          <w:rFonts w:ascii="Times New Roman" w:cs="Times New Roman" w:eastAsia="Times New Roman" w:hAnsi="Times New Roman"/>
          <w:sz w:val="20"/>
          <w:szCs w:val="20"/>
          <w:u w:val="single" w:color="auto"/>
          <w:color w:val="auto"/>
        </w:rPr>
        <w:t>Section [2.3][5.13]</w:t>
      </w:r>
      <w:r>
        <w:rPr>
          <w:rFonts w:ascii="Times New Roman" w:cs="Times New Roman" w:eastAsia="Times New Roman" w:hAnsi="Times New Roman"/>
          <w:sz w:val="20"/>
          <w:szCs w:val="20"/>
          <w:color w:val="auto"/>
        </w:rPr>
        <w:t xml:space="preserve"> of the Second Amended and Restated</w:t>
      </w:r>
    </w:p>
    <w:p>
      <w:pPr>
        <w:ind w:left="80" w:right="20"/>
        <w:spacing w:after="0" w:line="204" w:lineRule="auto"/>
        <w:rPr>
          <w:sz w:val="20"/>
          <w:szCs w:val="20"/>
          <w:color w:val="auto"/>
        </w:rPr>
      </w:pPr>
      <w:r>
        <w:rPr>
          <w:rFonts w:ascii="Times New Roman" w:cs="Times New Roman" w:eastAsia="Times New Roman" w:hAnsi="Times New Roman"/>
          <w:sz w:val="20"/>
          <w:szCs w:val="20"/>
          <w:color w:val="auto"/>
        </w:rPr>
        <w:t>Credit Agreement, dated as of August 27, 2021 (as amended, amended and restated, supplemented or otherwise modified from time to time, the “</w:t>
      </w:r>
      <w:r>
        <w:rPr>
          <w:rFonts w:ascii="Times New Roman" w:cs="Times New Roman" w:eastAsia="Times New Roman" w:hAnsi="Times New Roman"/>
          <w:sz w:val="20"/>
          <w:szCs w:val="20"/>
          <w:u w:val="single" w:color="auto"/>
          <w:color w:val="auto"/>
        </w:rPr>
        <w:t>Credit Agreement</w:t>
      </w:r>
      <w:r>
        <w:rPr>
          <w:rFonts w:ascii="Times New Roman" w:cs="Times New Roman" w:eastAsia="Times New Roman" w:hAnsi="Times New Roman"/>
          <w:sz w:val="20"/>
          <w:szCs w:val="20"/>
          <w:color w:val="auto"/>
        </w:rPr>
        <w:t>”), by and among Centuri Group, Inc., a Nevada corporation (“</w:t>
      </w:r>
      <w:r>
        <w:rPr>
          <w:rFonts w:ascii="Times New Roman" w:cs="Times New Roman" w:eastAsia="Times New Roman" w:hAnsi="Times New Roman"/>
          <w:sz w:val="20"/>
          <w:szCs w:val="20"/>
          <w:u w:val="single" w:color="auto"/>
          <w:color w:val="auto"/>
        </w:rPr>
        <w:t>Centuri</w:t>
      </w:r>
      <w:r>
        <w:rPr>
          <w:rFonts w:ascii="Times New Roman" w:cs="Times New Roman" w:eastAsia="Times New Roman" w:hAnsi="Times New Roman"/>
          <w:sz w:val="20"/>
          <w:szCs w:val="20"/>
          <w:color w:val="auto"/>
        </w:rPr>
        <w:t>”), and each Additional Borrower that</w:t>
      </w:r>
    </w:p>
    <w:p>
      <w:pPr>
        <w:ind w:left="80"/>
        <w:spacing w:after="0" w:line="211" w:lineRule="auto"/>
        <w:rPr>
          <w:sz w:val="20"/>
          <w:szCs w:val="20"/>
          <w:color w:val="auto"/>
        </w:rPr>
      </w:pPr>
      <w:r>
        <w:rPr>
          <w:rFonts w:ascii="Times New Roman" w:cs="Times New Roman" w:eastAsia="Times New Roman" w:hAnsi="Times New Roman"/>
          <w:sz w:val="20"/>
          <w:szCs w:val="20"/>
          <w:color w:val="auto"/>
        </w:rPr>
        <w:t>becomes a party thereto in accordance with Section 5.17 thereof (collectively, the “</w:t>
      </w:r>
      <w:r>
        <w:rPr>
          <w:rFonts w:ascii="Times New Roman" w:cs="Times New Roman" w:eastAsia="Times New Roman" w:hAnsi="Times New Roman"/>
          <w:sz w:val="20"/>
          <w:szCs w:val="20"/>
          <w:u w:val="single" w:color="auto"/>
          <w:color w:val="auto"/>
        </w:rPr>
        <w:t>US Borrowers</w:t>
      </w:r>
      <w:r>
        <w:rPr>
          <w:rFonts w:ascii="Times New Roman" w:cs="Times New Roman" w:eastAsia="Times New Roman" w:hAnsi="Times New Roman"/>
          <w:sz w:val="20"/>
          <w:szCs w:val="20"/>
          <w:color w:val="auto"/>
        </w:rPr>
        <w:t>”), Centuri Canada Division Inc., a</w:t>
      </w:r>
    </w:p>
    <w:p>
      <w:pPr>
        <w:spacing w:after="0" w:line="1" w:lineRule="exact"/>
        <w:rPr>
          <w:sz w:val="20"/>
          <w:szCs w:val="20"/>
          <w:color w:val="auto"/>
        </w:rPr>
      </w:pPr>
    </w:p>
    <w:p>
      <w:pPr>
        <w:ind w:left="80"/>
        <w:spacing w:after="0" w:line="215" w:lineRule="auto"/>
        <w:rPr>
          <w:sz w:val="20"/>
          <w:szCs w:val="20"/>
          <w:color w:val="auto"/>
        </w:rPr>
      </w:pPr>
      <w:r>
        <w:rPr>
          <w:rFonts w:ascii="Times New Roman" w:cs="Times New Roman" w:eastAsia="Times New Roman" w:hAnsi="Times New Roman"/>
          <w:sz w:val="19"/>
          <w:szCs w:val="19"/>
          <w:color w:val="auto"/>
        </w:rPr>
        <w:t>corporation organized under the laws of the Province of Ontario, Canada “</w:t>
      </w:r>
      <w:r>
        <w:rPr>
          <w:rFonts w:ascii="Times New Roman" w:cs="Times New Roman" w:eastAsia="Times New Roman" w:hAnsi="Times New Roman"/>
          <w:sz w:val="19"/>
          <w:szCs w:val="19"/>
          <w:u w:val="single" w:color="auto"/>
          <w:color w:val="auto"/>
        </w:rPr>
        <w:t>Centuri Canada</w:t>
      </w:r>
      <w:r>
        <w:rPr>
          <w:rFonts w:ascii="Times New Roman" w:cs="Times New Roman" w:eastAsia="Times New Roman" w:hAnsi="Times New Roman"/>
          <w:sz w:val="19"/>
          <w:szCs w:val="19"/>
          <w:color w:val="auto"/>
        </w:rPr>
        <w:t>”), and each Additional Borrower that becomes a party thereto in accordance with Section 5.17 thereof (collectively, the “</w:t>
      </w:r>
      <w:r>
        <w:rPr>
          <w:rFonts w:ascii="Times New Roman" w:cs="Times New Roman" w:eastAsia="Times New Roman" w:hAnsi="Times New Roman"/>
          <w:sz w:val="19"/>
          <w:szCs w:val="19"/>
          <w:u w:val="single" w:color="auto"/>
          <w:color w:val="auto"/>
        </w:rPr>
        <w:t>Canadian Borrowers</w:t>
      </w:r>
      <w:r>
        <w:rPr>
          <w:rFonts w:ascii="Times New Roman" w:cs="Times New Roman" w:eastAsia="Times New Roman" w:hAnsi="Times New Roman"/>
          <w:sz w:val="19"/>
          <w:szCs w:val="19"/>
          <w:color w:val="auto"/>
        </w:rPr>
        <w:t>”), the Lenders party thereto and Wells Fargo</w:t>
      </w:r>
    </w:p>
    <w:p>
      <w:pPr>
        <w:ind w:left="80" w:right="20"/>
        <w:spacing w:after="0" w:line="228" w:lineRule="auto"/>
        <w:rPr>
          <w:sz w:val="20"/>
          <w:szCs w:val="20"/>
          <w:color w:val="auto"/>
        </w:rPr>
      </w:pPr>
      <w:r>
        <w:rPr>
          <w:rFonts w:ascii="Times New Roman" w:cs="Times New Roman" w:eastAsia="Times New Roman" w:hAnsi="Times New Roman"/>
          <w:sz w:val="20"/>
          <w:szCs w:val="20"/>
          <w:color w:val="auto"/>
        </w:rPr>
        <w:t>Bank, National Association, as Administrative Agent. Capitalized terms used herein and not defined herein shall have the meanings assigned thereto in the Credit Agreement.</w:t>
      </w:r>
    </w:p>
    <w:p>
      <w:pPr>
        <w:spacing w:after="0" w:line="189" w:lineRule="exact"/>
        <w:rPr>
          <w:sz w:val="20"/>
          <w:szCs w:val="20"/>
          <w:color w:val="auto"/>
        </w:rPr>
      </w:pPr>
    </w:p>
    <w:p>
      <w:pPr>
        <w:jc w:val="both"/>
        <w:ind w:left="80" w:firstLine="644"/>
        <w:spacing w:after="0" w:line="217" w:lineRule="auto"/>
        <w:tabs>
          <w:tab w:leader="none" w:pos="1268" w:val="left"/>
        </w:tabs>
        <w:numPr>
          <w:ilvl w:val="0"/>
          <w:numId w:val="4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[Centuri][INSERT EACH ADDITIONAL US BORROWER][Centuri Canada][INSERT EACH ADDITIONAL CANADIAN BORROWER] hereby request[s] that the Lenders make [a US Revolving Credit Loan][a US Swingline Loan][a Canadian Revolving Credit Loan][a Canadian Swingline Loan][an Incremental Term Loan] to [Centuri][INSERT EACH ADDITIONAL US BORROWER][Centuri Canada][INSERT EACH ADDITIONAL CANADIAN BORROWER] in the aggregate principal amount of [$] [C$] . </w:t>
      </w:r>
      <w:r>
        <w:rPr>
          <w:rFonts w:ascii="Times New Roman" w:cs="Times New Roman" w:eastAsia="Times New Roman" w:hAnsi="Times New Roman"/>
          <w:sz w:val="16"/>
          <w:szCs w:val="16"/>
          <w:color w:val="auto"/>
        </w:rPr>
        <w:t>(Complete with an amount in accordance with</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6"/>
          <w:szCs w:val="16"/>
          <w:u w:val="single" w:color="auto"/>
          <w:color w:val="auto"/>
        </w:rPr>
        <w:t>Section 2.3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6"/>
          <w:szCs w:val="16"/>
          <w:color w:val="auto"/>
        </w:rPr>
        <w:t>or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6"/>
          <w:szCs w:val="16"/>
          <w:u w:val="single" w:color="auto"/>
          <w:color w:val="auto"/>
        </w:rPr>
        <w:t>Section 5.13</w:t>
      </w:r>
      <w:r>
        <w:rPr>
          <w:rFonts w:ascii="Times New Roman" w:cs="Times New Roman" w:eastAsia="Times New Roman" w:hAnsi="Times New Roman"/>
          <w:sz w:val="16"/>
          <w:szCs w:val="16"/>
          <w:color w:val="auto"/>
        </w:rPr>
        <w:t>, as applicable, of the Credit Agreement.)</w:t>
      </w:r>
    </w:p>
    <w:p>
      <w:pPr>
        <w:spacing w:after="0" w:line="202" w:lineRule="exact"/>
        <w:rPr>
          <w:rFonts w:ascii="Times New Roman" w:cs="Times New Roman" w:eastAsia="Times New Roman" w:hAnsi="Times New Roman"/>
          <w:sz w:val="20"/>
          <w:szCs w:val="20"/>
          <w:color w:val="auto"/>
        </w:rPr>
      </w:pPr>
    </w:p>
    <w:p>
      <w:pPr>
        <w:jc w:val="both"/>
        <w:ind w:left="80" w:firstLine="644"/>
        <w:spacing w:after="0" w:line="218" w:lineRule="auto"/>
        <w:tabs>
          <w:tab w:leader="none" w:pos="1269" w:val="left"/>
        </w:tabs>
        <w:numPr>
          <w:ilvl w:val="0"/>
          <w:numId w:val="4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[Centuri][INSERT EACH ADDITIONAL US BORROWER][Centuri Canada][INSERT EACH ADDITIONAL CANADIAN BORROWER] hereby request[s] that such Loan(s) be made on the following Business Day: . </w:t>
      </w:r>
      <w:r>
        <w:rPr>
          <w:rFonts w:ascii="Times New Roman" w:cs="Times New Roman" w:eastAsia="Times New Roman" w:hAnsi="Times New Roman"/>
          <w:sz w:val="16"/>
          <w:szCs w:val="16"/>
          <w:color w:val="auto"/>
        </w:rPr>
        <w:t>(Complete with a Business Day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278765</wp:posOffset>
            </wp:positionH>
            <wp:positionV relativeFrom="paragraph">
              <wp:posOffset>-421640</wp:posOffset>
            </wp:positionV>
            <wp:extent cx="12573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125730" cy="8255"/>
                    </a:xfrm>
                    <a:prstGeom prst="rect">
                      <a:avLst/>
                    </a:prstGeom>
                    <a:noFill/>
                  </pic:spPr>
                </pic:pic>
              </a:graphicData>
            </a:graphic>
          </wp:anchor>
        </w:drawing>
        <w:drawing>
          <wp:anchor simplePos="0" relativeHeight="251657728" behindDoc="1" locked="0" layoutInCell="0" allowOverlap="1">
            <wp:simplePos x="0" y="0"/>
            <wp:positionH relativeFrom="column">
              <wp:posOffset>5410200</wp:posOffset>
            </wp:positionH>
            <wp:positionV relativeFrom="paragraph">
              <wp:posOffset>-10160</wp:posOffset>
            </wp:positionV>
            <wp:extent cx="13398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133985" cy="8255"/>
                    </a:xfrm>
                    <a:prstGeom prst="rect">
                      <a:avLst/>
                    </a:prstGeom>
                    <a:noFill/>
                  </pic:spPr>
                </pic:pic>
              </a:graphicData>
            </a:graphic>
          </wp:anchor>
        </w:drawing>
      </w:r>
    </w:p>
    <w:p>
      <w:pPr>
        <w:ind w:left="80"/>
        <w:spacing w:after="0" w:line="231" w:lineRule="auto"/>
        <w:rPr>
          <w:sz w:val="20"/>
          <w:szCs w:val="20"/>
          <w:color w:val="auto"/>
        </w:rPr>
      </w:pPr>
      <w:r>
        <w:rPr>
          <w:rFonts w:ascii="Times New Roman" w:cs="Times New Roman" w:eastAsia="Times New Roman" w:hAnsi="Times New Roman"/>
          <w:sz w:val="16"/>
          <w:szCs w:val="16"/>
          <w:color w:val="auto"/>
        </w:rPr>
        <w:t xml:space="preserve">accordance with </w:t>
      </w:r>
      <w:r>
        <w:rPr>
          <w:rFonts w:ascii="Times New Roman" w:cs="Times New Roman" w:eastAsia="Times New Roman" w:hAnsi="Times New Roman"/>
          <w:sz w:val="16"/>
          <w:szCs w:val="16"/>
          <w:u w:val="single" w:color="auto"/>
          <w:color w:val="auto"/>
        </w:rPr>
        <w:t>Section 2.3</w:t>
      </w:r>
      <w:r>
        <w:rPr>
          <w:rFonts w:ascii="Times New Roman" w:cs="Times New Roman" w:eastAsia="Times New Roman" w:hAnsi="Times New Roman"/>
          <w:sz w:val="16"/>
          <w:szCs w:val="16"/>
          <w:color w:val="auto"/>
        </w:rPr>
        <w:t xml:space="preserve"> of the Credit Agreement for US Revolving Credit Loans, Canadian Revolving Credit Loans, US Swingline Loans and Canadian Swingline Loans or </w:t>
      </w:r>
      <w:r>
        <w:rPr>
          <w:rFonts w:ascii="Times New Roman" w:cs="Times New Roman" w:eastAsia="Times New Roman" w:hAnsi="Times New Roman"/>
          <w:sz w:val="16"/>
          <w:szCs w:val="16"/>
          <w:u w:val="single" w:color="auto"/>
          <w:color w:val="auto"/>
        </w:rPr>
        <w:t>Section 5.13</w:t>
      </w:r>
      <w:r>
        <w:rPr>
          <w:rFonts w:ascii="Times New Roman" w:cs="Times New Roman" w:eastAsia="Times New Roman" w:hAnsi="Times New Roman"/>
          <w:sz w:val="16"/>
          <w:szCs w:val="16"/>
          <w:color w:val="auto"/>
        </w:rPr>
        <w:t xml:space="preserve"> of the Credit Agreement for an Incremental Term Loan).</w:t>
      </w:r>
    </w:p>
    <w:p>
      <w:pPr>
        <w:spacing w:after="0" w:line="267" w:lineRule="exact"/>
        <w:rPr>
          <w:sz w:val="20"/>
          <w:szCs w:val="20"/>
          <w:color w:val="auto"/>
        </w:rPr>
      </w:pPr>
    </w:p>
    <w:p>
      <w:pPr>
        <w:jc w:val="both"/>
        <w:ind w:left="80" w:firstLine="644"/>
        <w:spacing w:after="0" w:line="254" w:lineRule="auto"/>
        <w:tabs>
          <w:tab w:leader="none" w:pos="1269" w:val="left"/>
        </w:tabs>
        <w:numPr>
          <w:ilvl w:val="0"/>
          <w:numId w:val="4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[Centuri][INSERT EACH ADDITIONAL US BORROWER][Centuri Canada][INSERT EACH ADDITIONAL CANADIAN BORROWER] hereby request[s] that such Loan(s) bear interest at the following interest rate,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Applicable Margin, as set forth below:</w:t>
      </w:r>
    </w:p>
    <w:p>
      <w:pPr>
        <w:spacing w:after="0" w:line="160" w:lineRule="exact"/>
        <w:rPr>
          <w:sz w:val="20"/>
          <w:szCs w:val="20"/>
          <w:color w:val="auto"/>
        </w:rPr>
      </w:pPr>
    </w:p>
    <w:tbl>
      <w:tblPr>
        <w:tblLayout w:type="fixed"/>
        <w:tblInd w:w="180" w:type="dxa"/>
        <w:tblCellMar>
          <w:top w:w="0" w:type="dxa"/>
          <w:left w:w="0" w:type="dxa"/>
          <w:bottom w:w="0" w:type="dxa"/>
          <w:right w:w="0" w:type="dxa"/>
        </w:tblCellMar>
      </w:tblPr>
      <w:tr>
        <w:trPr>
          <w:trHeight w:val="230"/>
        </w:trPr>
        <w:tc>
          <w:tcPr>
            <w:tcW w:w="4400" w:type="dxa"/>
            <w:vAlign w:val="bottom"/>
            <w:gridSpan w:val="4"/>
            <w:vMerge w:val="restart"/>
          </w:tcPr>
          <w:p>
            <w:pPr>
              <w:spacing w:after="0"/>
              <w:rPr>
                <w:sz w:val="20"/>
                <w:szCs w:val="20"/>
                <w:color w:val="auto"/>
              </w:rPr>
            </w:pPr>
            <w:r>
              <w:rPr>
                <w:rFonts w:ascii="Times New Roman" w:cs="Times New Roman" w:eastAsia="Times New Roman" w:hAnsi="Times New Roman"/>
                <w:sz w:val="20"/>
                <w:szCs w:val="20"/>
                <w:color w:val="auto"/>
              </w:rPr>
              <w:t>Component</w:t>
            </w:r>
          </w:p>
        </w:tc>
        <w:tc>
          <w:tcPr>
            <w:tcW w:w="5260" w:type="dxa"/>
            <w:vAlign w:val="bottom"/>
            <w:gridSpan w:val="2"/>
          </w:tcPr>
          <w:p>
            <w:pPr>
              <w:ind w:left="2600"/>
              <w:spacing w:after="0"/>
              <w:rPr>
                <w:sz w:val="20"/>
                <w:szCs w:val="20"/>
                <w:color w:val="auto"/>
              </w:rPr>
            </w:pPr>
            <w:r>
              <w:rPr>
                <w:rFonts w:ascii="Times New Roman" w:cs="Times New Roman" w:eastAsia="Times New Roman" w:hAnsi="Times New Roman"/>
                <w:sz w:val="20"/>
                <w:szCs w:val="20"/>
                <w:color w:val="auto"/>
              </w:rPr>
              <w:t>Interest Period</w:t>
            </w:r>
          </w:p>
        </w:tc>
        <w:tc>
          <w:tcPr>
            <w:tcW w:w="0" w:type="dxa"/>
            <w:vAlign w:val="bottom"/>
          </w:tcPr>
          <w:p>
            <w:pPr>
              <w:spacing w:after="0"/>
              <w:rPr>
                <w:sz w:val="1"/>
                <w:szCs w:val="1"/>
                <w:color w:val="auto"/>
              </w:rPr>
            </w:pPr>
          </w:p>
        </w:tc>
      </w:tr>
      <w:tr>
        <w:trPr>
          <w:trHeight w:val="135"/>
        </w:trPr>
        <w:tc>
          <w:tcPr>
            <w:tcW w:w="4400" w:type="dxa"/>
            <w:vAlign w:val="bottom"/>
            <w:gridSpan w:val="4"/>
            <w:vMerge w:val="continue"/>
          </w:tcPr>
          <w:p>
            <w:pPr>
              <w:spacing w:after="0"/>
              <w:rPr>
                <w:sz w:val="11"/>
                <w:szCs w:val="11"/>
                <w:color w:val="auto"/>
              </w:rPr>
            </w:pPr>
          </w:p>
        </w:tc>
        <w:tc>
          <w:tcPr>
            <w:tcW w:w="5260" w:type="dxa"/>
            <w:vAlign w:val="bottom"/>
            <w:gridSpan w:val="2"/>
            <w:vMerge w:val="restart"/>
          </w:tcPr>
          <w:p>
            <w:pPr>
              <w:ind w:left="2600"/>
              <w:spacing w:after="0" w:line="212" w:lineRule="exact"/>
              <w:rPr>
                <w:sz w:val="20"/>
                <w:szCs w:val="20"/>
                <w:color w:val="auto"/>
              </w:rPr>
            </w:pPr>
            <w:r>
              <w:rPr>
                <w:rFonts w:ascii="Times New Roman" w:cs="Times New Roman" w:eastAsia="Times New Roman" w:hAnsi="Times New Roman"/>
                <w:sz w:val="20"/>
                <w:szCs w:val="20"/>
                <w:color w:val="auto"/>
                <w:w w:val="97"/>
              </w:rPr>
              <w:t>(Term SOFR and/or CDOR Rate)</w:t>
            </w:r>
          </w:p>
        </w:tc>
        <w:tc>
          <w:tcPr>
            <w:tcW w:w="0" w:type="dxa"/>
            <w:vAlign w:val="bottom"/>
          </w:tcPr>
          <w:p>
            <w:pPr>
              <w:spacing w:after="0"/>
              <w:rPr>
                <w:sz w:val="1"/>
                <w:szCs w:val="1"/>
                <w:color w:val="auto"/>
              </w:rPr>
            </w:pPr>
          </w:p>
        </w:tc>
      </w:tr>
      <w:tr>
        <w:trPr>
          <w:trHeight w:val="77"/>
        </w:trPr>
        <w:tc>
          <w:tcPr>
            <w:tcW w:w="4400" w:type="dxa"/>
            <w:vAlign w:val="bottom"/>
            <w:gridSpan w:val="4"/>
            <w:vMerge w:val="restart"/>
          </w:tcPr>
          <w:p>
            <w:pPr>
              <w:spacing w:after="0" w:line="212" w:lineRule="exact"/>
              <w:rPr>
                <w:sz w:val="20"/>
                <w:szCs w:val="20"/>
                <w:color w:val="auto"/>
              </w:rPr>
            </w:pPr>
            <w:r>
              <w:rPr>
                <w:rFonts w:ascii="Times New Roman" w:cs="Times New Roman" w:eastAsia="Times New Roman" w:hAnsi="Times New Roman"/>
                <w:sz w:val="20"/>
                <w:szCs w:val="20"/>
                <w:color w:val="auto"/>
              </w:rPr>
              <w:t>of Loan</w:t>
            </w:r>
            <w:r>
              <w:rPr>
                <w:rFonts w:ascii="Times New Roman" w:cs="Times New Roman" w:eastAsia="Times New Roman" w:hAnsi="Times New Roman"/>
                <w:sz w:val="12"/>
                <w:szCs w:val="12"/>
                <w:color w:val="auto"/>
              </w:rPr>
              <w:t>1</w:t>
            </w:r>
            <w:r>
              <w:rPr>
                <w:rFonts w:ascii="Times New Roman" w:cs="Times New Roman" w:eastAsia="Times New Roman" w:hAnsi="Times New Roman"/>
                <w:sz w:val="20"/>
                <w:szCs w:val="20"/>
                <w:color w:val="auto"/>
              </w:rPr>
              <w:t xml:space="preserve">  Interest Rate</w:t>
            </w:r>
          </w:p>
        </w:tc>
        <w:tc>
          <w:tcPr>
            <w:tcW w:w="52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5"/>
        </w:trPr>
        <w:tc>
          <w:tcPr>
            <w:tcW w:w="4400" w:type="dxa"/>
            <w:vAlign w:val="bottom"/>
            <w:gridSpan w:val="4"/>
            <w:vMerge w:val="continue"/>
          </w:tcPr>
          <w:p>
            <w:pPr>
              <w:spacing w:after="0"/>
              <w:rPr>
                <w:sz w:val="10"/>
                <w:szCs w:val="10"/>
                <w:color w:val="auto"/>
              </w:rPr>
            </w:pPr>
          </w:p>
        </w:tc>
        <w:tc>
          <w:tcPr>
            <w:tcW w:w="2660" w:type="dxa"/>
            <w:vAlign w:val="bottom"/>
          </w:tcPr>
          <w:p>
            <w:pPr>
              <w:spacing w:after="0"/>
              <w:rPr>
                <w:sz w:val="10"/>
                <w:szCs w:val="10"/>
                <w:color w:val="auto"/>
              </w:rPr>
            </w:pPr>
          </w:p>
        </w:tc>
        <w:tc>
          <w:tcPr>
            <w:tcW w:w="26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694690</wp:posOffset>
            </wp:positionV>
            <wp:extent cx="16459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left="80"/>
        <w:spacing w:after="0" w:line="239" w:lineRule="auto"/>
        <w:rPr>
          <w:sz w:val="20"/>
          <w:szCs w:val="20"/>
          <w:color w:val="auto"/>
        </w:rPr>
      </w:pPr>
      <w:r>
        <w:rPr>
          <w:rFonts w:ascii="Times New Roman" w:cs="Times New Roman" w:eastAsia="Times New Roman" w:hAnsi="Times New Roman"/>
          <w:sz w:val="12"/>
          <w:szCs w:val="12"/>
          <w:color w:val="auto"/>
        </w:rPr>
        <w:t xml:space="preserve">1 </w:t>
      </w:r>
      <w:r>
        <w:rPr>
          <w:rFonts w:ascii="Times New Roman" w:cs="Times New Roman" w:eastAsia="Times New Roman" w:hAnsi="Times New Roman"/>
          <w:sz w:val="17"/>
          <w:szCs w:val="17"/>
          <w:color w:val="auto"/>
        </w:rPr>
        <w:t>Complete with the Dollar amount of that portion of the overall Loan requested that is to bear interest at the selected interest rate and/or Interest Period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7"/>
          <w:szCs w:val="17"/>
          <w:color w:val="auto"/>
        </w:rPr>
        <w:t>(e.g., for a $20,000,000 loan, $5,000,000 may be requested at Base Rate, $8,000,000 may be requested at Term SOFR with an interest period of three months and $7,000,000 may be requested at Term SOFR with an interest period of one month).</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166115119_2</w:t>
      </w:r>
    </w:p>
    <w:p>
      <w:pPr>
        <w:sectPr>
          <w:pgSz w:w="11900" w:h="16838" w:orient="portrait"/>
          <w:cols w:equalWidth="0" w:num="1">
            <w:col w:w="11100"/>
          </w:cols>
          <w:pgMar w:left="360" w:top="1075" w:right="439" w:bottom="1440" w:gutter="0" w:footer="0" w:header="0"/>
        </w:sectPr>
      </w:pPr>
    </w:p>
    <w:bookmarkStart w:id="262" w:name="page263"/>
    <w:bookmarkEnd w:id="262"/>
    <w:p>
      <w:pPr>
        <w:ind w:left="1480"/>
        <w:spacing w:after="0"/>
        <w:rPr>
          <w:sz w:val="20"/>
          <w:szCs w:val="20"/>
          <w:color w:val="auto"/>
        </w:rPr>
      </w:pP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Base Rate][Canadian Base Rate][Adjusted Term SOFR][CDOR Rate]</w:t>
      </w:r>
      <w:r>
        <w:rPr>
          <w:rFonts w:ascii="Times New Roman" w:cs="Times New Roman" w:eastAsia="Times New Roman" w:hAnsi="Times New Roman"/>
          <w:sz w:val="12"/>
          <w:szCs w:val="12"/>
          <w:color w:val="auto"/>
        </w:rPr>
        <w:t>2</w:t>
      </w:r>
    </w:p>
    <w:p>
      <w:pPr>
        <w:spacing w:after="0" w:line="233" w:lineRule="exact"/>
        <w:rPr>
          <w:sz w:val="20"/>
          <w:szCs w:val="20"/>
          <w:color w:val="auto"/>
        </w:rPr>
      </w:pPr>
    </w:p>
    <w:p>
      <w:pPr>
        <w:ind w:left="80" w:firstLine="644"/>
        <w:spacing w:after="0"/>
        <w:tabs>
          <w:tab w:leader="none" w:pos="1268" w:val="left"/>
        </w:tabs>
        <w:numPr>
          <w:ilvl w:val="0"/>
          <w:numId w:val="4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aggregate principal amount of all Loans and L/C Obligations outstanding as of the date hereof (including the Loan(s) requested herein) does not exceed the maximum amount permitted to be outstanding pursuant to the terms of the Credit Agreement.</w:t>
      </w:r>
    </w:p>
    <w:p>
      <w:pPr>
        <w:spacing w:after="0" w:line="188" w:lineRule="exact"/>
        <w:rPr>
          <w:rFonts w:ascii="Times New Roman" w:cs="Times New Roman" w:eastAsia="Times New Roman" w:hAnsi="Times New Roman"/>
          <w:sz w:val="20"/>
          <w:szCs w:val="20"/>
          <w:color w:val="auto"/>
        </w:rPr>
      </w:pPr>
    </w:p>
    <w:p>
      <w:pPr>
        <w:ind w:left="80" w:right="20" w:firstLine="644"/>
        <w:spacing w:after="0"/>
        <w:tabs>
          <w:tab w:leader="none" w:pos="1268" w:val="left"/>
        </w:tabs>
        <w:numPr>
          <w:ilvl w:val="0"/>
          <w:numId w:val="4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of the conditions applicable to the Loan(s) requested herein as set forth in the Credit Agreement have been satisfied as of the date hereof and will remain satisfied to the date of such Loan.</w:t>
      </w:r>
    </w:p>
    <w:p>
      <w:pPr>
        <w:spacing w:after="0" w:line="18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6023610</wp:posOffset>
            </wp:positionV>
            <wp:extent cx="16459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80"/>
        <w:spacing w:after="0" w:line="236" w:lineRule="auto"/>
        <w:rPr>
          <w:sz w:val="20"/>
          <w:szCs w:val="20"/>
          <w:color w:val="auto"/>
        </w:rPr>
      </w:pPr>
      <w:r>
        <w:rPr>
          <w:rFonts w:ascii="Times New Roman" w:cs="Times New Roman" w:eastAsia="Times New Roman" w:hAnsi="Times New Roman"/>
          <w:sz w:val="12"/>
          <w:szCs w:val="12"/>
          <w:color w:val="auto"/>
        </w:rPr>
        <w:t xml:space="preserve">2 </w:t>
      </w:r>
      <w:r>
        <w:rPr>
          <w:rFonts w:ascii="Times New Roman" w:cs="Times New Roman" w:eastAsia="Times New Roman" w:hAnsi="Times New Roman"/>
          <w:sz w:val="17"/>
          <w:szCs w:val="17"/>
          <w:color w:val="auto"/>
        </w:rPr>
        <w:t>Complete with (i) the Base Rate or Adjusted Term SOFR for US Revolving Credit Loans, (ii) the Canadian Base Rate or CDOR Rate for Canadian</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7"/>
          <w:szCs w:val="17"/>
          <w:color w:val="auto"/>
        </w:rPr>
        <w:t>Revolving Credit Loans, (iii) the Base Rate, Canadian Base Rate, Adjusted Term SOFR or CDOR Rate for any Incremental Term Loan, (v) the Base</w:t>
      </w:r>
    </w:p>
    <w:p>
      <w:pPr>
        <w:ind w:left="80"/>
        <w:spacing w:after="0"/>
        <w:rPr>
          <w:sz w:val="20"/>
          <w:szCs w:val="20"/>
          <w:color w:val="auto"/>
        </w:rPr>
      </w:pPr>
      <w:r>
        <w:rPr>
          <w:rFonts w:ascii="Times New Roman" w:cs="Times New Roman" w:eastAsia="Times New Roman" w:hAnsi="Times New Roman"/>
          <w:sz w:val="18"/>
          <w:szCs w:val="18"/>
          <w:color w:val="auto"/>
        </w:rPr>
        <w:t>Rate for US Swingline Loans and (vi) the Canadian Base Rate for Canadian Swingline Loans.</w:t>
      </w:r>
    </w:p>
    <w:p>
      <w:pPr>
        <w:sectPr>
          <w:pgSz w:w="11900" w:h="16838" w:orient="portrait"/>
          <w:cols w:equalWidth="0" w:num="1">
            <w:col w:w="11100"/>
          </w:cols>
          <w:pgMar w:left="360" w:top="1409" w:right="439" w:bottom="1440" w:gutter="0" w:footer="0" w:header="0"/>
        </w:sect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166115119_2</w:t>
      </w:r>
    </w:p>
    <w:p>
      <w:pPr>
        <w:sectPr>
          <w:pgSz w:w="11900" w:h="16838" w:orient="portrait"/>
          <w:cols w:equalWidth="0" w:num="1">
            <w:col w:w="11100"/>
          </w:cols>
          <w:pgMar w:left="360" w:top="1409" w:right="439" w:bottom="1440" w:gutter="0" w:footer="0" w:header="0"/>
          <w:type w:val="continuous"/>
        </w:sectPr>
      </w:pPr>
    </w:p>
    <w:bookmarkStart w:id="263" w:name="page264"/>
    <w:bookmarkEnd w:id="263"/>
    <w:p>
      <w:pPr>
        <w:ind w:left="700"/>
        <w:spacing w:after="0"/>
        <w:rPr>
          <w:sz w:val="20"/>
          <w:szCs w:val="20"/>
          <w:color w:val="auto"/>
        </w:rPr>
      </w:pPr>
      <w:r>
        <w:rPr>
          <w:rFonts w:ascii="Times New Roman" w:cs="Times New Roman" w:eastAsia="Times New Roman" w:hAnsi="Times New Roman"/>
          <w:sz w:val="19"/>
          <w:szCs w:val="19"/>
          <w:color w:val="auto"/>
        </w:rPr>
        <w:t>IN WITNESS WHEREOF, the undersigned has executed this Notice of Borrowing as of the day and year first written above.</w:t>
      </w:r>
    </w:p>
    <w:p>
      <w:pPr>
        <w:spacing w:after="0" w:line="200" w:lineRule="exact"/>
        <w:rPr>
          <w:sz w:val="20"/>
          <w:szCs w:val="20"/>
          <w:color w:val="auto"/>
        </w:rPr>
      </w:pPr>
    </w:p>
    <w:p>
      <w:pPr>
        <w:spacing w:after="0" w:line="270"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0"/>
          <w:szCs w:val="20"/>
          <w:color w:val="auto"/>
        </w:rPr>
        <w:t>[CENTURI GROUP, INC., as [a] US Borrower</w:t>
      </w:r>
    </w:p>
    <w:p>
      <w:pPr>
        <w:spacing w:after="0" w:line="200" w:lineRule="exact"/>
        <w:rPr>
          <w:sz w:val="20"/>
          <w:szCs w:val="20"/>
          <w:color w:val="auto"/>
        </w:rPr>
      </w:pPr>
    </w:p>
    <w:p>
      <w:pPr>
        <w:spacing w:after="0" w:line="272" w:lineRule="exact"/>
        <w:rPr>
          <w:sz w:val="20"/>
          <w:szCs w:val="20"/>
          <w:color w:val="auto"/>
        </w:rPr>
      </w:pPr>
    </w:p>
    <w:p>
      <w:pPr>
        <w:ind w:left="4060"/>
        <w:spacing w:after="0"/>
        <w:tabs>
          <w:tab w:leader="none" w:pos="4620" w:val="left"/>
          <w:tab w:leader="none" w:pos="5440" w:val="left"/>
        </w:tabs>
        <w:rPr>
          <w:sz w:val="20"/>
          <w:szCs w:val="20"/>
          <w:color w:val="auto"/>
        </w:rPr>
      </w:pPr>
      <w:r>
        <w:rPr>
          <w:rFonts w:ascii="Times New Roman" w:cs="Times New Roman" w:eastAsia="Times New Roman" w:hAnsi="Times New Roman"/>
          <w:sz w:val="20"/>
          <w:szCs w:val="20"/>
          <w:color w:val="auto"/>
        </w:rPr>
        <w:t>By:</w:t>
        <w:tab/>
        <w:t>Name:</w:t>
      </w:r>
      <w:r>
        <w:rPr>
          <w:sz w:val="20"/>
          <w:szCs w:val="20"/>
          <w:color w:val="auto"/>
        </w:rPr>
        <w:tab/>
      </w:r>
      <w:r>
        <w:rPr>
          <w:rFonts w:ascii="Times New Roman" w:cs="Times New Roman" w:eastAsia="Times New Roman" w:hAnsi="Times New Roman"/>
          <w:sz w:val="19"/>
          <w:szCs w:val="19"/>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-10795</wp:posOffset>
            </wp:positionV>
            <wp:extent cx="15684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1">
                      <a:extLst>
                        <a:ext uri="{28A0092B-C50C-407E-A947-70E740481C1C}"/>
                      </a:extLst>
                    </a:blip>
                    <a:srcRect/>
                    <a:stretch>
                      <a:fillRect/>
                    </a:stretch>
                  </pic:blipFill>
                  <pic:spPr bwMode="auto">
                    <a:xfrm>
                      <a:off x="0" y="0"/>
                      <a:ext cx="156845" cy="8255"/>
                    </a:xfrm>
                    <a:prstGeom prst="rect">
                      <a:avLst/>
                    </a:prstGeom>
                    <a:noFill/>
                  </pic:spPr>
                </pic:pic>
              </a:graphicData>
            </a:graphic>
          </wp:anchor>
        </w:drawing>
        <w:drawing>
          <wp:anchor simplePos="0" relativeHeight="251657728" behindDoc="1" locked="0" layoutInCell="0" allowOverlap="1">
            <wp:simplePos x="0" y="0"/>
            <wp:positionH relativeFrom="column">
              <wp:posOffset>3281045</wp:posOffset>
            </wp:positionH>
            <wp:positionV relativeFrom="paragraph">
              <wp:posOffset>-10795</wp:posOffset>
            </wp:positionV>
            <wp:extent cx="15684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2">
                      <a:extLst>
                        <a:ext uri="{28A0092B-C50C-407E-A947-70E740481C1C}"/>
                      </a:extLst>
                    </a:blip>
                    <a:srcRect/>
                    <a:stretch>
                      <a:fillRect/>
                    </a:stretch>
                  </pic:blipFill>
                  <pic:spPr bwMode="auto">
                    <a:xfrm>
                      <a:off x="0" y="0"/>
                      <a:ext cx="156845" cy="8255"/>
                    </a:xfrm>
                    <a:prstGeom prst="rect">
                      <a:avLst/>
                    </a:prstGeom>
                    <a:noFill/>
                  </pic:spPr>
                </pic:pic>
              </a:graphicData>
            </a:graphic>
          </wp:anchor>
        </w:drawing>
        <w:drawing>
          <wp:anchor simplePos="0" relativeHeight="251657728" behindDoc="1" locked="0" layoutInCell="0" allowOverlap="1">
            <wp:simplePos x="0" y="0"/>
            <wp:positionH relativeFrom="column">
              <wp:posOffset>3736975</wp:posOffset>
            </wp:positionH>
            <wp:positionV relativeFrom="paragraph">
              <wp:posOffset>-10795</wp:posOffset>
            </wp:positionV>
            <wp:extent cx="12573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0"/>
          <w:szCs w:val="20"/>
          <w:color w:val="auto"/>
        </w:rPr>
        <w:t>[[INSERT EACH ADDITIONAL US BORROWER],</w:t>
      </w:r>
    </w:p>
    <w:p>
      <w:pPr>
        <w:spacing w:after="0" w:line="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0"/>
          <w:szCs w:val="20"/>
          <w:color w:val="auto"/>
        </w:rPr>
        <w:t>as a US Borrower</w:t>
      </w:r>
    </w:p>
    <w:p>
      <w:pPr>
        <w:spacing w:after="0" w:line="200" w:lineRule="exact"/>
        <w:rPr>
          <w:sz w:val="20"/>
          <w:szCs w:val="20"/>
          <w:color w:val="auto"/>
        </w:rPr>
      </w:pPr>
    </w:p>
    <w:p>
      <w:pPr>
        <w:spacing w:after="0" w:line="250" w:lineRule="exact"/>
        <w:rPr>
          <w:sz w:val="20"/>
          <w:szCs w:val="20"/>
          <w:color w:val="auto"/>
        </w:rPr>
      </w:pPr>
    </w:p>
    <w:p>
      <w:pPr>
        <w:ind w:left="4060"/>
        <w:spacing w:after="0"/>
        <w:tabs>
          <w:tab w:leader="none" w:pos="4620" w:val="left"/>
          <w:tab w:leader="none" w:pos="5440" w:val="left"/>
        </w:tabs>
        <w:rPr>
          <w:sz w:val="20"/>
          <w:szCs w:val="20"/>
          <w:color w:val="auto"/>
        </w:rPr>
      </w:pPr>
      <w:r>
        <w:rPr>
          <w:rFonts w:ascii="Times New Roman" w:cs="Times New Roman" w:eastAsia="Times New Roman" w:hAnsi="Times New Roman"/>
          <w:sz w:val="20"/>
          <w:szCs w:val="20"/>
          <w:color w:val="auto"/>
        </w:rPr>
        <w:t>By:</w:t>
        <w:tab/>
        <w:t>Name:</w:t>
      </w:r>
      <w:r>
        <w:rPr>
          <w:sz w:val="20"/>
          <w:szCs w:val="20"/>
          <w:color w:val="auto"/>
        </w:rPr>
        <w:tab/>
      </w:r>
      <w:r>
        <w:rPr>
          <w:rFonts w:ascii="Times New Roman" w:cs="Times New Roman" w:eastAsia="Times New Roman" w:hAnsi="Times New Roman"/>
          <w:sz w:val="19"/>
          <w:szCs w:val="19"/>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-10795</wp:posOffset>
            </wp:positionV>
            <wp:extent cx="15684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4">
                      <a:extLst>
                        <a:ext uri="{28A0092B-C50C-407E-A947-70E740481C1C}"/>
                      </a:extLst>
                    </a:blip>
                    <a:srcRect/>
                    <a:stretch>
                      <a:fillRect/>
                    </a:stretch>
                  </pic:blipFill>
                  <pic:spPr bwMode="auto">
                    <a:xfrm>
                      <a:off x="0" y="0"/>
                      <a:ext cx="156845" cy="8255"/>
                    </a:xfrm>
                    <a:prstGeom prst="rect">
                      <a:avLst/>
                    </a:prstGeom>
                    <a:noFill/>
                  </pic:spPr>
                </pic:pic>
              </a:graphicData>
            </a:graphic>
          </wp:anchor>
        </w:drawing>
        <w:drawing>
          <wp:anchor simplePos="0" relativeHeight="251657728" behindDoc="1" locked="0" layoutInCell="0" allowOverlap="1">
            <wp:simplePos x="0" y="0"/>
            <wp:positionH relativeFrom="column">
              <wp:posOffset>3281045</wp:posOffset>
            </wp:positionH>
            <wp:positionV relativeFrom="paragraph">
              <wp:posOffset>-10795</wp:posOffset>
            </wp:positionV>
            <wp:extent cx="15684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5">
                      <a:extLst>
                        <a:ext uri="{28A0092B-C50C-407E-A947-70E740481C1C}"/>
                      </a:extLst>
                    </a:blip>
                    <a:srcRect/>
                    <a:stretch>
                      <a:fillRect/>
                    </a:stretch>
                  </pic:blipFill>
                  <pic:spPr bwMode="auto">
                    <a:xfrm>
                      <a:off x="0" y="0"/>
                      <a:ext cx="156845" cy="8255"/>
                    </a:xfrm>
                    <a:prstGeom prst="rect">
                      <a:avLst/>
                    </a:prstGeom>
                    <a:noFill/>
                  </pic:spPr>
                </pic:pic>
              </a:graphicData>
            </a:graphic>
          </wp:anchor>
        </w:drawing>
        <w:drawing>
          <wp:anchor simplePos="0" relativeHeight="251657728" behindDoc="1" locked="0" layoutInCell="0" allowOverlap="1">
            <wp:simplePos x="0" y="0"/>
            <wp:positionH relativeFrom="column">
              <wp:posOffset>3736975</wp:posOffset>
            </wp:positionH>
            <wp:positionV relativeFrom="paragraph">
              <wp:posOffset>-10795</wp:posOffset>
            </wp:positionV>
            <wp:extent cx="12573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6">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0"/>
          <w:szCs w:val="20"/>
          <w:color w:val="auto"/>
        </w:rPr>
        <w:t>[CENTURI CANADA DIVISION INC., as [a]</w:t>
      </w:r>
    </w:p>
    <w:p>
      <w:pPr>
        <w:spacing w:after="0" w:line="2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color w:val="auto"/>
        </w:rPr>
        <w:t>Canadian Borrower</w:t>
      </w:r>
    </w:p>
    <w:p>
      <w:pPr>
        <w:spacing w:after="0" w:line="200" w:lineRule="exact"/>
        <w:rPr>
          <w:sz w:val="20"/>
          <w:szCs w:val="20"/>
          <w:color w:val="auto"/>
        </w:rPr>
      </w:pPr>
    </w:p>
    <w:p>
      <w:pPr>
        <w:spacing w:after="0" w:line="264" w:lineRule="exact"/>
        <w:rPr>
          <w:sz w:val="20"/>
          <w:szCs w:val="20"/>
          <w:color w:val="auto"/>
        </w:rPr>
      </w:pPr>
    </w:p>
    <w:p>
      <w:pPr>
        <w:ind w:left="4060"/>
        <w:spacing w:after="0"/>
        <w:tabs>
          <w:tab w:leader="none" w:pos="4620" w:val="left"/>
          <w:tab w:leader="none" w:pos="5440" w:val="left"/>
        </w:tabs>
        <w:rPr>
          <w:sz w:val="20"/>
          <w:szCs w:val="20"/>
          <w:color w:val="auto"/>
        </w:rPr>
      </w:pPr>
      <w:r>
        <w:rPr>
          <w:rFonts w:ascii="Times New Roman" w:cs="Times New Roman" w:eastAsia="Times New Roman" w:hAnsi="Times New Roman"/>
          <w:sz w:val="20"/>
          <w:szCs w:val="20"/>
          <w:color w:val="auto"/>
        </w:rPr>
        <w:t>By:</w:t>
        <w:tab/>
        <w:t>Name:</w:t>
      </w:r>
      <w:r>
        <w:rPr>
          <w:sz w:val="20"/>
          <w:szCs w:val="20"/>
          <w:color w:val="auto"/>
        </w:rPr>
        <w:tab/>
      </w:r>
      <w:r>
        <w:rPr>
          <w:rFonts w:ascii="Times New Roman" w:cs="Times New Roman" w:eastAsia="Times New Roman" w:hAnsi="Times New Roman"/>
          <w:sz w:val="19"/>
          <w:szCs w:val="19"/>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-10795</wp:posOffset>
            </wp:positionV>
            <wp:extent cx="15684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7">
                      <a:extLst>
                        <a:ext uri="{28A0092B-C50C-407E-A947-70E740481C1C}"/>
                      </a:extLst>
                    </a:blip>
                    <a:srcRect/>
                    <a:stretch>
                      <a:fillRect/>
                    </a:stretch>
                  </pic:blipFill>
                  <pic:spPr bwMode="auto">
                    <a:xfrm>
                      <a:off x="0" y="0"/>
                      <a:ext cx="156845" cy="8255"/>
                    </a:xfrm>
                    <a:prstGeom prst="rect">
                      <a:avLst/>
                    </a:prstGeom>
                    <a:noFill/>
                  </pic:spPr>
                </pic:pic>
              </a:graphicData>
            </a:graphic>
          </wp:anchor>
        </w:drawing>
        <w:drawing>
          <wp:anchor simplePos="0" relativeHeight="251657728" behindDoc="1" locked="0" layoutInCell="0" allowOverlap="1">
            <wp:simplePos x="0" y="0"/>
            <wp:positionH relativeFrom="column">
              <wp:posOffset>3281045</wp:posOffset>
            </wp:positionH>
            <wp:positionV relativeFrom="paragraph">
              <wp:posOffset>-10795</wp:posOffset>
            </wp:positionV>
            <wp:extent cx="15684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8">
                      <a:extLst>
                        <a:ext uri="{28A0092B-C50C-407E-A947-70E740481C1C}"/>
                      </a:extLst>
                    </a:blip>
                    <a:srcRect/>
                    <a:stretch>
                      <a:fillRect/>
                    </a:stretch>
                  </pic:blipFill>
                  <pic:spPr bwMode="auto">
                    <a:xfrm>
                      <a:off x="0" y="0"/>
                      <a:ext cx="156845" cy="8255"/>
                    </a:xfrm>
                    <a:prstGeom prst="rect">
                      <a:avLst/>
                    </a:prstGeom>
                    <a:noFill/>
                  </pic:spPr>
                </pic:pic>
              </a:graphicData>
            </a:graphic>
          </wp:anchor>
        </w:drawing>
        <w:drawing>
          <wp:anchor simplePos="0" relativeHeight="251657728" behindDoc="1" locked="0" layoutInCell="0" allowOverlap="1">
            <wp:simplePos x="0" y="0"/>
            <wp:positionH relativeFrom="column">
              <wp:posOffset>3736975</wp:posOffset>
            </wp:positionH>
            <wp:positionV relativeFrom="paragraph">
              <wp:posOffset>-10795</wp:posOffset>
            </wp:positionV>
            <wp:extent cx="12573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9">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0"/>
          <w:szCs w:val="20"/>
          <w:color w:val="auto"/>
        </w:rPr>
        <w:t>[[INSERT EACH ADDITIONAL CANADIAN</w:t>
      </w:r>
    </w:p>
    <w:p>
      <w:pPr>
        <w:ind w:left="4060"/>
        <w:spacing w:after="0"/>
        <w:rPr>
          <w:sz w:val="20"/>
          <w:szCs w:val="20"/>
          <w:color w:val="auto"/>
        </w:rPr>
      </w:pPr>
      <w:r>
        <w:rPr>
          <w:rFonts w:ascii="Times New Roman" w:cs="Times New Roman" w:eastAsia="Times New Roman" w:hAnsi="Times New Roman"/>
          <w:sz w:val="20"/>
          <w:szCs w:val="20"/>
          <w:color w:val="auto"/>
        </w:rPr>
        <w:t>BORROWER], as a Canadian Borrower</w:t>
      </w:r>
    </w:p>
    <w:p>
      <w:pPr>
        <w:spacing w:after="0" w:line="200" w:lineRule="exact"/>
        <w:rPr>
          <w:sz w:val="20"/>
          <w:szCs w:val="20"/>
          <w:color w:val="auto"/>
        </w:rPr>
      </w:pPr>
    </w:p>
    <w:p>
      <w:pPr>
        <w:spacing w:after="0" w:line="237" w:lineRule="exact"/>
        <w:rPr>
          <w:sz w:val="20"/>
          <w:szCs w:val="20"/>
          <w:color w:val="auto"/>
        </w:rPr>
      </w:pPr>
    </w:p>
    <w:p>
      <w:pPr>
        <w:ind w:left="4060"/>
        <w:spacing w:after="0"/>
        <w:tabs>
          <w:tab w:leader="none" w:pos="4620" w:val="left"/>
          <w:tab w:leader="none" w:pos="5440" w:val="left"/>
        </w:tabs>
        <w:rPr>
          <w:sz w:val="20"/>
          <w:szCs w:val="20"/>
          <w:color w:val="auto"/>
        </w:rPr>
      </w:pPr>
      <w:r>
        <w:rPr>
          <w:rFonts w:ascii="Times New Roman" w:cs="Times New Roman" w:eastAsia="Times New Roman" w:hAnsi="Times New Roman"/>
          <w:sz w:val="20"/>
          <w:szCs w:val="20"/>
          <w:color w:val="auto"/>
        </w:rPr>
        <w:t>By:</w:t>
        <w:tab/>
        <w:t>Name:</w:t>
      </w:r>
      <w:r>
        <w:rPr>
          <w:sz w:val="20"/>
          <w:szCs w:val="20"/>
          <w:color w:val="auto"/>
        </w:rPr>
        <w:tab/>
      </w:r>
      <w:r>
        <w:rPr>
          <w:rFonts w:ascii="Times New Roman" w:cs="Times New Roman" w:eastAsia="Times New Roman" w:hAnsi="Times New Roman"/>
          <w:sz w:val="19"/>
          <w:szCs w:val="19"/>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-10795</wp:posOffset>
            </wp:positionV>
            <wp:extent cx="15684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0">
                      <a:extLst>
                        <a:ext uri="{28A0092B-C50C-407E-A947-70E740481C1C}"/>
                      </a:extLst>
                    </a:blip>
                    <a:srcRect/>
                    <a:stretch>
                      <a:fillRect/>
                    </a:stretch>
                  </pic:blipFill>
                  <pic:spPr bwMode="auto">
                    <a:xfrm>
                      <a:off x="0" y="0"/>
                      <a:ext cx="156845" cy="8890"/>
                    </a:xfrm>
                    <a:prstGeom prst="rect">
                      <a:avLst/>
                    </a:prstGeom>
                    <a:noFill/>
                  </pic:spPr>
                </pic:pic>
              </a:graphicData>
            </a:graphic>
          </wp:anchor>
        </w:drawing>
        <w:drawing>
          <wp:anchor simplePos="0" relativeHeight="251657728" behindDoc="1" locked="0" layoutInCell="0" allowOverlap="1">
            <wp:simplePos x="0" y="0"/>
            <wp:positionH relativeFrom="column">
              <wp:posOffset>3281045</wp:posOffset>
            </wp:positionH>
            <wp:positionV relativeFrom="paragraph">
              <wp:posOffset>-10795</wp:posOffset>
            </wp:positionV>
            <wp:extent cx="15684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1">
                      <a:extLst>
                        <a:ext uri="{28A0092B-C50C-407E-A947-70E740481C1C}"/>
                      </a:extLst>
                    </a:blip>
                    <a:srcRect/>
                    <a:stretch>
                      <a:fillRect/>
                    </a:stretch>
                  </pic:blipFill>
                  <pic:spPr bwMode="auto">
                    <a:xfrm>
                      <a:off x="0" y="0"/>
                      <a:ext cx="156845" cy="8890"/>
                    </a:xfrm>
                    <a:prstGeom prst="rect">
                      <a:avLst/>
                    </a:prstGeom>
                    <a:noFill/>
                  </pic:spPr>
                </pic:pic>
              </a:graphicData>
            </a:graphic>
          </wp:anchor>
        </w:drawing>
        <w:drawing>
          <wp:anchor simplePos="0" relativeHeight="251657728" behindDoc="1" locked="0" layoutInCell="0" allowOverlap="1">
            <wp:simplePos x="0" y="0"/>
            <wp:positionH relativeFrom="column">
              <wp:posOffset>3736975</wp:posOffset>
            </wp:positionH>
            <wp:positionV relativeFrom="paragraph">
              <wp:posOffset>-10795</wp:posOffset>
            </wp:positionV>
            <wp:extent cx="12573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2">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166115119_2</w:t>
      </w:r>
    </w:p>
    <w:p>
      <w:pPr>
        <w:sectPr>
          <w:pgSz w:w="11900" w:h="16838" w:orient="portrait"/>
          <w:cols w:equalWidth="0" w:num="1">
            <w:col w:w="10600"/>
          </w:cols>
          <w:pgMar w:left="360" w:top="1399" w:right="939" w:bottom="1440" w:gutter="0" w:footer="0" w:header="0"/>
        </w:sectPr>
      </w:pPr>
    </w:p>
    <w:bookmarkStart w:id="264" w:name="page265"/>
    <w:bookmarkEnd w:id="264"/>
    <w:p>
      <w:pPr>
        <w:ind w:left="5100"/>
        <w:spacing w:after="0"/>
        <w:rPr>
          <w:sz w:val="20"/>
          <w:szCs w:val="20"/>
          <w:color w:val="auto"/>
        </w:rPr>
      </w:pPr>
      <w:r>
        <w:rPr>
          <w:rFonts w:ascii="Times New Roman" w:cs="Times New Roman" w:eastAsia="Times New Roman" w:hAnsi="Times New Roman"/>
          <w:sz w:val="20"/>
          <w:szCs w:val="20"/>
          <w:u w:val="single" w:color="auto"/>
          <w:color w:val="auto"/>
        </w:rPr>
        <w:t>EXHIBIT D</w:t>
      </w:r>
    </w:p>
    <w:p>
      <w:pPr>
        <w:spacing w:after="0" w:line="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color w:val="auto"/>
        </w:rPr>
        <w:t>to</w:t>
      </w:r>
    </w:p>
    <w:p>
      <w:pPr>
        <w:ind w:left="2480"/>
        <w:spacing w:after="0" w:line="211" w:lineRule="auto"/>
        <w:rPr>
          <w:sz w:val="20"/>
          <w:szCs w:val="20"/>
          <w:color w:val="auto"/>
        </w:rPr>
      </w:pPr>
      <w:r>
        <w:rPr>
          <w:rFonts w:ascii="Times New Roman" w:cs="Times New Roman" w:eastAsia="Times New Roman" w:hAnsi="Times New Roman"/>
          <w:sz w:val="20"/>
          <w:szCs w:val="20"/>
          <w:color w:val="auto"/>
        </w:rPr>
        <w:t>Second Amended and Restated Credit Agreement dated as of August 27, 2021</w:t>
      </w:r>
    </w:p>
    <w:p>
      <w:pPr>
        <w:ind w:left="4220"/>
        <w:spacing w:after="0" w:line="197" w:lineRule="auto"/>
        <w:rPr>
          <w:sz w:val="20"/>
          <w:szCs w:val="20"/>
          <w:color w:val="auto"/>
        </w:rPr>
      </w:pPr>
      <w:r>
        <w:rPr>
          <w:rFonts w:ascii="Times New Roman" w:cs="Times New Roman" w:eastAsia="Times New Roman" w:hAnsi="Times New Roman"/>
          <w:sz w:val="20"/>
          <w:szCs w:val="20"/>
          <w:color w:val="auto"/>
        </w:rPr>
        <w:t>by and among Centuri Group, Inc.</w:t>
      </w:r>
    </w:p>
    <w:p>
      <w:pPr>
        <w:ind w:left="1760"/>
        <w:spacing w:after="0" w:line="225" w:lineRule="auto"/>
        <w:rPr>
          <w:sz w:val="20"/>
          <w:szCs w:val="20"/>
          <w:color w:val="auto"/>
        </w:rPr>
      </w:pPr>
      <w:r>
        <w:rPr>
          <w:rFonts w:ascii="Times New Roman" w:cs="Times New Roman" w:eastAsia="Times New Roman" w:hAnsi="Times New Roman"/>
          <w:sz w:val="20"/>
          <w:szCs w:val="20"/>
          <w:color w:val="auto"/>
        </w:rPr>
        <w:t>and each Additional Borrower that becomes a party thereto as a US Borrower, as US Borrowers,</w:t>
      </w:r>
    </w:p>
    <w:p>
      <w:pPr>
        <w:ind w:left="4420"/>
        <w:spacing w:after="0" w:line="226" w:lineRule="auto"/>
        <w:rPr>
          <w:sz w:val="20"/>
          <w:szCs w:val="20"/>
          <w:color w:val="auto"/>
        </w:rPr>
      </w:pPr>
      <w:r>
        <w:rPr>
          <w:rFonts w:ascii="Times New Roman" w:cs="Times New Roman" w:eastAsia="Times New Roman" w:hAnsi="Times New Roman"/>
          <w:sz w:val="20"/>
          <w:szCs w:val="20"/>
          <w:color w:val="auto"/>
        </w:rPr>
        <w:t>Centuri Canada Division Inc.</w:t>
      </w:r>
    </w:p>
    <w:p>
      <w:pPr>
        <w:jc w:val="right"/>
        <w:ind w:right="199"/>
        <w:spacing w:after="0" w:line="197" w:lineRule="auto"/>
        <w:rPr>
          <w:sz w:val="20"/>
          <w:szCs w:val="20"/>
          <w:color w:val="auto"/>
        </w:rPr>
      </w:pPr>
      <w:r>
        <w:rPr>
          <w:rFonts w:ascii="Times New Roman" w:cs="Times New Roman" w:eastAsia="Times New Roman" w:hAnsi="Times New Roman"/>
          <w:sz w:val="20"/>
          <w:szCs w:val="20"/>
          <w:color w:val="auto"/>
        </w:rPr>
        <w:t>and each Additional Borrower that becomes a party thereto as a Canadian Borrower, as Canadian Borrowers,</w:t>
      </w:r>
    </w:p>
    <w:p>
      <w:pPr>
        <w:jc w:val="center"/>
        <w:ind w:right="-1080"/>
        <w:spacing w:after="0" w:line="226" w:lineRule="auto"/>
        <w:rPr>
          <w:sz w:val="20"/>
          <w:szCs w:val="20"/>
          <w:color w:val="auto"/>
        </w:rPr>
      </w:pPr>
      <w:r>
        <w:rPr>
          <w:rFonts w:ascii="Times New Roman" w:cs="Times New Roman" w:eastAsia="Times New Roman" w:hAnsi="Times New Roman"/>
          <w:sz w:val="20"/>
          <w:szCs w:val="20"/>
          <w:color w:val="auto"/>
        </w:rPr>
        <w:t>the lenders party thereto, as Lenders,</w:t>
      </w:r>
    </w:p>
    <w:p>
      <w:pPr>
        <w:jc w:val="center"/>
        <w:ind w:right="-1080"/>
        <w:spacing w:after="0" w:line="225" w:lineRule="auto"/>
        <w:rPr>
          <w:sz w:val="20"/>
          <w:szCs w:val="20"/>
          <w:color w:val="auto"/>
        </w:rPr>
      </w:pPr>
      <w:r>
        <w:rPr>
          <w:rFonts w:ascii="Times New Roman" w:cs="Times New Roman" w:eastAsia="Times New Roman" w:hAnsi="Times New Roman"/>
          <w:sz w:val="20"/>
          <w:szCs w:val="20"/>
          <w:color w:val="auto"/>
        </w:rPr>
        <w:t>and</w:t>
      </w:r>
    </w:p>
    <w:p>
      <w:pPr>
        <w:jc w:val="center"/>
        <w:ind w:right="-1080"/>
        <w:spacing w:after="0"/>
        <w:rPr>
          <w:sz w:val="20"/>
          <w:szCs w:val="20"/>
          <w:color w:val="auto"/>
        </w:rPr>
      </w:pPr>
      <w:r>
        <w:rPr>
          <w:rFonts w:ascii="Times New Roman" w:cs="Times New Roman" w:eastAsia="Times New Roman" w:hAnsi="Times New Roman"/>
          <w:sz w:val="20"/>
          <w:szCs w:val="20"/>
          <w:color w:val="auto"/>
        </w:rPr>
        <w:t>Wells Fargo Bank, National Association, as Administrative Agent</w:t>
      </w:r>
    </w:p>
    <w:p>
      <w:pPr>
        <w:spacing w:after="0" w:line="200" w:lineRule="exact"/>
        <w:rPr>
          <w:sz w:val="20"/>
          <w:szCs w:val="20"/>
          <w:color w:val="auto"/>
        </w:rPr>
      </w:pPr>
    </w:p>
    <w:p>
      <w:pPr>
        <w:spacing w:after="0" w:line="237"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0"/>
          <w:szCs w:val="20"/>
          <w:u w:val="single" w:color="auto"/>
          <w:color w:val="auto"/>
        </w:rPr>
        <w:t>FORM OF NOTICE OF PREPAYMENT</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166115119_2</w:t>
      </w:r>
    </w:p>
    <w:p>
      <w:pPr>
        <w:sectPr>
          <w:pgSz w:w="11900" w:h="16838" w:orient="portrait"/>
          <w:cols w:equalWidth="0" w:num="1">
            <w:col w:w="10099"/>
          </w:cols>
          <w:pgMar w:left="360" w:top="1413" w:right="1440" w:bottom="1440" w:gutter="0" w:footer="0" w:header="0"/>
        </w:sectPr>
      </w:pPr>
    </w:p>
    <w:bookmarkStart w:id="265" w:name="page266"/>
    <w:bookmarkEnd w:id="265"/>
    <w:p>
      <w:pPr>
        <w:jc w:val="center"/>
        <w:ind w:right="-79"/>
        <w:spacing w:after="0"/>
        <w:rPr>
          <w:sz w:val="20"/>
          <w:szCs w:val="20"/>
          <w:color w:val="auto"/>
        </w:rPr>
      </w:pPr>
      <w:r>
        <w:rPr>
          <w:rFonts w:ascii="Times New Roman" w:cs="Times New Roman" w:eastAsia="Times New Roman" w:hAnsi="Times New Roman"/>
          <w:sz w:val="20"/>
          <w:szCs w:val="20"/>
          <w:u w:val="single" w:color="auto"/>
          <w:color w:val="auto"/>
        </w:rPr>
        <w:t>NOTICE OF PREPAYMENT</w:t>
      </w:r>
    </w:p>
    <w:p>
      <w:pPr>
        <w:spacing w:after="0" w:line="200" w:lineRule="exact"/>
        <w:rPr>
          <w:sz w:val="20"/>
          <w:szCs w:val="20"/>
          <w:color w:val="auto"/>
        </w:rPr>
      </w:pPr>
    </w:p>
    <w:p>
      <w:pPr>
        <w:spacing w:after="0" w:line="32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color w:val="auto"/>
        </w:rPr>
        <w:t>Dated 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-10795</wp:posOffset>
            </wp:positionV>
            <wp:extent cx="12573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3">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26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Wells Fargo Bank, National Association, as Administrative Agent</w:t>
      </w:r>
    </w:p>
    <w:p>
      <w:pPr>
        <w:ind w:left="80"/>
        <w:spacing w:after="0" w:line="233" w:lineRule="auto"/>
        <w:rPr>
          <w:sz w:val="20"/>
          <w:szCs w:val="20"/>
          <w:color w:val="auto"/>
        </w:rPr>
      </w:pPr>
      <w:r>
        <w:rPr>
          <w:rFonts w:ascii="Times New Roman" w:cs="Times New Roman" w:eastAsia="Times New Roman" w:hAnsi="Times New Roman"/>
          <w:sz w:val="20"/>
          <w:szCs w:val="20"/>
          <w:color w:val="auto"/>
        </w:rPr>
        <w:t>MAC D 1109-019</w:t>
      </w:r>
    </w:p>
    <w:p>
      <w:pPr>
        <w:spacing w:after="0" w:line="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1525 West W.T. Harris Blvd. Charlotte, North Carolina 28262</w:t>
      </w:r>
    </w:p>
    <w:p>
      <w:pPr>
        <w:spacing w:after="0" w:line="5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Attention: Syndication Agency Services Ladies and Gentlemen:</w:t>
      </w:r>
    </w:p>
    <w:p>
      <w:pPr>
        <w:spacing w:after="0" w:line="11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 xml:space="preserve">This irrevocable Notice of Prepayment is delivered to you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u w:val="single" w:color="auto"/>
          <w:color w:val="auto"/>
        </w:rPr>
        <w:t>2.4(c)</w:t>
      </w:r>
      <w:r>
        <w:rPr>
          <w:rFonts w:ascii="Times New Roman" w:cs="Times New Roman" w:eastAsia="Times New Roman" w:hAnsi="Times New Roman"/>
          <w:sz w:val="20"/>
          <w:szCs w:val="20"/>
          <w:b w:val="1"/>
          <w:bCs w:val="1"/>
          <w:color w:val="auto"/>
        </w:rPr>
        <w:t>] [</w:t>
      </w:r>
      <w:r>
        <w:rPr>
          <w:rFonts w:ascii="Times New Roman" w:cs="Times New Roman" w:eastAsia="Times New Roman" w:hAnsi="Times New Roman"/>
          <w:sz w:val="20"/>
          <w:szCs w:val="20"/>
          <w:u w:val="single" w:color="auto"/>
          <w:color w:val="auto"/>
        </w:rPr>
        <w:t>4.4(a)</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of the Second Amended and</w:t>
      </w:r>
    </w:p>
    <w:p>
      <w:pPr>
        <w:ind w:left="80"/>
        <w:spacing w:after="0" w:line="204" w:lineRule="auto"/>
        <w:rPr>
          <w:sz w:val="20"/>
          <w:szCs w:val="20"/>
          <w:color w:val="auto"/>
        </w:rPr>
      </w:pPr>
      <w:r>
        <w:rPr>
          <w:rFonts w:ascii="Times New Roman" w:cs="Times New Roman" w:eastAsia="Times New Roman" w:hAnsi="Times New Roman"/>
          <w:sz w:val="20"/>
          <w:szCs w:val="20"/>
          <w:color w:val="auto"/>
        </w:rPr>
        <w:t>Restated Credit Agreement, dated as of August 27, 2021 (as amended, amended and restated, supplemented or otherwise modified from time to time, the “</w:t>
      </w:r>
      <w:r>
        <w:rPr>
          <w:rFonts w:ascii="Times New Roman" w:cs="Times New Roman" w:eastAsia="Times New Roman" w:hAnsi="Times New Roman"/>
          <w:sz w:val="20"/>
          <w:szCs w:val="20"/>
          <w:u w:val="single" w:color="auto"/>
          <w:color w:val="auto"/>
        </w:rPr>
        <w:t>Credit Agreement</w:t>
      </w:r>
      <w:r>
        <w:rPr>
          <w:rFonts w:ascii="Times New Roman" w:cs="Times New Roman" w:eastAsia="Times New Roman" w:hAnsi="Times New Roman"/>
          <w:sz w:val="20"/>
          <w:szCs w:val="20"/>
          <w:color w:val="auto"/>
        </w:rPr>
        <w:t>”), by and among Centuri Group, Inc., a Nevada corporation (“</w:t>
      </w:r>
      <w:r>
        <w:rPr>
          <w:rFonts w:ascii="Times New Roman" w:cs="Times New Roman" w:eastAsia="Times New Roman" w:hAnsi="Times New Roman"/>
          <w:sz w:val="20"/>
          <w:szCs w:val="20"/>
          <w:u w:val="single" w:color="auto"/>
          <w:color w:val="auto"/>
        </w:rPr>
        <w:t>Centuri</w:t>
      </w:r>
      <w:r>
        <w:rPr>
          <w:rFonts w:ascii="Times New Roman" w:cs="Times New Roman" w:eastAsia="Times New Roman" w:hAnsi="Times New Roman"/>
          <w:sz w:val="20"/>
          <w:szCs w:val="20"/>
          <w:color w:val="auto"/>
        </w:rPr>
        <w:t>”), and each Additional</w:t>
      </w:r>
    </w:p>
    <w:p>
      <w:pPr>
        <w:ind w:left="80"/>
        <w:spacing w:after="0" w:line="211" w:lineRule="auto"/>
        <w:rPr>
          <w:sz w:val="20"/>
          <w:szCs w:val="20"/>
          <w:color w:val="auto"/>
        </w:rPr>
      </w:pPr>
      <w:r>
        <w:rPr>
          <w:rFonts w:ascii="Times New Roman" w:cs="Times New Roman" w:eastAsia="Times New Roman" w:hAnsi="Times New Roman"/>
          <w:sz w:val="20"/>
          <w:szCs w:val="20"/>
          <w:color w:val="auto"/>
        </w:rPr>
        <w:t>Borrower that becomes a party thereto in accordance with Section 5.17 thereof (collectively, the “</w:t>
      </w:r>
      <w:r>
        <w:rPr>
          <w:rFonts w:ascii="Times New Roman" w:cs="Times New Roman" w:eastAsia="Times New Roman" w:hAnsi="Times New Roman"/>
          <w:sz w:val="20"/>
          <w:szCs w:val="20"/>
          <w:u w:val="single" w:color="auto"/>
          <w:color w:val="auto"/>
        </w:rPr>
        <w:t>US Borrowers</w:t>
      </w:r>
      <w:r>
        <w:rPr>
          <w:rFonts w:ascii="Times New Roman" w:cs="Times New Roman" w:eastAsia="Times New Roman" w:hAnsi="Times New Roman"/>
          <w:sz w:val="20"/>
          <w:szCs w:val="20"/>
          <w:color w:val="auto"/>
        </w:rPr>
        <w:t>”), Centuri Canada</w:t>
      </w:r>
    </w:p>
    <w:p>
      <w:pPr>
        <w:spacing w:after="0" w:line="1" w:lineRule="exact"/>
        <w:rPr>
          <w:sz w:val="20"/>
          <w:szCs w:val="20"/>
          <w:color w:val="auto"/>
        </w:rPr>
      </w:pPr>
    </w:p>
    <w:p>
      <w:pPr>
        <w:ind w:left="80"/>
        <w:spacing w:after="0" w:line="215" w:lineRule="auto"/>
        <w:rPr>
          <w:sz w:val="20"/>
          <w:szCs w:val="20"/>
          <w:color w:val="auto"/>
        </w:rPr>
      </w:pPr>
      <w:r>
        <w:rPr>
          <w:rFonts w:ascii="Times New Roman" w:cs="Times New Roman" w:eastAsia="Times New Roman" w:hAnsi="Times New Roman"/>
          <w:sz w:val="19"/>
          <w:szCs w:val="19"/>
          <w:color w:val="auto"/>
        </w:rPr>
        <w:t>Division Inc., a corporation organized under the laws of the Province of Ontario (“</w:t>
      </w:r>
      <w:r>
        <w:rPr>
          <w:rFonts w:ascii="Times New Roman" w:cs="Times New Roman" w:eastAsia="Times New Roman" w:hAnsi="Times New Roman"/>
          <w:sz w:val="19"/>
          <w:szCs w:val="19"/>
          <w:u w:val="single" w:color="auto"/>
          <w:color w:val="auto"/>
        </w:rPr>
        <w:t>Centuri Canada</w:t>
      </w:r>
      <w:r>
        <w:rPr>
          <w:rFonts w:ascii="Times New Roman" w:cs="Times New Roman" w:eastAsia="Times New Roman" w:hAnsi="Times New Roman"/>
          <w:sz w:val="19"/>
          <w:szCs w:val="19"/>
          <w:color w:val="auto"/>
        </w:rPr>
        <w:t>”), Canada, and each Additional Borrower that becomes a party thereto in accordance with Section 5.17 thereof (collectively, the “</w:t>
      </w:r>
      <w:r>
        <w:rPr>
          <w:rFonts w:ascii="Times New Roman" w:cs="Times New Roman" w:eastAsia="Times New Roman" w:hAnsi="Times New Roman"/>
          <w:sz w:val="19"/>
          <w:szCs w:val="19"/>
          <w:u w:val="single" w:color="auto"/>
          <w:color w:val="auto"/>
        </w:rPr>
        <w:t>Canadian Borrowers</w:t>
      </w:r>
      <w:r>
        <w:rPr>
          <w:rFonts w:ascii="Times New Roman" w:cs="Times New Roman" w:eastAsia="Times New Roman" w:hAnsi="Times New Roman"/>
          <w:sz w:val="19"/>
          <w:szCs w:val="19"/>
          <w:color w:val="auto"/>
        </w:rPr>
        <w:t>”), the Lenders party</w:t>
      </w:r>
    </w:p>
    <w:p>
      <w:pPr>
        <w:ind w:left="80"/>
        <w:spacing w:after="0" w:line="228" w:lineRule="auto"/>
        <w:rPr>
          <w:sz w:val="20"/>
          <w:szCs w:val="20"/>
          <w:color w:val="auto"/>
        </w:rPr>
      </w:pPr>
      <w:r>
        <w:rPr>
          <w:rFonts w:ascii="Times New Roman" w:cs="Times New Roman" w:eastAsia="Times New Roman" w:hAnsi="Times New Roman"/>
          <w:sz w:val="20"/>
          <w:szCs w:val="20"/>
          <w:color w:val="auto"/>
        </w:rPr>
        <w:t>thereto and Wells Fargo Bank, National Association, as Administrative Agent. Capitalized terms used herein and not defined herein shall have the meanings assigned thereto in the Credit Agreement.</w:t>
      </w:r>
    </w:p>
    <w:p>
      <w:pPr>
        <w:spacing w:after="0" w:line="189" w:lineRule="exact"/>
        <w:rPr>
          <w:sz w:val="20"/>
          <w:szCs w:val="20"/>
          <w:color w:val="auto"/>
        </w:rPr>
      </w:pPr>
    </w:p>
    <w:p>
      <w:pPr>
        <w:jc w:val="both"/>
        <w:ind w:left="80" w:right="20" w:firstLine="644"/>
        <w:spacing w:after="0" w:line="216" w:lineRule="auto"/>
        <w:tabs>
          <w:tab w:leader="none" w:pos="1269" w:val="left"/>
        </w:tabs>
        <w:numPr>
          <w:ilvl w:val="0"/>
          <w:numId w:val="4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[Centuri][INSERT EACH ADDITIONAL US BORROWER][Centuri Canada][INSERT EACH ADDITIONAL CANADIAN BORROWER] hereby provide[s] notice to the Administrative Agent that it shall prepay the following [Base Rate Loans] [LIBOR Rate Loans] [SOFR Loans] [Canadian Base Rate Loans] and/or [CDOR Rate Loans]: . </w:t>
      </w:r>
      <w:r>
        <w:rPr>
          <w:rFonts w:ascii="Times New Roman" w:cs="Times New Roman" w:eastAsia="Times New Roman" w:hAnsi="Times New Roman"/>
          <w:sz w:val="16"/>
          <w:szCs w:val="16"/>
          <w:color w:val="auto"/>
        </w:rPr>
        <w:t>(Complete with an amount in accordance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4869815</wp:posOffset>
            </wp:positionH>
            <wp:positionV relativeFrom="paragraph">
              <wp:posOffset>-10795</wp:posOffset>
            </wp:positionV>
            <wp:extent cx="15113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4">
                      <a:extLst>
                        <a:ext uri="{28A0092B-C50C-407E-A947-70E740481C1C}"/>
                      </a:extLst>
                    </a:blip>
                    <a:srcRect/>
                    <a:stretch>
                      <a:fillRect/>
                    </a:stretch>
                  </pic:blipFill>
                  <pic:spPr bwMode="auto">
                    <a:xfrm>
                      <a:off x="0" y="0"/>
                      <a:ext cx="151130" cy="8255"/>
                    </a:xfrm>
                    <a:prstGeom prst="rect">
                      <a:avLst/>
                    </a:prstGeom>
                    <a:noFill/>
                  </pic:spPr>
                </pic:pic>
              </a:graphicData>
            </a:graphic>
          </wp:anchor>
        </w:drawing>
      </w:r>
    </w:p>
    <w:p>
      <w:pPr>
        <w:ind w:left="80"/>
        <w:spacing w:after="0" w:line="211" w:lineRule="auto"/>
        <w:rPr>
          <w:sz w:val="20"/>
          <w:szCs w:val="20"/>
          <w:color w:val="auto"/>
        </w:rPr>
      </w:pPr>
      <w:r>
        <w:rPr>
          <w:rFonts w:ascii="Times New Roman" w:cs="Times New Roman" w:eastAsia="Times New Roman" w:hAnsi="Times New Roman"/>
          <w:sz w:val="16"/>
          <w:szCs w:val="16"/>
          <w:u w:val="single" w:color="auto"/>
          <w:color w:val="auto"/>
        </w:rPr>
        <w:t>Section</w:t>
      </w:r>
    </w:p>
    <w:p>
      <w:pPr>
        <w:ind w:left="80"/>
        <w:spacing w:after="0"/>
        <w:rPr>
          <w:sz w:val="20"/>
          <w:szCs w:val="20"/>
          <w:color w:val="auto"/>
        </w:rPr>
      </w:pPr>
      <w:r>
        <w:rPr>
          <w:rFonts w:ascii="Times New Roman" w:cs="Times New Roman" w:eastAsia="Times New Roman" w:hAnsi="Times New Roman"/>
          <w:sz w:val="16"/>
          <w:szCs w:val="16"/>
          <w:u w:val="single" w:color="auto"/>
          <w:color w:val="auto"/>
        </w:rPr>
        <w:t>2.4</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Section 4.4</w:t>
      </w:r>
      <w:r>
        <w:rPr>
          <w:rFonts w:ascii="Times New Roman" w:cs="Times New Roman" w:eastAsia="Times New Roman" w:hAnsi="Times New Roman"/>
          <w:sz w:val="16"/>
          <w:szCs w:val="16"/>
          <w:color w:val="auto"/>
        </w:rPr>
        <w:t xml:space="preserve"> of the Credit Agreement.)</w:t>
      </w:r>
    </w:p>
    <w:p>
      <w:pPr>
        <w:spacing w:after="0" w:line="258" w:lineRule="exact"/>
        <w:rPr>
          <w:sz w:val="20"/>
          <w:szCs w:val="20"/>
          <w:color w:val="auto"/>
        </w:rPr>
      </w:pPr>
    </w:p>
    <w:p>
      <w:pPr>
        <w:ind w:left="2020" w:right="4540" w:hanging="1296"/>
        <w:spacing w:after="0" w:line="537" w:lineRule="auto"/>
        <w:tabs>
          <w:tab w:leader="none" w:pos="1372" w:val="left"/>
        </w:tabs>
        <w:numPr>
          <w:ilvl w:val="0"/>
          <w:numId w:val="4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Loan(s) to be prepaid consist of: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check each applicable box</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__ a US Swingline Loan</w:t>
      </w:r>
    </w:p>
    <w:p>
      <w:pPr>
        <w:ind w:left="2020" w:right="6560"/>
        <w:spacing w:after="0" w:line="563" w:lineRule="auto"/>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__ a Canadian Swingline Loan __ a US Revolving Credit Loan</w:t>
      </w:r>
    </w:p>
    <w:p>
      <w:pPr>
        <w:ind w:left="2020" w:right="6080"/>
        <w:spacing w:after="0" w:line="528"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__ a Canadian Revolving Credit Loan __ the Initial Term Loan</w:t>
      </w:r>
    </w:p>
    <w:p>
      <w:pPr>
        <w:spacing w:after="0" w:line="1"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20"/>
          <w:szCs w:val="20"/>
          <w:color w:val="auto"/>
        </w:rPr>
        <w:t>__ an Incremental Term Loan</w:t>
      </w:r>
    </w:p>
    <w:p>
      <w:pPr>
        <w:spacing w:after="0" w:line="229" w:lineRule="exact"/>
        <w:rPr>
          <w:sz w:val="20"/>
          <w:szCs w:val="20"/>
          <w:color w:val="auto"/>
        </w:rPr>
      </w:pPr>
    </w:p>
    <w:p>
      <w:pPr>
        <w:jc w:val="both"/>
        <w:ind w:left="80" w:firstLine="644"/>
        <w:spacing w:after="0" w:line="218" w:lineRule="auto"/>
        <w:tabs>
          <w:tab w:leader="none" w:pos="1269" w:val="left"/>
        </w:tabs>
        <w:numPr>
          <w:ilvl w:val="0"/>
          <w:numId w:val="4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[Centuri][INSERT EACH ADDITIONAL US BORROWER][Centuri Canada][INSERT EACH ADDITIONAL CANADIAN BORROWER] shall repay the above-referenced Loans on the following Business Day: . </w:t>
      </w:r>
      <w:r>
        <w:rPr>
          <w:rFonts w:ascii="Times New Roman" w:cs="Times New Roman" w:eastAsia="Times New Roman" w:hAnsi="Times New Roman"/>
          <w:sz w:val="16"/>
          <w:szCs w:val="16"/>
          <w:color w:val="auto"/>
        </w:rPr>
        <w:t>(Complete with a date no earlier than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5158740</wp:posOffset>
            </wp:positionH>
            <wp:positionV relativeFrom="paragraph">
              <wp:posOffset>-10160</wp:posOffset>
            </wp:positionV>
            <wp:extent cx="13398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5">
                      <a:extLst>
                        <a:ext uri="{28A0092B-C50C-407E-A947-70E740481C1C}"/>
                      </a:extLst>
                    </a:blip>
                    <a:srcRect/>
                    <a:stretch>
                      <a:fillRect/>
                    </a:stretch>
                  </pic:blipFill>
                  <pic:spPr bwMode="auto">
                    <a:xfrm>
                      <a:off x="0" y="0"/>
                      <a:ext cx="133985" cy="8255"/>
                    </a:xfrm>
                    <a:prstGeom prst="rect">
                      <a:avLst/>
                    </a:prstGeom>
                    <a:noFill/>
                  </pic:spPr>
                </pic:pic>
              </a:graphicData>
            </a:graphic>
          </wp:anchor>
        </w:drawing>
      </w:r>
    </w:p>
    <w:p>
      <w:pPr>
        <w:ind w:left="80"/>
        <w:spacing w:after="0" w:line="212" w:lineRule="auto"/>
        <w:rPr>
          <w:sz w:val="20"/>
          <w:szCs w:val="20"/>
          <w:color w:val="auto"/>
        </w:rPr>
      </w:pPr>
      <w:r>
        <w:rPr>
          <w:rFonts w:ascii="Times New Roman" w:cs="Times New Roman" w:eastAsia="Times New Roman" w:hAnsi="Times New Roman"/>
          <w:sz w:val="16"/>
          <w:szCs w:val="16"/>
          <w:color w:val="auto"/>
        </w:rPr>
        <w:t>the same Business Day as of the date of this Notice of Prepayment with respect to any US Swingline Loan, Canadian Swingline Loan or Base Rate Loan, (ii) one</w:t>
      </w:r>
    </w:p>
    <w:p>
      <w:pPr>
        <w:ind w:left="80" w:right="80" w:hanging="5"/>
        <w:spacing w:after="0" w:line="231" w:lineRule="auto"/>
        <w:tabs>
          <w:tab w:leader="none" w:pos="620" w:val="left"/>
        </w:tabs>
        <w:numPr>
          <w:ilvl w:val="0"/>
          <w:numId w:val="4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Business Day subsequent to the date of this Notice of Prepayment with respect to each Canadian Base Rate Loan, (iii) three (3) Business Days subsequent to the date of this Notice of Prepayment with respect to any LIBOR Rate Loan (iv) three (3) U.S.</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166115119_2</w:t>
      </w:r>
    </w:p>
    <w:p>
      <w:pPr>
        <w:sectPr>
          <w:pgSz w:w="11900" w:h="16838" w:orient="portrait"/>
          <w:cols w:equalWidth="0" w:num="1">
            <w:col w:w="11100"/>
          </w:cols>
          <w:pgMar w:left="360" w:top="1399" w:right="439" w:bottom="1440" w:gutter="0" w:footer="0" w:header="0"/>
        </w:sectPr>
      </w:pPr>
    </w:p>
    <w:bookmarkStart w:id="266" w:name="page267"/>
    <w:bookmarkEnd w:id="266"/>
    <w:p>
      <w:pPr>
        <w:ind w:left="60"/>
        <w:spacing w:after="0" w:line="245" w:lineRule="auto"/>
        <w:rPr>
          <w:sz w:val="20"/>
          <w:szCs w:val="20"/>
          <w:color w:val="auto"/>
        </w:rPr>
      </w:pPr>
      <w:r>
        <w:rPr>
          <w:rFonts w:ascii="Times New Roman" w:cs="Times New Roman" w:eastAsia="Times New Roman" w:hAnsi="Times New Roman"/>
          <w:sz w:val="16"/>
          <w:szCs w:val="16"/>
          <w:color w:val="auto"/>
        </w:rPr>
        <w:t>Government Securities Business Days subsequent to the date of this Notice of Prepayment with respect to any SOFR Loan and (v) four (4) Business days subsequent to the date of this Notice of Prepayment with respect to any CDOR Rate Loan.)</w:t>
      </w:r>
    </w:p>
    <w:p>
      <w:pPr>
        <w:spacing w:after="0" w:line="19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0"/>
          <w:szCs w:val="20"/>
          <w:color w:val="auto"/>
        </w:rPr>
        <w:t>[Signature Page Follows]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166115119_2</w:t>
      </w:r>
    </w:p>
    <w:p>
      <w:pPr>
        <w:sectPr>
          <w:pgSz w:w="11900" w:h="16838" w:orient="portrait"/>
          <w:cols w:equalWidth="0" w:num="1">
            <w:col w:w="10940"/>
          </w:cols>
          <w:pgMar w:left="360" w:top="1408" w:right="599" w:bottom="1440" w:gutter="0" w:footer="0" w:header="0"/>
        </w:sectPr>
      </w:pPr>
    </w:p>
    <w:bookmarkStart w:id="267" w:name="page268"/>
    <w:bookmarkEnd w:id="267"/>
    <w:p>
      <w:pPr>
        <w:ind w:left="720"/>
        <w:spacing w:after="0"/>
        <w:rPr>
          <w:sz w:val="20"/>
          <w:szCs w:val="20"/>
          <w:color w:val="auto"/>
        </w:rPr>
      </w:pPr>
      <w:r>
        <w:rPr>
          <w:rFonts w:ascii="Times New Roman" w:cs="Times New Roman" w:eastAsia="Times New Roman" w:hAnsi="Times New Roman"/>
          <w:sz w:val="19"/>
          <w:szCs w:val="19"/>
          <w:color w:val="auto"/>
        </w:rPr>
        <w:t>IN WITNESS WHEREOF, the undersigned has executed this Notice of Prepayment as of the day and year first written above.</w:t>
      </w:r>
    </w:p>
    <w:p>
      <w:pPr>
        <w:spacing w:after="0" w:line="200" w:lineRule="exact"/>
        <w:rPr>
          <w:sz w:val="20"/>
          <w:szCs w:val="20"/>
          <w:color w:val="auto"/>
        </w:rPr>
      </w:pPr>
    </w:p>
    <w:p>
      <w:pPr>
        <w:spacing w:after="0" w:line="270"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auto"/>
        </w:rPr>
        <w:t>[CENTURI GROUP, INC., as [a] US Borrower</w:t>
      </w:r>
    </w:p>
    <w:p>
      <w:pPr>
        <w:spacing w:after="0" w:line="200" w:lineRule="exact"/>
        <w:rPr>
          <w:sz w:val="20"/>
          <w:szCs w:val="20"/>
          <w:color w:val="auto"/>
        </w:rPr>
      </w:pPr>
    </w:p>
    <w:p>
      <w:pPr>
        <w:spacing w:after="0" w:line="272" w:lineRule="exact"/>
        <w:rPr>
          <w:sz w:val="20"/>
          <w:szCs w:val="20"/>
          <w:color w:val="auto"/>
        </w:rPr>
      </w:pPr>
    </w:p>
    <w:p>
      <w:pPr>
        <w:ind w:left="4080"/>
        <w:spacing w:after="0"/>
        <w:tabs>
          <w:tab w:leader="none" w:pos="4640" w:val="left"/>
          <w:tab w:leader="none" w:pos="5460" w:val="left"/>
          <w:tab w:leader="none" w:pos="6080" w:val="left"/>
        </w:tabs>
        <w:rPr>
          <w:sz w:val="20"/>
          <w:szCs w:val="20"/>
          <w:color w:val="auto"/>
        </w:rPr>
      </w:pPr>
      <w:r>
        <w:rPr>
          <w:rFonts w:ascii="Times New Roman" w:cs="Times New Roman" w:eastAsia="Times New Roman" w:hAnsi="Times New Roman"/>
          <w:sz w:val="20"/>
          <w:szCs w:val="20"/>
          <w:color w:val="auto"/>
        </w:rPr>
        <w:t>By:</w:t>
        <w:tab/>
        <w:t>Name:</w:t>
        <w:tab/>
        <w:t>Title:</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2769235</wp:posOffset>
            </wp:positionH>
            <wp:positionV relativeFrom="paragraph">
              <wp:posOffset>-10795</wp:posOffset>
            </wp:positionV>
            <wp:extent cx="15684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6">
                      <a:extLst>
                        <a:ext uri="{28A0092B-C50C-407E-A947-70E740481C1C}"/>
                      </a:extLst>
                    </a:blip>
                    <a:srcRect/>
                    <a:stretch>
                      <a:fillRect/>
                    </a:stretch>
                  </pic:blipFill>
                  <pic:spPr bwMode="auto">
                    <a:xfrm>
                      <a:off x="0" y="0"/>
                      <a:ext cx="156845" cy="8255"/>
                    </a:xfrm>
                    <a:prstGeom prst="rect">
                      <a:avLst/>
                    </a:prstGeom>
                    <a:noFill/>
                  </pic:spPr>
                </pic:pic>
              </a:graphicData>
            </a:graphic>
          </wp:anchor>
        </w:drawing>
        <w:drawing>
          <wp:anchor simplePos="0" relativeHeight="251657728" behindDoc="1" locked="0" layoutInCell="0" allowOverlap="1">
            <wp:simplePos x="0" y="0"/>
            <wp:positionH relativeFrom="column">
              <wp:posOffset>3292475</wp:posOffset>
            </wp:positionH>
            <wp:positionV relativeFrom="paragraph">
              <wp:posOffset>-10795</wp:posOffset>
            </wp:positionV>
            <wp:extent cx="15684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7">
                      <a:extLst>
                        <a:ext uri="{28A0092B-C50C-407E-A947-70E740481C1C}"/>
                      </a:extLst>
                    </a:blip>
                    <a:srcRect/>
                    <a:stretch>
                      <a:fillRect/>
                    </a:stretch>
                  </pic:blipFill>
                  <pic:spPr bwMode="auto">
                    <a:xfrm>
                      <a:off x="0" y="0"/>
                      <a:ext cx="156845" cy="8255"/>
                    </a:xfrm>
                    <a:prstGeom prst="rect">
                      <a:avLst/>
                    </a:prstGeom>
                    <a:noFill/>
                  </pic:spPr>
                </pic:pic>
              </a:graphicData>
            </a:graphic>
          </wp:anchor>
        </w:drawing>
        <w:drawing>
          <wp:anchor simplePos="0" relativeHeight="251657728" behindDoc="1" locked="0" layoutInCell="0" allowOverlap="1">
            <wp:simplePos x="0" y="0"/>
            <wp:positionH relativeFrom="column">
              <wp:posOffset>3749040</wp:posOffset>
            </wp:positionH>
            <wp:positionV relativeFrom="paragraph">
              <wp:posOffset>-10795</wp:posOffset>
            </wp:positionV>
            <wp:extent cx="12573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8">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auto"/>
        </w:rPr>
        <w:t>[[INSERT EACH ADDITIONAL US BORROWER],</w:t>
      </w:r>
    </w:p>
    <w:p>
      <w:pPr>
        <w:spacing w:after="0" w:line="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0"/>
          <w:szCs w:val="20"/>
          <w:color w:val="auto"/>
        </w:rPr>
        <w:t>as a US Borrower</w:t>
      </w:r>
    </w:p>
    <w:p>
      <w:pPr>
        <w:spacing w:after="0" w:line="200" w:lineRule="exact"/>
        <w:rPr>
          <w:sz w:val="20"/>
          <w:szCs w:val="20"/>
          <w:color w:val="auto"/>
        </w:rPr>
      </w:pPr>
    </w:p>
    <w:p>
      <w:pPr>
        <w:spacing w:after="0" w:line="250" w:lineRule="exact"/>
        <w:rPr>
          <w:sz w:val="20"/>
          <w:szCs w:val="20"/>
          <w:color w:val="auto"/>
        </w:rPr>
      </w:pPr>
    </w:p>
    <w:p>
      <w:pPr>
        <w:ind w:left="4080"/>
        <w:spacing w:after="0"/>
        <w:tabs>
          <w:tab w:leader="none" w:pos="4640" w:val="left"/>
          <w:tab w:leader="none" w:pos="5460" w:val="left"/>
        </w:tabs>
        <w:rPr>
          <w:sz w:val="20"/>
          <w:szCs w:val="20"/>
          <w:color w:val="auto"/>
        </w:rPr>
      </w:pPr>
      <w:r>
        <w:rPr>
          <w:rFonts w:ascii="Times New Roman" w:cs="Times New Roman" w:eastAsia="Times New Roman" w:hAnsi="Times New Roman"/>
          <w:sz w:val="20"/>
          <w:szCs w:val="20"/>
          <w:color w:val="auto"/>
        </w:rPr>
        <w:t>By:</w:t>
        <w:tab/>
        <w:t>Name:</w:t>
      </w:r>
      <w:r>
        <w:rPr>
          <w:sz w:val="20"/>
          <w:szCs w:val="20"/>
          <w:color w:val="auto"/>
        </w:rPr>
        <w:tab/>
      </w:r>
      <w:r>
        <w:rPr>
          <w:rFonts w:ascii="Times New Roman" w:cs="Times New Roman" w:eastAsia="Times New Roman" w:hAnsi="Times New Roman"/>
          <w:sz w:val="19"/>
          <w:szCs w:val="19"/>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2769235</wp:posOffset>
            </wp:positionH>
            <wp:positionV relativeFrom="paragraph">
              <wp:posOffset>-10795</wp:posOffset>
            </wp:positionV>
            <wp:extent cx="15684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9">
                      <a:extLst>
                        <a:ext uri="{28A0092B-C50C-407E-A947-70E740481C1C}"/>
                      </a:extLst>
                    </a:blip>
                    <a:srcRect/>
                    <a:stretch>
                      <a:fillRect/>
                    </a:stretch>
                  </pic:blipFill>
                  <pic:spPr bwMode="auto">
                    <a:xfrm>
                      <a:off x="0" y="0"/>
                      <a:ext cx="156845" cy="8255"/>
                    </a:xfrm>
                    <a:prstGeom prst="rect">
                      <a:avLst/>
                    </a:prstGeom>
                    <a:noFill/>
                  </pic:spPr>
                </pic:pic>
              </a:graphicData>
            </a:graphic>
          </wp:anchor>
        </w:drawing>
        <w:drawing>
          <wp:anchor simplePos="0" relativeHeight="251657728" behindDoc="1" locked="0" layoutInCell="0" allowOverlap="1">
            <wp:simplePos x="0" y="0"/>
            <wp:positionH relativeFrom="column">
              <wp:posOffset>3292475</wp:posOffset>
            </wp:positionH>
            <wp:positionV relativeFrom="paragraph">
              <wp:posOffset>-10795</wp:posOffset>
            </wp:positionV>
            <wp:extent cx="15684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0">
                      <a:extLst>
                        <a:ext uri="{28A0092B-C50C-407E-A947-70E740481C1C}"/>
                      </a:extLst>
                    </a:blip>
                    <a:srcRect/>
                    <a:stretch>
                      <a:fillRect/>
                    </a:stretch>
                  </pic:blipFill>
                  <pic:spPr bwMode="auto">
                    <a:xfrm>
                      <a:off x="0" y="0"/>
                      <a:ext cx="156845" cy="8255"/>
                    </a:xfrm>
                    <a:prstGeom prst="rect">
                      <a:avLst/>
                    </a:prstGeom>
                    <a:noFill/>
                  </pic:spPr>
                </pic:pic>
              </a:graphicData>
            </a:graphic>
          </wp:anchor>
        </w:drawing>
        <w:drawing>
          <wp:anchor simplePos="0" relativeHeight="251657728" behindDoc="1" locked="0" layoutInCell="0" allowOverlap="1">
            <wp:simplePos x="0" y="0"/>
            <wp:positionH relativeFrom="column">
              <wp:posOffset>3749040</wp:posOffset>
            </wp:positionH>
            <wp:positionV relativeFrom="paragraph">
              <wp:posOffset>-10795</wp:posOffset>
            </wp:positionV>
            <wp:extent cx="12573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1">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auto"/>
        </w:rPr>
        <w:t>[CENTURI CANADA DIVISION INC., as [a]</w:t>
      </w:r>
    </w:p>
    <w:p>
      <w:pPr>
        <w:spacing w:after="0" w:line="2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color w:val="auto"/>
        </w:rPr>
        <w:t>Canadian Borrower</w:t>
      </w:r>
    </w:p>
    <w:p>
      <w:pPr>
        <w:spacing w:after="0" w:line="200" w:lineRule="exact"/>
        <w:rPr>
          <w:sz w:val="20"/>
          <w:szCs w:val="20"/>
          <w:color w:val="auto"/>
        </w:rPr>
      </w:pPr>
    </w:p>
    <w:p>
      <w:pPr>
        <w:spacing w:after="0" w:line="264" w:lineRule="exact"/>
        <w:rPr>
          <w:sz w:val="20"/>
          <w:szCs w:val="20"/>
          <w:color w:val="auto"/>
        </w:rPr>
      </w:pPr>
    </w:p>
    <w:p>
      <w:pPr>
        <w:ind w:left="4080"/>
        <w:spacing w:after="0"/>
        <w:tabs>
          <w:tab w:leader="none" w:pos="4640" w:val="left"/>
          <w:tab w:leader="none" w:pos="5460" w:val="left"/>
        </w:tabs>
        <w:rPr>
          <w:sz w:val="20"/>
          <w:szCs w:val="20"/>
          <w:color w:val="auto"/>
        </w:rPr>
      </w:pPr>
      <w:r>
        <w:rPr>
          <w:rFonts w:ascii="Times New Roman" w:cs="Times New Roman" w:eastAsia="Times New Roman" w:hAnsi="Times New Roman"/>
          <w:sz w:val="20"/>
          <w:szCs w:val="20"/>
          <w:color w:val="auto"/>
        </w:rPr>
        <w:t>By:</w:t>
        <w:tab/>
        <w:t>Name:</w:t>
      </w:r>
      <w:r>
        <w:rPr>
          <w:sz w:val="20"/>
          <w:szCs w:val="20"/>
          <w:color w:val="auto"/>
        </w:rPr>
        <w:tab/>
      </w:r>
      <w:r>
        <w:rPr>
          <w:rFonts w:ascii="Times New Roman" w:cs="Times New Roman" w:eastAsia="Times New Roman" w:hAnsi="Times New Roman"/>
          <w:sz w:val="19"/>
          <w:szCs w:val="19"/>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2769235</wp:posOffset>
            </wp:positionH>
            <wp:positionV relativeFrom="paragraph">
              <wp:posOffset>-10795</wp:posOffset>
            </wp:positionV>
            <wp:extent cx="15684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2">
                      <a:extLst>
                        <a:ext uri="{28A0092B-C50C-407E-A947-70E740481C1C}"/>
                      </a:extLst>
                    </a:blip>
                    <a:srcRect/>
                    <a:stretch>
                      <a:fillRect/>
                    </a:stretch>
                  </pic:blipFill>
                  <pic:spPr bwMode="auto">
                    <a:xfrm>
                      <a:off x="0" y="0"/>
                      <a:ext cx="156845" cy="8255"/>
                    </a:xfrm>
                    <a:prstGeom prst="rect">
                      <a:avLst/>
                    </a:prstGeom>
                    <a:noFill/>
                  </pic:spPr>
                </pic:pic>
              </a:graphicData>
            </a:graphic>
          </wp:anchor>
        </w:drawing>
        <w:drawing>
          <wp:anchor simplePos="0" relativeHeight="251657728" behindDoc="1" locked="0" layoutInCell="0" allowOverlap="1">
            <wp:simplePos x="0" y="0"/>
            <wp:positionH relativeFrom="column">
              <wp:posOffset>3292475</wp:posOffset>
            </wp:positionH>
            <wp:positionV relativeFrom="paragraph">
              <wp:posOffset>-10795</wp:posOffset>
            </wp:positionV>
            <wp:extent cx="15684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3">
                      <a:extLst>
                        <a:ext uri="{28A0092B-C50C-407E-A947-70E740481C1C}"/>
                      </a:extLst>
                    </a:blip>
                    <a:srcRect/>
                    <a:stretch>
                      <a:fillRect/>
                    </a:stretch>
                  </pic:blipFill>
                  <pic:spPr bwMode="auto">
                    <a:xfrm>
                      <a:off x="0" y="0"/>
                      <a:ext cx="156845" cy="8255"/>
                    </a:xfrm>
                    <a:prstGeom prst="rect">
                      <a:avLst/>
                    </a:prstGeom>
                    <a:noFill/>
                  </pic:spPr>
                </pic:pic>
              </a:graphicData>
            </a:graphic>
          </wp:anchor>
        </w:drawing>
        <w:drawing>
          <wp:anchor simplePos="0" relativeHeight="251657728" behindDoc="1" locked="0" layoutInCell="0" allowOverlap="1">
            <wp:simplePos x="0" y="0"/>
            <wp:positionH relativeFrom="column">
              <wp:posOffset>3749040</wp:posOffset>
            </wp:positionH>
            <wp:positionV relativeFrom="paragraph">
              <wp:posOffset>-10795</wp:posOffset>
            </wp:positionV>
            <wp:extent cx="12573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4">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auto"/>
        </w:rPr>
        <w:t>[[INSERT EACH ADDITIONAL CANADIAN</w:t>
      </w:r>
    </w:p>
    <w:p>
      <w:pPr>
        <w:ind w:left="4080"/>
        <w:spacing w:after="0"/>
        <w:rPr>
          <w:sz w:val="20"/>
          <w:szCs w:val="20"/>
          <w:color w:val="auto"/>
        </w:rPr>
      </w:pPr>
      <w:r>
        <w:rPr>
          <w:rFonts w:ascii="Times New Roman" w:cs="Times New Roman" w:eastAsia="Times New Roman" w:hAnsi="Times New Roman"/>
          <w:sz w:val="20"/>
          <w:szCs w:val="20"/>
          <w:color w:val="auto"/>
        </w:rPr>
        <w:t>BORROWER], as a Canadian Borrower</w:t>
      </w:r>
    </w:p>
    <w:p>
      <w:pPr>
        <w:spacing w:after="0" w:line="200" w:lineRule="exact"/>
        <w:rPr>
          <w:sz w:val="20"/>
          <w:szCs w:val="20"/>
          <w:color w:val="auto"/>
        </w:rPr>
      </w:pPr>
    </w:p>
    <w:p>
      <w:pPr>
        <w:spacing w:after="0" w:line="237" w:lineRule="exact"/>
        <w:rPr>
          <w:sz w:val="20"/>
          <w:szCs w:val="20"/>
          <w:color w:val="auto"/>
        </w:rPr>
      </w:pPr>
    </w:p>
    <w:p>
      <w:pPr>
        <w:ind w:left="4080"/>
        <w:spacing w:after="0"/>
        <w:tabs>
          <w:tab w:leader="none" w:pos="4640" w:val="left"/>
          <w:tab w:leader="none" w:pos="5460" w:val="left"/>
        </w:tabs>
        <w:rPr>
          <w:sz w:val="20"/>
          <w:szCs w:val="20"/>
          <w:color w:val="auto"/>
        </w:rPr>
      </w:pPr>
      <w:r>
        <w:rPr>
          <w:rFonts w:ascii="Times New Roman" w:cs="Times New Roman" w:eastAsia="Times New Roman" w:hAnsi="Times New Roman"/>
          <w:sz w:val="20"/>
          <w:szCs w:val="20"/>
          <w:color w:val="auto"/>
        </w:rPr>
        <w:t>By:</w:t>
        <w:tab/>
        <w:t>Name:</w:t>
      </w:r>
      <w:r>
        <w:rPr>
          <w:sz w:val="20"/>
          <w:szCs w:val="20"/>
          <w:color w:val="auto"/>
        </w:rPr>
        <w:tab/>
      </w:r>
      <w:r>
        <w:rPr>
          <w:rFonts w:ascii="Times New Roman" w:cs="Times New Roman" w:eastAsia="Times New Roman" w:hAnsi="Times New Roman"/>
          <w:sz w:val="19"/>
          <w:szCs w:val="19"/>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2769235</wp:posOffset>
            </wp:positionH>
            <wp:positionV relativeFrom="paragraph">
              <wp:posOffset>-10795</wp:posOffset>
            </wp:positionV>
            <wp:extent cx="15684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5">
                      <a:extLst>
                        <a:ext uri="{28A0092B-C50C-407E-A947-70E740481C1C}"/>
                      </a:extLst>
                    </a:blip>
                    <a:srcRect/>
                    <a:stretch>
                      <a:fillRect/>
                    </a:stretch>
                  </pic:blipFill>
                  <pic:spPr bwMode="auto">
                    <a:xfrm>
                      <a:off x="0" y="0"/>
                      <a:ext cx="156845" cy="8255"/>
                    </a:xfrm>
                    <a:prstGeom prst="rect">
                      <a:avLst/>
                    </a:prstGeom>
                    <a:noFill/>
                  </pic:spPr>
                </pic:pic>
              </a:graphicData>
            </a:graphic>
          </wp:anchor>
        </w:drawing>
        <w:drawing>
          <wp:anchor simplePos="0" relativeHeight="251657728" behindDoc="1" locked="0" layoutInCell="0" allowOverlap="1">
            <wp:simplePos x="0" y="0"/>
            <wp:positionH relativeFrom="column">
              <wp:posOffset>3292475</wp:posOffset>
            </wp:positionH>
            <wp:positionV relativeFrom="paragraph">
              <wp:posOffset>-10795</wp:posOffset>
            </wp:positionV>
            <wp:extent cx="15684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6">
                      <a:extLst>
                        <a:ext uri="{28A0092B-C50C-407E-A947-70E740481C1C}"/>
                      </a:extLst>
                    </a:blip>
                    <a:srcRect/>
                    <a:stretch>
                      <a:fillRect/>
                    </a:stretch>
                  </pic:blipFill>
                  <pic:spPr bwMode="auto">
                    <a:xfrm>
                      <a:off x="0" y="0"/>
                      <a:ext cx="156845" cy="8255"/>
                    </a:xfrm>
                    <a:prstGeom prst="rect">
                      <a:avLst/>
                    </a:prstGeom>
                    <a:noFill/>
                  </pic:spPr>
                </pic:pic>
              </a:graphicData>
            </a:graphic>
          </wp:anchor>
        </w:drawing>
        <w:drawing>
          <wp:anchor simplePos="0" relativeHeight="251657728" behindDoc="1" locked="0" layoutInCell="0" allowOverlap="1">
            <wp:simplePos x="0" y="0"/>
            <wp:positionH relativeFrom="column">
              <wp:posOffset>3749040</wp:posOffset>
            </wp:positionH>
            <wp:positionV relativeFrom="paragraph">
              <wp:posOffset>-10795</wp:posOffset>
            </wp:positionV>
            <wp:extent cx="12573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7">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166115119_2</w:t>
      </w:r>
    </w:p>
    <w:p>
      <w:pPr>
        <w:sectPr>
          <w:pgSz w:w="11900" w:h="16838" w:orient="portrait"/>
          <w:cols w:equalWidth="0" w:num="1">
            <w:col w:w="10700"/>
          </w:cols>
          <w:pgMar w:left="360" w:top="1399" w:right="839" w:bottom="1440" w:gutter="0" w:footer="0" w:header="0"/>
        </w:sectPr>
      </w:pPr>
    </w:p>
    <w:bookmarkStart w:id="268" w:name="page269"/>
    <w:bookmarkEnd w:id="268"/>
    <w:p>
      <w:pPr>
        <w:ind w:left="5100"/>
        <w:spacing w:after="0"/>
        <w:rPr>
          <w:sz w:val="20"/>
          <w:szCs w:val="20"/>
          <w:color w:val="auto"/>
        </w:rPr>
      </w:pPr>
      <w:r>
        <w:rPr>
          <w:rFonts w:ascii="Times New Roman" w:cs="Times New Roman" w:eastAsia="Times New Roman" w:hAnsi="Times New Roman"/>
          <w:sz w:val="20"/>
          <w:szCs w:val="20"/>
          <w:u w:val="single" w:color="auto"/>
          <w:color w:val="auto"/>
        </w:rPr>
        <w:t>EXHIBIT E</w:t>
      </w:r>
    </w:p>
    <w:p>
      <w:pPr>
        <w:spacing w:after="0" w:line="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color w:val="auto"/>
        </w:rPr>
        <w:t>to</w:t>
      </w:r>
    </w:p>
    <w:p>
      <w:pPr>
        <w:ind w:left="2480"/>
        <w:spacing w:after="0" w:line="211" w:lineRule="auto"/>
        <w:rPr>
          <w:sz w:val="20"/>
          <w:szCs w:val="20"/>
          <w:color w:val="auto"/>
        </w:rPr>
      </w:pPr>
      <w:r>
        <w:rPr>
          <w:rFonts w:ascii="Times New Roman" w:cs="Times New Roman" w:eastAsia="Times New Roman" w:hAnsi="Times New Roman"/>
          <w:sz w:val="20"/>
          <w:szCs w:val="20"/>
          <w:color w:val="auto"/>
        </w:rPr>
        <w:t>Second Amended and Restated Credit Agreement dated as of August 27, 2021</w:t>
      </w:r>
    </w:p>
    <w:p>
      <w:pPr>
        <w:ind w:left="4220"/>
        <w:spacing w:after="0" w:line="197" w:lineRule="auto"/>
        <w:rPr>
          <w:sz w:val="20"/>
          <w:szCs w:val="20"/>
          <w:color w:val="auto"/>
        </w:rPr>
      </w:pPr>
      <w:r>
        <w:rPr>
          <w:rFonts w:ascii="Times New Roman" w:cs="Times New Roman" w:eastAsia="Times New Roman" w:hAnsi="Times New Roman"/>
          <w:sz w:val="20"/>
          <w:szCs w:val="20"/>
          <w:color w:val="auto"/>
        </w:rPr>
        <w:t>by and among Centuri Group, Inc.</w:t>
      </w:r>
    </w:p>
    <w:p>
      <w:pPr>
        <w:ind w:left="1760"/>
        <w:spacing w:after="0" w:line="225" w:lineRule="auto"/>
        <w:rPr>
          <w:sz w:val="20"/>
          <w:szCs w:val="20"/>
          <w:color w:val="auto"/>
        </w:rPr>
      </w:pPr>
      <w:r>
        <w:rPr>
          <w:rFonts w:ascii="Times New Roman" w:cs="Times New Roman" w:eastAsia="Times New Roman" w:hAnsi="Times New Roman"/>
          <w:sz w:val="20"/>
          <w:szCs w:val="20"/>
          <w:color w:val="auto"/>
        </w:rPr>
        <w:t>and each Additional Borrower that becomes a party thereto as a US Borrower, as US Borrowers,</w:t>
      </w:r>
    </w:p>
    <w:p>
      <w:pPr>
        <w:ind w:left="4420"/>
        <w:spacing w:after="0" w:line="226" w:lineRule="auto"/>
        <w:rPr>
          <w:sz w:val="20"/>
          <w:szCs w:val="20"/>
          <w:color w:val="auto"/>
        </w:rPr>
      </w:pPr>
      <w:r>
        <w:rPr>
          <w:rFonts w:ascii="Times New Roman" w:cs="Times New Roman" w:eastAsia="Times New Roman" w:hAnsi="Times New Roman"/>
          <w:sz w:val="20"/>
          <w:szCs w:val="20"/>
          <w:color w:val="auto"/>
        </w:rPr>
        <w:t>Centuri Canada Division Inc.</w:t>
      </w:r>
    </w:p>
    <w:p>
      <w:pPr>
        <w:jc w:val="right"/>
        <w:ind w:right="199"/>
        <w:spacing w:after="0" w:line="197" w:lineRule="auto"/>
        <w:rPr>
          <w:sz w:val="20"/>
          <w:szCs w:val="20"/>
          <w:color w:val="auto"/>
        </w:rPr>
      </w:pPr>
      <w:r>
        <w:rPr>
          <w:rFonts w:ascii="Times New Roman" w:cs="Times New Roman" w:eastAsia="Times New Roman" w:hAnsi="Times New Roman"/>
          <w:sz w:val="20"/>
          <w:szCs w:val="20"/>
          <w:color w:val="auto"/>
        </w:rPr>
        <w:t>and each Additional Borrower that becomes a party thereto as a Canadian Borrower, as Canadian Borrowers,</w:t>
      </w:r>
    </w:p>
    <w:p>
      <w:pPr>
        <w:jc w:val="center"/>
        <w:ind w:right="-1080"/>
        <w:spacing w:after="0" w:line="226" w:lineRule="auto"/>
        <w:rPr>
          <w:sz w:val="20"/>
          <w:szCs w:val="20"/>
          <w:color w:val="auto"/>
        </w:rPr>
      </w:pPr>
      <w:r>
        <w:rPr>
          <w:rFonts w:ascii="Times New Roman" w:cs="Times New Roman" w:eastAsia="Times New Roman" w:hAnsi="Times New Roman"/>
          <w:sz w:val="20"/>
          <w:szCs w:val="20"/>
          <w:color w:val="auto"/>
        </w:rPr>
        <w:t>the lenders party thereto, as Lenders,</w:t>
      </w:r>
    </w:p>
    <w:p>
      <w:pPr>
        <w:jc w:val="center"/>
        <w:ind w:right="-1080"/>
        <w:spacing w:after="0" w:line="225" w:lineRule="auto"/>
        <w:rPr>
          <w:sz w:val="20"/>
          <w:szCs w:val="20"/>
          <w:color w:val="auto"/>
        </w:rPr>
      </w:pPr>
      <w:r>
        <w:rPr>
          <w:rFonts w:ascii="Times New Roman" w:cs="Times New Roman" w:eastAsia="Times New Roman" w:hAnsi="Times New Roman"/>
          <w:sz w:val="20"/>
          <w:szCs w:val="20"/>
          <w:color w:val="auto"/>
        </w:rPr>
        <w:t>and</w:t>
      </w:r>
    </w:p>
    <w:p>
      <w:pPr>
        <w:jc w:val="center"/>
        <w:ind w:right="-1080"/>
        <w:spacing w:after="0"/>
        <w:rPr>
          <w:sz w:val="20"/>
          <w:szCs w:val="20"/>
          <w:color w:val="auto"/>
        </w:rPr>
      </w:pPr>
      <w:r>
        <w:rPr>
          <w:rFonts w:ascii="Times New Roman" w:cs="Times New Roman" w:eastAsia="Times New Roman" w:hAnsi="Times New Roman"/>
          <w:sz w:val="20"/>
          <w:szCs w:val="20"/>
          <w:color w:val="auto"/>
        </w:rPr>
        <w:t>Wells Fargo Bank, National Association, as Administrative Agent</w:t>
      </w:r>
    </w:p>
    <w:p>
      <w:pPr>
        <w:spacing w:after="0" w:line="194"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0"/>
          <w:szCs w:val="20"/>
          <w:u w:val="single" w:color="auto"/>
          <w:color w:val="auto"/>
        </w:rPr>
        <w:t>FORM OF NOTICE OF CONVERSION/CONTINUATION</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166115119_2</w:t>
      </w:r>
    </w:p>
    <w:p>
      <w:pPr>
        <w:sectPr>
          <w:pgSz w:w="11900" w:h="16838" w:orient="portrait"/>
          <w:cols w:equalWidth="0" w:num="1">
            <w:col w:w="10099"/>
          </w:cols>
          <w:pgMar w:left="360" w:top="1413" w:right="1440" w:bottom="1440" w:gutter="0" w:footer="0" w:header="0"/>
        </w:sectPr>
      </w:pPr>
    </w:p>
    <w:bookmarkStart w:id="269" w:name="page270"/>
    <w:bookmarkEnd w:id="269"/>
    <w:p>
      <w:pPr>
        <w:ind w:left="2320"/>
        <w:spacing w:after="0"/>
        <w:rPr>
          <w:sz w:val="20"/>
          <w:szCs w:val="20"/>
          <w:color w:val="auto"/>
        </w:rPr>
      </w:pPr>
      <w:r>
        <w:rPr>
          <w:rFonts w:ascii="Times New Roman" w:cs="Times New Roman" w:eastAsia="Times New Roman" w:hAnsi="Times New Roman"/>
          <w:sz w:val="20"/>
          <w:szCs w:val="20"/>
          <w:u w:val="single" w:color="auto"/>
          <w:color w:val="auto"/>
        </w:rPr>
        <w:t>NOTICE OF CONVERSION/CONTINUATION</w:t>
      </w:r>
    </w:p>
    <w:p>
      <w:pPr>
        <w:spacing w:after="0" w:line="200" w:lineRule="exact"/>
        <w:rPr>
          <w:sz w:val="20"/>
          <w:szCs w:val="20"/>
          <w:color w:val="auto"/>
        </w:rPr>
      </w:pPr>
    </w:p>
    <w:p>
      <w:pPr>
        <w:spacing w:after="0" w:line="32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color w:val="auto"/>
        </w:rPr>
        <w:t>Dated 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-10795</wp:posOffset>
            </wp:positionV>
            <wp:extent cx="12573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8">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26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Wells Fargo Bank, National Association, as Administrative Agent</w:t>
      </w:r>
    </w:p>
    <w:p>
      <w:pPr>
        <w:ind w:left="80"/>
        <w:spacing w:after="0" w:line="233" w:lineRule="auto"/>
        <w:rPr>
          <w:sz w:val="20"/>
          <w:szCs w:val="20"/>
          <w:color w:val="auto"/>
        </w:rPr>
      </w:pPr>
      <w:r>
        <w:rPr>
          <w:rFonts w:ascii="Times New Roman" w:cs="Times New Roman" w:eastAsia="Times New Roman" w:hAnsi="Times New Roman"/>
          <w:sz w:val="20"/>
          <w:szCs w:val="20"/>
          <w:color w:val="auto"/>
        </w:rPr>
        <w:t>MAC D 1109-019</w:t>
      </w:r>
    </w:p>
    <w:p>
      <w:pPr>
        <w:spacing w:after="0" w:line="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1525 West W.T. Harris Blvd. Charlotte, North Carolina 28262</w:t>
      </w:r>
    </w:p>
    <w:p>
      <w:pPr>
        <w:spacing w:after="0" w:line="5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Attention: Syndication Agency Services Ladies and Gentlemen:</w:t>
      </w:r>
    </w:p>
    <w:p>
      <w:pPr>
        <w:spacing w:after="0" w:line="11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This irrevocable Notice of Conversion/Continuation (this “</w:t>
      </w:r>
      <w:r>
        <w:rPr>
          <w:rFonts w:ascii="Times New Roman" w:cs="Times New Roman" w:eastAsia="Times New Roman" w:hAnsi="Times New Roman"/>
          <w:sz w:val="20"/>
          <w:szCs w:val="20"/>
          <w:u w:val="single" w:color="auto"/>
          <w:color w:val="auto"/>
        </w:rPr>
        <w:t>Notice</w:t>
      </w:r>
      <w:r>
        <w:rPr>
          <w:rFonts w:ascii="Times New Roman" w:cs="Times New Roman" w:eastAsia="Times New Roman" w:hAnsi="Times New Roman"/>
          <w:sz w:val="20"/>
          <w:szCs w:val="20"/>
          <w:color w:val="auto"/>
        </w:rPr>
        <w:t xml:space="preserve">”) is delivered to you pursuant to </w:t>
      </w:r>
      <w:r>
        <w:rPr>
          <w:rFonts w:ascii="Times New Roman" w:cs="Times New Roman" w:eastAsia="Times New Roman" w:hAnsi="Times New Roman"/>
          <w:sz w:val="20"/>
          <w:szCs w:val="20"/>
          <w:u w:val="single" w:color="auto"/>
          <w:color w:val="auto"/>
        </w:rPr>
        <w:t>Section 5.2</w:t>
      </w:r>
      <w:r>
        <w:rPr>
          <w:rFonts w:ascii="Times New Roman" w:cs="Times New Roman" w:eastAsia="Times New Roman" w:hAnsi="Times New Roman"/>
          <w:sz w:val="20"/>
          <w:szCs w:val="20"/>
          <w:color w:val="auto"/>
        </w:rPr>
        <w:t xml:space="preserve"> of the Second</w:t>
      </w:r>
    </w:p>
    <w:p>
      <w:pPr>
        <w:ind w:left="80"/>
        <w:spacing w:after="0" w:line="204" w:lineRule="auto"/>
        <w:rPr>
          <w:sz w:val="20"/>
          <w:szCs w:val="20"/>
          <w:color w:val="auto"/>
        </w:rPr>
      </w:pPr>
      <w:r>
        <w:rPr>
          <w:rFonts w:ascii="Times New Roman" w:cs="Times New Roman" w:eastAsia="Times New Roman" w:hAnsi="Times New Roman"/>
          <w:sz w:val="20"/>
          <w:szCs w:val="20"/>
          <w:color w:val="auto"/>
        </w:rPr>
        <w:t>Amended and Restated Credit Agreement, dated as of August 27, 2021 (as amended, amended and restated, supplemented or otherwise modified from time to time, the “</w:t>
      </w:r>
      <w:r>
        <w:rPr>
          <w:rFonts w:ascii="Times New Roman" w:cs="Times New Roman" w:eastAsia="Times New Roman" w:hAnsi="Times New Roman"/>
          <w:sz w:val="20"/>
          <w:szCs w:val="20"/>
          <w:u w:val="single" w:color="auto"/>
          <w:color w:val="auto"/>
        </w:rPr>
        <w:t>Credit Agreement</w:t>
      </w:r>
      <w:r>
        <w:rPr>
          <w:rFonts w:ascii="Times New Roman" w:cs="Times New Roman" w:eastAsia="Times New Roman" w:hAnsi="Times New Roman"/>
          <w:sz w:val="20"/>
          <w:szCs w:val="20"/>
          <w:color w:val="auto"/>
        </w:rPr>
        <w:t>”), by and among Centuri Group, Inc., a Nevada corporation, and each Additional</w:t>
      </w:r>
    </w:p>
    <w:p>
      <w:pPr>
        <w:ind w:left="80"/>
        <w:spacing w:after="0" w:line="211" w:lineRule="auto"/>
        <w:rPr>
          <w:sz w:val="20"/>
          <w:szCs w:val="20"/>
          <w:color w:val="auto"/>
        </w:rPr>
      </w:pPr>
      <w:r>
        <w:rPr>
          <w:rFonts w:ascii="Times New Roman" w:cs="Times New Roman" w:eastAsia="Times New Roman" w:hAnsi="Times New Roman"/>
          <w:sz w:val="20"/>
          <w:szCs w:val="20"/>
          <w:color w:val="auto"/>
        </w:rPr>
        <w:t>Borrower that becomes a party thereto in accordance with Section 5.17 thereof (collectively, the “</w:t>
      </w:r>
      <w:r>
        <w:rPr>
          <w:rFonts w:ascii="Times New Roman" w:cs="Times New Roman" w:eastAsia="Times New Roman" w:hAnsi="Times New Roman"/>
          <w:sz w:val="20"/>
          <w:szCs w:val="20"/>
          <w:u w:val="single" w:color="auto"/>
          <w:color w:val="auto"/>
        </w:rPr>
        <w:t>US Borrowers</w:t>
      </w:r>
      <w:r>
        <w:rPr>
          <w:rFonts w:ascii="Times New Roman" w:cs="Times New Roman" w:eastAsia="Times New Roman" w:hAnsi="Times New Roman"/>
          <w:sz w:val="20"/>
          <w:szCs w:val="20"/>
          <w:color w:val="auto"/>
        </w:rPr>
        <w:t>”), Centuri Canada</w:t>
      </w:r>
    </w:p>
    <w:p>
      <w:pPr>
        <w:spacing w:after="0" w:line="1" w:lineRule="exact"/>
        <w:rPr>
          <w:sz w:val="20"/>
          <w:szCs w:val="20"/>
          <w:color w:val="auto"/>
        </w:rPr>
      </w:pPr>
    </w:p>
    <w:p>
      <w:pPr>
        <w:ind w:left="80"/>
        <w:spacing w:after="0" w:line="215" w:lineRule="auto"/>
        <w:rPr>
          <w:sz w:val="20"/>
          <w:szCs w:val="20"/>
          <w:color w:val="auto"/>
        </w:rPr>
      </w:pPr>
      <w:r>
        <w:rPr>
          <w:rFonts w:ascii="Times New Roman" w:cs="Times New Roman" w:eastAsia="Times New Roman" w:hAnsi="Times New Roman"/>
          <w:sz w:val="19"/>
          <w:szCs w:val="19"/>
          <w:color w:val="auto"/>
        </w:rPr>
        <w:t>Division Inc., a corporation organized under the laws of the Province of Ontario, Canada, and each Additional Borrower that becomes a party thereto in accordance with Section 5.17 thereof (collectively, the “</w:t>
      </w:r>
      <w:r>
        <w:rPr>
          <w:rFonts w:ascii="Times New Roman" w:cs="Times New Roman" w:eastAsia="Times New Roman" w:hAnsi="Times New Roman"/>
          <w:sz w:val="19"/>
          <w:szCs w:val="19"/>
          <w:u w:val="single" w:color="auto"/>
          <w:color w:val="auto"/>
        </w:rPr>
        <w:t>Canadian Borrowers</w:t>
      </w:r>
      <w:r>
        <w:rPr>
          <w:rFonts w:ascii="Times New Roman" w:cs="Times New Roman" w:eastAsia="Times New Roman" w:hAnsi="Times New Roman"/>
          <w:sz w:val="19"/>
          <w:szCs w:val="19"/>
          <w:color w:val="auto"/>
        </w:rPr>
        <w:t>”), the Lenders party thereto and Wells Fargo</w:t>
      </w:r>
    </w:p>
    <w:p>
      <w:pPr>
        <w:ind w:left="80" w:right="20"/>
        <w:spacing w:after="0" w:line="228" w:lineRule="auto"/>
        <w:rPr>
          <w:sz w:val="20"/>
          <w:szCs w:val="20"/>
          <w:color w:val="auto"/>
        </w:rPr>
      </w:pPr>
      <w:r>
        <w:rPr>
          <w:rFonts w:ascii="Times New Roman" w:cs="Times New Roman" w:eastAsia="Times New Roman" w:hAnsi="Times New Roman"/>
          <w:sz w:val="20"/>
          <w:szCs w:val="20"/>
          <w:color w:val="auto"/>
        </w:rPr>
        <w:t>Bank, National Association, as Administrative Agent. Capitalized terms used herein and not defined herein shall have the meanings assigned thereto in the Credit Agreement.</w:t>
      </w:r>
    </w:p>
    <w:p>
      <w:pPr>
        <w:spacing w:after="0" w:line="199" w:lineRule="exact"/>
        <w:rPr>
          <w:sz w:val="20"/>
          <w:szCs w:val="20"/>
          <w:color w:val="auto"/>
        </w:rPr>
      </w:pPr>
    </w:p>
    <w:p>
      <w:pPr>
        <w:ind w:left="80" w:firstLine="644"/>
        <w:spacing w:after="0" w:line="273" w:lineRule="auto"/>
        <w:tabs>
          <w:tab w:leader="none" w:pos="1269" w:val="left"/>
        </w:tabs>
        <w:numPr>
          <w:ilvl w:val="0"/>
          <w:numId w:val="4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Loan to which this Notice relates is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a US Revolving Credit Loan</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[a Canadian Revolving Credit Loan]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the Initial Term Loan</w:t>
      </w:r>
      <w:r>
        <w:rPr>
          <w:rFonts w:ascii="Times New Roman" w:cs="Times New Roman" w:eastAsia="Times New Roman" w:hAnsi="Times New Roman"/>
          <w:sz w:val="20"/>
          <w:szCs w:val="20"/>
          <w:b w:val="1"/>
          <w:bCs w:val="1"/>
          <w:color w:val="auto"/>
        </w:rPr>
        <w:t>] [</w:t>
      </w:r>
      <w:r>
        <w:rPr>
          <w:rFonts w:ascii="Times New Roman" w:cs="Times New Roman" w:eastAsia="Times New Roman" w:hAnsi="Times New Roman"/>
          <w:sz w:val="20"/>
          <w:szCs w:val="20"/>
          <w:color w:val="auto"/>
        </w:rPr>
        <w:t>an Incremental Term Loan</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6"/>
          <w:szCs w:val="16"/>
          <w:color w:val="auto"/>
        </w:rPr>
        <w:t>(Delete as applicable.)</w:t>
      </w:r>
    </w:p>
    <w:p>
      <w:pPr>
        <w:spacing w:after="0" w:line="182" w:lineRule="exact"/>
        <w:rPr>
          <w:rFonts w:ascii="Times New Roman" w:cs="Times New Roman" w:eastAsia="Times New Roman" w:hAnsi="Times New Roman"/>
          <w:sz w:val="20"/>
          <w:szCs w:val="20"/>
          <w:color w:val="auto"/>
        </w:rPr>
      </w:pPr>
    </w:p>
    <w:p>
      <w:pPr>
        <w:ind w:left="1260" w:hanging="536"/>
        <w:spacing w:after="0"/>
        <w:tabs>
          <w:tab w:leader="none" w:pos="1260" w:val="left"/>
        </w:tabs>
        <w:numPr>
          <w:ilvl w:val="0"/>
          <w:numId w:val="4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This Notice is submitted for the purpose of: </w:t>
      </w:r>
      <w:r>
        <w:rPr>
          <w:rFonts w:ascii="Times New Roman" w:cs="Times New Roman" w:eastAsia="Times New Roman" w:hAnsi="Times New Roman"/>
          <w:sz w:val="16"/>
          <w:szCs w:val="16"/>
          <w:color w:val="auto"/>
        </w:rPr>
        <w:t>(Check one and complete applicable information in accordance with the Credit Agreement.)</w:t>
      </w:r>
    </w:p>
    <w:p>
      <w:pPr>
        <w:spacing w:after="0" w:line="297" w:lineRule="exact"/>
        <w:rPr>
          <w:sz w:val="20"/>
          <w:szCs w:val="20"/>
          <w:color w:val="auto"/>
        </w:rPr>
      </w:pPr>
    </w:p>
    <w:p>
      <w:pPr>
        <w:ind w:left="1380" w:right="660"/>
        <w:spacing w:after="0"/>
        <w:rPr>
          <w:sz w:val="20"/>
          <w:szCs w:val="20"/>
          <w:color w:val="auto"/>
        </w:rPr>
      </w:pPr>
      <w:r>
        <w:rPr>
          <w:rFonts w:ascii="Times New Roman" w:cs="Times New Roman" w:eastAsia="Times New Roman" w:hAnsi="Times New Roman"/>
          <w:sz w:val="20"/>
          <w:szCs w:val="20"/>
          <w:color w:val="auto"/>
        </w:rPr>
        <w:t xml:space="preserve">__ </w:t>
      </w:r>
      <w:r>
        <w:rPr>
          <w:rFonts w:ascii="Times New Roman" w:cs="Times New Roman" w:eastAsia="Times New Roman" w:hAnsi="Times New Roman"/>
          <w:sz w:val="20"/>
          <w:szCs w:val="20"/>
          <w:u w:val="single" w:color="auto"/>
          <w:color w:val="auto"/>
        </w:rPr>
        <w:t>Converting all or a portion of a [Base Rate Loan into a LIBOR Rate Loan] [Base Rate Loan into a SOFR Loan]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[Canadian Base Rate Loan into a CDOR Rate Loan]</w:t>
      </w:r>
    </w:p>
    <w:p>
      <w:pPr>
        <w:spacing w:after="0" w:line="256" w:lineRule="exact"/>
        <w:rPr>
          <w:sz w:val="20"/>
          <w:szCs w:val="20"/>
          <w:color w:val="auto"/>
        </w:rPr>
      </w:pPr>
    </w:p>
    <w:p>
      <w:pPr>
        <w:ind w:left="1380"/>
        <w:spacing w:after="0"/>
        <w:tabs>
          <w:tab w:leader="none" w:pos="3980" w:val="left"/>
        </w:tabs>
        <w:rPr>
          <w:sz w:val="20"/>
          <w:szCs w:val="20"/>
          <w:color w:val="auto"/>
        </w:rPr>
      </w:pPr>
      <w:r>
        <w:rPr>
          <w:rFonts w:ascii="Times New Roman" w:cs="Times New Roman" w:eastAsia="Times New Roman" w:hAnsi="Times New Roman"/>
          <w:sz w:val="20"/>
          <w:szCs w:val="20"/>
          <w:color w:val="auto"/>
        </w:rPr>
        <w:t>Outstanding principal balance:</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2601595</wp:posOffset>
            </wp:positionH>
            <wp:positionV relativeFrom="paragraph">
              <wp:posOffset>-10795</wp:posOffset>
            </wp:positionV>
            <wp:extent cx="15684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9">
                      <a:extLst>
                        <a:ext uri="{28A0092B-C50C-407E-A947-70E740481C1C}"/>
                      </a:extLst>
                    </a:blip>
                    <a:srcRect/>
                    <a:stretch>
                      <a:fillRect/>
                    </a:stretch>
                  </pic:blipFill>
                  <pic:spPr bwMode="auto">
                    <a:xfrm>
                      <a:off x="0" y="0"/>
                      <a:ext cx="156845" cy="8890"/>
                    </a:xfrm>
                    <a:prstGeom prst="rect">
                      <a:avLst/>
                    </a:prstGeom>
                    <a:noFill/>
                  </pic:spPr>
                </pic:pic>
              </a:graphicData>
            </a:graphic>
          </wp:anchor>
        </w:drawing>
      </w:r>
    </w:p>
    <w:p>
      <w:pPr>
        <w:spacing w:after="0" w:line="263" w:lineRule="exact"/>
        <w:rPr>
          <w:sz w:val="20"/>
          <w:szCs w:val="20"/>
          <w:color w:val="auto"/>
        </w:rPr>
      </w:pPr>
    </w:p>
    <w:p>
      <w:pPr>
        <w:ind w:left="1380"/>
        <w:spacing w:after="0"/>
        <w:tabs>
          <w:tab w:leader="none" w:pos="4240" w:val="left"/>
        </w:tabs>
        <w:rPr>
          <w:sz w:val="20"/>
          <w:szCs w:val="20"/>
          <w:color w:val="auto"/>
        </w:rPr>
      </w:pPr>
      <w:r>
        <w:rPr>
          <w:rFonts w:ascii="Times New Roman" w:cs="Times New Roman" w:eastAsia="Times New Roman" w:hAnsi="Times New Roman"/>
          <w:sz w:val="20"/>
          <w:szCs w:val="20"/>
          <w:color w:val="auto"/>
        </w:rPr>
        <w:t>Principal amount to be converted:</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2761615</wp:posOffset>
            </wp:positionH>
            <wp:positionV relativeFrom="paragraph">
              <wp:posOffset>-10795</wp:posOffset>
            </wp:positionV>
            <wp:extent cx="15684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0">
                      <a:extLst>
                        <a:ext uri="{28A0092B-C50C-407E-A947-70E740481C1C}"/>
                      </a:extLst>
                    </a:blip>
                    <a:srcRect/>
                    <a:stretch>
                      <a:fillRect/>
                    </a:stretch>
                  </pic:blipFill>
                  <pic:spPr bwMode="auto">
                    <a:xfrm>
                      <a:off x="0" y="0"/>
                      <a:ext cx="156845" cy="8255"/>
                    </a:xfrm>
                    <a:prstGeom prst="rect">
                      <a:avLst/>
                    </a:prstGeom>
                    <a:noFill/>
                  </pic:spPr>
                </pic:pic>
              </a:graphicData>
            </a:graphic>
          </wp:anchor>
        </w:drawing>
      </w:r>
    </w:p>
    <w:p>
      <w:pPr>
        <w:spacing w:after="0" w:line="263"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0"/>
          <w:szCs w:val="20"/>
          <w:color w:val="auto"/>
        </w:rPr>
        <w:t>Requested effective date of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4043045</wp:posOffset>
            </wp:positionH>
            <wp:positionV relativeFrom="paragraph">
              <wp:posOffset>5715</wp:posOffset>
            </wp:positionV>
            <wp:extent cx="94297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1">
                      <a:extLst>
                        <a:ext uri="{28A0092B-C50C-407E-A947-70E740481C1C}"/>
                      </a:extLst>
                    </a:blip>
                    <a:srcRect/>
                    <a:stretch>
                      <a:fillRect/>
                    </a:stretch>
                  </pic:blipFill>
                  <pic:spPr bwMode="auto">
                    <a:xfrm>
                      <a:off x="0" y="0"/>
                      <a:ext cx="942975" cy="8255"/>
                    </a:xfrm>
                    <a:prstGeom prst="rect">
                      <a:avLst/>
                    </a:prstGeom>
                    <a:noFill/>
                  </pic:spPr>
                </pic:pic>
              </a:graphicData>
            </a:graphic>
          </wp:anchor>
        </w:drawing>
      </w:r>
    </w:p>
    <w:p>
      <w:pPr>
        <w:spacing w:after="0" w:line="37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0"/>
          <w:szCs w:val="20"/>
          <w:color w:val="auto"/>
        </w:rPr>
        <w:t>Requested new Interest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4043045</wp:posOffset>
            </wp:positionH>
            <wp:positionV relativeFrom="paragraph">
              <wp:posOffset>-2540</wp:posOffset>
            </wp:positionV>
            <wp:extent cx="94297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2">
                      <a:extLst>
                        <a:ext uri="{28A0092B-C50C-407E-A947-70E740481C1C}"/>
                      </a:extLst>
                    </a:blip>
                    <a:srcRect/>
                    <a:stretch>
                      <a:fillRect/>
                    </a:stretch>
                  </pic:blipFill>
                  <pic:spPr bwMode="auto">
                    <a:xfrm>
                      <a:off x="0" y="0"/>
                      <a:ext cx="942975" cy="8890"/>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1380" w:right="80"/>
        <w:spacing w:after="0" w:line="233" w:lineRule="auto"/>
        <w:rPr>
          <w:sz w:val="20"/>
          <w:szCs w:val="20"/>
          <w:color w:val="auto"/>
        </w:rPr>
      </w:pPr>
      <w:r>
        <w:rPr>
          <w:rFonts w:ascii="Times New Roman" w:cs="Times New Roman" w:eastAsia="Times New Roman" w:hAnsi="Times New Roman"/>
          <w:sz w:val="20"/>
          <w:szCs w:val="20"/>
          <w:color w:val="auto"/>
        </w:rPr>
        <w:t xml:space="preserve">__ </w:t>
      </w:r>
      <w:r>
        <w:rPr>
          <w:rFonts w:ascii="Times New Roman" w:cs="Times New Roman" w:eastAsia="Times New Roman" w:hAnsi="Times New Roman"/>
          <w:sz w:val="20"/>
          <w:szCs w:val="20"/>
          <w:u w:val="single" w:color="auto"/>
          <w:color w:val="auto"/>
        </w:rPr>
        <w:t>Converting all or a portion of a [LIBOR Rate Loan into a Base Rate Loan][SOFR Loan into a Base Rate Loan][CDOR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Rate Loan into a Canadian Base Rate Loan]</w:t>
      </w:r>
    </w:p>
    <w:p>
      <w:pPr>
        <w:spacing w:after="0" w:line="255" w:lineRule="exact"/>
        <w:rPr>
          <w:sz w:val="20"/>
          <w:szCs w:val="20"/>
          <w:color w:val="auto"/>
        </w:rPr>
      </w:pPr>
    </w:p>
    <w:p>
      <w:pPr>
        <w:ind w:left="1380"/>
        <w:spacing w:after="0"/>
        <w:tabs>
          <w:tab w:leader="none" w:pos="3980" w:val="left"/>
        </w:tabs>
        <w:rPr>
          <w:sz w:val="20"/>
          <w:szCs w:val="20"/>
          <w:color w:val="auto"/>
        </w:rPr>
      </w:pPr>
      <w:r>
        <w:rPr>
          <w:rFonts w:ascii="Times New Roman" w:cs="Times New Roman" w:eastAsia="Times New Roman" w:hAnsi="Times New Roman"/>
          <w:sz w:val="20"/>
          <w:szCs w:val="20"/>
          <w:color w:val="auto"/>
        </w:rPr>
        <w:t>Outstanding principal balance:</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2601595</wp:posOffset>
            </wp:positionH>
            <wp:positionV relativeFrom="paragraph">
              <wp:posOffset>-10795</wp:posOffset>
            </wp:positionV>
            <wp:extent cx="15684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3">
                      <a:extLst>
                        <a:ext uri="{28A0092B-C50C-407E-A947-70E740481C1C}"/>
                      </a:extLst>
                    </a:blip>
                    <a:srcRect/>
                    <a:stretch>
                      <a:fillRect/>
                    </a:stretch>
                  </pic:blipFill>
                  <pic:spPr bwMode="auto">
                    <a:xfrm>
                      <a:off x="0" y="0"/>
                      <a:ext cx="156845" cy="8255"/>
                    </a:xfrm>
                    <a:prstGeom prst="rect">
                      <a:avLst/>
                    </a:prstGeom>
                    <a:noFill/>
                  </pic:spPr>
                </pic:pic>
              </a:graphicData>
            </a:graphic>
          </wp:anchor>
        </w:drawing>
      </w:r>
    </w:p>
    <w:p>
      <w:pPr>
        <w:spacing w:after="0" w:line="263" w:lineRule="exact"/>
        <w:rPr>
          <w:sz w:val="20"/>
          <w:szCs w:val="20"/>
          <w:color w:val="auto"/>
        </w:rPr>
      </w:pPr>
    </w:p>
    <w:p>
      <w:pPr>
        <w:ind w:left="1380"/>
        <w:spacing w:after="0"/>
        <w:tabs>
          <w:tab w:leader="none" w:pos="4240" w:val="left"/>
        </w:tabs>
        <w:rPr>
          <w:sz w:val="20"/>
          <w:szCs w:val="20"/>
          <w:color w:val="auto"/>
        </w:rPr>
      </w:pPr>
      <w:r>
        <w:rPr>
          <w:rFonts w:ascii="Times New Roman" w:cs="Times New Roman" w:eastAsia="Times New Roman" w:hAnsi="Times New Roman"/>
          <w:sz w:val="20"/>
          <w:szCs w:val="20"/>
          <w:color w:val="auto"/>
        </w:rPr>
        <w:t>Principal amount to be converted:</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2761615</wp:posOffset>
            </wp:positionH>
            <wp:positionV relativeFrom="paragraph">
              <wp:posOffset>-10795</wp:posOffset>
            </wp:positionV>
            <wp:extent cx="15684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4">
                      <a:extLst>
                        <a:ext uri="{28A0092B-C50C-407E-A947-70E740481C1C}"/>
                      </a:extLst>
                    </a:blip>
                    <a:srcRect/>
                    <a:stretch>
                      <a:fillRect/>
                    </a:stretch>
                  </pic:blipFill>
                  <pic:spPr bwMode="auto">
                    <a:xfrm>
                      <a:off x="0" y="0"/>
                      <a:ext cx="156845" cy="8890"/>
                    </a:xfrm>
                    <a:prstGeom prst="rect">
                      <a:avLst/>
                    </a:prstGeom>
                    <a:noFill/>
                  </pic:spPr>
                </pic:pic>
              </a:graphicData>
            </a:graphic>
          </wp:anchor>
        </w:drawing>
      </w:r>
    </w:p>
    <w:p>
      <w:pPr>
        <w:spacing w:after="0" w:line="263"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0"/>
          <w:szCs w:val="20"/>
          <w:color w:val="auto"/>
        </w:rPr>
        <w:t>Last day of the current Interest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4043045</wp:posOffset>
            </wp:positionH>
            <wp:positionV relativeFrom="paragraph">
              <wp:posOffset>5715</wp:posOffset>
            </wp:positionV>
            <wp:extent cx="94297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5">
                      <a:extLst>
                        <a:ext uri="{28A0092B-C50C-407E-A947-70E740481C1C}"/>
                      </a:extLst>
                    </a:blip>
                    <a:srcRect/>
                    <a:stretch>
                      <a:fillRect/>
                    </a:stretch>
                  </pic:blipFill>
                  <pic:spPr bwMode="auto">
                    <a:xfrm>
                      <a:off x="0" y="0"/>
                      <a:ext cx="9429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166115119_2</w:t>
      </w:r>
    </w:p>
    <w:p>
      <w:pPr>
        <w:sectPr>
          <w:pgSz w:w="11900" w:h="16838" w:orient="portrait"/>
          <w:cols w:equalWidth="0" w:num="1">
            <w:col w:w="11100"/>
          </w:cols>
          <w:pgMar w:left="360" w:top="1399" w:right="439" w:bottom="1440" w:gutter="0" w:footer="0" w:header="0"/>
        </w:sectPr>
      </w:pPr>
    </w:p>
    <w:bookmarkStart w:id="270" w:name="page271"/>
    <w:bookmarkEnd w:id="270"/>
    <w:p>
      <w:pPr>
        <w:spacing w:after="0" w:line="203"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0"/>
          <w:szCs w:val="20"/>
          <w:color w:val="auto"/>
        </w:rPr>
        <w:t>Requested effective date of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4043045</wp:posOffset>
            </wp:positionH>
            <wp:positionV relativeFrom="paragraph">
              <wp:posOffset>5715</wp:posOffset>
            </wp:positionV>
            <wp:extent cx="94297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6">
                      <a:extLst>
                        <a:ext uri="{28A0092B-C50C-407E-A947-70E740481C1C}"/>
                      </a:extLst>
                    </a:blip>
                    <a:srcRect/>
                    <a:stretch>
                      <a:fillRect/>
                    </a:stretch>
                  </pic:blipFill>
                  <pic:spPr bwMode="auto">
                    <a:xfrm>
                      <a:off x="0" y="0"/>
                      <a:ext cx="942975"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1380" w:right="460"/>
        <w:spacing w:after="0"/>
        <w:rPr>
          <w:sz w:val="20"/>
          <w:szCs w:val="20"/>
          <w:color w:val="auto"/>
        </w:rPr>
      </w:pPr>
      <w:r>
        <w:rPr>
          <w:rFonts w:ascii="Times New Roman" w:cs="Times New Roman" w:eastAsia="Times New Roman" w:hAnsi="Times New Roman"/>
          <w:sz w:val="20"/>
          <w:szCs w:val="20"/>
          <w:color w:val="auto"/>
        </w:rPr>
        <w:t xml:space="preserve">__ </w:t>
      </w:r>
      <w:r>
        <w:rPr>
          <w:rFonts w:ascii="Times New Roman" w:cs="Times New Roman" w:eastAsia="Times New Roman" w:hAnsi="Times New Roman"/>
          <w:sz w:val="20"/>
          <w:szCs w:val="20"/>
          <w:u w:val="single" w:color="auto"/>
          <w:color w:val="auto"/>
        </w:rPr>
        <w:t>Continuing all or a portion of a [LIBOR Rate Loan as a LIBOR Rate Loan][SOFR Loan as a SOFR Loan][CDOR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Rate Loan as a CDOR Rate Loan]</w:t>
      </w:r>
    </w:p>
    <w:p>
      <w:pPr>
        <w:spacing w:after="0" w:line="256" w:lineRule="exact"/>
        <w:rPr>
          <w:sz w:val="20"/>
          <w:szCs w:val="20"/>
          <w:color w:val="auto"/>
        </w:rPr>
      </w:pPr>
    </w:p>
    <w:p>
      <w:pPr>
        <w:ind w:left="1380"/>
        <w:spacing w:after="0"/>
        <w:tabs>
          <w:tab w:leader="none" w:pos="3980" w:val="left"/>
        </w:tabs>
        <w:rPr>
          <w:sz w:val="20"/>
          <w:szCs w:val="20"/>
          <w:color w:val="auto"/>
        </w:rPr>
      </w:pPr>
      <w:r>
        <w:rPr>
          <w:rFonts w:ascii="Times New Roman" w:cs="Times New Roman" w:eastAsia="Times New Roman" w:hAnsi="Times New Roman"/>
          <w:sz w:val="20"/>
          <w:szCs w:val="20"/>
          <w:color w:val="auto"/>
        </w:rPr>
        <w:t>Outstanding principal balance:</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2601595</wp:posOffset>
            </wp:positionH>
            <wp:positionV relativeFrom="paragraph">
              <wp:posOffset>-10795</wp:posOffset>
            </wp:positionV>
            <wp:extent cx="15684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7">
                      <a:extLst>
                        <a:ext uri="{28A0092B-C50C-407E-A947-70E740481C1C}"/>
                      </a:extLst>
                    </a:blip>
                    <a:srcRect/>
                    <a:stretch>
                      <a:fillRect/>
                    </a:stretch>
                  </pic:blipFill>
                  <pic:spPr bwMode="auto">
                    <a:xfrm>
                      <a:off x="0" y="0"/>
                      <a:ext cx="156845" cy="8890"/>
                    </a:xfrm>
                    <a:prstGeom prst="rect">
                      <a:avLst/>
                    </a:prstGeom>
                    <a:noFill/>
                  </pic:spPr>
                </pic:pic>
              </a:graphicData>
            </a:graphic>
          </wp:anchor>
        </w:drawing>
      </w:r>
    </w:p>
    <w:p>
      <w:pPr>
        <w:spacing w:after="0" w:line="263" w:lineRule="exact"/>
        <w:rPr>
          <w:sz w:val="20"/>
          <w:szCs w:val="20"/>
          <w:color w:val="auto"/>
        </w:rPr>
      </w:pPr>
    </w:p>
    <w:p>
      <w:pPr>
        <w:ind w:left="1380"/>
        <w:spacing w:after="0"/>
        <w:tabs>
          <w:tab w:leader="none" w:pos="4240" w:val="left"/>
        </w:tabs>
        <w:rPr>
          <w:sz w:val="20"/>
          <w:szCs w:val="20"/>
          <w:color w:val="auto"/>
        </w:rPr>
      </w:pPr>
      <w:r>
        <w:rPr>
          <w:rFonts w:ascii="Times New Roman" w:cs="Times New Roman" w:eastAsia="Times New Roman" w:hAnsi="Times New Roman"/>
          <w:sz w:val="20"/>
          <w:szCs w:val="20"/>
          <w:color w:val="auto"/>
        </w:rPr>
        <w:t>Principal amount to be continued:</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2761615</wp:posOffset>
            </wp:positionH>
            <wp:positionV relativeFrom="paragraph">
              <wp:posOffset>-10795</wp:posOffset>
            </wp:positionV>
            <wp:extent cx="15684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8">
                      <a:extLst>
                        <a:ext uri="{28A0092B-C50C-407E-A947-70E740481C1C}"/>
                      </a:extLst>
                    </a:blip>
                    <a:srcRect/>
                    <a:stretch>
                      <a:fillRect/>
                    </a:stretch>
                  </pic:blipFill>
                  <pic:spPr bwMode="auto">
                    <a:xfrm>
                      <a:off x="0" y="0"/>
                      <a:ext cx="156845" cy="8255"/>
                    </a:xfrm>
                    <a:prstGeom prst="rect">
                      <a:avLst/>
                    </a:prstGeom>
                    <a:noFill/>
                  </pic:spPr>
                </pic:pic>
              </a:graphicData>
            </a:graphic>
          </wp:anchor>
        </w:drawing>
      </w:r>
    </w:p>
    <w:p>
      <w:pPr>
        <w:spacing w:after="0" w:line="263"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0"/>
          <w:szCs w:val="20"/>
          <w:color w:val="auto"/>
        </w:rPr>
        <w:t>Last day of the current Interest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4043045</wp:posOffset>
            </wp:positionH>
            <wp:positionV relativeFrom="paragraph">
              <wp:posOffset>5715</wp:posOffset>
            </wp:positionV>
            <wp:extent cx="94297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9">
                      <a:extLst>
                        <a:ext uri="{28A0092B-C50C-407E-A947-70E740481C1C}"/>
                      </a:extLst>
                    </a:blip>
                    <a:srcRect/>
                    <a:stretch>
                      <a:fillRect/>
                    </a:stretch>
                  </pic:blipFill>
                  <pic:spPr bwMode="auto">
                    <a:xfrm>
                      <a:off x="0" y="0"/>
                      <a:ext cx="942975" cy="8255"/>
                    </a:xfrm>
                    <a:prstGeom prst="rect">
                      <a:avLst/>
                    </a:prstGeom>
                    <a:noFill/>
                  </pic:spPr>
                </pic:pic>
              </a:graphicData>
            </a:graphic>
          </wp:anchor>
        </w:drawing>
      </w:r>
    </w:p>
    <w:p>
      <w:pPr>
        <w:spacing w:after="0" w:line="37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0"/>
          <w:szCs w:val="20"/>
          <w:color w:val="auto"/>
        </w:rPr>
        <w:t>Requested effective date of continuation: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4043045</wp:posOffset>
            </wp:positionH>
            <wp:positionV relativeFrom="paragraph">
              <wp:posOffset>-2540</wp:posOffset>
            </wp:positionV>
            <wp:extent cx="94297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0">
                      <a:extLst>
                        <a:ext uri="{28A0092B-C50C-407E-A947-70E740481C1C}"/>
                      </a:extLst>
                    </a:blip>
                    <a:srcRect/>
                    <a:stretch>
                      <a:fillRect/>
                    </a:stretch>
                  </pic:blipFill>
                  <pic:spPr bwMode="auto">
                    <a:xfrm>
                      <a:off x="0" y="0"/>
                      <a:ext cx="942975" cy="8255"/>
                    </a:xfrm>
                    <a:prstGeom prst="rect">
                      <a:avLst/>
                    </a:prstGeom>
                    <a:noFill/>
                  </pic:spPr>
                </pic:pic>
              </a:graphicData>
            </a:graphic>
          </wp:anchor>
        </w:drawing>
      </w:r>
    </w:p>
    <w:p>
      <w:pPr>
        <w:spacing w:after="0" w:line="35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0"/>
          <w:szCs w:val="20"/>
          <w:color w:val="auto"/>
        </w:rPr>
        <w:t>Requested new Interest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4043045</wp:posOffset>
            </wp:positionH>
            <wp:positionV relativeFrom="paragraph">
              <wp:posOffset>5715</wp:posOffset>
            </wp:positionV>
            <wp:extent cx="94297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1">
                      <a:extLst>
                        <a:ext uri="{28A0092B-C50C-407E-A947-70E740481C1C}"/>
                      </a:extLst>
                    </a:blip>
                    <a:srcRect/>
                    <a:stretch>
                      <a:fillRect/>
                    </a:stretch>
                  </pic:blipFill>
                  <pic:spPr bwMode="auto">
                    <a:xfrm>
                      <a:off x="0" y="0"/>
                      <a:ext cx="942975" cy="8890"/>
                    </a:xfrm>
                    <a:prstGeom prst="rect">
                      <a:avLst/>
                    </a:prstGeom>
                    <a:noFill/>
                  </pic:spPr>
                </pic:pic>
              </a:graphicData>
            </a:graphic>
          </wp:anchor>
        </w:drawing>
      </w:r>
    </w:p>
    <w:p>
      <w:pPr>
        <w:spacing w:after="0" w:line="385" w:lineRule="exact"/>
        <w:rPr>
          <w:sz w:val="20"/>
          <w:szCs w:val="20"/>
          <w:color w:val="auto"/>
        </w:rPr>
      </w:pPr>
    </w:p>
    <w:p>
      <w:pPr>
        <w:ind w:left="80" w:firstLine="643"/>
        <w:spacing w:after="0" w:line="269" w:lineRule="auto"/>
        <w:tabs>
          <w:tab w:leader="none" w:pos="1268" w:val="left"/>
        </w:tabs>
        <w:numPr>
          <w:ilvl w:val="0"/>
          <w:numId w:val="4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aggregate principal amount of all Loans and L/C Obligations outstanding as of the date hereof does not exceed the maximum amount permitted to be outstanding pursuant to the terms of the Credit Agreement.</w:t>
      </w:r>
    </w:p>
    <w:p>
      <w:pPr>
        <w:spacing w:after="0" w:line="17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166115119_2</w:t>
      </w:r>
    </w:p>
    <w:p>
      <w:pPr>
        <w:sectPr>
          <w:pgSz w:w="11900" w:h="16838" w:orient="portrait"/>
          <w:cols w:equalWidth="0" w:num="1">
            <w:col w:w="11100"/>
          </w:cols>
          <w:pgMar w:left="360" w:top="1440" w:right="439" w:bottom="1440" w:gutter="0" w:footer="0" w:header="0"/>
        </w:sectPr>
      </w:pPr>
    </w:p>
    <w:bookmarkStart w:id="271" w:name="page272"/>
    <w:bookmarkEnd w:id="271"/>
    <w:p>
      <w:pPr>
        <w:spacing w:after="0" w:line="203" w:lineRule="exact"/>
        <w:rPr>
          <w:sz w:val="20"/>
          <w:szCs w:val="20"/>
          <w:color w:val="auto"/>
        </w:rPr>
      </w:pPr>
    </w:p>
    <w:p>
      <w:pPr>
        <w:ind w:left="80" w:firstLine="648"/>
        <w:spacing w:after="0"/>
        <w:rPr>
          <w:sz w:val="20"/>
          <w:szCs w:val="20"/>
          <w:color w:val="auto"/>
        </w:rPr>
      </w:pPr>
      <w:r>
        <w:rPr>
          <w:rFonts w:ascii="Times New Roman" w:cs="Times New Roman" w:eastAsia="Times New Roman" w:hAnsi="Times New Roman"/>
          <w:sz w:val="20"/>
          <w:szCs w:val="20"/>
          <w:color w:val="auto"/>
        </w:rPr>
        <w:t>IN WITNESS WHEREOF, the undersigned has executed this Notice of Conversion/Continuation as of the day and year first written above.</w:t>
      </w:r>
    </w:p>
    <w:p>
      <w:pPr>
        <w:spacing w:after="0" w:line="200" w:lineRule="exact"/>
        <w:rPr>
          <w:sz w:val="20"/>
          <w:szCs w:val="20"/>
          <w:color w:val="auto"/>
        </w:rPr>
      </w:pPr>
    </w:p>
    <w:p>
      <w:pPr>
        <w:spacing w:after="0" w:line="23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auto"/>
        </w:rPr>
        <w:t>[CENTURI GROUP, INC., as [a] US Borrower</w:t>
      </w:r>
    </w:p>
    <w:p>
      <w:pPr>
        <w:spacing w:after="0" w:line="200" w:lineRule="exact"/>
        <w:rPr>
          <w:sz w:val="20"/>
          <w:szCs w:val="20"/>
          <w:color w:val="auto"/>
        </w:rPr>
      </w:pPr>
    </w:p>
    <w:p>
      <w:pPr>
        <w:spacing w:after="0" w:line="259" w:lineRule="exact"/>
        <w:rPr>
          <w:sz w:val="20"/>
          <w:szCs w:val="20"/>
          <w:color w:val="auto"/>
        </w:rPr>
      </w:pPr>
    </w:p>
    <w:p>
      <w:pPr>
        <w:jc w:val="center"/>
        <w:ind w:right="340"/>
        <w:spacing w:after="0"/>
        <w:tabs>
          <w:tab w:leader="none" w:pos="280" w:val="left"/>
          <w:tab w:leader="none" w:pos="280" w:val="left"/>
          <w:tab w:leader="none" w:pos="180" w:val="left"/>
        </w:tabs>
        <w:rPr>
          <w:sz w:val="20"/>
          <w:szCs w:val="20"/>
          <w:color w:val="auto"/>
        </w:rPr>
      </w:pPr>
      <w:r>
        <w:rPr>
          <w:rFonts w:ascii="Times New Roman" w:cs="Times New Roman" w:eastAsia="Times New Roman" w:hAnsi="Times New Roman"/>
          <w:sz w:val="20"/>
          <w:szCs w:val="20"/>
          <w:color w:val="auto"/>
        </w:rPr>
        <w:t>By:</w:t>
        <w:tab/>
        <w:t>Name:</w:t>
        <w:tab/>
        <w:t>Title:</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2769235</wp:posOffset>
            </wp:positionH>
            <wp:positionV relativeFrom="paragraph">
              <wp:posOffset>-10795</wp:posOffset>
            </wp:positionV>
            <wp:extent cx="15684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2">
                      <a:extLst>
                        <a:ext uri="{28A0092B-C50C-407E-A947-70E740481C1C}"/>
                      </a:extLst>
                    </a:blip>
                    <a:srcRect/>
                    <a:stretch>
                      <a:fillRect/>
                    </a:stretch>
                  </pic:blipFill>
                  <pic:spPr bwMode="auto">
                    <a:xfrm>
                      <a:off x="0" y="0"/>
                      <a:ext cx="156845" cy="8255"/>
                    </a:xfrm>
                    <a:prstGeom prst="rect">
                      <a:avLst/>
                    </a:prstGeom>
                    <a:noFill/>
                  </pic:spPr>
                </pic:pic>
              </a:graphicData>
            </a:graphic>
          </wp:anchor>
        </w:drawing>
        <w:drawing>
          <wp:anchor simplePos="0" relativeHeight="251657728" behindDoc="1" locked="0" layoutInCell="0" allowOverlap="1">
            <wp:simplePos x="0" y="0"/>
            <wp:positionH relativeFrom="column">
              <wp:posOffset>3292475</wp:posOffset>
            </wp:positionH>
            <wp:positionV relativeFrom="paragraph">
              <wp:posOffset>-10795</wp:posOffset>
            </wp:positionV>
            <wp:extent cx="15684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3">
                      <a:extLst>
                        <a:ext uri="{28A0092B-C50C-407E-A947-70E740481C1C}"/>
                      </a:extLst>
                    </a:blip>
                    <a:srcRect/>
                    <a:stretch>
                      <a:fillRect/>
                    </a:stretch>
                  </pic:blipFill>
                  <pic:spPr bwMode="auto">
                    <a:xfrm>
                      <a:off x="0" y="0"/>
                      <a:ext cx="156845" cy="8255"/>
                    </a:xfrm>
                    <a:prstGeom prst="rect">
                      <a:avLst/>
                    </a:prstGeom>
                    <a:noFill/>
                  </pic:spPr>
                </pic:pic>
              </a:graphicData>
            </a:graphic>
          </wp:anchor>
        </w:drawing>
        <w:drawing>
          <wp:anchor simplePos="0" relativeHeight="251657728" behindDoc="1" locked="0" layoutInCell="0" allowOverlap="1">
            <wp:simplePos x="0" y="0"/>
            <wp:positionH relativeFrom="column">
              <wp:posOffset>3749040</wp:posOffset>
            </wp:positionH>
            <wp:positionV relativeFrom="paragraph">
              <wp:posOffset>-10795</wp:posOffset>
            </wp:positionV>
            <wp:extent cx="12573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4">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auto"/>
        </w:rPr>
        <w:t>[[INSERT EACH ADDITIONAL US BORROWER],</w:t>
      </w:r>
    </w:p>
    <w:p>
      <w:pPr>
        <w:spacing w:after="0" w:line="2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0"/>
          <w:szCs w:val="20"/>
          <w:color w:val="auto"/>
        </w:rPr>
        <w:t>as a US Borrower</w:t>
      </w:r>
    </w:p>
    <w:p>
      <w:pPr>
        <w:spacing w:after="0" w:line="200" w:lineRule="exact"/>
        <w:rPr>
          <w:sz w:val="20"/>
          <w:szCs w:val="20"/>
          <w:color w:val="auto"/>
        </w:rPr>
      </w:pPr>
    </w:p>
    <w:p>
      <w:pPr>
        <w:spacing w:after="0" w:line="250" w:lineRule="exact"/>
        <w:rPr>
          <w:sz w:val="20"/>
          <w:szCs w:val="20"/>
          <w:color w:val="auto"/>
        </w:rPr>
      </w:pPr>
    </w:p>
    <w:p>
      <w:pPr>
        <w:jc w:val="center"/>
        <w:ind w:right="340"/>
        <w:spacing w:after="0"/>
        <w:tabs>
          <w:tab w:leader="none" w:pos="280" w:val="left"/>
          <w:tab w:leader="none" w:pos="280" w:val="left"/>
          <w:tab w:leader="none" w:pos="180" w:val="left"/>
        </w:tabs>
        <w:rPr>
          <w:sz w:val="20"/>
          <w:szCs w:val="20"/>
          <w:color w:val="auto"/>
        </w:rPr>
      </w:pPr>
      <w:r>
        <w:rPr>
          <w:rFonts w:ascii="Times New Roman" w:cs="Times New Roman" w:eastAsia="Times New Roman" w:hAnsi="Times New Roman"/>
          <w:sz w:val="20"/>
          <w:szCs w:val="20"/>
          <w:color w:val="auto"/>
        </w:rPr>
        <w:t>By:</w:t>
        <w:tab/>
        <w:t>Name:</w:t>
        <w:tab/>
        <w:t>Title:</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2769235</wp:posOffset>
            </wp:positionH>
            <wp:positionV relativeFrom="paragraph">
              <wp:posOffset>-10795</wp:posOffset>
            </wp:positionV>
            <wp:extent cx="15684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5">
                      <a:extLst>
                        <a:ext uri="{28A0092B-C50C-407E-A947-70E740481C1C}"/>
                      </a:extLst>
                    </a:blip>
                    <a:srcRect/>
                    <a:stretch>
                      <a:fillRect/>
                    </a:stretch>
                  </pic:blipFill>
                  <pic:spPr bwMode="auto">
                    <a:xfrm>
                      <a:off x="0" y="0"/>
                      <a:ext cx="156845" cy="8255"/>
                    </a:xfrm>
                    <a:prstGeom prst="rect">
                      <a:avLst/>
                    </a:prstGeom>
                    <a:noFill/>
                  </pic:spPr>
                </pic:pic>
              </a:graphicData>
            </a:graphic>
          </wp:anchor>
        </w:drawing>
        <w:drawing>
          <wp:anchor simplePos="0" relativeHeight="251657728" behindDoc="1" locked="0" layoutInCell="0" allowOverlap="1">
            <wp:simplePos x="0" y="0"/>
            <wp:positionH relativeFrom="column">
              <wp:posOffset>3292475</wp:posOffset>
            </wp:positionH>
            <wp:positionV relativeFrom="paragraph">
              <wp:posOffset>-10795</wp:posOffset>
            </wp:positionV>
            <wp:extent cx="15684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6">
                      <a:extLst>
                        <a:ext uri="{28A0092B-C50C-407E-A947-70E740481C1C}"/>
                      </a:extLst>
                    </a:blip>
                    <a:srcRect/>
                    <a:stretch>
                      <a:fillRect/>
                    </a:stretch>
                  </pic:blipFill>
                  <pic:spPr bwMode="auto">
                    <a:xfrm>
                      <a:off x="0" y="0"/>
                      <a:ext cx="156845" cy="8255"/>
                    </a:xfrm>
                    <a:prstGeom prst="rect">
                      <a:avLst/>
                    </a:prstGeom>
                    <a:noFill/>
                  </pic:spPr>
                </pic:pic>
              </a:graphicData>
            </a:graphic>
          </wp:anchor>
        </w:drawing>
        <w:drawing>
          <wp:anchor simplePos="0" relativeHeight="251657728" behindDoc="1" locked="0" layoutInCell="0" allowOverlap="1">
            <wp:simplePos x="0" y="0"/>
            <wp:positionH relativeFrom="column">
              <wp:posOffset>3749040</wp:posOffset>
            </wp:positionH>
            <wp:positionV relativeFrom="paragraph">
              <wp:posOffset>-10795</wp:posOffset>
            </wp:positionV>
            <wp:extent cx="16764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7">
                      <a:extLst>
                        <a:ext uri="{28A0092B-C50C-407E-A947-70E740481C1C}"/>
                      </a:extLst>
                    </a:blip>
                    <a:srcRect/>
                    <a:stretch>
                      <a:fillRect/>
                    </a:stretch>
                  </pic:blipFill>
                  <pic:spPr bwMode="auto">
                    <a:xfrm>
                      <a:off x="0" y="0"/>
                      <a:ext cx="167640" cy="825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auto"/>
        </w:rPr>
        <w:t>[CENTURI CANADA DIVISION INC., as [a]</w:t>
      </w:r>
    </w:p>
    <w:p>
      <w:pPr>
        <w:spacing w:after="0" w:line="2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color w:val="auto"/>
        </w:rPr>
        <w:t>Canadian Borrower</w:t>
      </w:r>
    </w:p>
    <w:p>
      <w:pPr>
        <w:spacing w:after="0" w:line="200" w:lineRule="exact"/>
        <w:rPr>
          <w:sz w:val="20"/>
          <w:szCs w:val="20"/>
          <w:color w:val="auto"/>
        </w:rPr>
      </w:pPr>
    </w:p>
    <w:p>
      <w:pPr>
        <w:spacing w:after="0" w:line="264" w:lineRule="exact"/>
        <w:rPr>
          <w:sz w:val="20"/>
          <w:szCs w:val="20"/>
          <w:color w:val="auto"/>
        </w:rPr>
      </w:pPr>
    </w:p>
    <w:p>
      <w:pPr>
        <w:jc w:val="center"/>
        <w:ind w:right="340"/>
        <w:spacing w:after="0"/>
        <w:tabs>
          <w:tab w:leader="none" w:pos="280" w:val="left"/>
          <w:tab w:leader="none" w:pos="280" w:val="left"/>
          <w:tab w:leader="none" w:pos="180" w:val="left"/>
        </w:tabs>
        <w:rPr>
          <w:sz w:val="20"/>
          <w:szCs w:val="20"/>
          <w:color w:val="auto"/>
        </w:rPr>
      </w:pPr>
      <w:r>
        <w:rPr>
          <w:rFonts w:ascii="Times New Roman" w:cs="Times New Roman" w:eastAsia="Times New Roman" w:hAnsi="Times New Roman"/>
          <w:sz w:val="20"/>
          <w:szCs w:val="20"/>
          <w:color w:val="auto"/>
        </w:rPr>
        <w:t>By:</w:t>
        <w:tab/>
        <w:t>Name:</w:t>
        <w:tab/>
        <w:t>Title:</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2769235</wp:posOffset>
            </wp:positionH>
            <wp:positionV relativeFrom="paragraph">
              <wp:posOffset>-10795</wp:posOffset>
            </wp:positionV>
            <wp:extent cx="15684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8">
                      <a:extLst>
                        <a:ext uri="{28A0092B-C50C-407E-A947-70E740481C1C}"/>
                      </a:extLst>
                    </a:blip>
                    <a:srcRect/>
                    <a:stretch>
                      <a:fillRect/>
                    </a:stretch>
                  </pic:blipFill>
                  <pic:spPr bwMode="auto">
                    <a:xfrm>
                      <a:off x="0" y="0"/>
                      <a:ext cx="156845" cy="8255"/>
                    </a:xfrm>
                    <a:prstGeom prst="rect">
                      <a:avLst/>
                    </a:prstGeom>
                    <a:noFill/>
                  </pic:spPr>
                </pic:pic>
              </a:graphicData>
            </a:graphic>
          </wp:anchor>
        </w:drawing>
        <w:drawing>
          <wp:anchor simplePos="0" relativeHeight="251657728" behindDoc="1" locked="0" layoutInCell="0" allowOverlap="1">
            <wp:simplePos x="0" y="0"/>
            <wp:positionH relativeFrom="column">
              <wp:posOffset>3292475</wp:posOffset>
            </wp:positionH>
            <wp:positionV relativeFrom="paragraph">
              <wp:posOffset>-10795</wp:posOffset>
            </wp:positionV>
            <wp:extent cx="15684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9">
                      <a:extLst>
                        <a:ext uri="{28A0092B-C50C-407E-A947-70E740481C1C}"/>
                      </a:extLst>
                    </a:blip>
                    <a:srcRect/>
                    <a:stretch>
                      <a:fillRect/>
                    </a:stretch>
                  </pic:blipFill>
                  <pic:spPr bwMode="auto">
                    <a:xfrm>
                      <a:off x="0" y="0"/>
                      <a:ext cx="156845" cy="8255"/>
                    </a:xfrm>
                    <a:prstGeom prst="rect">
                      <a:avLst/>
                    </a:prstGeom>
                    <a:noFill/>
                  </pic:spPr>
                </pic:pic>
              </a:graphicData>
            </a:graphic>
          </wp:anchor>
        </w:drawing>
        <w:drawing>
          <wp:anchor simplePos="0" relativeHeight="251657728" behindDoc="1" locked="0" layoutInCell="0" allowOverlap="1">
            <wp:simplePos x="0" y="0"/>
            <wp:positionH relativeFrom="column">
              <wp:posOffset>3749040</wp:posOffset>
            </wp:positionH>
            <wp:positionV relativeFrom="paragraph">
              <wp:posOffset>-10795</wp:posOffset>
            </wp:positionV>
            <wp:extent cx="12573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0">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auto"/>
        </w:rPr>
        <w:t>[[INSERT EACH ADDITIONAL CANADIAN</w:t>
      </w:r>
    </w:p>
    <w:p>
      <w:pPr>
        <w:ind w:left="4080"/>
        <w:spacing w:after="0"/>
        <w:rPr>
          <w:sz w:val="20"/>
          <w:szCs w:val="20"/>
          <w:color w:val="auto"/>
        </w:rPr>
      </w:pPr>
      <w:r>
        <w:rPr>
          <w:rFonts w:ascii="Times New Roman" w:cs="Times New Roman" w:eastAsia="Times New Roman" w:hAnsi="Times New Roman"/>
          <w:sz w:val="20"/>
          <w:szCs w:val="20"/>
          <w:color w:val="auto"/>
        </w:rPr>
        <w:t>BORROWER], as a Canadian Borrower</w:t>
      </w:r>
    </w:p>
    <w:p>
      <w:pPr>
        <w:spacing w:after="0" w:line="200" w:lineRule="exact"/>
        <w:rPr>
          <w:sz w:val="20"/>
          <w:szCs w:val="20"/>
          <w:color w:val="auto"/>
        </w:rPr>
      </w:pPr>
    </w:p>
    <w:p>
      <w:pPr>
        <w:spacing w:after="0" w:line="250" w:lineRule="exact"/>
        <w:rPr>
          <w:sz w:val="20"/>
          <w:szCs w:val="20"/>
          <w:color w:val="auto"/>
        </w:rPr>
      </w:pPr>
    </w:p>
    <w:p>
      <w:pPr>
        <w:jc w:val="center"/>
        <w:ind w:right="340"/>
        <w:spacing w:after="0"/>
        <w:tabs>
          <w:tab w:leader="none" w:pos="280" w:val="left"/>
          <w:tab w:leader="none" w:pos="280" w:val="left"/>
          <w:tab w:leader="none" w:pos="180" w:val="left"/>
        </w:tabs>
        <w:rPr>
          <w:sz w:val="20"/>
          <w:szCs w:val="20"/>
          <w:color w:val="auto"/>
        </w:rPr>
      </w:pPr>
      <w:r>
        <w:rPr>
          <w:rFonts w:ascii="Times New Roman" w:cs="Times New Roman" w:eastAsia="Times New Roman" w:hAnsi="Times New Roman"/>
          <w:sz w:val="20"/>
          <w:szCs w:val="20"/>
          <w:color w:val="auto"/>
        </w:rPr>
        <w:t>By:</w:t>
        <w:tab/>
        <w:t>Name:</w:t>
        <w:tab/>
        <w:t>Title:</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2769235</wp:posOffset>
            </wp:positionH>
            <wp:positionV relativeFrom="paragraph">
              <wp:posOffset>-10795</wp:posOffset>
            </wp:positionV>
            <wp:extent cx="15684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1">
                      <a:extLst>
                        <a:ext uri="{28A0092B-C50C-407E-A947-70E740481C1C}"/>
                      </a:extLst>
                    </a:blip>
                    <a:srcRect/>
                    <a:stretch>
                      <a:fillRect/>
                    </a:stretch>
                  </pic:blipFill>
                  <pic:spPr bwMode="auto">
                    <a:xfrm>
                      <a:off x="0" y="0"/>
                      <a:ext cx="156845" cy="8255"/>
                    </a:xfrm>
                    <a:prstGeom prst="rect">
                      <a:avLst/>
                    </a:prstGeom>
                    <a:noFill/>
                  </pic:spPr>
                </pic:pic>
              </a:graphicData>
            </a:graphic>
          </wp:anchor>
        </w:drawing>
        <w:drawing>
          <wp:anchor simplePos="0" relativeHeight="251657728" behindDoc="1" locked="0" layoutInCell="0" allowOverlap="1">
            <wp:simplePos x="0" y="0"/>
            <wp:positionH relativeFrom="column">
              <wp:posOffset>3292475</wp:posOffset>
            </wp:positionH>
            <wp:positionV relativeFrom="paragraph">
              <wp:posOffset>-10795</wp:posOffset>
            </wp:positionV>
            <wp:extent cx="15684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2">
                      <a:extLst>
                        <a:ext uri="{28A0092B-C50C-407E-A947-70E740481C1C}"/>
                      </a:extLst>
                    </a:blip>
                    <a:srcRect/>
                    <a:stretch>
                      <a:fillRect/>
                    </a:stretch>
                  </pic:blipFill>
                  <pic:spPr bwMode="auto">
                    <a:xfrm>
                      <a:off x="0" y="0"/>
                      <a:ext cx="156845" cy="8255"/>
                    </a:xfrm>
                    <a:prstGeom prst="rect">
                      <a:avLst/>
                    </a:prstGeom>
                    <a:noFill/>
                  </pic:spPr>
                </pic:pic>
              </a:graphicData>
            </a:graphic>
          </wp:anchor>
        </w:drawing>
        <w:drawing>
          <wp:anchor simplePos="0" relativeHeight="251657728" behindDoc="1" locked="0" layoutInCell="0" allowOverlap="1">
            <wp:simplePos x="0" y="0"/>
            <wp:positionH relativeFrom="column">
              <wp:posOffset>3749040</wp:posOffset>
            </wp:positionH>
            <wp:positionV relativeFrom="paragraph">
              <wp:posOffset>-10795</wp:posOffset>
            </wp:positionV>
            <wp:extent cx="16764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3">
                      <a:extLst>
                        <a:ext uri="{28A0092B-C50C-407E-A947-70E740481C1C}"/>
                      </a:extLst>
                    </a:blip>
                    <a:srcRect/>
                    <a:stretch>
                      <a:fillRect/>
                    </a:stretch>
                  </pic:blipFill>
                  <pic:spPr bwMode="auto">
                    <a:xfrm>
                      <a:off x="0" y="0"/>
                      <a:ext cx="167640" cy="825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166115119_2</w:t>
      </w:r>
    </w:p>
    <w:p>
      <w:pPr>
        <w:sectPr>
          <w:pgSz w:w="11900" w:h="16838" w:orient="portrait"/>
          <w:cols w:equalWidth="0" w:num="1">
            <w:col w:w="10580"/>
          </w:cols>
          <w:pgMar w:left="360" w:top="1440" w:right="959" w:bottom="1440" w:gutter="0" w:footer="0" w:header="0"/>
        </w:sectPr>
      </w:pPr>
    </w:p>
    <w:bookmarkStart w:id="272" w:name="page273"/>
    <w:bookmarkEnd w:id="272"/>
    <w:p>
      <w:pPr>
        <w:jc w:val="right"/>
        <w:spacing w:after="0"/>
        <w:rPr>
          <w:sz w:val="20"/>
          <w:szCs w:val="20"/>
          <w:color w:val="auto"/>
        </w:rPr>
      </w:pPr>
      <w:r>
        <w:rPr>
          <w:rFonts w:ascii="Times New Roman" w:cs="Times New Roman" w:eastAsia="Times New Roman" w:hAnsi="Times New Roman"/>
          <w:sz w:val="18"/>
          <w:szCs w:val="18"/>
          <w:b w:val="1"/>
          <w:bCs w:val="1"/>
          <w:color w:val="auto"/>
        </w:rPr>
        <w:t>Exhibit 31.01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Southwest Gas Holdings,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Karen S. Haller, certify that:</w:t>
      </w:r>
    </w:p>
    <w:p>
      <w:pPr>
        <w:spacing w:after="0" w:line="225" w:lineRule="exact"/>
        <w:rPr>
          <w:sz w:val="20"/>
          <w:szCs w:val="20"/>
          <w:color w:val="auto"/>
        </w:rPr>
      </w:pPr>
    </w:p>
    <w:p>
      <w:pPr>
        <w:ind w:left="340" w:hanging="332"/>
        <w:spacing w:after="0"/>
        <w:tabs>
          <w:tab w:leader="none" w:pos="340" w:val="left"/>
        </w:tabs>
        <w:numPr>
          <w:ilvl w:val="0"/>
          <w:numId w:val="4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Southwest Gas Holdings,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4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4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7" w:val="left"/>
        </w:tabs>
        <w:numPr>
          <w:ilvl w:val="1"/>
          <w:numId w:val="4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4" w:val="left"/>
        </w:tabs>
        <w:numPr>
          <w:ilvl w:val="1"/>
          <w:numId w:val="4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7" w:val="left"/>
        </w:tabs>
        <w:numPr>
          <w:ilvl w:val="1"/>
          <w:numId w:val="4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4" w:val="left"/>
        </w:tabs>
        <w:numPr>
          <w:ilvl w:val="1"/>
          <w:numId w:val="4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77" w:val="left"/>
        </w:tabs>
        <w:numPr>
          <w:ilvl w:val="1"/>
          <w:numId w:val="4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4" w:val="left"/>
        </w:tabs>
        <w:numPr>
          <w:ilvl w:val="1"/>
          <w:numId w:val="4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Dated: November 9, 2022</w:t>
      </w:r>
    </w:p>
    <w:p>
      <w:pPr>
        <w:spacing w:after="0" w:line="50"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KAREN S. HALLER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2892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4">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Karen S. Haller</w:t>
      </w:r>
    </w:p>
    <w:p>
      <w:pPr>
        <w:spacing w:after="0" w:line="2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Southwest Gas Holdings, Inc.</w:t>
      </w:r>
    </w:p>
    <w:p>
      <w:pPr>
        <w:sectPr>
          <w:pgSz w:w="11900" w:h="16838" w:orient="portrait"/>
          <w:cols w:equalWidth="0" w:num="1">
            <w:col w:w="11240"/>
          </w:cols>
          <w:pgMar w:left="320" w:top="887" w:right="339" w:bottom="1440" w:gutter="0" w:footer="0" w:header="0"/>
        </w:sectPr>
      </w:pPr>
    </w:p>
    <w:bookmarkStart w:id="273" w:name="page274"/>
    <w:bookmarkEnd w:id="273"/>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Southwest Gas Holdings,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Gregory J. Peterson, certify that:</w:t>
      </w:r>
    </w:p>
    <w:p>
      <w:pPr>
        <w:spacing w:after="0" w:line="225" w:lineRule="exact"/>
        <w:rPr>
          <w:sz w:val="20"/>
          <w:szCs w:val="20"/>
          <w:color w:val="auto"/>
        </w:rPr>
      </w:pPr>
    </w:p>
    <w:p>
      <w:pPr>
        <w:ind w:left="340" w:hanging="332"/>
        <w:spacing w:after="0"/>
        <w:tabs>
          <w:tab w:leader="none" w:pos="340" w:val="left"/>
        </w:tabs>
        <w:numPr>
          <w:ilvl w:val="0"/>
          <w:numId w:val="4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Southwest Gas Holdings,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4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4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7" w:val="left"/>
        </w:tabs>
        <w:numPr>
          <w:ilvl w:val="1"/>
          <w:numId w:val="4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4" w:val="left"/>
        </w:tabs>
        <w:numPr>
          <w:ilvl w:val="1"/>
          <w:numId w:val="4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7" w:val="left"/>
        </w:tabs>
        <w:numPr>
          <w:ilvl w:val="1"/>
          <w:numId w:val="4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4" w:val="left"/>
        </w:tabs>
        <w:numPr>
          <w:ilvl w:val="1"/>
          <w:numId w:val="4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77" w:val="left"/>
        </w:tabs>
        <w:numPr>
          <w:ilvl w:val="1"/>
          <w:numId w:val="4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4" w:val="left"/>
        </w:tabs>
        <w:numPr>
          <w:ilvl w:val="1"/>
          <w:numId w:val="4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Dated: November 9, 2022</w:t>
      </w:r>
    </w:p>
    <w:p>
      <w:pPr>
        <w:spacing w:after="0" w:line="50"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GREGORY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2892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5">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Gregory J. Peterson</w:t>
      </w:r>
    </w:p>
    <w:p>
      <w:pPr>
        <w:spacing w:after="0" w:line="2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Senior Vice President/Chief Financial Officer</w:t>
      </w:r>
    </w:p>
    <w:p>
      <w:pPr>
        <w:spacing w:after="0" w:line="23"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Southwest Gas Holdings, Inc.</w:t>
      </w:r>
    </w:p>
    <w:p>
      <w:pPr>
        <w:sectPr>
          <w:pgSz w:w="11900" w:h="16838" w:orient="portrait"/>
          <w:cols w:equalWidth="0" w:num="1">
            <w:col w:w="11240"/>
          </w:cols>
          <w:pgMar w:left="320" w:top="887" w:right="339" w:bottom="1440" w:gutter="0" w:footer="0" w:header="0"/>
        </w:sectPr>
      </w:pPr>
    </w:p>
    <w:bookmarkStart w:id="274" w:name="page275"/>
    <w:bookmarkEnd w:id="274"/>
    <w:p>
      <w:pPr>
        <w:jc w:val="right"/>
        <w:spacing w:after="0"/>
        <w:rPr>
          <w:sz w:val="20"/>
          <w:szCs w:val="20"/>
          <w:color w:val="auto"/>
        </w:rPr>
      </w:pPr>
      <w:r>
        <w:rPr>
          <w:rFonts w:ascii="Times New Roman" w:cs="Times New Roman" w:eastAsia="Times New Roman" w:hAnsi="Times New Roman"/>
          <w:sz w:val="18"/>
          <w:szCs w:val="18"/>
          <w:b w:val="1"/>
          <w:bCs w:val="1"/>
          <w:color w:val="auto"/>
        </w:rPr>
        <w:t>Exhibit 31.02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Southwest Gas Corporation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Karen S. Haller, certify that:</w:t>
      </w:r>
    </w:p>
    <w:p>
      <w:pPr>
        <w:spacing w:after="0" w:line="225" w:lineRule="exact"/>
        <w:rPr>
          <w:sz w:val="20"/>
          <w:szCs w:val="20"/>
          <w:color w:val="auto"/>
        </w:rPr>
      </w:pPr>
    </w:p>
    <w:p>
      <w:pPr>
        <w:ind w:left="340" w:hanging="332"/>
        <w:spacing w:after="0"/>
        <w:tabs>
          <w:tab w:leader="none" w:pos="340" w:val="left"/>
        </w:tabs>
        <w:numPr>
          <w:ilvl w:val="0"/>
          <w:numId w:val="4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Southwest Gas Corporation;</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4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4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7" w:val="left"/>
        </w:tabs>
        <w:numPr>
          <w:ilvl w:val="1"/>
          <w:numId w:val="4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4" w:val="left"/>
        </w:tabs>
        <w:numPr>
          <w:ilvl w:val="1"/>
          <w:numId w:val="4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7" w:val="left"/>
        </w:tabs>
        <w:numPr>
          <w:ilvl w:val="1"/>
          <w:numId w:val="4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4" w:val="left"/>
        </w:tabs>
        <w:numPr>
          <w:ilvl w:val="1"/>
          <w:numId w:val="4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77" w:val="left"/>
        </w:tabs>
        <w:numPr>
          <w:ilvl w:val="1"/>
          <w:numId w:val="4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4" w:val="left"/>
        </w:tabs>
        <w:numPr>
          <w:ilvl w:val="1"/>
          <w:numId w:val="4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9, 2022</w:t>
      </w:r>
    </w:p>
    <w:p>
      <w:pPr>
        <w:spacing w:after="0" w:line="200" w:lineRule="exact"/>
        <w:rPr>
          <w:sz w:val="20"/>
          <w:szCs w:val="20"/>
          <w:color w:val="auto"/>
        </w:rPr>
      </w:pPr>
    </w:p>
    <w:p>
      <w:pPr>
        <w:spacing w:after="0" w:line="20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KAREN S. HALLER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2892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6">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Karen S. Haller</w:t>
      </w:r>
    </w:p>
    <w:p>
      <w:pPr>
        <w:spacing w:after="0" w:line="2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Southwest Gas Corporation</w:t>
      </w:r>
    </w:p>
    <w:p>
      <w:pPr>
        <w:sectPr>
          <w:pgSz w:w="11900" w:h="16838" w:orient="portrait"/>
          <w:cols w:equalWidth="0" w:num="1">
            <w:col w:w="11240"/>
          </w:cols>
          <w:pgMar w:left="320" w:top="887" w:right="339" w:bottom="1440" w:gutter="0" w:footer="0" w:header="0"/>
        </w:sectPr>
      </w:pPr>
    </w:p>
    <w:bookmarkStart w:id="275" w:name="page276"/>
    <w:bookmarkEnd w:id="275"/>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Southwest Gas Corporation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Gregory J. Peterson, certify that:</w:t>
      </w:r>
    </w:p>
    <w:p>
      <w:pPr>
        <w:spacing w:after="0" w:line="225" w:lineRule="exact"/>
        <w:rPr>
          <w:sz w:val="20"/>
          <w:szCs w:val="20"/>
          <w:color w:val="auto"/>
        </w:rPr>
      </w:pPr>
    </w:p>
    <w:p>
      <w:pPr>
        <w:ind w:left="340" w:hanging="332"/>
        <w:spacing w:after="0"/>
        <w:tabs>
          <w:tab w:leader="none" w:pos="340" w:val="left"/>
        </w:tabs>
        <w:numPr>
          <w:ilvl w:val="0"/>
          <w:numId w:val="4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Southwest Gas Corporation;</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4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4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7" w:val="left"/>
        </w:tabs>
        <w:numPr>
          <w:ilvl w:val="1"/>
          <w:numId w:val="4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4" w:val="left"/>
        </w:tabs>
        <w:numPr>
          <w:ilvl w:val="1"/>
          <w:numId w:val="4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7" w:val="left"/>
        </w:tabs>
        <w:numPr>
          <w:ilvl w:val="1"/>
          <w:numId w:val="4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4" w:val="left"/>
        </w:tabs>
        <w:numPr>
          <w:ilvl w:val="1"/>
          <w:numId w:val="4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77" w:val="left"/>
        </w:tabs>
        <w:numPr>
          <w:ilvl w:val="1"/>
          <w:numId w:val="4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4" w:val="left"/>
        </w:tabs>
        <w:numPr>
          <w:ilvl w:val="1"/>
          <w:numId w:val="4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9, 2022</w:t>
      </w:r>
    </w:p>
    <w:p>
      <w:pPr>
        <w:spacing w:after="0" w:line="50"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GREGORY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289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7">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Gregory J. Peterson</w:t>
      </w:r>
    </w:p>
    <w:p>
      <w:pPr>
        <w:spacing w:after="0" w:line="2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Senior Vice President/Chief Financial Officer</w:t>
      </w:r>
    </w:p>
    <w:p>
      <w:pPr>
        <w:spacing w:after="0" w:line="23"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Southwest Gas Corporation</w:t>
      </w:r>
    </w:p>
    <w:p>
      <w:pPr>
        <w:sectPr>
          <w:pgSz w:w="11900" w:h="16838" w:orient="portrait"/>
          <w:cols w:equalWidth="0" w:num="1">
            <w:col w:w="11240"/>
          </w:cols>
          <w:pgMar w:left="320" w:top="887" w:right="339" w:bottom="1440" w:gutter="0" w:footer="0" w:header="0"/>
        </w:sectPr>
      </w:pPr>
    </w:p>
    <w:bookmarkStart w:id="276" w:name="page277"/>
    <w:bookmarkEnd w:id="276"/>
    <w:p>
      <w:pPr>
        <w:jc w:val="right"/>
        <w:spacing w:after="0"/>
        <w:rPr>
          <w:sz w:val="20"/>
          <w:szCs w:val="20"/>
          <w:color w:val="auto"/>
        </w:rPr>
      </w:pPr>
      <w:r>
        <w:rPr>
          <w:rFonts w:ascii="Times New Roman" w:cs="Times New Roman" w:eastAsia="Times New Roman" w:hAnsi="Times New Roman"/>
          <w:sz w:val="18"/>
          <w:szCs w:val="18"/>
          <w:color w:val="auto"/>
        </w:rPr>
        <w:t>Exhibit 32.01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SOUTHWEST GAS HOLDINGS,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periodic report of Southwest Gas Holdings, Inc. (the “Company”) on Form 10-Q for the period ended September 30, 2022 as filed with the Securities and Exchange Commission (the “Report”), I, Karen S. Haller, the President and Chief Executive Officer of the Company, hereby certify as of the date hereof, solely for purposes of Title 18, Chapter 63, Section 1350 of the United States Code, that to the best of my knowledge:</w:t>
      </w:r>
    </w:p>
    <w:p>
      <w:pPr>
        <w:spacing w:after="0" w:line="95" w:lineRule="exact"/>
        <w:rPr>
          <w:sz w:val="20"/>
          <w:szCs w:val="20"/>
          <w:color w:val="auto"/>
        </w:rPr>
      </w:pPr>
    </w:p>
    <w:p>
      <w:pPr>
        <w:ind w:left="560" w:hanging="309"/>
        <w:spacing w:after="0"/>
        <w:tabs>
          <w:tab w:leader="none" w:pos="560" w:val="left"/>
        </w:tabs>
        <w:numPr>
          <w:ilvl w:val="0"/>
          <w:numId w:val="4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252" w:lineRule="exact"/>
        <w:rPr>
          <w:rFonts w:ascii="Times New Roman" w:cs="Times New Roman" w:eastAsia="Times New Roman" w:hAnsi="Times New Roman"/>
          <w:sz w:val="18"/>
          <w:szCs w:val="18"/>
          <w:color w:val="auto"/>
        </w:rPr>
      </w:pPr>
    </w:p>
    <w:p>
      <w:pPr>
        <w:ind w:left="580" w:hanging="329"/>
        <w:spacing w:after="0" w:line="282" w:lineRule="auto"/>
        <w:tabs>
          <w:tab w:leader="none" w:pos="574" w:val="left"/>
        </w:tabs>
        <w:numPr>
          <w:ilvl w:val="0"/>
          <w:numId w:val="4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at the dates and for the periods indicated.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Certification has not been, and shall not be deemed, “filed” with the Securities and Exchange Commission.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9, 2022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Karen S. Haller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2892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8">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Karen S. Haller</w:t>
      </w:r>
    </w:p>
    <w:p>
      <w:pPr>
        <w:spacing w:after="0" w:line="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SOUTHWEST GAS HOLDINGS,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periodic report of Southwest Gas Holdings, Inc. (the “Company”) on Form 10-Q for the period ended September 30, 2022 as filed with the Securities and Exchange Commission (the “Report”), I, Gregory J. Peterson, Senior Vice President/Chief Financial Officer of the Company, hereby certify as of the date hereof, solely for purposes of Title 18, Chapter 63, Section 1350 of the United States Code, that to the best of my knowledge:</w:t>
      </w:r>
    </w:p>
    <w:p>
      <w:pPr>
        <w:spacing w:after="0" w:line="95" w:lineRule="exact"/>
        <w:rPr>
          <w:sz w:val="20"/>
          <w:szCs w:val="20"/>
          <w:color w:val="auto"/>
        </w:rPr>
      </w:pPr>
    </w:p>
    <w:p>
      <w:pPr>
        <w:ind w:left="560" w:hanging="309"/>
        <w:spacing w:after="0"/>
        <w:tabs>
          <w:tab w:leader="none" w:pos="560" w:val="left"/>
        </w:tabs>
        <w:numPr>
          <w:ilvl w:val="0"/>
          <w:numId w:val="4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252" w:lineRule="exact"/>
        <w:rPr>
          <w:rFonts w:ascii="Times New Roman" w:cs="Times New Roman" w:eastAsia="Times New Roman" w:hAnsi="Times New Roman"/>
          <w:sz w:val="18"/>
          <w:szCs w:val="18"/>
          <w:color w:val="auto"/>
        </w:rPr>
      </w:pPr>
    </w:p>
    <w:p>
      <w:pPr>
        <w:ind w:left="580" w:hanging="329"/>
        <w:spacing w:after="0" w:line="282" w:lineRule="auto"/>
        <w:tabs>
          <w:tab w:leader="none" w:pos="574" w:val="left"/>
        </w:tabs>
        <w:numPr>
          <w:ilvl w:val="0"/>
          <w:numId w:val="4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at the dates and for the periods indicated.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Certification has not been, and shall not be deemed, “filed” with the Securities and Exchange Commission.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9, 2022</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Gregory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2892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9">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Gregory J. Peterson</w:t>
      </w:r>
    </w:p>
    <w:p>
      <w:pPr>
        <w:ind w:left="6780"/>
        <w:spacing w:after="0"/>
        <w:rPr>
          <w:sz w:val="20"/>
          <w:szCs w:val="20"/>
          <w:color w:val="auto"/>
        </w:rPr>
      </w:pPr>
      <w:r>
        <w:rPr>
          <w:rFonts w:ascii="Times New Roman" w:cs="Times New Roman" w:eastAsia="Times New Roman" w:hAnsi="Times New Roman"/>
          <w:sz w:val="18"/>
          <w:szCs w:val="18"/>
          <w:color w:val="auto"/>
        </w:rPr>
        <w:t>Senior Vice President/Chief Financial Officer</w:t>
      </w:r>
    </w:p>
    <w:p>
      <w:pPr>
        <w:sectPr>
          <w:pgSz w:w="11900" w:h="16838" w:orient="portrait"/>
          <w:cols w:equalWidth="0" w:num="1">
            <w:col w:w="11240"/>
          </w:cols>
          <w:pgMar w:left="320" w:top="891" w:right="339" w:bottom="1440" w:gutter="0" w:footer="0" w:header="0"/>
        </w:sectPr>
      </w:pPr>
    </w:p>
    <w:bookmarkStart w:id="277" w:name="page278"/>
    <w:bookmarkEnd w:id="277"/>
    <w:p>
      <w:pPr>
        <w:jc w:val="right"/>
        <w:spacing w:after="0"/>
        <w:rPr>
          <w:sz w:val="20"/>
          <w:szCs w:val="20"/>
          <w:color w:val="auto"/>
        </w:rPr>
      </w:pPr>
      <w:r>
        <w:rPr>
          <w:rFonts w:ascii="Times New Roman" w:cs="Times New Roman" w:eastAsia="Times New Roman" w:hAnsi="Times New Roman"/>
          <w:sz w:val="18"/>
          <w:szCs w:val="18"/>
          <w:color w:val="auto"/>
        </w:rPr>
        <w:t>Exhibit 32.02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SOUTHWEST GAS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periodic report of Southwest Gas Corporation on Form 10-Q for the period ended September 30, 2022 as filed with the Securities and Exchange Commission (the “Report”), I, Karen S. Haller, the Chief Executive Officer of Southwest Gas Corporation, hereby certify as of the date hereof, solely for purposes of Title 18, Chapter 63, Section 1350 of the United States Code, that to the best of my knowledge:</w:t>
      </w:r>
    </w:p>
    <w:p>
      <w:pPr>
        <w:spacing w:after="0" w:line="95" w:lineRule="exact"/>
        <w:rPr>
          <w:sz w:val="20"/>
          <w:szCs w:val="20"/>
          <w:color w:val="auto"/>
        </w:rPr>
      </w:pPr>
    </w:p>
    <w:p>
      <w:pPr>
        <w:ind w:left="560" w:hanging="309"/>
        <w:spacing w:after="0"/>
        <w:tabs>
          <w:tab w:leader="none" w:pos="560" w:val="left"/>
        </w:tabs>
        <w:numPr>
          <w:ilvl w:val="0"/>
          <w:numId w:val="4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252" w:lineRule="exact"/>
        <w:rPr>
          <w:rFonts w:ascii="Times New Roman" w:cs="Times New Roman" w:eastAsia="Times New Roman" w:hAnsi="Times New Roman"/>
          <w:sz w:val="18"/>
          <w:szCs w:val="18"/>
          <w:color w:val="auto"/>
        </w:rPr>
      </w:pPr>
    </w:p>
    <w:p>
      <w:pPr>
        <w:ind w:left="580" w:right="20" w:hanging="329"/>
        <w:spacing w:after="0" w:line="282" w:lineRule="auto"/>
        <w:tabs>
          <w:tab w:leader="none" w:pos="574" w:val="left"/>
        </w:tabs>
        <w:numPr>
          <w:ilvl w:val="0"/>
          <w:numId w:val="4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Southwest Gas Corporation at the dates and for the periods indicated.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Certification has not been, and shall not be deemed, “filed” with the Securities and Exchange Commission.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9, 2022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Karen S. Haller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2892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0">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Karen S. Haller</w:t>
      </w:r>
    </w:p>
    <w:p>
      <w:pPr>
        <w:spacing w:after="0" w:line="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SOUTHWEST GAS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periodic report of Southwest Gas Corporation on Form 10-Q for the period ended September 30, 2022 as filed with the Securities and Exchange Commission (the “Report”), I, Gregory J. Peterson, Senior Vice President/Chief Financial Officer of Southwest Gas Corporation, hereby certify as of the date hereof, solely for purposes of Title 18, Chapter 63, Section 1350 of the United States Code, that to the best of my knowledge:</w:t>
      </w:r>
    </w:p>
    <w:p>
      <w:pPr>
        <w:spacing w:after="0" w:line="95" w:lineRule="exact"/>
        <w:rPr>
          <w:sz w:val="20"/>
          <w:szCs w:val="20"/>
          <w:color w:val="auto"/>
        </w:rPr>
      </w:pPr>
    </w:p>
    <w:p>
      <w:pPr>
        <w:ind w:left="560" w:hanging="309"/>
        <w:spacing w:after="0"/>
        <w:tabs>
          <w:tab w:leader="none" w:pos="560" w:val="left"/>
        </w:tabs>
        <w:numPr>
          <w:ilvl w:val="0"/>
          <w:numId w:val="4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252" w:lineRule="exact"/>
        <w:rPr>
          <w:rFonts w:ascii="Times New Roman" w:cs="Times New Roman" w:eastAsia="Times New Roman" w:hAnsi="Times New Roman"/>
          <w:sz w:val="18"/>
          <w:szCs w:val="18"/>
          <w:color w:val="auto"/>
        </w:rPr>
      </w:pPr>
    </w:p>
    <w:p>
      <w:pPr>
        <w:ind w:left="580" w:right="20" w:hanging="329"/>
        <w:spacing w:after="0" w:line="282" w:lineRule="auto"/>
        <w:tabs>
          <w:tab w:leader="none" w:pos="574" w:val="left"/>
        </w:tabs>
        <w:numPr>
          <w:ilvl w:val="0"/>
          <w:numId w:val="4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Southwest Gas Corporation at the dates and for the periods indicated.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Certification has not been, and shall not be deemed, “filed” with the Securities and Exchange Commission.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9, 2022</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Gregory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2892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1">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Gregory J. Peterson</w:t>
      </w:r>
    </w:p>
    <w:p>
      <w:pPr>
        <w:ind w:left="6780"/>
        <w:spacing w:after="0"/>
        <w:rPr>
          <w:sz w:val="20"/>
          <w:szCs w:val="20"/>
          <w:color w:val="auto"/>
        </w:rPr>
      </w:pPr>
      <w:r>
        <w:rPr>
          <w:rFonts w:ascii="Times New Roman" w:cs="Times New Roman" w:eastAsia="Times New Roman" w:hAnsi="Times New Roman"/>
          <w:sz w:val="18"/>
          <w:szCs w:val="18"/>
          <w:color w:val="auto"/>
        </w:rPr>
        <w:t>Senior Vice President/Chief Financial Officer</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C053B16"/>
    <w:multiLevelType w:val="hybridMultilevel"/>
    <w:lvl w:ilvl="0">
      <w:lvlJc w:val="left"/>
      <w:lvlText w:val="☒"/>
      <w:numFmt w:val="bullet"/>
      <w:start w:val="1"/>
    </w:lvl>
  </w:abstractNum>
  <w:abstractNum w:abstractNumId="1">
    <w:nsid w:val="4F294393"/>
    <w:multiLevelType w:val="hybridMultilevel"/>
    <w:lvl w:ilvl="0">
      <w:lvlJc w:val="left"/>
      <w:lvlText w:val="☐"/>
      <w:numFmt w:val="bullet"/>
      <w:start w:val="1"/>
    </w:lvl>
  </w:abstractNum>
  <w:abstractNum w:abstractNumId="2">
    <w:nsid w:val="5243BFAC"/>
    <w:multiLevelType w:val="hybridMultilevel"/>
    <w:lvl w:ilvl="0">
      <w:lvlJc w:val="left"/>
      <w:lvlText w:val="(%1)"/>
      <w:numFmt w:val="lowerLetter"/>
      <w:start w:val="1"/>
    </w:lvl>
  </w:abstractNum>
  <w:abstractNum w:abstractNumId="3">
    <w:nsid w:val="425EB207"/>
    <w:multiLevelType w:val="hybridMultilevel"/>
    <w:lvl w:ilvl="0">
      <w:lvlJc w:val="left"/>
      <w:lvlText w:val="(%1)"/>
      <w:numFmt w:val="decimal"/>
      <w:start w:val="1"/>
    </w:lvl>
  </w:abstractNum>
  <w:abstractNum w:abstractNumId="4">
    <w:nsid w:val="334A6F1F"/>
    <w:multiLevelType w:val="hybridMultilevel"/>
    <w:lvl w:ilvl="0">
      <w:lvlJc w:val="left"/>
      <w:lvlText w:val="(%1)"/>
      <w:numFmt w:val="decimal"/>
      <w:start w:val="1"/>
    </w:lvl>
  </w:abstractNum>
  <w:abstractNum w:abstractNumId="5">
    <w:nsid w:val="2E5B12B8"/>
    <w:multiLevelType w:val="hybridMultilevel"/>
    <w:lvl w:ilvl="0">
      <w:lvlJc w:val="left"/>
      <w:lvlText w:val="(%1)"/>
      <w:numFmt w:val="decimal"/>
      <w:start w:val="1"/>
    </w:lvl>
  </w:abstractNum>
  <w:abstractNum w:abstractNumId="6">
    <w:nsid w:val="5C03D76D"/>
    <w:multiLevelType w:val="hybridMultilevel"/>
    <w:lvl w:ilvl="0">
      <w:lvlJc w:val="left"/>
      <w:lvlText w:val="(%1)"/>
      <w:numFmt w:val="decimal"/>
      <w:start w:val="1"/>
    </w:lvl>
  </w:abstractNum>
  <w:abstractNum w:abstractNumId="7">
    <w:nsid w:val="66A48D11"/>
    <w:multiLevelType w:val="hybridMultilevel"/>
    <w:lvl w:ilvl="0">
      <w:lvlJc w:val="left"/>
      <w:lvlText w:val="(%1)"/>
      <w:numFmt w:val="decimal"/>
      <w:start w:val="5"/>
    </w:lvl>
  </w:abstractNum>
  <w:abstractNum w:abstractNumId="8">
    <w:nsid w:val="56C28E34"/>
    <w:multiLevelType w:val="hybridMultilevel"/>
    <w:lvl w:ilvl="0">
      <w:lvlJc w:val="left"/>
      <w:lvlText w:val="(%1)"/>
      <w:numFmt w:val="decimal"/>
      <w:start w:val="1"/>
    </w:lvl>
  </w:abstractNum>
  <w:abstractNum w:abstractNumId="9">
    <w:nsid w:val="13916F2D"/>
    <w:multiLevelType w:val="hybridMultilevel"/>
    <w:lvl w:ilvl="0">
      <w:lvlJc w:val="left"/>
      <w:lvlText w:val="•"/>
      <w:numFmt w:val="bullet"/>
      <w:start w:val="1"/>
    </w:lvl>
  </w:abstractNum>
  <w:abstractNum w:abstractNumId="10">
    <w:nsid w:val="435D38D"/>
    <w:multiLevelType w:val="hybridMultilevel"/>
    <w:lvl w:ilvl="0">
      <w:lvlJc w:val="left"/>
      <w:lvlText w:val="•"/>
      <w:numFmt w:val="bullet"/>
      <w:start w:val="1"/>
    </w:lvl>
  </w:abstractNum>
  <w:abstractNum w:abstractNumId="11">
    <w:nsid w:val="822C0EF"/>
    <w:multiLevelType w:val="hybridMultilevel"/>
    <w:lvl w:ilvl="0">
      <w:lvlJc w:val="left"/>
      <w:lvlText w:val="•"/>
      <w:numFmt w:val="bullet"/>
      <w:start w:val="1"/>
    </w:lvl>
  </w:abstractNum>
  <w:abstractNum w:abstractNumId="12">
    <w:nsid w:val="57C5BB4F"/>
    <w:multiLevelType w:val="hybridMultilevel"/>
    <w:lvl w:ilvl="0">
      <w:lvlJc w:val="left"/>
      <w:lvlText w:val="•"/>
      <w:numFmt w:val="bullet"/>
      <w:start w:val="1"/>
    </w:lvl>
  </w:abstractNum>
  <w:abstractNum w:abstractNumId="13">
    <w:nsid w:val="1803D089"/>
    <w:multiLevelType w:val="hybridMultilevel"/>
    <w:lvl w:ilvl="0">
      <w:lvlJc w:val="left"/>
      <w:lvlText w:val="(%1)"/>
      <w:numFmt w:val="lowerRoman"/>
      <w:start w:val="9"/>
    </w:lvl>
  </w:abstractNum>
  <w:abstractNum w:abstractNumId="14">
    <w:nsid w:val="4F3A06D4"/>
    <w:multiLevelType w:val="hybridMultilevel"/>
    <w:lvl w:ilvl="0">
      <w:lvlJc w:val="left"/>
      <w:lvlText w:val="%1."/>
      <w:numFmt w:val="decimal"/>
      <w:start w:val="1"/>
    </w:lvl>
    <w:lvl w:ilvl="1">
      <w:lvlJc w:val="left"/>
      <w:lvlText w:val="(%2)"/>
      <w:numFmt w:val="lowerLetter"/>
      <w:start w:val="1"/>
    </w:lvl>
  </w:abstractNum>
  <w:abstractNum w:abstractNumId="15">
    <w:nsid w:val="59A377B6"/>
    <w:multiLevelType w:val="hybridMultilevel"/>
    <w:lvl w:ilvl="0">
      <w:lvlJc w:val="left"/>
      <w:lvlText w:val="1"/>
      <w:numFmt w:val="bullet"/>
      <w:start w:val="1"/>
    </w:lvl>
  </w:abstractNum>
  <w:abstractNum w:abstractNumId="16">
    <w:nsid w:val="48AEB063"/>
    <w:multiLevelType w:val="hybridMultilevel"/>
    <w:lvl w:ilvl="0">
      <w:lvlJc w:val="left"/>
      <w:lvlText w:val="%1."/>
      <w:numFmt w:val="decimal"/>
      <w:start w:val="3"/>
    </w:lvl>
    <w:lvl w:ilvl="1">
      <w:lvlJc w:val="left"/>
      <w:lvlText w:val="(%2)"/>
      <w:numFmt w:val="lowerLetter"/>
      <w:start w:val="3"/>
    </w:lvl>
    <w:lvl w:ilvl="2">
      <w:lvlJc w:val="left"/>
      <w:lvlText w:val="(%3)"/>
      <w:numFmt w:val="lowerLetter"/>
      <w:start w:val="5"/>
    </w:lvl>
  </w:abstractNum>
  <w:abstractNum w:abstractNumId="17">
    <w:nsid w:val="24E135"/>
    <w:multiLevelType w:val="hybridMultilevel"/>
    <w:lvl w:ilvl="0">
      <w:lvlJc w:val="left"/>
      <w:lvlText w:val="2"/>
      <w:numFmt w:val="bullet"/>
      <w:start w:val="1"/>
    </w:lvl>
  </w:abstractNum>
  <w:abstractNum w:abstractNumId="18">
    <w:nsid w:val="BB13C1"/>
    <w:multiLevelType w:val="hybridMultilevel"/>
    <w:lvl w:ilvl="0">
      <w:lvlJc w:val="left"/>
      <w:lvlText w:val="%1"/>
      <w:numFmt w:val="lowerLetter"/>
      <w:start w:val="1"/>
    </w:lvl>
    <w:lvl w:ilvl="1">
      <w:lvlJc w:val="left"/>
      <w:lvlText w:val="%2."/>
      <w:numFmt w:val="decimal"/>
      <w:start w:val="5"/>
    </w:lvl>
    <w:lvl w:ilvl="2">
      <w:lvlJc w:val="left"/>
      <w:lvlText w:val="(%3)"/>
      <w:numFmt w:val="lowerLetter"/>
      <w:start w:val="6"/>
    </w:lvl>
  </w:abstractNum>
  <w:abstractNum w:abstractNumId="19">
    <w:nsid w:val="271210C7"/>
    <w:multiLevelType w:val="hybridMultilevel"/>
    <w:lvl w:ilvl="0">
      <w:lvlJc w:val="left"/>
      <w:lvlText w:val="(%1)"/>
      <w:numFmt w:val="lowerLetter"/>
      <w:start w:val="22"/>
    </w:lvl>
    <w:lvl w:ilvl="1">
      <w:lvlJc w:val="left"/>
      <w:lvlText w:val="%2."/>
      <w:numFmt w:val="decimal"/>
      <w:start w:val="5"/>
    </w:lvl>
    <w:lvl w:ilvl="2">
      <w:lvlJc w:val="left"/>
      <w:lvlText w:val="(%3)"/>
      <w:numFmt w:val="lowerLetter"/>
      <w:start w:val="8"/>
    </w:lvl>
  </w:abstractNum>
  <w:abstractNum w:abstractNumId="20">
    <w:nsid w:val="217B22E4"/>
    <w:multiLevelType w:val="hybridMultilevel"/>
    <w:lvl w:ilvl="0">
      <w:lvlJc w:val="left"/>
      <w:lvlText w:val="3"/>
      <w:numFmt w:val="bullet"/>
      <w:start w:val="1"/>
    </w:lvl>
  </w:abstractNum>
  <w:abstractNum w:abstractNumId="21">
    <w:nsid w:val="53E31A24"/>
    <w:multiLevelType w:val="hybridMultilevel"/>
    <w:lvl w:ilvl="0">
      <w:lvlJc w:val="left"/>
      <w:lvlText w:val="%1"/>
      <w:numFmt w:val="lowerLetter"/>
      <w:start w:val="1"/>
    </w:lvl>
    <w:lvl w:ilvl="1">
      <w:lvlJc w:val="left"/>
      <w:lvlText w:val="%2."/>
      <w:numFmt w:val="decimal"/>
      <w:start w:val="7"/>
    </w:lvl>
  </w:abstractNum>
  <w:abstractNum w:abstractNumId="22">
    <w:nsid w:val="6DC45E83"/>
    <w:multiLevelType w:val="hybridMultilevel"/>
    <w:lvl w:ilvl="0">
      <w:lvlJc w:val="left"/>
      <w:lvlText w:val="(%1)"/>
      <w:numFmt w:val="lowerLetter"/>
      <w:start w:val="3"/>
    </w:lvl>
    <w:lvl w:ilvl="1">
      <w:lvlJc w:val="left"/>
      <w:lvlText w:val="%2."/>
      <w:numFmt w:val="decimal"/>
      <w:start w:val="8"/>
    </w:lvl>
  </w:abstractNum>
  <w:abstractNum w:abstractNumId="23">
    <w:nsid w:val="17304A67"/>
    <w:multiLevelType w:val="hybridMultilevel"/>
    <w:lvl w:ilvl="0">
      <w:lvlJc w:val="left"/>
      <w:lvlText w:val="%1"/>
      <w:numFmt w:val="lowerRoman"/>
      <w:start w:val="4"/>
    </w:lvl>
  </w:abstractNum>
  <w:abstractNum w:abstractNumId="24">
    <w:nsid w:val="2BB180D8"/>
    <w:multiLevelType w:val="hybridMultilevel"/>
    <w:lvl w:ilvl="0">
      <w:lvlJc w:val="left"/>
      <w:lvlText w:val="5"/>
      <w:numFmt w:val="bullet"/>
      <w:start w:val="1"/>
    </w:lvl>
  </w:abstractNum>
  <w:abstractNum w:abstractNumId="25">
    <w:nsid w:val="556B69ED"/>
    <w:multiLevelType w:val="hybridMultilevel"/>
    <w:lvl w:ilvl="0">
      <w:lvlJc w:val="left"/>
      <w:lvlText w:val="6"/>
      <w:numFmt w:val="bullet"/>
      <w:start w:val="1"/>
    </w:lvl>
  </w:abstractNum>
  <w:abstractNum w:abstractNumId="26">
    <w:nsid w:val="70836196"/>
    <w:multiLevelType w:val="hybridMultilevel"/>
    <w:lvl w:ilvl="0">
      <w:lvlJc w:val="left"/>
      <w:lvlText w:val="(%1)"/>
      <w:numFmt w:val="lowerLetter"/>
      <w:start w:val="2"/>
    </w:lvl>
  </w:abstractNum>
  <w:abstractNum w:abstractNumId="27">
    <w:nsid w:val="539F7F12"/>
    <w:multiLevelType w:val="hybridMultilevel"/>
    <w:lvl w:ilvl="0">
      <w:lvlJc w:val="left"/>
      <w:lvlText w:val="2"/>
      <w:numFmt w:val="bullet"/>
      <w:start w:val="1"/>
    </w:lvl>
  </w:abstractNum>
  <w:abstractNum w:abstractNumId="28">
    <w:nsid w:val="2817E7EC"/>
    <w:multiLevelType w:val="hybridMultilevel"/>
    <w:lvl w:ilvl="0">
      <w:lvlJc w:val="left"/>
      <w:lvlText w:val="(%1)"/>
      <w:numFmt w:val="lowerLetter"/>
      <w:start w:val="3"/>
    </w:lvl>
  </w:abstractNum>
  <w:abstractNum w:abstractNumId="29">
    <w:nsid w:val="71482545"/>
    <w:multiLevelType w:val="hybridMultilevel"/>
    <w:lvl w:ilvl="0">
      <w:lvlJc w:val="left"/>
      <w:lvlText w:val="%1"/>
      <w:numFmt w:val="lowerLetter"/>
      <w:start w:val="1"/>
    </w:lvl>
    <w:lvl w:ilvl="1">
      <w:lvlJc w:val="left"/>
      <w:lvlText w:val="(%2)"/>
      <w:numFmt w:val="lowerLetter"/>
      <w:start w:val="1"/>
    </w:lvl>
  </w:abstractNum>
  <w:abstractNum w:abstractNumId="30">
    <w:nsid w:val="17D78639"/>
    <w:multiLevelType w:val="hybridMultilevel"/>
    <w:lvl w:ilvl="0">
      <w:lvlJc w:val="left"/>
      <w:lvlText w:val="(%1)"/>
      <w:numFmt w:val="lowerLetter"/>
      <w:start w:val="35"/>
    </w:lvl>
    <w:lvl w:ilvl="1">
      <w:lvlJc w:val="left"/>
      <w:lvlText w:val="%2"/>
      <w:numFmt w:val="lowerLetter"/>
      <w:start w:val="1"/>
    </w:lvl>
  </w:abstractNum>
  <w:abstractNum w:abstractNumId="31">
    <w:nsid w:val="141D2302"/>
    <w:multiLevelType w:val="hybridMultilevel"/>
    <w:lvl w:ilvl="0">
      <w:lvlJc w:val="left"/>
      <w:lvlText w:val="3"/>
      <w:numFmt w:val="bullet"/>
      <w:start w:val="1"/>
    </w:lvl>
  </w:abstractNum>
  <w:abstractNum w:abstractNumId="32">
    <w:nsid w:val="407168D8"/>
    <w:multiLevelType w:val="hybridMultilevel"/>
    <w:lvl w:ilvl="0">
      <w:lvlJc w:val="left"/>
      <w:lvlText w:val="(%1)"/>
      <w:numFmt w:val="lowerLetter"/>
      <w:start w:val="2"/>
    </w:lvl>
  </w:abstractNum>
  <w:abstractNum w:abstractNumId="33">
    <w:nsid w:val="6A1B45E5"/>
    <w:multiLevelType w:val="hybridMultilevel"/>
    <w:lvl w:ilvl="0">
      <w:lvlJc w:val="left"/>
      <w:lvlText w:val="(%1)"/>
      <w:numFmt w:val="lowerLetter"/>
      <w:start w:val="1"/>
    </w:lvl>
  </w:abstractNum>
  <w:abstractNum w:abstractNumId="34">
    <w:nsid w:val="567BD50A"/>
    <w:multiLevelType w:val="hybridMultilevel"/>
    <w:lvl w:ilvl="0">
      <w:lvlJc w:val="left"/>
      <w:lvlText w:val="5"/>
      <w:numFmt w:val="bullet"/>
      <w:start w:val="1"/>
    </w:lvl>
  </w:abstractNum>
  <w:abstractNum w:abstractNumId="35">
    <w:nsid w:val="73BBD7F8"/>
    <w:multiLevelType w:val="hybridMultilevel"/>
    <w:lvl w:ilvl="0">
      <w:lvlJc w:val="left"/>
      <w:lvlText w:val="(%1)"/>
      <w:numFmt w:val="lowerLetter"/>
      <w:start w:val="3"/>
    </w:lvl>
  </w:abstractNum>
  <w:abstractNum w:abstractNumId="36">
    <w:nsid w:val="1876589D"/>
    <w:multiLevelType w:val="hybridMultilevel"/>
    <w:lvl w:ilvl="0">
      <w:lvlJc w:val="left"/>
      <w:lvlText w:val="6"/>
      <w:numFmt w:val="bullet"/>
      <w:start w:val="1"/>
    </w:lvl>
  </w:abstractNum>
  <w:abstractNum w:abstractNumId="37">
    <w:nsid w:val="327FAC77"/>
    <w:multiLevelType w:val="hybridMultilevel"/>
    <w:lvl w:ilvl="0">
      <w:lvlJc w:val="left"/>
      <w:lvlText w:val="(%1)"/>
      <w:numFmt w:val="lowerLetter"/>
      <w:start w:val="1"/>
    </w:lvl>
    <w:lvl w:ilvl="1">
      <w:lvlJc w:val="left"/>
      <w:lvlText w:val="(%2)"/>
      <w:numFmt w:val="decimal"/>
      <w:start w:val="1"/>
    </w:lvl>
  </w:abstractNum>
  <w:abstractNum w:abstractNumId="38">
    <w:nsid w:val="5A606509"/>
    <w:multiLevelType w:val="hybridMultilevel"/>
    <w:lvl w:ilvl="0">
      <w:lvlJc w:val="left"/>
      <w:lvlText w:val="(%1)"/>
      <w:numFmt w:val="decimal"/>
      <w:start w:val="3"/>
    </w:lvl>
  </w:abstractNum>
  <w:abstractNum w:abstractNumId="39">
    <w:nsid w:val="6F38E6D1"/>
    <w:multiLevelType w:val="hybridMultilevel"/>
    <w:lvl w:ilvl="0">
      <w:lvlJc w:val="left"/>
      <w:lvlText w:val="7"/>
      <w:numFmt w:val="bullet"/>
      <w:start w:val="1"/>
    </w:lvl>
  </w:abstractNum>
  <w:abstractNum w:abstractNumId="40">
    <w:nsid w:val="46111BA5"/>
    <w:multiLevelType w:val="hybridMultilevel"/>
    <w:lvl w:ilvl="0">
      <w:lvlJc w:val="left"/>
      <w:lvlText w:val="%1"/>
      <w:numFmt w:val="lowerRoman"/>
      <w:start w:val="1"/>
    </w:lvl>
    <w:lvl w:ilvl="1">
      <w:lvlJc w:val="left"/>
      <w:lvlText w:val="(%2)"/>
      <w:numFmt w:val="decimal"/>
      <w:start w:val="4"/>
    </w:lvl>
  </w:abstractNum>
  <w:abstractNum w:abstractNumId="41">
    <w:nsid w:val="5E963896"/>
    <w:multiLevelType w:val="hybridMultilevel"/>
    <w:lvl w:ilvl="0">
      <w:lvlJc w:val="left"/>
      <w:lvlText w:val="(%1)"/>
      <w:numFmt w:val="lowerRoman"/>
      <w:start w:val="2"/>
    </w:lvl>
    <w:lvl w:ilvl="1">
      <w:lvlJc w:val="left"/>
      <w:lvlText w:val="%2"/>
      <w:numFmt w:val="decimal"/>
      <w:start w:val="1"/>
    </w:lvl>
  </w:abstractNum>
  <w:abstractNum w:abstractNumId="42">
    <w:nsid w:val="775BA7C1"/>
    <w:multiLevelType w:val="hybridMultilevel"/>
    <w:lvl w:ilvl="0">
      <w:lvlJc w:val="left"/>
      <w:lvlText w:val="(%1)"/>
      <w:numFmt w:val="lowerLetter"/>
      <w:start w:val="1"/>
    </w:lvl>
  </w:abstractNum>
  <w:abstractNum w:abstractNumId="43">
    <w:nsid w:val="1DD6D6F4"/>
    <w:multiLevelType w:val="hybridMultilevel"/>
    <w:lvl w:ilvl="0">
      <w:lvlJc w:val="left"/>
      <w:lvlText w:val="8"/>
      <w:numFmt w:val="bullet"/>
      <w:start w:val="1"/>
    </w:lvl>
  </w:abstractNum>
  <w:abstractNum w:abstractNumId="44">
    <w:nsid w:val="769A091F"/>
    <w:multiLevelType w:val="hybridMultilevel"/>
    <w:lvl w:ilvl="0">
      <w:lvlJc w:val="left"/>
      <w:lvlText w:val="(%1)"/>
      <w:numFmt w:val="lowerLetter"/>
      <w:start w:val="1"/>
    </w:lvl>
  </w:abstractNum>
  <w:abstractNum w:abstractNumId="45">
    <w:nsid w:val="4695AE95"/>
    <w:multiLevelType w:val="hybridMultilevel"/>
    <w:lvl w:ilvl="0">
      <w:lvlJc w:val="left"/>
      <w:lvlText w:val="(%1)"/>
      <w:numFmt w:val="lowerLetter"/>
      <w:start w:val="1"/>
    </w:lvl>
  </w:abstractNum>
  <w:abstractNum w:abstractNumId="46">
    <w:nsid w:val="777A4EAA"/>
    <w:multiLevelType w:val="hybridMultilevel"/>
    <w:lvl w:ilvl="0">
      <w:lvlJc w:val="left"/>
      <w:lvlText w:val="9"/>
      <w:numFmt w:val="bullet"/>
      <w:start w:val="1"/>
    </w:lvl>
  </w:abstractNum>
  <w:abstractNum w:abstractNumId="47">
    <w:nsid w:val="3F48B982"/>
    <w:multiLevelType w:val="hybridMultilevel"/>
    <w:lvl w:ilvl="0">
      <w:lvlJc w:val="left"/>
      <w:lvlText w:val="(%1)"/>
      <w:numFmt w:val="lowerLetter"/>
      <w:start w:val="1"/>
    </w:lvl>
  </w:abstractNum>
  <w:abstractNum w:abstractNumId="48">
    <w:nsid w:val="46BA8FCA"/>
    <w:multiLevelType w:val="hybridMultilevel"/>
    <w:lvl w:ilvl="0">
      <w:lvlJc w:val="left"/>
      <w:lvlText w:val="(%1)"/>
      <w:numFmt w:val="lowerLetter"/>
      <w:start w:val="1"/>
    </w:lvl>
  </w:abstractNum>
  <w:abstractNum w:abstractNumId="49">
    <w:nsid w:val="7835626C"/>
    <w:multiLevelType w:val="hybridMultilevel"/>
    <w:lvl w:ilvl="0">
      <w:lvlJc w:val="left"/>
      <w:lvlText w:val="%1"/>
      <w:numFmt w:val="decimal"/>
      <w:start w:val="10"/>
    </w:lvl>
  </w:abstractNum>
  <w:abstractNum w:abstractNumId="50">
    <w:nsid w:val="665ACA49"/>
    <w:multiLevelType w:val="hybridMultilevel"/>
    <w:lvl w:ilvl="0">
      <w:lvlJc w:val="left"/>
      <w:lvlText w:val="(%1)"/>
      <w:numFmt w:val="lowerLetter"/>
      <w:start w:val="3"/>
    </w:lvl>
  </w:abstractNum>
  <w:abstractNum w:abstractNumId="51">
    <w:nsid w:val="6835B2AE"/>
    <w:multiLevelType w:val="hybridMultilevel"/>
    <w:lvl w:ilvl="0">
      <w:lvlJc w:val="left"/>
      <w:lvlText w:val="(%1)"/>
      <w:numFmt w:val="lowerLetter"/>
      <w:start w:val="1"/>
    </w:lvl>
  </w:abstractNum>
  <w:abstractNum w:abstractNumId="52">
    <w:nsid w:val="4C187C90"/>
    <w:multiLevelType w:val="hybridMultilevel"/>
    <w:lvl w:ilvl="0">
      <w:lvlJc w:val="left"/>
      <w:lvlText w:val="%1"/>
      <w:numFmt w:val="decimal"/>
      <w:start w:val="11"/>
    </w:lvl>
  </w:abstractNum>
  <w:abstractNum w:abstractNumId="53">
    <w:nsid w:val="541F28CD"/>
    <w:multiLevelType w:val="hybridMultilevel"/>
    <w:lvl w:ilvl="0">
      <w:lvlJc w:val="left"/>
      <w:lvlText w:val="%1"/>
      <w:numFmt w:val="lowerLetter"/>
      <w:start w:val="1"/>
    </w:lvl>
    <w:lvl w:ilvl="1">
      <w:lvlJc w:val="left"/>
      <w:lvlText w:val="(%2)"/>
      <w:numFmt w:val="lowerLetter"/>
      <w:start w:val="1"/>
    </w:lvl>
  </w:abstractNum>
  <w:abstractNum w:abstractNumId="54">
    <w:nsid w:val="7F65FD16"/>
    <w:multiLevelType w:val="hybridMultilevel"/>
    <w:lvl w:ilvl="0">
      <w:lvlJc w:val="left"/>
      <w:lvlText w:val="(%1)"/>
      <w:numFmt w:val="lowerLetter"/>
      <w:start w:val="1"/>
    </w:lvl>
    <w:lvl w:ilvl="1">
      <w:lvlJc w:val="left"/>
      <w:lvlText w:val="%2"/>
      <w:numFmt w:val="lowerLetter"/>
      <w:start w:val="1"/>
    </w:lvl>
  </w:abstractNum>
  <w:abstractNum w:abstractNumId="55">
    <w:nsid w:val="77C9FD68"/>
    <w:multiLevelType w:val="hybridMultilevel"/>
    <w:lvl w:ilvl="0">
      <w:lvlJc w:val="left"/>
      <w:lvlText w:val="%1"/>
      <w:numFmt w:val="decimal"/>
      <w:start w:val="12"/>
    </w:lvl>
  </w:abstractNum>
  <w:abstractNum w:abstractNumId="56">
    <w:nsid w:val="298A92BA"/>
    <w:multiLevelType w:val="hybridMultilevel"/>
    <w:lvl w:ilvl="0">
      <w:lvlJc w:val="left"/>
      <w:lvlText w:val="%1"/>
      <w:numFmt w:val="decimal"/>
      <w:start w:val="13"/>
    </w:lvl>
  </w:abstractNum>
  <w:abstractNum w:abstractNumId="57">
    <w:nsid w:val="6FE95EAC"/>
    <w:multiLevelType w:val="hybridMultilevel"/>
    <w:lvl w:ilvl="0">
      <w:lvlJc w:val="left"/>
      <w:lvlText w:val="(%1)"/>
      <w:numFmt w:val="lowerLetter"/>
      <w:start w:val="1"/>
    </w:lvl>
  </w:abstractNum>
  <w:abstractNum w:abstractNumId="58">
    <w:nsid w:val="4B697C7A"/>
    <w:multiLevelType w:val="hybridMultilevel"/>
    <w:lvl w:ilvl="0">
      <w:lvlJc w:val="left"/>
      <w:lvlText w:val="%1"/>
      <w:numFmt w:val="decimal"/>
      <w:start w:val="14"/>
    </w:lvl>
  </w:abstractNum>
  <w:abstractNum w:abstractNumId="59">
    <w:nsid w:val="51A27AA6"/>
    <w:multiLevelType w:val="hybridMultilevel"/>
    <w:lvl w:ilvl="0">
      <w:lvlJc w:val="left"/>
      <w:lvlText w:val="%1"/>
      <w:numFmt w:val="decimal"/>
      <w:start w:val="15"/>
    </w:lvl>
  </w:abstractNum>
  <w:abstractNum w:abstractNumId="60">
    <w:nsid w:val="613183F2"/>
    <w:multiLevelType w:val="hybridMultilevel"/>
    <w:lvl w:ilvl="0">
      <w:lvlJc w:val="left"/>
      <w:lvlText w:val="%1"/>
      <w:numFmt w:val="decimal"/>
      <w:start w:val="16"/>
    </w:lvl>
  </w:abstractNum>
  <w:abstractNum w:abstractNumId="61">
    <w:nsid w:val="634102B4"/>
    <w:multiLevelType w:val="hybridMultilevel"/>
    <w:lvl w:ilvl="0">
      <w:lvlJc w:val="left"/>
      <w:lvlText w:val="%1"/>
      <w:numFmt w:val="decimal"/>
      <w:start w:val="17"/>
    </w:lvl>
  </w:abstractNum>
  <w:abstractNum w:abstractNumId="62">
    <w:nsid w:val="65BF9DA8"/>
    <w:multiLevelType w:val="hybridMultilevel"/>
    <w:lvl w:ilvl="0">
      <w:lvlJc w:val="left"/>
      <w:lvlText w:val="(%1)"/>
      <w:numFmt w:val="lowerLetter"/>
      <w:start w:val="1"/>
    </w:lvl>
  </w:abstractNum>
  <w:abstractNum w:abstractNumId="63">
    <w:nsid w:val="21A2ECCA"/>
    <w:multiLevelType w:val="hybridMultilevel"/>
    <w:lvl w:ilvl="0">
      <w:lvlJc w:val="left"/>
      <w:lvlText w:val="%1"/>
      <w:numFmt w:val="decimal"/>
      <w:start w:val="18"/>
    </w:lvl>
  </w:abstractNum>
  <w:abstractNum w:abstractNumId="64">
    <w:nsid w:val="4D5C489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65">
    <w:nsid w:val="3C3B72B2"/>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9"/>
    </w:lvl>
    <w:lvl w:ilvl="3">
      <w:lvlJc w:val="left"/>
      <w:lvlText w:val="%4"/>
      <w:numFmt w:val="lowerRoman"/>
      <w:start w:val="1"/>
    </w:lvl>
  </w:abstractNum>
  <w:abstractNum w:abstractNumId="66">
    <w:nsid w:val="155EC4C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lvl w:ilvl="3">
      <w:lvlJc w:val="left"/>
      <w:lvlText w:val="%4"/>
      <w:numFmt w:val="lowerRoman"/>
      <w:start w:val="1"/>
    </w:lvl>
  </w:abstractNum>
  <w:abstractNum w:abstractNumId="67">
    <w:nsid w:val="65D2A137"/>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lvl w:ilvl="3">
      <w:lvlJc w:val="left"/>
      <w:lvlText w:val="(%4)"/>
      <w:numFmt w:val="lowerRoman"/>
      <w:start w:val="4"/>
    </w:lvl>
  </w:abstractNum>
  <w:abstractNum w:abstractNumId="68">
    <w:nsid w:val="6EBB1F2A"/>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1"/>
    </w:lvl>
    <w:lvl w:ilvl="3">
      <w:lvlJc w:val="left"/>
      <w:lvlText w:val="(%4)"/>
      <w:numFmt w:val="lowerRoman"/>
      <w:start w:val="9"/>
    </w:lvl>
  </w:abstractNum>
  <w:abstractNum w:abstractNumId="69">
    <w:nsid w:val="6FBF29CB"/>
    <w:multiLevelType w:val="hybridMultilevel"/>
    <w:lvl w:ilvl="0">
      <w:lvlJc w:val="left"/>
      <w:lvlText w:val="%1"/>
      <w:numFmt w:val="decimal"/>
      <w:start w:val="19"/>
    </w:lvl>
  </w:abstractNum>
  <w:abstractNum w:abstractNumId="70">
    <w:nsid w:val="550B8808"/>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9"/>
    </w:lvl>
  </w:abstractNum>
  <w:abstractNum w:abstractNumId="71">
    <w:nsid w:val="34CC3ACF"/>
    <w:multiLevelType w:val="hybridMultilevel"/>
    <w:lvl w:ilvl="0">
      <w:lvlJc w:val="left"/>
      <w:lvlText w:val="%1"/>
      <w:numFmt w:val="lowerLetter"/>
      <w:start w:val="1"/>
    </w:lvl>
    <w:lvl w:ilvl="1">
      <w:lvlJc w:val="left"/>
      <w:lvlText w:val="(%2)"/>
      <w:numFmt w:val="decimal"/>
      <w:start w:val="18"/>
    </w:lvl>
    <w:lvl w:ilvl="2">
      <w:lvlJc w:val="left"/>
      <w:lvlText w:val="%3"/>
      <w:numFmt w:val="lowerLetter"/>
      <w:start w:val="1"/>
    </w:lvl>
  </w:abstractNum>
  <w:abstractNum w:abstractNumId="72">
    <w:nsid w:val="4E556261"/>
    <w:multiLevelType w:val="hybridMultilevel"/>
    <w:lvl w:ilvl="0">
      <w:lvlJc w:val="left"/>
      <w:lvlText w:val="(%1)"/>
      <w:numFmt w:val="lowerLetter"/>
      <w:start w:val="3"/>
    </w:lvl>
    <w:lvl w:ilvl="1">
      <w:lvlJc w:val="left"/>
      <w:lvlText w:val="%2"/>
      <w:numFmt w:val="decimal"/>
      <w:start w:val="1"/>
    </w:lvl>
    <w:lvl w:ilvl="2">
      <w:lvlJc w:val="left"/>
      <w:lvlText w:val="%3"/>
      <w:numFmt w:val="lowerLetter"/>
      <w:start w:val="1"/>
    </w:lvl>
  </w:abstractNum>
  <w:abstractNum w:abstractNumId="73">
    <w:nsid w:val="4C672FC9"/>
    <w:multiLevelType w:val="hybridMultilevel"/>
    <w:lvl w:ilvl="0">
      <w:lvlJc w:val="left"/>
      <w:lvlText w:val="(%1)"/>
      <w:numFmt w:val="lowerRoman"/>
      <w:start w:val="10"/>
    </w:lvl>
  </w:abstractNum>
  <w:abstractNum w:abstractNumId="74">
    <w:nsid w:val="52A311C3"/>
    <w:multiLevelType w:val="hybridMultilevel"/>
    <w:lvl w:ilvl="0">
      <w:lvlJc w:val="left"/>
      <w:lvlText w:val="(%1)"/>
      <w:numFmt w:val="lowerRoman"/>
      <w:start w:val="1"/>
    </w:lvl>
  </w:abstractNum>
  <w:abstractNum w:abstractNumId="75">
    <w:nsid w:val="44EF6B80"/>
    <w:multiLevelType w:val="hybridMultilevel"/>
    <w:lvl w:ilvl="0">
      <w:lvlJc w:val="left"/>
      <w:lvlText w:val="%1"/>
      <w:numFmt w:val="decimal"/>
      <w:start w:val="22"/>
    </w:lvl>
  </w:abstractNum>
  <w:abstractNum w:abstractNumId="76">
    <w:nsid w:val="12FCDE5E"/>
    <w:multiLevelType w:val="hybridMultilevel"/>
    <w:lvl w:ilvl="0">
      <w:lvlJc w:val="left"/>
      <w:lvlText w:val="(%1)"/>
      <w:numFmt w:val="lowerLetter"/>
      <w:start w:val="4"/>
    </w:lvl>
  </w:abstractNum>
  <w:abstractNum w:abstractNumId="77">
    <w:nsid w:val="4A1D606E"/>
    <w:multiLevelType w:val="hybridMultilevel"/>
    <w:lvl w:ilvl="0">
      <w:lvlJc w:val="left"/>
      <w:lvlText w:val="%1"/>
      <w:numFmt w:val="decimal"/>
      <w:start w:val="23"/>
    </w:lvl>
  </w:abstractNum>
  <w:abstractNum w:abstractNumId="78">
    <w:nsid w:val="4382503"/>
    <w:multiLevelType w:val="hybridMultilevel"/>
    <w:lvl w:ilvl="0">
      <w:lvlJc w:val="left"/>
      <w:lvlText w:val="(%1)"/>
      <w:numFmt w:val="lowerLetter"/>
      <w:start w:val="1"/>
    </w:lvl>
  </w:abstractNum>
  <w:abstractNum w:abstractNumId="79">
    <w:nsid w:val="59B76E28"/>
    <w:multiLevelType w:val="hybridMultilevel"/>
    <w:lvl w:ilvl="0">
      <w:lvlJc w:val="left"/>
      <w:lvlText w:val="%1"/>
      <w:numFmt w:val="decimal"/>
      <w:start w:val="24"/>
    </w:lvl>
  </w:abstractNum>
  <w:abstractNum w:abstractNumId="80">
    <w:nsid w:val="4252C2DA"/>
    <w:multiLevelType w:val="hybridMultilevel"/>
    <w:lvl w:ilvl="0">
      <w:lvlJc w:val="left"/>
      <w:lvlText w:val="%1"/>
      <w:numFmt w:val="decimal"/>
      <w:start w:val="25"/>
    </w:lvl>
  </w:abstractNum>
  <w:abstractNum w:abstractNumId="81">
    <w:nsid w:val="6A92EF4C"/>
    <w:multiLevelType w:val="hybridMultilevel"/>
    <w:lvl w:ilvl="0">
      <w:lvlJc w:val="left"/>
      <w:lvlText w:val="(%1)"/>
      <w:numFmt w:val="lowerLetter"/>
      <w:start w:val="1"/>
    </w:lvl>
    <w:lvl w:ilvl="1">
      <w:lvlJc w:val="left"/>
      <w:lvlText w:val="(%2)"/>
      <w:numFmt w:val="lowerRoman"/>
      <w:start w:val="1"/>
    </w:lvl>
  </w:abstractNum>
  <w:abstractNum w:abstractNumId="82">
    <w:nsid w:val="41ED20D7"/>
    <w:multiLevelType w:val="hybridMultilevel"/>
    <w:lvl w:ilvl="0">
      <w:lvlJc w:val="left"/>
      <w:lvlText w:val="(%1)"/>
      <w:numFmt w:val="lowerLetter"/>
      <w:start w:val="2"/>
    </w:lvl>
    <w:lvl w:ilvl="1">
      <w:lvlJc w:val="left"/>
      <w:lvlText w:val="(%2)"/>
      <w:numFmt w:val="lowerRoman"/>
      <w:start w:val="4"/>
    </w:lvl>
  </w:abstractNum>
  <w:abstractNum w:abstractNumId="83">
    <w:nsid w:val="E6B3F6A"/>
    <w:multiLevelType w:val="hybridMultilevel"/>
    <w:lvl w:ilvl="0">
      <w:lvlJc w:val="left"/>
      <w:lvlText w:val="(%1)"/>
      <w:numFmt w:val="upperLetter"/>
      <w:start w:val="1"/>
    </w:lvl>
  </w:abstractNum>
  <w:abstractNum w:abstractNumId="84">
    <w:nsid w:val="3EB21819"/>
    <w:multiLevelType w:val="hybridMultilevel"/>
    <w:lvl w:ilvl="0">
      <w:lvlJc w:val="left"/>
      <w:lvlText w:val="%1"/>
      <w:numFmt w:val="decimal"/>
      <w:start w:val="26"/>
    </w:lvl>
  </w:abstractNum>
  <w:abstractNum w:abstractNumId="85">
    <w:nsid w:val="41531DED"/>
    <w:multiLevelType w:val="hybridMultilevel"/>
    <w:lvl w:ilvl="0">
      <w:lvlJc w:val="left"/>
      <w:lvlText w:val="(%1)"/>
      <w:numFmt w:val="lowerRoman"/>
      <w:start w:val="6"/>
    </w:lvl>
  </w:abstractNum>
  <w:abstractNum w:abstractNumId="86">
    <w:nsid w:val="6353CD2"/>
    <w:multiLevelType w:val="hybridMultilevel"/>
    <w:lvl w:ilvl="0">
      <w:lvlJc w:val="left"/>
      <w:lvlText w:val="%1"/>
      <w:numFmt w:val="decimal"/>
      <w:start w:val="27"/>
    </w:lvl>
  </w:abstractNum>
  <w:abstractNum w:abstractNumId="87">
    <w:nsid w:val="683CAAD3"/>
    <w:multiLevelType w:val="hybridMultilevel"/>
    <w:lvl w:ilvl="0">
      <w:lvlJc w:val="left"/>
      <w:lvlText w:val="%1"/>
      <w:numFmt w:val="decimal"/>
      <w:start w:val="28"/>
    </w:lvl>
  </w:abstractNum>
  <w:abstractNum w:abstractNumId="88">
    <w:nsid w:val="313C7C99"/>
    <w:multiLevelType w:val="hybridMultilevel"/>
    <w:lvl w:ilvl="0">
      <w:lvlJc w:val="left"/>
      <w:lvlText w:val="%1"/>
      <w:numFmt w:val="decimal"/>
      <w:start w:val="29"/>
    </w:lvl>
  </w:abstractNum>
  <w:abstractNum w:abstractNumId="89">
    <w:nsid w:val="519EB94C"/>
    <w:multiLevelType w:val="hybridMultilevel"/>
    <w:lvl w:ilvl="0">
      <w:lvlJc w:val="left"/>
      <w:lvlText w:val="%1"/>
      <w:numFmt w:val="decimal"/>
      <w:start w:val="30"/>
    </w:lvl>
  </w:abstractNum>
  <w:abstractNum w:abstractNumId="90">
    <w:nsid w:val="39DF2579"/>
    <w:multiLevelType w:val="hybridMultilevel"/>
    <w:lvl w:ilvl="0">
      <w:lvlJc w:val="left"/>
      <w:lvlText w:val="%1"/>
      <w:numFmt w:val="decimal"/>
      <w:start w:val="31"/>
    </w:lvl>
  </w:abstractNum>
  <w:abstractNum w:abstractNumId="91">
    <w:nsid w:val="126E008B"/>
    <w:multiLevelType w:val="hybridMultilevel"/>
    <w:lvl w:ilvl="0">
      <w:lvlJc w:val="left"/>
      <w:lvlText w:val="(%1)"/>
      <w:numFmt w:val="lowerLetter"/>
      <w:start w:val="1"/>
    </w:lvl>
    <w:lvl w:ilvl="1">
      <w:lvlJc w:val="left"/>
      <w:lvlText w:val="(%2)"/>
      <w:numFmt w:val="lowerLetter"/>
      <w:start w:val="2"/>
    </w:lvl>
  </w:abstractNum>
  <w:abstractNum w:abstractNumId="92">
    <w:nsid w:val="34DFBC00"/>
    <w:multiLevelType w:val="hybridMultilevel"/>
    <w:lvl w:ilvl="0">
      <w:lvlJc w:val="left"/>
      <w:lvlText w:val="%1"/>
      <w:numFmt w:val="decimal"/>
      <w:start w:val="32"/>
    </w:lvl>
  </w:abstractNum>
  <w:abstractNum w:abstractNumId="93">
    <w:nsid w:val="1F9EC322"/>
    <w:multiLevelType w:val="hybridMultilevel"/>
    <w:lvl w:ilvl="0">
      <w:lvlJc w:val="left"/>
      <w:lvlText w:val="(%1)"/>
      <w:numFmt w:val="lowerLetter"/>
      <w:start w:val="3"/>
    </w:lvl>
  </w:abstractNum>
  <w:abstractNum w:abstractNumId="94">
    <w:nsid w:val="3410ED56"/>
    <w:multiLevelType w:val="hybridMultilevel"/>
    <w:lvl w:ilvl="0">
      <w:lvlJc w:val="left"/>
      <w:lvlText w:val="(%1)"/>
      <w:numFmt w:val="lowerLetter"/>
      <w:start w:val="2"/>
    </w:lvl>
  </w:abstractNum>
  <w:abstractNum w:abstractNumId="95">
    <w:nsid w:val="23C049A"/>
    <w:multiLevelType w:val="hybridMultilevel"/>
    <w:lvl w:ilvl="0">
      <w:lvlJc w:val="left"/>
      <w:lvlText w:val="%1"/>
      <w:numFmt w:val="decimal"/>
      <w:start w:val="33"/>
    </w:lvl>
  </w:abstractNum>
  <w:abstractNum w:abstractNumId="96">
    <w:nsid w:val="5BDA35D4"/>
    <w:multiLevelType w:val="hybridMultilevel"/>
    <w:lvl w:ilvl="0">
      <w:lvlJc w:val="left"/>
      <w:lvlText w:val="(%1)"/>
      <w:numFmt w:val="lowerLetter"/>
      <w:start w:val="5"/>
    </w:lvl>
  </w:abstractNum>
  <w:abstractNum w:abstractNumId="97">
    <w:nsid w:val="496FB218"/>
    <w:multiLevelType w:val="hybridMultilevel"/>
    <w:lvl w:ilvl="0">
      <w:lvlJc w:val="left"/>
      <w:lvlText w:val="(%1)"/>
      <w:numFmt w:val="lowerLetter"/>
      <w:start w:val="2"/>
    </w:lvl>
  </w:abstractNum>
  <w:abstractNum w:abstractNumId="98">
    <w:nsid w:val="680EA5D1"/>
    <w:multiLevelType w:val="hybridMultilevel"/>
    <w:lvl w:ilvl="0">
      <w:lvlJc w:val="left"/>
      <w:lvlText w:val="%1"/>
      <w:numFmt w:val="decimal"/>
      <w:start w:val="34"/>
    </w:lvl>
  </w:abstractNum>
  <w:abstractNum w:abstractNumId="99">
    <w:nsid w:val="4A9554FE"/>
    <w:multiLevelType w:val="hybridMultilevel"/>
    <w:lvl w:ilvl="0">
      <w:lvlJc w:val="left"/>
      <w:lvlText w:val="(%1)"/>
      <w:numFmt w:val="lowerLetter"/>
      <w:start w:val="10"/>
    </w:lvl>
  </w:abstractNum>
  <w:abstractNum w:abstractNumId="100">
    <w:nsid w:val="392EDBE4"/>
    <w:multiLevelType w:val="hybridMultilevel"/>
    <w:lvl w:ilvl="0">
      <w:lvlJc w:val="left"/>
      <w:lvlText w:val="%1"/>
      <w:numFmt w:val="decimal"/>
      <w:start w:val="35"/>
    </w:lvl>
  </w:abstractNum>
  <w:abstractNum w:abstractNumId="101">
    <w:nsid w:val="3D1A2DD9"/>
    <w:multiLevelType w:val="hybridMultilevel"/>
    <w:lvl w:ilvl="0">
      <w:lvlJc w:val="left"/>
      <w:lvlText w:val="(%1)"/>
      <w:numFmt w:val="lowerLetter"/>
      <w:start w:val="11"/>
    </w:lvl>
  </w:abstractNum>
  <w:abstractNum w:abstractNumId="102">
    <w:nsid w:val="7F618FCD"/>
    <w:multiLevelType w:val="hybridMultilevel"/>
    <w:lvl w:ilvl="0">
      <w:lvlJc w:val="left"/>
      <w:lvlText w:val="(%1)"/>
      <w:numFmt w:val="lowerLetter"/>
      <w:start w:val="2"/>
    </w:lvl>
  </w:abstractNum>
  <w:abstractNum w:abstractNumId="103">
    <w:nsid w:val="7843E45"/>
    <w:multiLevelType w:val="hybridMultilevel"/>
    <w:lvl w:ilvl="0">
      <w:lvlJc w:val="left"/>
      <w:lvlText w:val="%1"/>
      <w:numFmt w:val="decimal"/>
      <w:start w:val="36"/>
    </w:lvl>
  </w:abstractNum>
  <w:abstractNum w:abstractNumId="104">
    <w:nsid w:val="9815DA3"/>
    <w:multiLevelType w:val="hybridMultilevel"/>
    <w:lvl w:ilvl="0">
      <w:lvlJc w:val="left"/>
      <w:lvlText w:val="%1"/>
      <w:numFmt w:val="decimal"/>
      <w:start w:val="37"/>
    </w:lvl>
  </w:abstractNum>
  <w:abstractNum w:abstractNumId="105">
    <w:nsid w:val="5204A191"/>
    <w:multiLevelType w:val="hybridMultilevel"/>
    <w:lvl w:ilvl="0">
      <w:lvlJc w:val="left"/>
      <w:lvlText w:val="%1"/>
      <w:numFmt w:val="decimal"/>
      <w:start w:val="38"/>
    </w:lvl>
  </w:abstractNum>
  <w:abstractNum w:abstractNumId="106">
    <w:nsid w:val="4C73A9C6"/>
    <w:multiLevelType w:val="hybridMultilevel"/>
    <w:lvl w:ilvl="0">
      <w:lvlJc w:val="left"/>
      <w:lvlText w:val="(%1)"/>
      <w:numFmt w:val="lowerLetter"/>
      <w:start w:val="12"/>
    </w:lvl>
  </w:abstractNum>
  <w:abstractNum w:abstractNumId="107">
    <w:nsid w:val="1C7E3C01"/>
    <w:multiLevelType w:val="hybridMultilevel"/>
    <w:lvl w:ilvl="0">
      <w:lvlJc w:val="left"/>
      <w:lvlText w:val="%1"/>
      <w:numFmt w:val="decimal"/>
      <w:start w:val="39"/>
    </w:lvl>
  </w:abstractNum>
  <w:abstractNum w:abstractNumId="108">
    <w:nsid w:val="1C2201FF"/>
    <w:multiLevelType w:val="hybridMultilevel"/>
    <w:lvl w:ilvl="0">
      <w:lvlJc w:val="left"/>
      <w:lvlText w:val="(%1)"/>
      <w:numFmt w:val="lowerLetter"/>
      <w:start w:val="1"/>
    </w:lvl>
  </w:abstractNum>
  <w:abstractNum w:abstractNumId="109">
    <w:nsid w:val="50ABCEC9"/>
    <w:multiLevelType w:val="hybridMultilevel"/>
    <w:lvl w:ilvl="0">
      <w:lvlJc w:val="left"/>
      <w:lvlText w:val="%1"/>
      <w:numFmt w:val="decimal"/>
      <w:start w:val="40"/>
    </w:lvl>
  </w:abstractNum>
  <w:abstractNum w:abstractNumId="110">
    <w:nsid w:val="7635AA2A"/>
    <w:multiLevelType w:val="hybridMultilevel"/>
    <w:lvl w:ilvl="0">
      <w:lvlJc w:val="left"/>
      <w:lvlText w:val="%1"/>
      <w:numFmt w:val="decimal"/>
      <w:start w:val="41"/>
    </w:lvl>
  </w:abstractNum>
  <w:abstractNum w:abstractNumId="111">
    <w:nsid w:val="5E74C4D9"/>
    <w:multiLevelType w:val="hybridMultilevel"/>
    <w:lvl w:ilvl="0">
      <w:lvlJc w:val="left"/>
      <w:lvlText w:val="%1"/>
      <w:numFmt w:val="decimal"/>
      <w:start w:val="43"/>
    </w:lvl>
  </w:abstractNum>
  <w:abstractNum w:abstractNumId="112">
    <w:nsid w:val="3B3EBE15"/>
    <w:multiLevelType w:val="hybridMultilevel"/>
    <w:lvl w:ilvl="0">
      <w:lvlJc w:val="left"/>
      <w:lvlText w:val="%1"/>
      <w:numFmt w:val="decimal"/>
      <w:start w:val="44"/>
    </w:lvl>
  </w:abstractNum>
  <w:abstractNum w:abstractNumId="113">
    <w:nsid w:val="3822CB01"/>
    <w:multiLevelType w:val="hybridMultilevel"/>
    <w:lvl w:ilvl="0">
      <w:lvlJc w:val="left"/>
      <w:lvlText w:val="%1"/>
      <w:numFmt w:val="decimal"/>
      <w:start w:val="45"/>
    </w:lvl>
  </w:abstractNum>
  <w:abstractNum w:abstractNumId="114">
    <w:nsid w:val="6CE00443"/>
    <w:multiLevelType w:val="hybridMultilevel"/>
    <w:lvl w:ilvl="0">
      <w:lvlJc w:val="left"/>
      <w:lvlText w:val="%1"/>
      <w:numFmt w:val="decimal"/>
      <w:start w:val="46"/>
    </w:lvl>
  </w:abstractNum>
  <w:abstractNum w:abstractNumId="115">
    <w:nsid w:val="79F0D62F"/>
    <w:multiLevelType w:val="hybridMultilevel"/>
    <w:lvl w:ilvl="0">
      <w:lvlJc w:val="left"/>
      <w:lvlText w:val="a.%1."/>
      <w:numFmt w:val="lowerLetter"/>
      <w:start w:val="1"/>
    </w:lvl>
  </w:abstractNum>
  <w:abstractNum w:abstractNumId="116">
    <w:nsid w:val="7975E8EE"/>
    <w:multiLevelType w:val="hybridMultilevel"/>
    <w:lvl w:ilvl="0">
      <w:lvlJc w:val="left"/>
      <w:lvlText w:val="%1"/>
      <w:numFmt w:val="decimal"/>
      <w:start w:val="47"/>
    </w:lvl>
  </w:abstractNum>
  <w:abstractNum w:abstractNumId="117">
    <w:nsid w:val="73154115"/>
    <w:multiLevelType w:val="hybridMultilevel"/>
    <w:lvl w:ilvl="0">
      <w:lvlJc w:val="left"/>
      <w:lvlText w:val="%1"/>
      <w:numFmt w:val="decimal"/>
      <w:start w:val="48"/>
    </w:lvl>
  </w:abstractNum>
  <w:abstractNum w:abstractNumId="118">
    <w:nsid w:val="622D8102"/>
    <w:multiLevelType w:val="hybridMultilevel"/>
    <w:lvl w:ilvl="0">
      <w:lvlJc w:val="left"/>
      <w:lvlText w:val="(%1)"/>
      <w:numFmt w:val="lowerLetter"/>
      <w:start w:val="1"/>
    </w:lvl>
    <w:lvl w:ilvl="1">
      <w:lvlJc w:val="left"/>
      <w:lvlText w:val="(%2)"/>
      <w:numFmt w:val="lowerRoman"/>
      <w:start w:val="1"/>
    </w:lvl>
  </w:abstractNum>
  <w:abstractNum w:abstractNumId="119">
    <w:nsid w:val="2AB26587"/>
    <w:multiLevelType w:val="hybridMultilevel"/>
    <w:lvl w:ilvl="0">
      <w:lvlJc w:val="left"/>
      <w:lvlText w:val="%1"/>
      <w:numFmt w:val="decimal"/>
      <w:start w:val="49"/>
    </w:lvl>
  </w:abstractNum>
  <w:abstractNum w:abstractNumId="120">
    <w:nsid w:val="44B3FA61"/>
    <w:multiLevelType w:val="hybridMultilevel"/>
    <w:lvl w:ilvl="0">
      <w:lvlJc w:val="left"/>
      <w:lvlText w:val="%1"/>
      <w:numFmt w:val="decimal"/>
      <w:start w:val="50"/>
    </w:lvl>
  </w:abstractNum>
  <w:abstractNum w:abstractNumId="121">
    <w:nsid w:val="1C0CA67C"/>
    <w:multiLevelType w:val="hybridMultilevel"/>
    <w:lvl w:ilvl="0">
      <w:lvlJc w:val="left"/>
      <w:lvlText w:val="%1"/>
      <w:numFmt w:val="decimal"/>
      <w:start w:val="51"/>
    </w:lvl>
  </w:abstractNum>
  <w:abstractNum w:abstractNumId="122">
    <w:nsid w:val="3D206613"/>
    <w:multiLevelType w:val="hybridMultilevel"/>
    <w:lvl w:ilvl="0">
      <w:lvlJc w:val="left"/>
      <w:lvlText w:val="%1"/>
      <w:numFmt w:val="decimal"/>
      <w:start w:val="52"/>
    </w:lvl>
  </w:abstractNum>
  <w:abstractNum w:abstractNumId="123">
    <w:nsid w:val="7993B662"/>
    <w:multiLevelType w:val="hybridMultilevel"/>
    <w:lvl w:ilvl="0">
      <w:lvlJc w:val="left"/>
      <w:lvlText w:val="%1"/>
      <w:numFmt w:val="decimal"/>
      <w:start w:val="53"/>
    </w:lvl>
  </w:abstractNum>
  <w:abstractNum w:abstractNumId="124">
    <w:nsid w:val="3BAB699E"/>
    <w:multiLevelType w:val="hybridMultilevel"/>
    <w:lvl w:ilvl="0">
      <w:lvlJc w:val="left"/>
      <w:lvlText w:val="."/>
      <w:numFmt w:val="bullet"/>
      <w:start w:val="1"/>
    </w:lvl>
  </w:abstractNum>
  <w:abstractNum w:abstractNumId="125">
    <w:nsid w:val="71315369"/>
    <w:multiLevelType w:val="hybridMultilevel"/>
    <w:lvl w:ilvl="0">
      <w:lvlJc w:val="left"/>
      <w:lvlText w:val="(%1)"/>
      <w:numFmt w:val="lowerRoman"/>
      <w:start w:val="1"/>
    </w:lvl>
  </w:abstractNum>
  <w:abstractNum w:abstractNumId="126">
    <w:nsid w:val="7BCFBAFC"/>
    <w:multiLevelType w:val="hybridMultilevel"/>
    <w:lvl w:ilvl="0">
      <w:lvlJc w:val="left"/>
      <w:lvlText w:val="(%1)"/>
      <w:numFmt w:val="lowerLetter"/>
      <w:start w:val="18"/>
    </w:lvl>
  </w:abstractNum>
  <w:abstractNum w:abstractNumId="127">
    <w:nsid w:val="17859F72"/>
    <w:multiLevelType w:val="hybridMultilevel"/>
    <w:lvl w:ilvl="0">
      <w:lvlJc w:val="left"/>
      <w:lvlText w:val="%1"/>
      <w:numFmt w:val="decimal"/>
      <w:start w:val="54"/>
    </w:lvl>
  </w:abstractNum>
  <w:abstractNum w:abstractNumId="128">
    <w:nsid w:val="3AA10581"/>
    <w:multiLevelType w:val="hybridMultilevel"/>
    <w:lvl w:ilvl="0">
      <w:lvlJc w:val="left"/>
      <w:lvlText w:val="."/>
      <w:numFmt w:val="bullet"/>
      <w:start w:val="1"/>
    </w:lvl>
  </w:abstractNum>
  <w:abstractNum w:abstractNumId="129">
    <w:nsid w:val="63DE60CD"/>
    <w:multiLevelType w:val="hybridMultilevel"/>
    <w:lvl w:ilvl="0">
      <w:lvlJc w:val="left"/>
      <w:lvlText w:val="."/>
      <w:numFmt w:val="bullet"/>
      <w:start w:val="1"/>
    </w:lvl>
  </w:abstractNum>
  <w:abstractNum w:abstractNumId="130">
    <w:nsid w:val="621AF471"/>
    <w:multiLevelType w:val="hybridMultilevel"/>
    <w:lvl w:ilvl="0">
      <w:lvlJc w:val="left"/>
      <w:lvlText w:val="."/>
      <w:numFmt w:val="bullet"/>
      <w:start w:val="1"/>
    </w:lvl>
  </w:abstractNum>
  <w:abstractNum w:abstractNumId="131">
    <w:nsid w:val="73CFE165"/>
    <w:multiLevelType w:val="hybridMultilevel"/>
    <w:lvl w:ilvl="0">
      <w:lvlJc w:val="left"/>
      <w:lvlText w:val="(%1)"/>
      <w:numFmt w:val="lowerLetter"/>
      <w:start w:val="1"/>
    </w:lvl>
  </w:abstractNum>
  <w:abstractNum w:abstractNumId="132">
    <w:nsid w:val="20F88EA6"/>
    <w:multiLevelType w:val="hybridMultilevel"/>
    <w:lvl w:ilvl="0">
      <w:lvlJc w:val="left"/>
      <w:lvlText w:val="."/>
      <w:numFmt w:val="bullet"/>
      <w:start w:val="1"/>
    </w:lvl>
  </w:abstractNum>
  <w:abstractNum w:abstractNumId="133">
    <w:nsid w:val="617C843E"/>
    <w:multiLevelType w:val="hybridMultilevel"/>
    <w:lvl w:ilvl="0">
      <w:lvlJc w:val="left"/>
      <w:lvlText w:val="%1"/>
      <w:numFmt w:val="decimal"/>
      <w:start w:val="55"/>
    </w:lvl>
  </w:abstractNum>
  <w:abstractNum w:abstractNumId="134">
    <w:nsid w:val="7B541FAB"/>
    <w:multiLevelType w:val="hybridMultilevel"/>
    <w:lvl w:ilvl="0">
      <w:lvlJc w:val="left"/>
      <w:lvlText w:val="(%1)"/>
      <w:numFmt w:val="lowerLetter"/>
      <w:start w:val="1"/>
    </w:lvl>
  </w:abstractNum>
  <w:abstractNum w:abstractNumId="135">
    <w:nsid w:val="2A79EC49"/>
    <w:multiLevelType w:val="hybridMultilevel"/>
    <w:lvl w:ilvl="0">
      <w:lvlJc w:val="left"/>
      <w:lvlText w:val="(%1)"/>
      <w:numFmt w:val="lowerLetter"/>
      <w:start w:val="3"/>
    </w:lvl>
  </w:abstractNum>
  <w:abstractNum w:abstractNumId="136">
    <w:nsid w:val="338125CF"/>
    <w:multiLevelType w:val="hybridMultilevel"/>
    <w:lvl w:ilvl="0">
      <w:lvlJc w:val="left"/>
      <w:lvlText w:val="%1"/>
      <w:numFmt w:val="decimal"/>
      <w:start w:val="56"/>
    </w:lvl>
  </w:abstractNum>
  <w:abstractNum w:abstractNumId="137">
    <w:nsid w:val="47C7C971"/>
    <w:multiLevelType w:val="hybridMultilevel"/>
    <w:lvl w:ilvl="0">
      <w:lvlJc w:val="left"/>
      <w:lvlText w:val="."/>
      <w:numFmt w:val="bullet"/>
      <w:start w:val="1"/>
    </w:lvl>
    <w:lvl w:ilvl="1">
      <w:lvlJc w:val="left"/>
      <w:lvlText w:val="(%2)"/>
      <w:numFmt w:val="lowerLetter"/>
      <w:start w:val="20"/>
    </w:lvl>
  </w:abstractNum>
  <w:abstractNum w:abstractNumId="138">
    <w:nsid w:val="46F8284B"/>
    <w:multiLevelType w:val="hybridMultilevel"/>
    <w:lvl w:ilvl="0">
      <w:lvlJc w:val="left"/>
      <w:lvlText w:val="%1"/>
      <w:numFmt w:val="decimal"/>
      <w:start w:val="57"/>
    </w:lvl>
  </w:abstractNum>
  <w:abstractNum w:abstractNumId="139">
    <w:nsid w:val="4FA327CE"/>
    <w:multiLevelType w:val="hybridMultilevel"/>
    <w:lvl w:ilvl="0">
      <w:lvlJc w:val="left"/>
      <w:lvlText w:val="(%1)"/>
      <w:numFmt w:val="lowerLetter"/>
      <w:start w:val="21"/>
    </w:lvl>
  </w:abstractNum>
  <w:abstractNum w:abstractNumId="140">
    <w:nsid w:val="1873983A"/>
    <w:multiLevelType w:val="hybridMultilevel"/>
    <w:lvl w:ilvl="0">
      <w:lvlJc w:val="left"/>
      <w:lvlText w:val="%1"/>
      <w:numFmt w:val="decimal"/>
      <w:start w:val="58"/>
    </w:lvl>
  </w:abstractNum>
  <w:abstractNum w:abstractNumId="141">
    <w:nsid w:val="3D2DD275"/>
    <w:multiLevelType w:val="hybridMultilevel"/>
    <w:lvl w:ilvl="0">
      <w:lvlJc w:val="left"/>
      <w:lvlText w:val="."/>
      <w:numFmt w:val="bullet"/>
      <w:start w:val="1"/>
    </w:lvl>
  </w:abstractNum>
  <w:abstractNum w:abstractNumId="142">
    <w:nsid w:val="2E17ECA7"/>
    <w:multiLevelType w:val="hybridMultilevel"/>
    <w:lvl w:ilvl="0">
      <w:lvlJc w:val="left"/>
      <w:lvlText w:val="."/>
      <w:numFmt w:val="bullet"/>
      <w:start w:val="1"/>
    </w:lvl>
  </w:abstractNum>
  <w:abstractNum w:abstractNumId="143">
    <w:nsid w:val="53B2564F"/>
    <w:multiLevelType w:val="hybridMultilevel"/>
    <w:lvl w:ilvl="0">
      <w:lvlJc w:val="left"/>
      <w:lvlText w:val="(%1)"/>
      <w:numFmt w:val="lowerLetter"/>
      <w:start w:val="2"/>
    </w:lvl>
  </w:abstractNum>
  <w:abstractNum w:abstractNumId="144">
    <w:nsid w:val="75509D76"/>
    <w:multiLevelType w:val="hybridMultilevel"/>
    <w:lvl w:ilvl="0">
      <w:lvlJc w:val="left"/>
      <w:lvlText w:val="%1"/>
      <w:numFmt w:val="lowerLetter"/>
      <w:start w:val="1"/>
    </w:lvl>
    <w:lvl w:ilvl="1">
      <w:lvlJc w:val="left"/>
      <w:lvlText w:val="(%2)"/>
      <w:numFmt w:val="lowerLetter"/>
      <w:start w:val="24"/>
    </w:lvl>
  </w:abstractNum>
  <w:abstractNum w:abstractNumId="145">
    <w:nsid w:val="1AF7F0EA"/>
    <w:multiLevelType w:val="hybridMultilevel"/>
    <w:lvl w:ilvl="0">
      <w:lvlJc w:val="left"/>
      <w:lvlText w:val="(%1)"/>
      <w:numFmt w:val="lowerLetter"/>
      <w:start w:val="25"/>
    </w:lvl>
    <w:lvl w:ilvl="1">
      <w:lvlJc w:val="left"/>
      <w:lvlText w:val="%2"/>
      <w:numFmt w:val="lowerLetter"/>
      <w:start w:val="1"/>
    </w:lvl>
  </w:abstractNum>
  <w:abstractNum w:abstractNumId="146">
    <w:nsid w:val="4DA32C7E"/>
    <w:multiLevelType w:val="hybridMultilevel"/>
    <w:lvl w:ilvl="0">
      <w:lvlJc w:val="left"/>
      <w:lvlText w:val="%1"/>
      <w:numFmt w:val="decimal"/>
      <w:start w:val="59"/>
    </w:lvl>
  </w:abstractNum>
  <w:abstractNum w:abstractNumId="147">
    <w:nsid w:val="6EC68664"/>
    <w:multiLevelType w:val="hybridMultilevel"/>
    <w:lvl w:ilvl="0">
      <w:lvlJc w:val="left"/>
      <w:lvlText w:val="(%1)"/>
      <w:numFmt w:val="lowerLetter"/>
      <w:start w:val="1"/>
    </w:lvl>
    <w:lvl w:ilvl="1">
      <w:lvlJc w:val="left"/>
      <w:lvlText w:val="(%2)"/>
      <w:numFmt w:val="lowerRoman"/>
      <w:start w:val="1"/>
    </w:lvl>
  </w:abstractNum>
  <w:abstractNum w:abstractNumId="148">
    <w:nsid w:val="E0D31FF"/>
    <w:multiLevelType w:val="hybridMultilevel"/>
    <w:lvl w:ilvl="0">
      <w:lvlJc w:val="left"/>
      <w:lvlText w:val="%1"/>
      <w:numFmt w:val="decimal"/>
      <w:start w:val="60"/>
    </w:lvl>
  </w:abstractNum>
  <w:abstractNum w:abstractNumId="149">
    <w:nsid w:val="2FD0AD81"/>
    <w:multiLevelType w:val="hybridMultilevel"/>
    <w:lvl w:ilvl="0">
      <w:lvlJc w:val="left"/>
      <w:lvlText w:val="(%1)"/>
      <w:numFmt w:val="lowerLetter"/>
      <w:start w:val="1"/>
    </w:lvl>
  </w:abstractNum>
  <w:abstractNum w:abstractNumId="150">
    <w:nsid w:val="1978EBEB"/>
    <w:multiLevelType w:val="hybridMultilevel"/>
    <w:lvl w:ilvl="0">
      <w:lvlJc w:val="left"/>
      <w:lvlText w:val="%1"/>
      <w:numFmt w:val="upperLetter"/>
      <w:start w:val="1"/>
    </w:lvl>
    <w:lvl w:ilvl="1">
      <w:lvlJc w:val="left"/>
      <w:lvlText w:val="(%2)"/>
      <w:numFmt w:val="lowerLetter"/>
      <w:start w:val="1"/>
    </w:lvl>
  </w:abstractNum>
  <w:abstractNum w:abstractNumId="151">
    <w:nsid w:val="52C12C61"/>
    <w:multiLevelType w:val="hybridMultilevel"/>
    <w:lvl w:ilvl="0">
      <w:lvlJc w:val="left"/>
      <w:lvlText w:val="(%1)"/>
      <w:numFmt w:val="upperLetter"/>
      <w:start w:val="4"/>
    </w:lvl>
    <w:lvl w:ilvl="1">
      <w:lvlJc w:val="left"/>
      <w:lvlText w:val="(%2)"/>
      <w:numFmt w:val="lowerLetter"/>
      <w:start w:val="2"/>
    </w:lvl>
  </w:abstractNum>
  <w:abstractNum w:abstractNumId="152">
    <w:nsid w:val="4BDD53FD"/>
    <w:multiLevelType w:val="hybridMultilevel"/>
    <w:lvl w:ilvl="0">
      <w:lvlJc w:val="left"/>
      <w:lvlText w:val="a.%1."/>
      <w:numFmt w:val="lowerLetter"/>
      <w:start w:val="1"/>
    </w:lvl>
  </w:abstractNum>
  <w:abstractNum w:abstractNumId="153">
    <w:nsid w:val="569951FE"/>
    <w:multiLevelType w:val="hybridMultilevel"/>
    <w:lvl w:ilvl="0">
      <w:lvlJc w:val="left"/>
      <w:lvlText w:val="%1"/>
      <w:numFmt w:val="decimal"/>
      <w:start w:val="61"/>
    </w:lvl>
  </w:abstractNum>
  <w:abstractNum w:abstractNumId="154">
    <w:nsid w:val="4C54E2C3"/>
    <w:multiLevelType w:val="hybridMultilevel"/>
    <w:lvl w:ilvl="0">
      <w:lvlJc w:val="left"/>
      <w:lvlText w:val="(%1)"/>
      <w:numFmt w:val="lowerLetter"/>
      <w:start w:val="1"/>
    </w:lvl>
    <w:lvl w:ilvl="1">
      <w:lvlJc w:val="left"/>
      <w:lvlText w:val="(%2)"/>
      <w:numFmt w:val="lowerRoman"/>
      <w:start w:val="3"/>
    </w:lvl>
  </w:abstractNum>
  <w:abstractNum w:abstractNumId="155">
    <w:nsid w:val="788BD9B"/>
    <w:multiLevelType w:val="hybridMultilevel"/>
    <w:lvl w:ilvl="0">
      <w:lvlJc w:val="left"/>
      <w:lvlText w:val="%1"/>
      <w:numFmt w:val="decimal"/>
      <w:start w:val="62"/>
    </w:lvl>
  </w:abstractNum>
  <w:abstractNum w:abstractNumId="156">
    <w:nsid w:val="47CAA567"/>
    <w:multiLevelType w:val="hybridMultilevel"/>
    <w:lvl w:ilvl="0">
      <w:lvlJc w:val="left"/>
      <w:lvlText w:val="%1"/>
      <w:numFmt w:val="lowerLetter"/>
      <w:start w:val="1"/>
    </w:lvl>
    <w:lvl w:ilvl="1">
      <w:lvlJc w:val="left"/>
      <w:lvlText w:val="(%2)"/>
      <w:numFmt w:val="lowerLetter"/>
      <w:start w:val="9"/>
    </w:lvl>
  </w:abstractNum>
  <w:abstractNum w:abstractNumId="157">
    <w:nsid w:val="48249DBF"/>
    <w:multiLevelType w:val="hybridMultilevel"/>
    <w:lvl w:ilvl="0">
      <w:lvlJc w:val="left"/>
      <w:lvlText w:val="(%1)"/>
      <w:numFmt w:val="lowerLetter"/>
      <w:start w:val="2"/>
    </w:lvl>
    <w:lvl w:ilvl="1">
      <w:lvlJc w:val="left"/>
      <w:lvlText w:val="%2"/>
      <w:numFmt w:val="lowerLetter"/>
      <w:start w:val="1"/>
    </w:lvl>
  </w:abstractNum>
  <w:abstractNum w:abstractNumId="158">
    <w:nsid w:val="1F0E5D0D"/>
    <w:multiLevelType w:val="hybridMultilevel"/>
    <w:lvl w:ilvl="0">
      <w:lvlJc w:val="left"/>
      <w:lvlText w:val="%1"/>
      <w:numFmt w:val="decimal"/>
      <w:start w:val="63"/>
    </w:lvl>
  </w:abstractNum>
  <w:abstractNum w:abstractNumId="159">
    <w:nsid w:val="26BAAE9"/>
    <w:multiLevelType w:val="hybridMultilevel"/>
    <w:lvl w:ilvl="0">
      <w:lvlJc w:val="left"/>
      <w:lvlText w:val="(%1)"/>
      <w:numFmt w:val="lowerLetter"/>
      <w:start w:val="5"/>
    </w:lvl>
  </w:abstractNum>
  <w:abstractNum w:abstractNumId="160">
    <w:nsid w:val="2C02FE8C"/>
    <w:multiLevelType w:val="hybridMultilevel"/>
    <w:lvl w:ilvl="0">
      <w:lvlJc w:val="left"/>
      <w:lvlText w:val="(%1)"/>
      <w:numFmt w:val="lowerLetter"/>
      <w:start w:val="1"/>
    </w:lvl>
  </w:abstractNum>
  <w:abstractNum w:abstractNumId="161">
    <w:nsid w:val="129517E"/>
    <w:multiLevelType w:val="hybridMultilevel"/>
    <w:lvl w:ilvl="0">
      <w:lvlJc w:val="left"/>
      <w:lvlText w:val="."/>
      <w:numFmt w:val="bullet"/>
      <w:start w:val="1"/>
    </w:lvl>
  </w:abstractNum>
  <w:abstractNum w:abstractNumId="162">
    <w:nsid w:val="763B8C4E"/>
    <w:multiLevelType w:val="hybridMultilevel"/>
    <w:lvl w:ilvl="0">
      <w:lvlJc w:val="left"/>
      <w:lvlText w:val="(%1)"/>
      <w:numFmt w:val="lowerLetter"/>
      <w:start w:val="1"/>
    </w:lvl>
  </w:abstractNum>
  <w:abstractNum w:abstractNumId="163">
    <w:nsid w:val="4CFB8D32"/>
    <w:multiLevelType w:val="hybridMultilevel"/>
    <w:lvl w:ilvl="0">
      <w:lvlJc w:val="left"/>
      <w:lvlText w:val="%1"/>
      <w:numFmt w:val="decimal"/>
      <w:start w:val="64"/>
    </w:lvl>
  </w:abstractNum>
  <w:abstractNum w:abstractNumId="164">
    <w:nsid w:val="62A5D5BD"/>
    <w:multiLevelType w:val="hybridMultilevel"/>
    <w:lvl w:ilvl="0">
      <w:lvlJc w:val="left"/>
      <w:lvlText w:val="(%1)"/>
      <w:numFmt w:val="upperLetter"/>
      <w:start w:val="2"/>
    </w:lvl>
  </w:abstractNum>
  <w:abstractNum w:abstractNumId="165">
    <w:nsid w:val="718FABF9"/>
    <w:multiLevelType w:val="hybridMultilevel"/>
    <w:lvl w:ilvl="0">
      <w:lvlJc w:val="left"/>
      <w:lvlText w:val="%1"/>
      <w:numFmt w:val="decimal"/>
      <w:start w:val="65"/>
    </w:lvl>
  </w:abstractNum>
  <w:abstractNum w:abstractNumId="166">
    <w:nsid w:val="7775797C"/>
    <w:multiLevelType w:val="hybridMultilevel"/>
    <w:lvl w:ilvl="0">
      <w:lvlJc w:val="left"/>
      <w:lvlText w:val="(%1)"/>
      <w:numFmt w:val="lowerLetter"/>
      <w:start w:val="2"/>
    </w:lvl>
  </w:abstractNum>
  <w:abstractNum w:abstractNumId="167">
    <w:nsid w:val="1626FB8C"/>
    <w:multiLevelType w:val="hybridMultilevel"/>
    <w:lvl w:ilvl="0">
      <w:lvlJc w:val="left"/>
      <w:lvlText w:val="."/>
      <w:numFmt w:val="bullet"/>
      <w:start w:val="1"/>
    </w:lvl>
  </w:abstractNum>
  <w:abstractNum w:abstractNumId="168">
    <w:nsid w:val="3957756A"/>
    <w:multiLevelType w:val="hybridMultilevel"/>
    <w:lvl w:ilvl="0">
      <w:lvlJc w:val="left"/>
      <w:lvlText w:val="(%1)"/>
      <w:numFmt w:val="lowerLetter"/>
      <w:start w:val="1"/>
    </w:lvl>
  </w:abstractNum>
  <w:abstractNum w:abstractNumId="169">
    <w:nsid w:val="3E6DA1C7"/>
    <w:multiLevelType w:val="hybridMultilevel"/>
    <w:lvl w:ilvl="0">
      <w:lvlJc w:val="left"/>
      <w:lvlText w:val="%1"/>
      <w:numFmt w:val="decimal"/>
      <w:start w:val="66"/>
    </w:lvl>
  </w:abstractNum>
  <w:abstractNum w:abstractNumId="170">
    <w:nsid w:val="65CA235B"/>
    <w:multiLevelType w:val="hybridMultilevel"/>
    <w:lvl w:ilvl="0">
      <w:lvlJc w:val="left"/>
      <w:lvlText w:val="(%1)"/>
      <w:numFmt w:val="lowerLetter"/>
      <w:start w:val="1"/>
    </w:lvl>
  </w:abstractNum>
  <w:abstractNum w:abstractNumId="171">
    <w:nsid w:val="51CB0DA4"/>
    <w:multiLevelType w:val="hybridMultilevel"/>
    <w:lvl w:ilvl="0">
      <w:lvlJc w:val="left"/>
      <w:lvlText w:val="."/>
      <w:numFmt w:val="bullet"/>
      <w:start w:val="1"/>
    </w:lvl>
  </w:abstractNum>
  <w:abstractNum w:abstractNumId="172">
    <w:nsid w:val="7B9B743C"/>
    <w:multiLevelType w:val="hybridMultilevel"/>
    <w:lvl w:ilvl="0">
      <w:lvlJc w:val="left"/>
      <w:lvlText w:val="%1"/>
      <w:numFmt w:val="decimal"/>
      <w:start w:val="67"/>
    </w:lvl>
  </w:abstractNum>
  <w:abstractNum w:abstractNumId="173">
    <w:nsid w:val="13E21002"/>
    <w:multiLevelType w:val="hybridMultilevel"/>
    <w:lvl w:ilvl="0">
      <w:lvlJc w:val="left"/>
      <w:lvlText w:val="."/>
      <w:numFmt w:val="bullet"/>
      <w:start w:val="1"/>
    </w:lvl>
  </w:abstractNum>
  <w:abstractNum w:abstractNumId="174">
    <w:nsid w:val="257D63F4"/>
    <w:multiLevelType w:val="hybridMultilevel"/>
    <w:lvl w:ilvl="0">
      <w:lvlJc w:val="left"/>
      <w:lvlText w:val="."/>
      <w:numFmt w:val="bullet"/>
      <w:start w:val="1"/>
    </w:lvl>
  </w:abstractNum>
  <w:abstractNum w:abstractNumId="175">
    <w:nsid w:val="70EC11B2"/>
    <w:multiLevelType w:val="hybridMultilevel"/>
    <w:lvl w:ilvl="0">
      <w:lvlJc w:val="left"/>
      <w:lvlText w:val="%1"/>
      <w:numFmt w:val="decimal"/>
      <w:start w:val="68"/>
    </w:lvl>
  </w:abstractNum>
  <w:abstractNum w:abstractNumId="176">
    <w:nsid w:val="2EDA00ED"/>
    <w:multiLevelType w:val="hybridMultilevel"/>
    <w:lvl w:ilvl="0">
      <w:lvlJc w:val="left"/>
      <w:lvlText w:val="%1"/>
      <w:numFmt w:val="decimal"/>
      <w:start w:val="1"/>
    </w:lvl>
    <w:lvl w:ilvl="1">
      <w:lvlJc w:val="left"/>
      <w:lvlText w:val="(%2)"/>
      <w:numFmt w:val="lowerLetter"/>
      <w:start w:val="1"/>
    </w:lvl>
  </w:abstractNum>
  <w:abstractNum w:abstractNumId="177">
    <w:nsid w:val="73209072"/>
    <w:multiLevelType w:val="hybridMultilevel"/>
    <w:lvl w:ilvl="0">
      <w:lvlJc w:val="left"/>
      <w:lvlText w:val="(%1)"/>
      <w:numFmt w:val="decimal"/>
      <w:start w:val="30"/>
    </w:lvl>
    <w:lvl w:ilvl="1">
      <w:lvlJc w:val="left"/>
      <w:lvlText w:val="(%2)"/>
      <w:numFmt w:val="lowerLetter"/>
      <w:start w:val="2"/>
    </w:lvl>
  </w:abstractNum>
  <w:abstractNum w:abstractNumId="178">
    <w:nsid w:val="5FB29816"/>
    <w:multiLevelType w:val="hybridMultilevel"/>
    <w:lvl w:ilvl="0">
      <w:lvlJc w:val="left"/>
      <w:lvlText w:val="."/>
      <w:numFmt w:val="bullet"/>
      <w:start w:val="1"/>
    </w:lvl>
  </w:abstractNum>
  <w:abstractNum w:abstractNumId="179">
    <w:nsid w:val="3CE732EC"/>
    <w:multiLevelType w:val="hybridMultilevel"/>
    <w:lvl w:ilvl="0">
      <w:lvlJc w:val="left"/>
      <w:lvlText w:val="%1"/>
      <w:numFmt w:val="decimal"/>
      <w:start w:val="69"/>
    </w:lvl>
  </w:abstractNum>
  <w:abstractNum w:abstractNumId="180">
    <w:nsid w:val="22F13DF3"/>
    <w:multiLevelType w:val="hybridMultilevel"/>
    <w:lvl w:ilvl="0">
      <w:lvlJc w:val="left"/>
      <w:lvlText w:val="."/>
      <w:numFmt w:val="bullet"/>
      <w:start w:val="1"/>
    </w:lvl>
  </w:abstractNum>
  <w:abstractNum w:abstractNumId="181">
    <w:nsid w:val="792B8401"/>
    <w:multiLevelType w:val="hybridMultilevel"/>
    <w:lvl w:ilvl="0">
      <w:lvlJc w:val="left"/>
      <w:lvlText w:val="."/>
      <w:numFmt w:val="bullet"/>
      <w:start w:val="1"/>
    </w:lvl>
  </w:abstractNum>
  <w:abstractNum w:abstractNumId="182">
    <w:nsid w:val="FA85F4D"/>
    <w:multiLevelType w:val="hybridMultilevel"/>
    <w:lvl w:ilvl="0">
      <w:lvlJc w:val="left"/>
      <w:lvlText w:val="."/>
      <w:numFmt w:val="bullet"/>
      <w:start w:val="1"/>
    </w:lvl>
  </w:abstractNum>
  <w:abstractNum w:abstractNumId="183">
    <w:nsid w:val="6ECE91F0"/>
    <w:multiLevelType w:val="hybridMultilevel"/>
    <w:lvl w:ilvl="0">
      <w:lvlJc w:val="left"/>
      <w:lvlText w:val="(%1)"/>
      <w:numFmt w:val="lowerLetter"/>
      <w:start w:val="1"/>
    </w:lvl>
  </w:abstractNum>
  <w:abstractNum w:abstractNumId="184">
    <w:nsid w:val="4FC4D600"/>
    <w:multiLevelType w:val="hybridMultilevel"/>
    <w:lvl w:ilvl="0">
      <w:lvlJc w:val="left"/>
      <w:lvlText w:val="%1"/>
      <w:numFmt w:val="decimal"/>
      <w:start w:val="70"/>
    </w:lvl>
  </w:abstractNum>
  <w:abstractNum w:abstractNumId="185">
    <w:nsid w:val="5BFD4210"/>
    <w:multiLevelType w:val="hybridMultilevel"/>
    <w:lvl w:ilvl="0">
      <w:lvlJc w:val="left"/>
      <w:lvlText w:val="(%1)"/>
      <w:numFmt w:val="lowerLetter"/>
      <w:start w:val="1"/>
    </w:lvl>
    <w:lvl w:ilvl="1">
      <w:lvlJc w:val="left"/>
      <w:lvlText w:val="(%2)"/>
      <w:numFmt w:val="lowerRoman"/>
      <w:start w:val="10"/>
    </w:lvl>
  </w:abstractNum>
  <w:abstractNum w:abstractNumId="186">
    <w:nsid w:val="76574F8B"/>
    <w:multiLevelType w:val="hybridMultilevel"/>
    <w:lvl w:ilvl="0">
      <w:lvlJc w:val="left"/>
      <w:lvlText w:val="%1"/>
      <w:numFmt w:val="decimal"/>
      <w:start w:val="71"/>
    </w:lvl>
  </w:abstractNum>
  <w:abstractNum w:abstractNumId="187">
    <w:nsid w:val="178F7B67"/>
    <w:multiLevelType w:val="hybridMultilevel"/>
    <w:lvl w:ilvl="0">
      <w:lvlJc w:val="left"/>
      <w:lvlText w:val="(%1)"/>
      <w:numFmt w:val="decimal"/>
      <w:start w:val="12"/>
    </w:lvl>
    <w:lvl w:ilvl="1">
      <w:lvlJc w:val="left"/>
      <w:lvlText w:val="(%2)"/>
      <w:numFmt w:val="lowerRoman"/>
      <w:start w:val="1"/>
    </w:lvl>
  </w:abstractNum>
  <w:abstractNum w:abstractNumId="188">
    <w:nsid w:val="2421DFCF"/>
    <w:multiLevelType w:val="hybridMultilevel"/>
    <w:lvl w:ilvl="0">
      <w:lvlJc w:val="left"/>
      <w:lvlText w:val="%1"/>
      <w:numFmt w:val="decimal"/>
      <w:start w:val="72"/>
    </w:lvl>
  </w:abstractNum>
  <w:abstractNum w:abstractNumId="189">
    <w:nsid w:val="1565AC99"/>
    <w:multiLevelType w:val="hybridMultilevel"/>
    <w:lvl w:ilvl="0">
      <w:lvlJc w:val="left"/>
      <w:lvlText w:val="%1"/>
      <w:numFmt w:val="lowerLetter"/>
      <w:start w:val="1"/>
    </w:lvl>
    <w:lvl w:ilvl="1">
      <w:lvlJc w:val="left"/>
      <w:lvlText w:val="(%2)"/>
      <w:numFmt w:val="lowerRoman"/>
      <w:start w:val="3"/>
    </w:lvl>
  </w:abstractNum>
  <w:abstractNum w:abstractNumId="190">
    <w:nsid w:val="19FB2650"/>
    <w:multiLevelType w:val="hybridMultilevel"/>
    <w:lvl w:ilvl="0">
      <w:lvlJc w:val="left"/>
      <w:lvlText w:val="(%1)"/>
      <w:numFmt w:val="lowerLetter"/>
      <w:start w:val="3"/>
    </w:lvl>
    <w:lvl w:ilvl="1">
      <w:lvlJc w:val="left"/>
      <w:lvlText w:val="%2"/>
      <w:numFmt w:val="lowerRoman"/>
      <w:start w:val="1"/>
    </w:lvl>
  </w:abstractNum>
  <w:abstractNum w:abstractNumId="191">
    <w:nsid w:val="5024DE5B"/>
    <w:multiLevelType w:val="hybridMultilevel"/>
    <w:lvl w:ilvl="0">
      <w:lvlJc w:val="left"/>
      <w:lvlText w:val="%1"/>
      <w:numFmt w:val="decimal"/>
      <w:start w:val="73"/>
    </w:lvl>
  </w:abstractNum>
  <w:abstractNum w:abstractNumId="192">
    <w:nsid w:val="168EFE17"/>
    <w:multiLevelType w:val="hybridMultilevel"/>
    <w:lvl w:ilvl="0">
      <w:lvlJc w:val="left"/>
      <w:lvlText w:val="(%1)"/>
      <w:numFmt w:val="lowerLetter"/>
      <w:start w:val="1"/>
    </w:lvl>
    <w:lvl w:ilvl="1">
      <w:lvlJc w:val="left"/>
      <w:lvlText w:val="(%2)"/>
      <w:numFmt w:val="lowerRoman"/>
      <w:start w:val="13"/>
    </w:lvl>
  </w:abstractNum>
  <w:abstractNum w:abstractNumId="193">
    <w:nsid w:val="1036B29F"/>
    <w:multiLevelType w:val="hybridMultilevel"/>
    <w:lvl w:ilvl="0">
      <w:lvlJc w:val="left"/>
      <w:lvlText w:val="(%1)"/>
      <w:numFmt w:val="lowerLetter"/>
      <w:start w:val="2"/>
    </w:lvl>
  </w:abstractNum>
  <w:abstractNum w:abstractNumId="194">
    <w:nsid w:val="1D206B8E"/>
    <w:multiLevelType w:val="hybridMultilevel"/>
    <w:lvl w:ilvl="0">
      <w:lvlJc w:val="left"/>
      <w:lvlText w:val="%1"/>
      <w:numFmt w:val="decimal"/>
      <w:start w:val="74"/>
    </w:lvl>
  </w:abstractNum>
  <w:abstractNum w:abstractNumId="195">
    <w:nsid w:val="7934D3D4"/>
    <w:multiLevelType w:val="hybridMultilevel"/>
    <w:lvl w:ilvl="0">
      <w:lvlJc w:val="left"/>
      <w:lvlText w:val="(%1)"/>
      <w:numFmt w:val="lowerLetter"/>
      <w:start w:val="3"/>
    </w:lvl>
    <w:lvl w:ilvl="1">
      <w:lvlJc w:val="left"/>
      <w:lvlText w:val="(%2)"/>
      <w:numFmt w:val="lowerRoman"/>
      <w:start w:val="17"/>
    </w:lvl>
  </w:abstractNum>
  <w:abstractNum w:abstractNumId="196">
    <w:nsid w:val="1C65E98"/>
    <w:multiLevelType w:val="hybridMultilevel"/>
    <w:lvl w:ilvl="0">
      <w:lvlJc w:val="left"/>
      <w:lvlText w:val="%1"/>
      <w:numFmt w:val="decimal"/>
      <w:start w:val="75"/>
    </w:lvl>
  </w:abstractNum>
  <w:abstractNum w:abstractNumId="197">
    <w:nsid w:val="1495E50A"/>
    <w:multiLevelType w:val="hybridMultilevel"/>
    <w:lvl w:ilvl="0">
      <w:lvlJc w:val="left"/>
      <w:lvlText w:val="(%1)"/>
      <w:numFmt w:val="lowerLetter"/>
      <w:start w:val="4"/>
    </w:lvl>
    <w:lvl w:ilvl="1">
      <w:lvlJc w:val="left"/>
      <w:lvlText w:val="(%2)"/>
      <w:numFmt w:val="lowerRoman"/>
      <w:start w:val="20"/>
    </w:lvl>
  </w:abstractNum>
  <w:abstractNum w:abstractNumId="198">
    <w:nsid w:val="F5BCF61"/>
    <w:multiLevelType w:val="hybridMultilevel"/>
    <w:lvl w:ilvl="0">
      <w:lvlJc w:val="left"/>
      <w:lvlText w:val="%1"/>
      <w:numFmt w:val="decimal"/>
      <w:start w:val="76"/>
    </w:lvl>
  </w:abstractNum>
  <w:abstractNum w:abstractNumId="199">
    <w:nsid w:val="3B1DD403"/>
    <w:multiLevelType w:val="hybridMultilevel"/>
    <w:lvl w:ilvl="0">
      <w:lvlJc w:val="left"/>
      <w:lvlText w:val="."/>
      <w:numFmt w:val="bullet"/>
      <w:start w:val="1"/>
    </w:lvl>
    <w:lvl w:ilvl="1">
      <w:lvlJc w:val="left"/>
      <w:lvlText w:val="(%2)"/>
      <w:numFmt w:val="lowerLetter"/>
      <w:start w:val="1"/>
    </w:lvl>
  </w:abstractNum>
  <w:abstractNum w:abstractNumId="200">
    <w:nsid w:val="530386D1"/>
    <w:multiLevelType w:val="hybridMultilevel"/>
    <w:lvl w:ilvl="0">
      <w:lvlJc w:val="left"/>
      <w:lvlText w:val="(%1)"/>
      <w:numFmt w:val="decimal"/>
      <w:start w:val="3"/>
    </w:lvl>
    <w:lvl w:ilvl="1">
      <w:lvlJc w:val="left"/>
      <w:lvlText w:val="(%2)"/>
      <w:numFmt w:val="upperLetter"/>
      <w:start w:val="1"/>
    </w:lvl>
  </w:abstractNum>
  <w:abstractNum w:abstractNumId="201">
    <w:nsid w:val="7525F2BC"/>
    <w:multiLevelType w:val="hybridMultilevel"/>
    <w:lvl w:ilvl="0">
      <w:lvlJc w:val="left"/>
      <w:lvlText w:val="%1"/>
      <w:numFmt w:val="decimal"/>
      <w:start w:val="77"/>
    </w:lvl>
  </w:abstractNum>
  <w:abstractNum w:abstractNumId="202">
    <w:nsid w:val="CE8E1A7"/>
    <w:multiLevelType w:val="hybridMultilevel"/>
    <w:lvl w:ilvl="0">
      <w:lvlJc w:val="left"/>
      <w:lvlText w:val="(%1)"/>
      <w:numFmt w:val="lowerLetter"/>
      <w:start w:val="26"/>
    </w:lvl>
  </w:abstractNum>
  <w:abstractNum w:abstractNumId="203">
    <w:nsid w:val="4E9EFB0D"/>
    <w:multiLevelType w:val="hybridMultilevel"/>
    <w:lvl w:ilvl="0">
      <w:lvlJc w:val="left"/>
      <w:lvlText w:val="(%1)"/>
      <w:numFmt w:val="lowerLetter"/>
      <w:start w:val="27"/>
    </w:lvl>
  </w:abstractNum>
  <w:abstractNum w:abstractNumId="204">
    <w:nsid w:val="90802BE"/>
    <w:multiLevelType w:val="hybridMultilevel"/>
    <w:lvl w:ilvl="0">
      <w:lvlJc w:val="left"/>
      <w:lvlText w:val="(%1)"/>
      <w:numFmt w:val="lowerLetter"/>
      <w:start w:val="1"/>
    </w:lvl>
  </w:abstractNum>
  <w:abstractNum w:abstractNumId="205">
    <w:nsid w:val="3266459B"/>
    <w:multiLevelType w:val="hybridMultilevel"/>
    <w:lvl w:ilvl="0">
      <w:lvlJc w:val="left"/>
      <w:lvlText w:val="%1"/>
      <w:numFmt w:val="decimal"/>
      <w:start w:val="78"/>
    </w:lvl>
  </w:abstractNum>
  <w:abstractNum w:abstractNumId="206">
    <w:nsid w:val="3F8B0CBF"/>
    <w:multiLevelType w:val="hybridMultilevel"/>
    <w:lvl w:ilvl="0">
      <w:lvlJc w:val="left"/>
      <w:lvlText w:val="(%1)"/>
      <w:numFmt w:val="lowerLetter"/>
      <w:start w:val="2"/>
    </w:lvl>
  </w:abstractNum>
  <w:abstractNum w:abstractNumId="207">
    <w:nsid w:val="37E203AB"/>
    <w:multiLevelType w:val="hybridMultilevel"/>
    <w:lvl w:ilvl="0">
      <w:lvlJc w:val="left"/>
      <w:lvlText w:val="(%1)"/>
      <w:numFmt w:val="lowerLetter"/>
      <w:start w:val="1"/>
    </w:lvl>
  </w:abstractNum>
  <w:abstractNum w:abstractNumId="208">
    <w:nsid w:val="2586D60E"/>
    <w:multiLevelType w:val="hybridMultilevel"/>
    <w:lvl w:ilvl="0">
      <w:lvlJc w:val="left"/>
      <w:lvlText w:val="."/>
      <w:numFmt w:val="bullet"/>
      <w:start w:val="1"/>
    </w:lvl>
    <w:lvl w:ilvl="1">
      <w:lvlJc w:val="left"/>
      <w:lvlText w:val="(%2)"/>
      <w:numFmt w:val="lowerRoman"/>
      <w:start w:val="22"/>
    </w:lvl>
  </w:abstractNum>
  <w:abstractNum w:abstractNumId="209">
    <w:nsid w:val="1F3DA4D5"/>
    <w:multiLevelType w:val="hybridMultilevel"/>
    <w:lvl w:ilvl="0">
      <w:lvlJc w:val="left"/>
      <w:lvlText w:val="%1"/>
      <w:numFmt w:val="decimal"/>
      <w:start w:val="79"/>
    </w:lvl>
  </w:abstractNum>
  <w:abstractNum w:abstractNumId="210">
    <w:nsid w:val="74C93698"/>
    <w:multiLevelType w:val="hybridMultilevel"/>
    <w:lvl w:ilvl="0">
      <w:lvlJc w:val="left"/>
      <w:lvlText w:val="(%1)"/>
      <w:numFmt w:val="lowerRoman"/>
      <w:start w:val="23"/>
    </w:lvl>
  </w:abstractNum>
  <w:abstractNum w:abstractNumId="211">
    <w:nsid w:val="48781401"/>
    <w:multiLevelType w:val="hybridMultilevel"/>
    <w:lvl w:ilvl="0">
      <w:lvlJc w:val="left"/>
      <w:lvlText w:val="(%1)"/>
      <w:numFmt w:val="lowerLetter"/>
      <w:start w:val="1"/>
    </w:lvl>
  </w:abstractNum>
  <w:abstractNum w:abstractNumId="212">
    <w:nsid w:val="186928D6"/>
    <w:multiLevelType w:val="hybridMultilevel"/>
    <w:lvl w:ilvl="0">
      <w:lvlJc w:val="left"/>
      <w:lvlText w:val="%1"/>
      <w:numFmt w:val="decimal"/>
      <w:start w:val="80"/>
    </w:lvl>
  </w:abstractNum>
  <w:abstractNum w:abstractNumId="213">
    <w:nsid w:val="47195E5"/>
    <w:multiLevelType w:val="hybridMultilevel"/>
    <w:lvl w:ilvl="0">
      <w:lvlJc w:val="left"/>
      <w:lvlText w:val="(%1)"/>
      <w:numFmt w:val="lowerLetter"/>
      <w:start w:val="9"/>
    </w:lvl>
    <w:lvl w:ilvl="1">
      <w:lvlJc w:val="left"/>
      <w:lvlText w:val="(%2)"/>
      <w:numFmt w:val="lowerLetter"/>
      <w:start w:val="3"/>
    </w:lvl>
  </w:abstractNum>
  <w:abstractNum w:abstractNumId="214">
    <w:nsid w:val="3746A5F2"/>
    <w:multiLevelType w:val="hybridMultilevel"/>
    <w:lvl w:ilvl="0">
      <w:lvlJc w:val="left"/>
      <w:lvlText w:val="(%1)"/>
      <w:numFmt w:val="lowerLetter"/>
      <w:start w:val="1"/>
    </w:lvl>
    <w:lvl w:ilvl="1">
      <w:lvlJc w:val="left"/>
      <w:lvlText w:val="(%2)"/>
      <w:numFmt w:val="lowerRoman"/>
      <w:start w:val="24"/>
    </w:lvl>
  </w:abstractNum>
  <w:abstractNum w:abstractNumId="215">
    <w:nsid w:val="682DFED6"/>
    <w:multiLevelType w:val="hybridMultilevel"/>
    <w:lvl w:ilvl="0">
      <w:lvlJc w:val="left"/>
      <w:lvlText w:val="(%1)"/>
      <w:numFmt w:val="upperLetter"/>
      <w:start w:val="1"/>
    </w:lvl>
  </w:abstractNum>
  <w:abstractNum w:abstractNumId="216">
    <w:nsid w:val="606ED7F6"/>
    <w:multiLevelType w:val="hybridMultilevel"/>
    <w:lvl w:ilvl="0">
      <w:lvlJc w:val="left"/>
      <w:lvlText w:val="%1"/>
      <w:numFmt w:val="decimal"/>
      <w:start w:val="81"/>
    </w:lvl>
  </w:abstractNum>
  <w:abstractNum w:abstractNumId="217">
    <w:nsid w:val="2D9DF57D"/>
    <w:multiLevelType w:val="hybridMultilevel"/>
    <w:lvl w:ilvl="0">
      <w:lvlJc w:val="left"/>
      <w:lvlText w:val="(%1)"/>
      <w:numFmt w:val="lowerRoman"/>
      <w:start w:val="26"/>
    </w:lvl>
  </w:abstractNum>
  <w:abstractNum w:abstractNumId="218">
    <w:nsid w:val="7FBD7A3E"/>
    <w:multiLevelType w:val="hybridMultilevel"/>
    <w:lvl w:ilvl="0">
      <w:lvlJc w:val="left"/>
      <w:lvlText w:val="(%1)"/>
      <w:numFmt w:val="lowerLetter"/>
      <w:start w:val="9"/>
    </w:lvl>
    <w:lvl w:ilvl="1">
      <w:lvlJc w:val="left"/>
      <w:lvlText w:val="(%2)"/>
      <w:numFmt w:val="lowerLetter"/>
      <w:start w:val="2"/>
    </w:lvl>
  </w:abstractNum>
  <w:abstractNum w:abstractNumId="219">
    <w:nsid w:val="490B7C5"/>
    <w:multiLevelType w:val="hybridMultilevel"/>
    <w:lvl w:ilvl="0">
      <w:lvlJc w:val="left"/>
      <w:lvlText w:val="%1"/>
      <w:numFmt w:val="decimal"/>
      <w:start w:val="82"/>
    </w:lvl>
  </w:abstractNum>
  <w:abstractNum w:abstractNumId="220">
    <w:nsid w:val="4303A216"/>
    <w:multiLevelType w:val="hybridMultilevel"/>
    <w:lvl w:ilvl="0">
      <w:lvlJc w:val="left"/>
      <w:lvlText w:val="%1"/>
      <w:numFmt w:val="lowerLetter"/>
      <w:start w:val="1"/>
    </w:lvl>
    <w:lvl w:ilvl="1">
      <w:lvlJc w:val="left"/>
      <w:lvlText w:val="(%2)"/>
      <w:numFmt w:val="lowerRoman"/>
      <w:start w:val="27"/>
    </w:lvl>
  </w:abstractNum>
  <w:abstractNum w:abstractNumId="221">
    <w:nsid w:val="19B8A08E"/>
    <w:multiLevelType w:val="hybridMultilevel"/>
    <w:lvl w:ilvl="0">
      <w:lvlJc w:val="left"/>
      <w:lvlText w:val="(%1)"/>
      <w:numFmt w:val="lowerLetter"/>
      <w:start w:val="3"/>
    </w:lvl>
    <w:lvl w:ilvl="1">
      <w:lvlJc w:val="left"/>
      <w:lvlText w:val="(%2)"/>
      <w:numFmt w:val="lowerRoman"/>
      <w:start w:val="30"/>
    </w:lvl>
  </w:abstractNum>
  <w:abstractNum w:abstractNumId="222">
    <w:nsid w:val="54B59621"/>
    <w:multiLevelType w:val="hybridMultilevel"/>
    <w:lvl w:ilvl="0">
      <w:lvlJc w:val="left"/>
      <w:lvlText w:val="%1"/>
      <w:numFmt w:val="decimal"/>
      <w:start w:val="83"/>
    </w:lvl>
  </w:abstractNum>
  <w:abstractNum w:abstractNumId="223">
    <w:nsid w:val="5992A02E"/>
    <w:multiLevelType w:val="hybridMultilevel"/>
    <w:lvl w:ilvl="0">
      <w:lvlJc w:val="left"/>
      <w:lvlText w:val="%1"/>
      <w:numFmt w:val="lowerRoman"/>
      <w:start w:val="1"/>
    </w:lvl>
    <w:lvl w:ilvl="1">
      <w:lvlJc w:val="left"/>
      <w:lvlText w:val="(%2)"/>
      <w:numFmt w:val="upperLetter"/>
      <w:start w:val="2"/>
    </w:lvl>
  </w:abstractNum>
  <w:abstractNum w:abstractNumId="224">
    <w:nsid w:val="29EF532D"/>
    <w:multiLevelType w:val="hybridMultilevel"/>
    <w:lvl w:ilvl="0">
      <w:lvlJc w:val="left"/>
      <w:lvlText w:val="(%1)"/>
      <w:numFmt w:val="lowerRoman"/>
      <w:start w:val="31"/>
    </w:lvl>
    <w:lvl w:ilvl="1">
      <w:lvlJc w:val="left"/>
      <w:lvlText w:val="%2"/>
      <w:numFmt w:val="upperLetter"/>
      <w:start w:val="1"/>
    </w:lvl>
  </w:abstractNum>
  <w:abstractNum w:abstractNumId="225">
    <w:nsid w:val="71D601AF"/>
    <w:multiLevelType w:val="hybridMultilevel"/>
    <w:lvl w:ilvl="0">
      <w:lvlJc w:val="left"/>
      <w:lvlText w:val="%1"/>
      <w:numFmt w:val="decimal"/>
      <w:start w:val="84"/>
    </w:lvl>
  </w:abstractNum>
  <w:abstractNum w:abstractNumId="226">
    <w:nsid w:val="52C77402"/>
    <w:multiLevelType w:val="hybridMultilevel"/>
    <w:lvl w:ilvl="0">
      <w:lvlJc w:val="left"/>
      <w:lvlText w:val="%1"/>
      <w:numFmt w:val="decimal"/>
      <w:start w:val="1"/>
    </w:lvl>
    <w:lvl w:ilvl="1">
      <w:lvlJc w:val="left"/>
      <w:lvlText w:val="(%2)"/>
      <w:numFmt w:val="lowerRoman"/>
      <w:start w:val="33"/>
    </w:lvl>
  </w:abstractNum>
  <w:abstractNum w:abstractNumId="227">
    <w:nsid w:val="2BB5B1C6"/>
    <w:multiLevelType w:val="hybridMultilevel"/>
    <w:lvl w:ilvl="0">
      <w:lvlJc w:val="left"/>
      <w:lvlText w:val="(%1)"/>
      <w:numFmt w:val="decimal"/>
      <w:start w:val="2"/>
    </w:lvl>
    <w:lvl w:ilvl="1">
      <w:lvlJc w:val="left"/>
      <w:lvlText w:val="(%2)"/>
      <w:numFmt w:val="lowerRoman"/>
      <w:start w:val="34"/>
    </w:lvl>
  </w:abstractNum>
  <w:abstractNum w:abstractNumId="228">
    <w:nsid w:val="66BE6B9"/>
    <w:multiLevelType w:val="hybridMultilevel"/>
    <w:lvl w:ilvl="0">
      <w:lvlJc w:val="left"/>
      <w:lvlText w:val="(%1)"/>
      <w:numFmt w:val="lowerLetter"/>
      <w:start w:val="4"/>
    </w:lvl>
  </w:abstractNum>
  <w:abstractNum w:abstractNumId="229">
    <w:nsid w:val="62234363"/>
    <w:multiLevelType w:val="hybridMultilevel"/>
    <w:lvl w:ilvl="0">
      <w:lvlJc w:val="left"/>
      <w:lvlText w:val="%1"/>
      <w:numFmt w:val="decimal"/>
      <w:start w:val="85"/>
    </w:lvl>
  </w:abstractNum>
  <w:abstractNum w:abstractNumId="230">
    <w:nsid w:val="66D385C9"/>
    <w:multiLevelType w:val="hybridMultilevel"/>
    <w:lvl w:ilvl="0">
      <w:lvlJc w:val="left"/>
      <w:lvlText w:val="."/>
      <w:numFmt w:val="bullet"/>
      <w:start w:val="1"/>
    </w:lvl>
  </w:abstractNum>
  <w:abstractNum w:abstractNumId="231">
    <w:nsid w:val="596F6D8A"/>
    <w:multiLevelType w:val="hybridMultilevel"/>
    <w:lvl w:ilvl="0">
      <w:lvlJc w:val="left"/>
      <w:lvlText w:val="(%1)"/>
      <w:numFmt w:val="lowerLetter"/>
      <w:start w:val="1"/>
    </w:lvl>
    <w:lvl w:ilvl="1">
      <w:lvlJc w:val="left"/>
      <w:lvlText w:val="(%2)"/>
      <w:numFmt w:val="lowerRoman"/>
      <w:start w:val="36"/>
    </w:lvl>
  </w:abstractNum>
  <w:abstractNum w:abstractNumId="232">
    <w:nsid w:val="5749361F"/>
    <w:multiLevelType w:val="hybridMultilevel"/>
    <w:lvl w:ilvl="0">
      <w:lvlJc w:val="left"/>
      <w:lvlText w:val="%1"/>
      <w:numFmt w:val="decimal"/>
      <w:start w:val="86"/>
    </w:lvl>
  </w:abstractNum>
  <w:abstractNum w:abstractNumId="233">
    <w:nsid w:val="73BC6770"/>
    <w:multiLevelType w:val="hybridMultilevel"/>
    <w:lvl w:ilvl="0">
      <w:lvlJc w:val="left"/>
      <w:lvlText w:val="(%1)"/>
      <w:numFmt w:val="lowerRoman"/>
      <w:start w:val="1"/>
    </w:lvl>
  </w:abstractNum>
  <w:abstractNum w:abstractNumId="234">
    <w:nsid w:val="280E6897"/>
    <w:multiLevelType w:val="hybridMultilevel"/>
    <w:lvl w:ilvl="0">
      <w:lvlJc w:val="left"/>
      <w:lvlText w:val="(%1)"/>
      <w:numFmt w:val="lowerLetter"/>
      <w:start w:val="2"/>
    </w:lvl>
  </w:abstractNum>
  <w:abstractNum w:abstractNumId="235">
    <w:nsid w:val="605138DE"/>
    <w:multiLevelType w:val="hybridMultilevel"/>
    <w:lvl w:ilvl="0">
      <w:lvlJc w:val="left"/>
      <w:lvlText w:val="%1"/>
      <w:numFmt w:val="decimal"/>
      <w:start w:val="87"/>
    </w:lvl>
  </w:abstractNum>
  <w:abstractNum w:abstractNumId="236">
    <w:nsid w:val="2622AD0C"/>
    <w:multiLevelType w:val="hybridMultilevel"/>
    <w:lvl w:ilvl="0">
      <w:lvlJc w:val="left"/>
      <w:lvlText w:val="(%1)"/>
      <w:numFmt w:val="lowerLetter"/>
      <w:start w:val="1"/>
    </w:lvl>
  </w:abstractNum>
  <w:abstractNum w:abstractNumId="237">
    <w:nsid w:val="67997556"/>
    <w:multiLevelType w:val="hybridMultilevel"/>
    <w:lvl w:ilvl="0">
      <w:lvlJc w:val="left"/>
      <w:lvlText w:val="%1"/>
      <w:numFmt w:val="decimal"/>
      <w:start w:val="88"/>
    </w:lvl>
  </w:abstractNum>
  <w:abstractNum w:abstractNumId="238">
    <w:nsid w:val="18333C89"/>
    <w:multiLevelType w:val="hybridMultilevel"/>
    <w:lvl w:ilvl="0">
      <w:lvlJc w:val="left"/>
      <w:lvlText w:val="(%1)"/>
      <w:numFmt w:val="lowerLetter"/>
      <w:start w:val="6"/>
    </w:lvl>
    <w:lvl w:ilvl="1">
      <w:lvlJc w:val="left"/>
      <w:lvlText w:val="(%2)"/>
      <w:numFmt w:val="lowerRoman"/>
      <w:start w:val="38"/>
    </w:lvl>
    <w:lvl w:ilvl="2">
      <w:lvlJc w:val="left"/>
      <w:lvlText w:val="(%3)"/>
      <w:numFmt w:val="upperLetter"/>
      <w:start w:val="1"/>
    </w:lvl>
    <w:lvl w:ilvl="3">
      <w:lvlJc w:val="left"/>
      <w:lvlText w:val="(%4)"/>
      <w:numFmt w:val="decimal"/>
      <w:start w:val="1"/>
    </w:lvl>
  </w:abstractNum>
  <w:abstractNum w:abstractNumId="239">
    <w:nsid w:val="4BA9831A"/>
    <w:multiLevelType w:val="hybridMultilevel"/>
    <w:lvl w:ilvl="0">
      <w:lvlJc w:val="left"/>
      <w:lvlText w:val="%1"/>
      <w:numFmt w:val="decimal"/>
      <w:start w:val="89"/>
    </w:lvl>
  </w:abstractNum>
  <w:abstractNum w:abstractNumId="240">
    <w:nsid w:val="6D71A2B"/>
    <w:multiLevelType w:val="hybridMultilevel"/>
    <w:lvl w:ilvl="0">
      <w:lvlJc w:val="left"/>
      <w:lvlText w:val="%1"/>
      <w:numFmt w:val="upperLetter"/>
      <w:start w:val="1"/>
    </w:lvl>
    <w:lvl w:ilvl="1">
      <w:lvlJc w:val="left"/>
      <w:lvlText w:val="(%2)"/>
      <w:numFmt w:val="decimal"/>
      <w:start w:val="2"/>
    </w:lvl>
  </w:abstractNum>
  <w:abstractNum w:abstractNumId="241">
    <w:nsid w:val="CFC7321"/>
    <w:multiLevelType w:val="hybridMultilevel"/>
    <w:lvl w:ilvl="0">
      <w:lvlJc w:val="left"/>
      <w:lvlText w:val="(%1)"/>
      <w:numFmt w:val="upperLetter"/>
      <w:start w:val="1"/>
    </w:lvl>
    <w:lvl w:ilvl="1">
      <w:lvlJc w:val="left"/>
      <w:lvlText w:val="%2"/>
      <w:numFmt w:val="decimal"/>
      <w:start w:val="1"/>
    </w:lvl>
  </w:abstractNum>
  <w:abstractNum w:abstractNumId="242">
    <w:nsid w:val="1421971B"/>
    <w:multiLevelType w:val="hybridMultilevel"/>
    <w:lvl w:ilvl="0">
      <w:lvlJc w:val="left"/>
      <w:lvlText w:val="%1"/>
      <w:numFmt w:val="decimal"/>
      <w:start w:val="90"/>
    </w:lvl>
  </w:abstractNum>
  <w:abstractNum w:abstractNumId="243">
    <w:nsid w:val="1F404301"/>
    <w:multiLevelType w:val="hybridMultilevel"/>
    <w:lvl w:ilvl="0">
      <w:lvlJc w:val="left"/>
      <w:lvlText w:val="%1"/>
      <w:numFmt w:val="lowerLetter"/>
      <w:start w:val="1"/>
    </w:lvl>
    <w:lvl w:ilvl="1">
      <w:lvlJc w:val="left"/>
      <w:lvlText w:val="(%2)"/>
      <w:numFmt w:val="lowerLetter"/>
      <w:start w:val="8"/>
    </w:lvl>
  </w:abstractNum>
  <w:abstractNum w:abstractNumId="244">
    <w:nsid w:val="116E0907"/>
    <w:multiLevelType w:val="hybridMultilevel"/>
    <w:lvl w:ilvl="0">
      <w:lvlJc w:val="left"/>
      <w:lvlText w:val="(%1)"/>
      <w:numFmt w:val="lowerLetter"/>
      <w:start w:val="8"/>
    </w:lvl>
    <w:lvl w:ilvl="1">
      <w:lvlJc w:val="left"/>
      <w:lvlText w:val="%2"/>
      <w:numFmt w:val="lowerLetter"/>
      <w:start w:val="1"/>
    </w:lvl>
  </w:abstractNum>
  <w:abstractNum w:abstractNumId="245">
    <w:nsid w:val="4B683D0D"/>
    <w:multiLevelType w:val="hybridMultilevel"/>
    <w:lvl w:ilvl="0">
      <w:lvlJc w:val="left"/>
      <w:lvlText w:val="(%1)"/>
      <w:numFmt w:val="lowerLetter"/>
      <w:start w:val="1"/>
    </w:lvl>
  </w:abstractNum>
  <w:abstractNum w:abstractNumId="246">
    <w:nsid w:val="76E41D8"/>
    <w:multiLevelType w:val="hybridMultilevel"/>
    <w:lvl w:ilvl="0">
      <w:lvlJc w:val="left"/>
      <w:lvlText w:val="%1"/>
      <w:numFmt w:val="decimal"/>
      <w:start w:val="91"/>
    </w:lvl>
  </w:abstractNum>
  <w:abstractNum w:abstractNumId="247">
    <w:nsid w:val="71DCE0FD"/>
    <w:multiLevelType w:val="hybridMultilevel"/>
    <w:lvl w:ilvl="0">
      <w:lvlJc w:val="left"/>
      <w:lvlText w:val="(%1)"/>
      <w:numFmt w:val="lowerLetter"/>
      <w:start w:val="1"/>
    </w:lvl>
  </w:abstractNum>
  <w:abstractNum w:abstractNumId="248">
    <w:nsid w:val="7906328B"/>
    <w:multiLevelType w:val="hybridMultilevel"/>
    <w:lvl w:ilvl="0">
      <w:lvlJc w:val="left"/>
      <w:lvlText w:val="%1"/>
      <w:numFmt w:val="decimal"/>
      <w:start w:val="92"/>
    </w:lvl>
  </w:abstractNum>
  <w:abstractNum w:abstractNumId="249">
    <w:nsid w:val="72BBC16"/>
    <w:multiLevelType w:val="hybridMultilevel"/>
    <w:lvl w:ilvl="0">
      <w:lvlJc w:val="left"/>
      <w:lvlText w:val="(%1)"/>
      <w:numFmt w:val="upperLetter"/>
      <w:start w:val="2"/>
    </w:lvl>
    <w:lvl w:ilvl="1">
      <w:lvlJc w:val="left"/>
      <w:lvlText w:val="(%2)"/>
      <w:numFmt w:val="lowerLetter"/>
      <w:start w:val="2"/>
    </w:lvl>
  </w:abstractNum>
  <w:abstractNum w:abstractNumId="250">
    <w:nsid w:val="766D98C2"/>
    <w:multiLevelType w:val="hybridMultilevel"/>
    <w:lvl w:ilvl="0">
      <w:lvlJc w:val="left"/>
      <w:lvlText w:val="%1"/>
      <w:numFmt w:val="decimal"/>
      <w:start w:val="93"/>
    </w:lvl>
  </w:abstractNum>
  <w:abstractNum w:abstractNumId="251">
    <w:nsid w:val="3C09D4A1"/>
    <w:multiLevelType w:val="hybridMultilevel"/>
    <w:lvl w:ilvl="0">
      <w:lvlJc w:val="left"/>
      <w:lvlText w:val="(%1)"/>
      <w:numFmt w:val="lowerLetter"/>
      <w:start w:val="4"/>
    </w:lvl>
  </w:abstractNum>
  <w:abstractNum w:abstractNumId="252">
    <w:nsid w:val="20E45CA4"/>
    <w:multiLevelType w:val="hybridMultilevel"/>
    <w:lvl w:ilvl="0">
      <w:lvlJc w:val="left"/>
      <w:lvlText w:val="%1"/>
      <w:numFmt w:val="upperLetter"/>
      <w:start w:val="1"/>
    </w:lvl>
    <w:lvl w:ilvl="1">
      <w:lvlJc w:val="left"/>
      <w:lvlText w:val="(%2)"/>
      <w:numFmt w:val="upperLetter"/>
      <w:start w:val="3"/>
    </w:lvl>
  </w:abstractNum>
  <w:abstractNum w:abstractNumId="253">
    <w:nsid w:val="4B232EE3"/>
    <w:multiLevelType w:val="hybridMultilevel"/>
    <w:lvl w:ilvl="0">
      <w:lvlJc w:val="left"/>
      <w:lvlText w:val="(%1)"/>
      <w:numFmt w:val="upperLetter"/>
      <w:start w:val="1"/>
    </w:lvl>
    <w:lvl w:ilvl="1">
      <w:lvlJc w:val="left"/>
      <w:lvlText w:val="(%2)"/>
      <w:numFmt w:val="upperLetter"/>
      <w:start w:val="2"/>
    </w:lvl>
  </w:abstractNum>
  <w:abstractNum w:abstractNumId="254">
    <w:nsid w:val="159C74CF"/>
    <w:multiLevelType w:val="hybridMultilevel"/>
    <w:lvl w:ilvl="0">
      <w:lvlJc w:val="left"/>
      <w:lvlText w:val="(%1)"/>
      <w:numFmt w:val="upperLetter"/>
      <w:start w:val="4"/>
    </w:lvl>
  </w:abstractNum>
  <w:abstractNum w:abstractNumId="255">
    <w:nsid w:val="4AD3AFD2"/>
    <w:multiLevelType w:val="hybridMultilevel"/>
    <w:lvl w:ilvl="0">
      <w:lvlJc w:val="left"/>
      <w:lvlText w:val="%1"/>
      <w:numFmt w:val="decimal"/>
      <w:start w:val="94"/>
    </w:lvl>
  </w:abstractNum>
  <w:abstractNum w:abstractNumId="256">
    <w:nsid w:val="3CF93092"/>
    <w:multiLevelType w:val="hybridMultilevel"/>
    <w:lvl w:ilvl="0">
      <w:lvlJc w:val="left"/>
      <w:lvlText w:val="(%1)"/>
      <w:numFmt w:val="upperLetter"/>
      <w:start w:val="3"/>
    </w:lvl>
  </w:abstractNum>
  <w:abstractNum w:abstractNumId="257">
    <w:nsid w:val="6863E8D2"/>
    <w:multiLevelType w:val="hybridMultilevel"/>
    <w:lvl w:ilvl="0">
      <w:lvlJc w:val="left"/>
      <w:lvlText w:val="(%1)"/>
      <w:numFmt w:val="lowerLetter"/>
      <w:start w:val="5"/>
    </w:lvl>
    <w:lvl w:ilvl="1">
      <w:lvlJc w:val="left"/>
      <w:lvlText w:val="(%2)"/>
      <w:numFmt w:val="lowerLetter"/>
      <w:start w:val="12"/>
    </w:lvl>
  </w:abstractNum>
  <w:abstractNum w:abstractNumId="258">
    <w:nsid w:val="76896198"/>
    <w:multiLevelType w:val="hybridMultilevel"/>
    <w:lvl w:ilvl="0">
      <w:lvlJc w:val="left"/>
      <w:lvlText w:val="%1"/>
      <w:numFmt w:val="decimal"/>
      <w:start w:val="95"/>
    </w:lvl>
  </w:abstractNum>
  <w:abstractNum w:abstractNumId="259">
    <w:nsid w:val="4365174B"/>
    <w:multiLevelType w:val="hybridMultilevel"/>
    <w:lvl w:ilvl="0">
      <w:lvlJc w:val="left"/>
      <w:lvlText w:val="%1"/>
      <w:numFmt w:val="lowerLetter"/>
      <w:start w:val="1"/>
    </w:lvl>
    <w:lvl w:ilvl="1">
      <w:lvlJc w:val="left"/>
      <w:lvlText w:val="(%2)"/>
      <w:numFmt w:val="lowerRoman"/>
      <w:start w:val="1"/>
    </w:lvl>
  </w:abstractNum>
  <w:abstractNum w:abstractNumId="260">
    <w:nsid w:val="4A872C35"/>
    <w:multiLevelType w:val="hybridMultilevel"/>
    <w:lvl w:ilvl="0">
      <w:lvlJc w:val="left"/>
      <w:lvlText w:val="(%1)"/>
      <w:numFmt w:val="lowerLetter"/>
      <w:start w:val="6"/>
    </w:lvl>
    <w:lvl w:ilvl="1">
      <w:lvlJc w:val="left"/>
      <w:lvlText w:val="%2"/>
      <w:numFmt w:val="lowerRoman"/>
      <w:start w:val="1"/>
    </w:lvl>
  </w:abstractNum>
  <w:abstractNum w:abstractNumId="261">
    <w:nsid w:val="5D5CE761"/>
    <w:multiLevelType w:val="hybridMultilevel"/>
    <w:lvl w:ilvl="0">
      <w:lvlJc w:val="left"/>
      <w:lvlText w:val="."/>
      <w:numFmt w:val="bullet"/>
      <w:start w:val="1"/>
    </w:lvl>
    <w:lvl w:ilvl="1">
      <w:lvlJc w:val="left"/>
      <w:lvlText w:val="(%2)"/>
      <w:numFmt w:val="lowerLetter"/>
      <w:start w:val="1"/>
    </w:lvl>
  </w:abstractNum>
  <w:abstractNum w:abstractNumId="262">
    <w:nsid w:val="1CD484D5"/>
    <w:multiLevelType w:val="hybridMultilevel"/>
    <w:lvl w:ilvl="0">
      <w:lvlJc w:val="left"/>
      <w:lvlText w:val="%1"/>
      <w:numFmt w:val="decimal"/>
      <w:start w:val="96"/>
    </w:lvl>
  </w:abstractNum>
  <w:abstractNum w:abstractNumId="263">
    <w:nsid w:val="21D06255"/>
    <w:multiLevelType w:val="hybridMultilevel"/>
    <w:lvl w:ilvl="0">
      <w:lvlJc w:val="left"/>
      <w:lvlText w:val="(%1)"/>
      <w:numFmt w:val="lowerLetter"/>
      <w:start w:val="1"/>
    </w:lvl>
  </w:abstractNum>
  <w:abstractNum w:abstractNumId="264">
    <w:nsid w:val="51194ED1"/>
    <w:multiLevelType w:val="hybridMultilevel"/>
    <w:lvl w:ilvl="0">
      <w:lvlJc w:val="left"/>
      <w:lvlText w:val="%1"/>
      <w:numFmt w:val="decimal"/>
      <w:start w:val="97"/>
    </w:lvl>
  </w:abstractNum>
  <w:abstractNum w:abstractNumId="265">
    <w:nsid w:val="44E2ED6C"/>
    <w:multiLevelType w:val="hybridMultilevel"/>
    <w:lvl w:ilvl="0">
      <w:lvlJc w:val="left"/>
      <w:lvlText w:val="(%1)"/>
      <w:numFmt w:val="upperLetter"/>
      <w:start w:val="1"/>
    </w:lvl>
  </w:abstractNum>
  <w:abstractNum w:abstractNumId="266">
    <w:nsid w:val="2219B33"/>
    <w:multiLevelType w:val="hybridMultilevel"/>
    <w:lvl w:ilvl="0">
      <w:lvlJc w:val="left"/>
      <w:lvlText w:val="%1"/>
      <w:numFmt w:val="decimal"/>
      <w:start w:val="98"/>
    </w:lvl>
  </w:abstractNum>
  <w:abstractNum w:abstractNumId="267">
    <w:nsid w:val="773BFBDD"/>
    <w:multiLevelType w:val="hybridMultilevel"/>
    <w:lvl w:ilvl="0">
      <w:lvlJc w:val="left"/>
      <w:lvlText w:val="(%1)"/>
      <w:numFmt w:val="lowerLetter"/>
      <w:start w:val="2"/>
    </w:lvl>
  </w:abstractNum>
  <w:abstractNum w:abstractNumId="268">
    <w:nsid w:val="2C7C62C2"/>
    <w:multiLevelType w:val="hybridMultilevel"/>
    <w:lvl w:ilvl="0">
      <w:lvlJc w:val="left"/>
      <w:lvlText w:val="(%1)"/>
      <w:numFmt w:val="lowerLetter"/>
      <w:start w:val="1"/>
    </w:lvl>
  </w:abstractNum>
  <w:abstractNum w:abstractNumId="269">
    <w:nsid w:val="1A54D7BC"/>
    <w:multiLevelType w:val="hybridMultilevel"/>
    <w:lvl w:ilvl="0">
      <w:lvlJc w:val="left"/>
      <w:lvlText w:val="."/>
      <w:numFmt w:val="bullet"/>
      <w:start w:val="1"/>
    </w:lvl>
  </w:abstractNum>
  <w:abstractNum w:abstractNumId="270">
    <w:nsid w:val="42E57EF7"/>
    <w:multiLevelType w:val="hybridMultilevel"/>
    <w:lvl w:ilvl="0">
      <w:lvlJc w:val="left"/>
      <w:lvlText w:val="%1"/>
      <w:numFmt w:val="decimal"/>
      <w:start w:val="99"/>
    </w:lvl>
  </w:abstractNum>
  <w:abstractNum w:abstractNumId="271">
    <w:nsid w:val="33537CED"/>
    <w:multiLevelType w:val="hybridMultilevel"/>
    <w:lvl w:ilvl="0">
      <w:lvlJc w:val="left"/>
      <w:lvlText w:val="(%1)"/>
      <w:numFmt w:val="lowerLetter"/>
      <w:start w:val="1"/>
    </w:lvl>
  </w:abstractNum>
  <w:abstractNum w:abstractNumId="272">
    <w:nsid w:val="27514ADE"/>
    <w:multiLevelType w:val="hybridMultilevel"/>
    <w:lvl w:ilvl="0">
      <w:lvlJc w:val="left"/>
      <w:lvlText w:val="%1"/>
      <w:numFmt w:val="lowerLetter"/>
      <w:start w:val="1"/>
    </w:lvl>
    <w:lvl w:ilvl="1">
      <w:lvlJc w:val="left"/>
      <w:lvlText w:val="(%2)"/>
      <w:numFmt w:val="lowerRoman"/>
      <w:start w:val="1"/>
    </w:lvl>
  </w:abstractNum>
  <w:abstractNum w:abstractNumId="273">
    <w:nsid w:val="57071613"/>
    <w:multiLevelType w:val="hybridMultilevel"/>
    <w:lvl w:ilvl="0">
      <w:lvlJc w:val="left"/>
      <w:lvlText w:val="(%1)"/>
      <w:numFmt w:val="lowerLetter"/>
      <w:start w:val="2"/>
    </w:lvl>
    <w:lvl w:ilvl="1">
      <w:lvlJc w:val="left"/>
      <w:lvlText w:val="%2"/>
      <w:numFmt w:val="lowerRoman"/>
      <w:start w:val="1"/>
    </w:lvl>
  </w:abstractNum>
  <w:abstractNum w:abstractNumId="274">
    <w:nsid w:val="5293BFEF"/>
    <w:multiLevelType w:val="hybridMultilevel"/>
    <w:lvl w:ilvl="0">
      <w:lvlJc w:val="left"/>
      <w:lvlText w:val="(%1)"/>
      <w:numFmt w:val="lowerLetter"/>
      <w:start w:val="3"/>
    </w:lvl>
  </w:abstractNum>
  <w:abstractNum w:abstractNumId="275">
    <w:nsid w:val="38BF53E5"/>
    <w:multiLevelType w:val="hybridMultilevel"/>
    <w:lvl w:ilvl="0">
      <w:lvlJc w:val="left"/>
      <w:lvlText w:val="(%1)"/>
      <w:numFmt w:val="lowerLetter"/>
      <w:start w:val="6"/>
    </w:lvl>
  </w:abstractNum>
  <w:abstractNum w:abstractNumId="276">
    <w:nsid w:val="226F5320"/>
    <w:multiLevelType w:val="hybridMultilevel"/>
    <w:lvl w:ilvl="0">
      <w:lvlJc w:val="left"/>
      <w:lvlText w:val="(%1)"/>
      <w:numFmt w:val="lowerLetter"/>
      <w:start w:val="1"/>
    </w:lvl>
  </w:abstractNum>
  <w:abstractNum w:abstractNumId="277">
    <w:nsid w:val="5A0201C7"/>
    <w:multiLevelType w:val="hybridMultilevel"/>
    <w:lvl w:ilvl="0">
      <w:lvlJc w:val="left"/>
      <w:lvlText w:val="%1"/>
      <w:numFmt w:val="upperLetter"/>
      <w:start w:val="1"/>
    </w:lvl>
    <w:lvl w:ilvl="1">
      <w:lvlJc w:val="left"/>
      <w:lvlText w:val="(%2)"/>
      <w:numFmt w:val="lowerLetter"/>
      <w:start w:val="2"/>
    </w:lvl>
  </w:abstractNum>
  <w:abstractNum w:abstractNumId="278">
    <w:nsid w:val="2A9C34E2"/>
    <w:multiLevelType w:val="hybridMultilevel"/>
    <w:lvl w:ilvl="0">
      <w:lvlJc w:val="left"/>
      <w:lvlText w:val="(%1)"/>
      <w:numFmt w:val="upperLetter"/>
      <w:start w:val="2"/>
    </w:lvl>
    <w:lvl w:ilvl="1">
      <w:lvlJc w:val="left"/>
      <w:lvlText w:val="(%2)"/>
      <w:numFmt w:val="lowerLetter"/>
      <w:start w:val="4"/>
    </w:lvl>
  </w:abstractNum>
  <w:abstractNum w:abstractNumId="279">
    <w:nsid w:val="1B7585AB"/>
    <w:multiLevelType w:val="hybridMultilevel"/>
    <w:lvl w:ilvl="0">
      <w:lvlJc w:val="left"/>
      <w:lvlText w:val="(%1)"/>
      <w:numFmt w:val="lowerLetter"/>
      <w:start w:val="5"/>
    </w:lvl>
  </w:abstractNum>
  <w:abstractNum w:abstractNumId="280">
    <w:nsid w:val="612DBDDD"/>
    <w:multiLevelType w:val="hybridMultilevel"/>
    <w:lvl w:ilvl="0">
      <w:lvlJc w:val="left"/>
      <w:lvlText w:val="."/>
      <w:numFmt w:val="bullet"/>
      <w:start w:val="1"/>
    </w:lvl>
    <w:lvl w:ilvl="1">
      <w:lvlJc w:val="left"/>
      <w:lvlText w:val="(%2)"/>
      <w:numFmt w:val="lowerLetter"/>
      <w:start w:val="1"/>
    </w:lvl>
  </w:abstractNum>
  <w:abstractNum w:abstractNumId="281">
    <w:nsid w:val="2109CDA4"/>
    <w:multiLevelType w:val="hybridMultilevel"/>
    <w:lvl w:ilvl="0">
      <w:lvlJc w:val="left"/>
      <w:lvlText w:val="(%1)"/>
      <w:numFmt w:val="lowerLetter"/>
      <w:start w:val="3"/>
    </w:lvl>
  </w:abstractNum>
  <w:abstractNum w:abstractNumId="282">
    <w:nsid w:val="577F5A4D"/>
    <w:multiLevelType w:val="hybridMultilevel"/>
    <w:lvl w:ilvl="0">
      <w:lvlJc w:val="left"/>
      <w:lvlText w:val="(%1)"/>
      <w:numFmt w:val="lowerLetter"/>
      <w:start w:val="4"/>
    </w:lvl>
  </w:abstractNum>
  <w:abstractNum w:abstractNumId="283">
    <w:nsid w:val="2121A81"/>
    <w:multiLevelType w:val="hybridMultilevel"/>
    <w:lvl w:ilvl="0">
      <w:lvlJc w:val="left"/>
      <w:lvlText w:val="(%1)"/>
      <w:numFmt w:val="upperLetter"/>
      <w:start w:val="3"/>
    </w:lvl>
  </w:abstractNum>
  <w:abstractNum w:abstractNumId="284">
    <w:nsid w:val="6C2CFC88"/>
    <w:multiLevelType w:val="hybridMultilevel"/>
    <w:lvl w:ilvl="0">
      <w:lvlJc w:val="left"/>
      <w:lvlText w:val="(%1)"/>
      <w:numFmt w:val="upperLetter"/>
      <w:start w:val="5"/>
    </w:lvl>
  </w:abstractNum>
  <w:abstractNum w:abstractNumId="285">
    <w:nsid w:val="6D1BCF1C"/>
    <w:multiLevelType w:val="hybridMultilevel"/>
    <w:lvl w:ilvl="0">
      <w:lvlJc w:val="left"/>
      <w:lvlText w:val="(%1)"/>
      <w:numFmt w:val="upperLetter"/>
      <w:start w:val="1"/>
    </w:lvl>
  </w:abstractNum>
  <w:abstractNum w:abstractNumId="286">
    <w:nsid w:val="4CE5CA53"/>
    <w:multiLevelType w:val="hybridMultilevel"/>
    <w:lvl w:ilvl="0">
      <w:lvlJc w:val="left"/>
      <w:lvlText w:val="(%1)"/>
      <w:numFmt w:val="decimal"/>
      <w:start w:val="2"/>
    </w:lvl>
  </w:abstractNum>
  <w:abstractNum w:abstractNumId="287">
    <w:nsid w:val="29262D1A"/>
    <w:multiLevelType w:val="hybridMultilevel"/>
    <w:lvl w:ilvl="0">
      <w:lvlJc w:val="left"/>
      <w:lvlText w:val="(%1)"/>
      <w:numFmt w:val="lowerLetter"/>
      <w:start w:val="6"/>
    </w:lvl>
  </w:abstractNum>
  <w:abstractNum w:abstractNumId="288">
    <w:nsid w:val="557FB7EE"/>
    <w:multiLevelType w:val="hybridMultilevel"/>
    <w:lvl w:ilvl="0">
      <w:lvlJc w:val="left"/>
      <w:lvlText w:val="(%1)"/>
      <w:numFmt w:val="lowerLetter"/>
      <w:start w:val="7"/>
    </w:lvl>
  </w:abstractNum>
  <w:abstractNum w:abstractNumId="289">
    <w:nsid w:val="436F2BEB"/>
    <w:multiLevelType w:val="hybridMultilevel"/>
    <w:lvl w:ilvl="0">
      <w:lvlJc w:val="left"/>
      <w:lvlText w:val="."/>
      <w:numFmt w:val="bullet"/>
      <w:start w:val="1"/>
    </w:lvl>
  </w:abstractNum>
  <w:abstractNum w:abstractNumId="290">
    <w:nsid w:val="6C8B4466"/>
    <w:multiLevelType w:val="hybridMultilevel"/>
    <w:lvl w:ilvl="0">
      <w:lvlJc w:val="left"/>
      <w:lvlText w:val="(%1)"/>
      <w:numFmt w:val="lowerLetter"/>
      <w:start w:val="1"/>
    </w:lvl>
  </w:abstractNum>
  <w:abstractNum w:abstractNumId="291">
    <w:nsid w:val="2006E424"/>
    <w:multiLevelType w:val="hybridMultilevel"/>
    <w:lvl w:ilvl="0">
      <w:lvlJc w:val="left"/>
      <w:lvlText w:val="."/>
      <w:numFmt w:val="bullet"/>
      <w:start w:val="1"/>
    </w:lvl>
  </w:abstractNum>
  <w:abstractNum w:abstractNumId="292">
    <w:nsid w:val="20CC134C"/>
    <w:multiLevelType w:val="hybridMultilevel"/>
    <w:lvl w:ilvl="0">
      <w:lvlJc w:val="left"/>
      <w:lvlText w:val="."/>
      <w:numFmt w:val="bullet"/>
      <w:start w:val="1"/>
    </w:lvl>
  </w:abstractNum>
  <w:abstractNum w:abstractNumId="293">
    <w:nsid w:val="95FC93B"/>
    <w:multiLevelType w:val="hybridMultilevel"/>
    <w:lvl w:ilvl="0">
      <w:lvlJc w:val="left"/>
      <w:lvlText w:val="."/>
      <w:numFmt w:val="bullet"/>
      <w:start w:val="1"/>
    </w:lvl>
  </w:abstractNum>
  <w:abstractNum w:abstractNumId="294">
    <w:nsid w:val="41D74679"/>
    <w:multiLevelType w:val="hybridMultilevel"/>
    <w:lvl w:ilvl="0">
      <w:lvlJc w:val="left"/>
      <w:lvlText w:val="."/>
      <w:numFmt w:val="bullet"/>
      <w:start w:val="1"/>
    </w:lvl>
  </w:abstractNum>
  <w:abstractNum w:abstractNumId="295">
    <w:nsid w:val="71E5621E"/>
    <w:multiLevelType w:val="hybridMultilevel"/>
    <w:lvl w:ilvl="0">
      <w:lvlJc w:val="left"/>
      <w:lvlText w:val="."/>
      <w:numFmt w:val="bullet"/>
      <w:start w:val="1"/>
    </w:lvl>
  </w:abstractNum>
  <w:abstractNum w:abstractNumId="296">
    <w:nsid w:val="4E42B6A8"/>
    <w:multiLevelType w:val="hybridMultilevel"/>
    <w:lvl w:ilvl="0">
      <w:lvlJc w:val="left"/>
      <w:lvlText w:val="."/>
      <w:numFmt w:val="bullet"/>
      <w:start w:val="1"/>
    </w:lvl>
  </w:abstractNum>
  <w:abstractNum w:abstractNumId="297">
    <w:nsid w:val="43F8E1AC"/>
    <w:multiLevelType w:val="hybridMultilevel"/>
    <w:lvl w:ilvl="0">
      <w:lvlJc w:val="left"/>
      <w:lvlText w:val="."/>
      <w:numFmt w:val="bullet"/>
      <w:start w:val="1"/>
    </w:lvl>
  </w:abstractNum>
  <w:abstractNum w:abstractNumId="298">
    <w:nsid w:val="69215DFB"/>
    <w:multiLevelType w:val="hybridMultilevel"/>
    <w:lvl w:ilvl="0">
      <w:lvlJc w:val="left"/>
      <w:lvlText w:val="."/>
      <w:numFmt w:val="bullet"/>
      <w:start w:val="1"/>
    </w:lvl>
    <w:lvl w:ilvl="1">
      <w:lvlJc w:val="left"/>
      <w:lvlText w:val="(%2)"/>
      <w:numFmt w:val="lowerLetter"/>
      <w:start w:val="1"/>
    </w:lvl>
  </w:abstractNum>
  <w:abstractNum w:abstractNumId="299">
    <w:nsid w:val="7ABF196A"/>
    <w:multiLevelType w:val="hybridMultilevel"/>
    <w:lvl w:ilvl="0">
      <w:lvlJc w:val="left"/>
      <w:lvlText w:val="(%1)"/>
      <w:numFmt w:val="lowerLetter"/>
      <w:start w:val="1"/>
    </w:lvl>
  </w:abstractNum>
  <w:abstractNum w:abstractNumId="300">
    <w:nsid w:val="5E4DB968"/>
    <w:multiLevelType w:val="hybridMultilevel"/>
    <w:lvl w:ilvl="0">
      <w:lvlJc w:val="left"/>
      <w:lvlText w:val="(%1)"/>
      <w:numFmt w:val="lowerLetter"/>
      <w:start w:val="3"/>
    </w:lvl>
  </w:abstractNum>
  <w:abstractNum w:abstractNumId="301">
    <w:nsid w:val="2C06DCF3"/>
    <w:multiLevelType w:val="hybridMultilevel"/>
    <w:lvl w:ilvl="0">
      <w:lvlJc w:val="left"/>
      <w:lvlText w:val="(%1)"/>
      <w:numFmt w:val="lowerLetter"/>
      <w:start w:val="8"/>
    </w:lvl>
  </w:abstractNum>
  <w:abstractNum w:abstractNumId="302">
    <w:nsid w:val="2E129658"/>
    <w:multiLevelType w:val="hybridMultilevel"/>
    <w:lvl w:ilvl="0">
      <w:lvlJc w:val="left"/>
      <w:lvlText w:val="."/>
      <w:numFmt w:val="bullet"/>
      <w:start w:val="1"/>
    </w:lvl>
  </w:abstractNum>
  <w:abstractNum w:abstractNumId="303">
    <w:nsid w:val="59F0446"/>
    <w:multiLevelType w:val="hybridMultilevel"/>
    <w:lvl w:ilvl="0">
      <w:lvlJc w:val="left"/>
      <w:lvlText w:val="."/>
      <w:numFmt w:val="bullet"/>
      <w:start w:val="1"/>
    </w:lvl>
  </w:abstractNum>
  <w:abstractNum w:abstractNumId="304">
    <w:nsid w:val="30DF306"/>
    <w:multiLevelType w:val="hybridMultilevel"/>
    <w:lvl w:ilvl="0">
      <w:lvlJc w:val="left"/>
      <w:lvlText w:val="."/>
      <w:numFmt w:val="bullet"/>
      <w:start w:val="1"/>
    </w:lvl>
  </w:abstractNum>
  <w:abstractNum w:abstractNumId="305">
    <w:nsid w:val="A65647"/>
    <w:multiLevelType w:val="hybridMultilevel"/>
    <w:lvl w:ilvl="0">
      <w:lvlJc w:val="left"/>
      <w:lvlText w:val="."/>
      <w:numFmt w:val="bullet"/>
      <w:start w:val="1"/>
    </w:lvl>
  </w:abstractNum>
  <w:abstractNum w:abstractNumId="306">
    <w:nsid w:val="3E5E582B"/>
    <w:multiLevelType w:val="hybridMultilevel"/>
    <w:lvl w:ilvl="0">
      <w:lvlJc w:val="left"/>
      <w:lvlText w:val="."/>
      <w:numFmt w:val="bullet"/>
      <w:start w:val="1"/>
    </w:lvl>
  </w:abstractNum>
  <w:abstractNum w:abstractNumId="307">
    <w:nsid w:val="257D4626"/>
    <w:multiLevelType w:val="hybridMultilevel"/>
    <w:lvl w:ilvl="0">
      <w:lvlJc w:val="left"/>
      <w:lvlText w:val="."/>
      <w:numFmt w:val="bullet"/>
      <w:start w:val="1"/>
    </w:lvl>
  </w:abstractNum>
  <w:abstractNum w:abstractNumId="308">
    <w:nsid w:val="5AA8580E"/>
    <w:multiLevelType w:val="hybridMultilevel"/>
    <w:lvl w:ilvl="0">
      <w:lvlJc w:val="left"/>
      <w:lvlText w:val="."/>
      <w:numFmt w:val="bullet"/>
      <w:start w:val="1"/>
    </w:lvl>
  </w:abstractNum>
  <w:abstractNum w:abstractNumId="309">
    <w:nsid w:val="68FA8D0D"/>
    <w:multiLevelType w:val="hybridMultilevel"/>
    <w:lvl w:ilvl="0">
      <w:lvlJc w:val="left"/>
      <w:lvlText w:val="."/>
      <w:numFmt w:val="bullet"/>
      <w:start w:val="1"/>
    </w:lvl>
  </w:abstractNum>
  <w:abstractNum w:abstractNumId="310">
    <w:nsid w:val="40F2CBD2"/>
    <w:multiLevelType w:val="hybridMultilevel"/>
    <w:lvl w:ilvl="0">
      <w:lvlJc w:val="left"/>
      <w:lvlText w:val="(%1)"/>
      <w:numFmt w:val="lowerLetter"/>
      <w:start w:val="1"/>
    </w:lvl>
  </w:abstractNum>
  <w:abstractNum w:abstractNumId="311">
    <w:nsid w:val="3BD615EB"/>
    <w:multiLevelType w:val="hybridMultilevel"/>
    <w:lvl w:ilvl="0">
      <w:lvlJc w:val="left"/>
      <w:lvlText w:val="(%1)"/>
      <w:numFmt w:val="lowerLetter"/>
      <w:start w:val="2"/>
    </w:lvl>
  </w:abstractNum>
  <w:abstractNum w:abstractNumId="312">
    <w:nsid w:val="A045AB2"/>
    <w:multiLevelType w:val="hybridMultilevel"/>
    <w:lvl w:ilvl="0">
      <w:lvlJc w:val="left"/>
      <w:lvlText w:val="."/>
      <w:numFmt w:val="bullet"/>
      <w:start w:val="1"/>
    </w:lvl>
  </w:abstractNum>
  <w:abstractNum w:abstractNumId="313">
    <w:nsid w:val="1872261F"/>
    <w:multiLevelType w:val="hybridMultilevel"/>
    <w:lvl w:ilvl="0">
      <w:lvlJc w:val="left"/>
      <w:lvlText w:val="."/>
      <w:numFmt w:val="bullet"/>
      <w:start w:val="1"/>
    </w:lvl>
  </w:abstractNum>
  <w:abstractNum w:abstractNumId="314">
    <w:nsid w:val="3DE8306C"/>
    <w:multiLevelType w:val="hybridMultilevel"/>
    <w:lvl w:ilvl="0">
      <w:lvlJc w:val="left"/>
      <w:lvlText w:val="."/>
      <w:numFmt w:val="bullet"/>
      <w:start w:val="1"/>
    </w:lvl>
  </w:abstractNum>
  <w:abstractNum w:abstractNumId="315">
    <w:nsid w:val="7631573A"/>
    <w:multiLevelType w:val="hybridMultilevel"/>
    <w:lvl w:ilvl="0">
      <w:lvlJc w:val="left"/>
      <w:lvlText w:val="."/>
      <w:numFmt w:val="bullet"/>
      <w:start w:val="1"/>
    </w:lvl>
  </w:abstractNum>
  <w:abstractNum w:abstractNumId="316">
    <w:nsid w:val="58DF53B"/>
    <w:multiLevelType w:val="hybridMultilevel"/>
    <w:lvl w:ilvl="0">
      <w:lvlJc w:val="left"/>
      <w:lvlText w:val="."/>
      <w:numFmt w:val="bullet"/>
      <w:start w:val="1"/>
    </w:lvl>
    <w:lvl w:ilvl="1">
      <w:lvlJc w:val="left"/>
      <w:lvlText w:val="(%2)"/>
      <w:numFmt w:val="lowerLetter"/>
      <w:start w:val="1"/>
    </w:lvl>
  </w:abstractNum>
  <w:abstractNum w:abstractNumId="317">
    <w:nsid w:val="ACDFAC0"/>
    <w:multiLevelType w:val="hybridMultilevel"/>
    <w:lvl w:ilvl="0">
      <w:lvlJc w:val="left"/>
      <w:lvlText w:val="(%1)"/>
      <w:numFmt w:val="decimal"/>
      <w:start w:val="45"/>
    </w:lvl>
  </w:abstractNum>
  <w:abstractNum w:abstractNumId="318">
    <w:nsid w:val="1F578454"/>
    <w:multiLevelType w:val="hybridMultilevel"/>
    <w:lvl w:ilvl="0">
      <w:lvlJc w:val="left"/>
      <w:lvlText w:val="(%1)"/>
      <w:numFmt w:val="lowerLetter"/>
      <w:start w:val="3"/>
    </w:lvl>
  </w:abstractNum>
  <w:abstractNum w:abstractNumId="319">
    <w:nsid w:val="5B0DAD2A"/>
    <w:multiLevelType w:val="hybridMultilevel"/>
    <w:lvl w:ilvl="0">
      <w:lvlJc w:val="left"/>
      <w:lvlText w:val="."/>
      <w:numFmt w:val="bullet"/>
      <w:start w:val="1"/>
    </w:lvl>
    <w:lvl w:ilvl="1">
      <w:lvlJc w:val="left"/>
      <w:lvlText w:val="(%2)"/>
      <w:numFmt w:val="lowerLetter"/>
      <w:start w:val="1"/>
    </w:lvl>
  </w:abstractNum>
  <w:abstractNum w:abstractNumId="320">
    <w:nsid w:val="4E3D26AB"/>
    <w:multiLevelType w:val="hybridMultilevel"/>
    <w:lvl w:ilvl="0">
      <w:lvlJc w:val="left"/>
      <w:lvlText w:val="%1"/>
      <w:numFmt w:val="lowerLetter"/>
      <w:start w:val="1"/>
    </w:lvl>
    <w:lvl w:ilvl="1">
      <w:lvlJc w:val="left"/>
      <w:lvlText w:val="(%2)"/>
      <w:numFmt w:val="lowerLetter"/>
      <w:start w:val="6"/>
    </w:lvl>
  </w:abstractNum>
  <w:abstractNum w:abstractNumId="321">
    <w:nsid w:val="BE2C8BA"/>
    <w:multiLevelType w:val="hybridMultilevel"/>
    <w:lvl w:ilvl="0">
      <w:lvlJc w:val="left"/>
      <w:lvlText w:val="(%1)"/>
      <w:numFmt w:val="lowerLetter"/>
      <w:start w:val="9"/>
    </w:lvl>
    <w:lvl w:ilvl="1">
      <w:lvlJc w:val="left"/>
      <w:lvlText w:val="%2"/>
      <w:numFmt w:val="lowerLetter"/>
      <w:start w:val="1"/>
    </w:lvl>
  </w:abstractNum>
  <w:abstractNum w:abstractNumId="322">
    <w:nsid w:val="7B14914E"/>
    <w:multiLevelType w:val="hybridMultilevel"/>
    <w:lvl w:ilvl="0">
      <w:lvlJc w:val="left"/>
      <w:lvlText w:val="(%1)"/>
      <w:numFmt w:val="lowerLetter"/>
      <w:start w:val="11"/>
    </w:lvl>
  </w:abstractNum>
  <w:abstractNum w:abstractNumId="323">
    <w:nsid w:val="6F0939F8"/>
    <w:multiLevelType w:val="hybridMultilevel"/>
    <w:lvl w:ilvl="0">
      <w:lvlJc w:val="left"/>
      <w:lvlText w:val="(%1)"/>
      <w:numFmt w:val="lowerLetter"/>
      <w:start w:val="2"/>
    </w:lvl>
  </w:abstractNum>
  <w:abstractNum w:abstractNumId="324">
    <w:nsid w:val="154291F6"/>
    <w:multiLevelType w:val="hybridMultilevel"/>
    <w:lvl w:ilvl="0">
      <w:lvlJc w:val="left"/>
      <w:lvlText w:val="(%1)"/>
      <w:numFmt w:val="lowerLetter"/>
      <w:start w:val="23"/>
    </w:lvl>
  </w:abstractNum>
  <w:abstractNum w:abstractNumId="325">
    <w:nsid w:val="3CEBD7C7"/>
    <w:multiLevelType w:val="hybridMultilevel"/>
    <w:lvl w:ilvl="0">
      <w:lvlJc w:val="left"/>
      <w:lvlText w:val="(%1)"/>
      <w:numFmt w:val="lowerLetter"/>
      <w:start w:val="25"/>
    </w:lvl>
  </w:abstractNum>
  <w:abstractNum w:abstractNumId="326">
    <w:nsid w:val="60EE9C16"/>
    <w:multiLevelType w:val="hybridMultilevel"/>
    <w:lvl w:ilvl="0">
      <w:lvlJc w:val="left"/>
      <w:lvlText w:val="."/>
      <w:numFmt w:val="bullet"/>
      <w:start w:val="1"/>
    </w:lvl>
  </w:abstractNum>
  <w:abstractNum w:abstractNumId="327">
    <w:nsid w:val="6385489E"/>
    <w:multiLevelType w:val="hybridMultilevel"/>
    <w:lvl w:ilvl="0">
      <w:lvlJc w:val="left"/>
      <w:lvlText w:val="."/>
      <w:numFmt w:val="bullet"/>
      <w:start w:val="1"/>
    </w:lvl>
  </w:abstractNum>
  <w:abstractNum w:abstractNumId="328">
    <w:nsid w:val="E4B973"/>
    <w:multiLevelType w:val="hybridMultilevel"/>
    <w:lvl w:ilvl="0">
      <w:lvlJc w:val="left"/>
      <w:lvlText w:val="(%1)"/>
      <w:numFmt w:val="lowerLetter"/>
      <w:start w:val="1"/>
    </w:lvl>
  </w:abstractNum>
  <w:abstractNum w:abstractNumId="329">
    <w:nsid w:val="4A0FFA11"/>
    <w:multiLevelType w:val="hybridMultilevel"/>
    <w:lvl w:ilvl="0">
      <w:lvlJc w:val="left"/>
      <w:lvlText w:val="."/>
      <w:numFmt w:val="bullet"/>
      <w:start w:val="1"/>
    </w:lvl>
  </w:abstractNum>
  <w:abstractNum w:abstractNumId="330">
    <w:nsid w:val="5E446208"/>
    <w:multiLevelType w:val="hybridMultilevel"/>
    <w:lvl w:ilvl="0">
      <w:lvlJc w:val="left"/>
      <w:lvlText w:val="."/>
      <w:numFmt w:val="bullet"/>
      <w:start w:val="1"/>
    </w:lvl>
  </w:abstractNum>
  <w:abstractNum w:abstractNumId="331">
    <w:nsid w:val="5F3272DB"/>
    <w:multiLevelType w:val="hybridMultilevel"/>
    <w:lvl w:ilvl="0">
      <w:lvlJc w:val="left"/>
      <w:lvlText w:val="."/>
      <w:numFmt w:val="bullet"/>
      <w:start w:val="1"/>
    </w:lvl>
  </w:abstractNum>
  <w:abstractNum w:abstractNumId="332">
    <w:nsid w:val="7616D704"/>
    <w:multiLevelType w:val="hybridMultilevel"/>
    <w:lvl w:ilvl="0">
      <w:lvlJc w:val="left"/>
      <w:lvlText w:val="(%1)"/>
      <w:numFmt w:val="lowerLetter"/>
      <w:start w:val="2"/>
    </w:lvl>
  </w:abstractNum>
  <w:abstractNum w:abstractNumId="333">
    <w:nsid w:val="C56F860"/>
    <w:multiLevelType w:val="hybridMultilevel"/>
    <w:lvl w:ilvl="0">
      <w:lvlJc w:val="left"/>
      <w:lvlText w:val="."/>
      <w:numFmt w:val="bullet"/>
      <w:start w:val="1"/>
    </w:lvl>
  </w:abstractNum>
  <w:abstractNum w:abstractNumId="334">
    <w:nsid w:val="64D17722"/>
    <w:multiLevelType w:val="hybridMultilevel"/>
    <w:lvl w:ilvl="0">
      <w:lvlJc w:val="left"/>
      <w:lvlText w:val="."/>
      <w:numFmt w:val="bullet"/>
      <w:start w:val="1"/>
    </w:lvl>
  </w:abstractNum>
  <w:abstractNum w:abstractNumId="335">
    <w:nsid w:val="7924CA0A"/>
    <w:multiLevelType w:val="hybridMultilevel"/>
    <w:lvl w:ilvl="0">
      <w:lvlJc w:val="left"/>
      <w:lvlText w:val="."/>
      <w:numFmt w:val="bullet"/>
      <w:start w:val="1"/>
    </w:lvl>
  </w:abstractNum>
  <w:abstractNum w:abstractNumId="336">
    <w:nsid w:val="CFD4EA7"/>
    <w:multiLevelType w:val="hybridMultilevel"/>
    <w:lvl w:ilvl="0">
      <w:lvlJc w:val="left"/>
      <w:lvlText w:val="."/>
      <w:numFmt w:val="bullet"/>
      <w:start w:val="1"/>
    </w:lvl>
  </w:abstractNum>
  <w:abstractNum w:abstractNumId="337">
    <w:nsid w:val="232FCF4D"/>
    <w:multiLevelType w:val="hybridMultilevel"/>
    <w:lvl w:ilvl="0">
      <w:lvlJc w:val="left"/>
      <w:lvlText w:val="."/>
      <w:numFmt w:val="bullet"/>
      <w:start w:val="1"/>
    </w:lvl>
  </w:abstractNum>
  <w:abstractNum w:abstractNumId="338">
    <w:nsid w:val="1EA21031"/>
    <w:multiLevelType w:val="hybridMultilevel"/>
    <w:lvl w:ilvl="0">
      <w:lvlJc w:val="left"/>
      <w:lvlText w:val="%1"/>
      <w:numFmt w:val="lowerLetter"/>
      <w:start w:val="1"/>
    </w:lvl>
    <w:lvl w:ilvl="1">
      <w:lvlJc w:val="left"/>
      <w:lvlText w:val="(%2)"/>
      <w:numFmt w:val="lowerLetter"/>
      <w:start w:val="1"/>
    </w:lvl>
  </w:abstractNum>
  <w:abstractNum w:abstractNumId="339">
    <w:nsid w:val="67A5A6B5"/>
    <w:multiLevelType w:val="hybridMultilevel"/>
    <w:lvl w:ilvl="0">
      <w:lvlJc w:val="left"/>
      <w:lvlText w:val="(%1)"/>
      <w:numFmt w:val="lowerLetter"/>
      <w:start w:val="35"/>
    </w:lvl>
    <w:lvl w:ilvl="1">
      <w:lvlJc w:val="left"/>
      <w:lvlText w:val="%2"/>
      <w:numFmt w:val="lowerLetter"/>
      <w:start w:val="1"/>
    </w:lvl>
  </w:abstractNum>
  <w:abstractNum w:abstractNumId="340">
    <w:nsid w:val="C2A5C5B"/>
    <w:multiLevelType w:val="hybridMultilevel"/>
    <w:lvl w:ilvl="0">
      <w:lvlJc w:val="left"/>
      <w:lvlText w:val="(%1)"/>
      <w:numFmt w:val="lowerLetter"/>
      <w:start w:val="3"/>
    </w:lvl>
  </w:abstractNum>
  <w:abstractNum w:abstractNumId="341">
    <w:nsid w:val="5F94DC03"/>
    <w:multiLevelType w:val="hybridMultilevel"/>
    <w:lvl w:ilvl="0">
      <w:lvlJc w:val="left"/>
      <w:lvlText w:val="."/>
      <w:numFmt w:val="bullet"/>
      <w:start w:val="1"/>
    </w:lvl>
  </w:abstractNum>
  <w:abstractNum w:abstractNumId="342">
    <w:nsid w:val="237BBCA0"/>
    <w:multiLevelType w:val="hybridMultilevel"/>
    <w:lvl w:ilvl="0">
      <w:lvlJc w:val="left"/>
      <w:lvlText w:val="."/>
      <w:numFmt w:val="bullet"/>
      <w:start w:val="1"/>
    </w:lvl>
  </w:abstractNum>
  <w:abstractNum w:abstractNumId="343">
    <w:nsid w:val="162EB70D"/>
    <w:multiLevelType w:val="hybridMultilevel"/>
    <w:lvl w:ilvl="0">
      <w:lvlJc w:val="left"/>
      <w:lvlText w:val="."/>
      <w:numFmt w:val="bullet"/>
      <w:start w:val="1"/>
    </w:lvl>
  </w:abstractNum>
  <w:abstractNum w:abstractNumId="344">
    <w:nsid w:val="78070222"/>
    <w:multiLevelType w:val="hybridMultilevel"/>
    <w:lvl w:ilvl="0">
      <w:lvlJc w:val="left"/>
      <w:lvlText w:val="."/>
      <w:numFmt w:val="bullet"/>
      <w:start w:val="1"/>
    </w:lvl>
  </w:abstractNum>
  <w:abstractNum w:abstractNumId="345">
    <w:nsid w:val="6163ED0D"/>
    <w:multiLevelType w:val="hybridMultilevel"/>
    <w:lvl w:ilvl="0">
      <w:lvlJc w:val="left"/>
      <w:lvlText w:val="."/>
      <w:numFmt w:val="bullet"/>
      <w:start w:val="1"/>
    </w:lvl>
  </w:abstractNum>
  <w:abstractNum w:abstractNumId="346">
    <w:nsid w:val="C600E47"/>
    <w:multiLevelType w:val="hybridMultilevel"/>
    <w:lvl w:ilvl="0">
      <w:lvlJc w:val="left"/>
      <w:lvlText w:val="."/>
      <w:numFmt w:val="bullet"/>
      <w:start w:val="1"/>
    </w:lvl>
    <w:lvl w:ilvl="1">
      <w:lvlJc w:val="left"/>
      <w:lvlText w:val="(%2)"/>
      <w:numFmt w:val="lowerLetter"/>
      <w:start w:val="1"/>
    </w:lvl>
  </w:abstractNum>
  <w:abstractNum w:abstractNumId="347">
    <w:nsid w:val="7D94F75D"/>
    <w:multiLevelType w:val="hybridMultilevel"/>
    <w:lvl w:ilvl="0">
      <w:lvlJc w:val="left"/>
      <w:lvlText w:val="%1"/>
      <w:numFmt w:val="lowerLetter"/>
      <w:start w:val="1"/>
    </w:lvl>
    <w:lvl w:ilvl="1">
      <w:lvlJc w:val="left"/>
      <w:lvlText w:val="(%2)"/>
      <w:numFmt w:val="lowerLetter"/>
      <w:start w:val="4"/>
    </w:lvl>
  </w:abstractNum>
  <w:abstractNum w:abstractNumId="348">
    <w:nsid w:val="6C31E7CD"/>
    <w:multiLevelType w:val="hybridMultilevel"/>
    <w:lvl w:ilvl="0">
      <w:lvlJc w:val="left"/>
      <w:lvlText w:val="(%1)"/>
      <w:numFmt w:val="lowerLetter"/>
      <w:start w:val="9"/>
    </w:lvl>
    <w:lvl w:ilvl="1">
      <w:lvlJc w:val="left"/>
      <w:lvlText w:val="%2"/>
      <w:numFmt w:val="lowerLetter"/>
      <w:start w:val="1"/>
    </w:lvl>
  </w:abstractNum>
  <w:abstractNum w:abstractNumId="349">
    <w:nsid w:val="2BB7929B"/>
    <w:multiLevelType w:val="hybridMultilevel"/>
    <w:lvl w:ilvl="0">
      <w:lvlJc w:val="left"/>
      <w:lvlText w:val="(%1)"/>
      <w:numFmt w:val="lowerLetter"/>
      <w:start w:val="11"/>
    </w:lvl>
  </w:abstractNum>
  <w:abstractNum w:abstractNumId="350">
    <w:nsid w:val="58A2A487"/>
    <w:multiLevelType w:val="hybridMultilevel"/>
    <w:lvl w:ilvl="0">
      <w:lvlJc w:val="left"/>
      <w:lvlText w:val="(%1)"/>
      <w:numFmt w:val="lowerRoman"/>
      <w:start w:val="1"/>
    </w:lvl>
  </w:abstractNum>
  <w:abstractNum w:abstractNumId="351">
    <w:nsid w:val="3A6F0E78"/>
    <w:multiLevelType w:val="hybridMultilevel"/>
    <w:lvl w:ilvl="0">
      <w:lvlJc w:val="left"/>
      <w:lvlText w:val="."/>
      <w:numFmt w:val="bullet"/>
      <w:start w:val="1"/>
    </w:lvl>
    <w:lvl w:ilvl="1">
      <w:lvlJc w:val="left"/>
      <w:lvlText w:val="(%2)"/>
      <w:numFmt w:val="lowerLetter"/>
      <w:start w:val="1"/>
    </w:lvl>
  </w:abstractNum>
  <w:abstractNum w:abstractNumId="352">
    <w:nsid w:val="379A5B56"/>
    <w:multiLevelType w:val="hybridMultilevel"/>
    <w:lvl w:ilvl="0">
      <w:lvlJc w:val="left"/>
      <w:lvlText w:val="(%1)"/>
      <w:numFmt w:val="lowerLetter"/>
      <w:start w:val="9"/>
    </w:lvl>
    <w:lvl w:ilvl="1">
      <w:lvlJc w:val="left"/>
      <w:lvlText w:val="(%2)"/>
      <w:numFmt w:val="lowerLetter"/>
      <w:start w:val="4"/>
    </w:lvl>
  </w:abstractNum>
  <w:abstractNum w:abstractNumId="353">
    <w:nsid w:val="53B735D5"/>
    <w:multiLevelType w:val="hybridMultilevel"/>
    <w:lvl w:ilvl="0">
      <w:lvlJc w:val="left"/>
      <w:lvlText w:val="%1"/>
      <w:numFmt w:val="lowerLetter"/>
      <w:start w:val="1"/>
    </w:lvl>
    <w:lvl w:ilvl="1">
      <w:lvlJc w:val="left"/>
      <w:lvlText w:val="(%2)"/>
      <w:numFmt w:val="lowerLetter"/>
      <w:start w:val="8"/>
    </w:lvl>
  </w:abstractNum>
  <w:abstractNum w:abstractNumId="354">
    <w:nsid w:val="29784870"/>
    <w:multiLevelType w:val="hybridMultilevel"/>
    <w:lvl w:ilvl="0">
      <w:lvlJc w:val="left"/>
      <w:lvlText w:val="(%1)"/>
      <w:numFmt w:val="lowerLetter"/>
      <w:start w:val="35"/>
    </w:lvl>
    <w:lvl w:ilvl="1">
      <w:lvlJc w:val="left"/>
      <w:lvlText w:val="(%2)"/>
      <w:numFmt w:val="lowerLetter"/>
      <w:start w:val="14"/>
    </w:lvl>
  </w:abstractNum>
  <w:abstractNum w:abstractNumId="355">
    <w:nsid w:val="4CDCED4C"/>
    <w:multiLevelType w:val="hybridMultilevel"/>
    <w:lvl w:ilvl="0">
      <w:lvlJc w:val="left"/>
      <w:lvlText w:val="."/>
      <w:numFmt w:val="bullet"/>
      <w:start w:val="1"/>
    </w:lvl>
    <w:lvl w:ilvl="1">
      <w:lvlJc w:val="left"/>
      <w:lvlText w:val="(%2)"/>
      <w:numFmt w:val="lowerLetter"/>
      <w:start w:val="1"/>
    </w:lvl>
  </w:abstractNum>
  <w:abstractNum w:abstractNumId="356">
    <w:nsid w:val="10A30D9C"/>
    <w:multiLevelType w:val="hybridMultilevel"/>
    <w:lvl w:ilvl="0">
      <w:lvlJc w:val="left"/>
      <w:lvlText w:val="(%1)"/>
      <w:numFmt w:val="lowerLetter"/>
      <w:start w:val="2"/>
    </w:lvl>
  </w:abstractNum>
  <w:abstractNum w:abstractNumId="357">
    <w:nsid w:val="A66E486"/>
    <w:multiLevelType w:val="hybridMultilevel"/>
    <w:lvl w:ilvl="0">
      <w:lvlJc w:val="left"/>
      <w:lvlText w:val="(%1)"/>
      <w:numFmt w:val="lowerLetter"/>
      <w:start w:val="7"/>
    </w:lvl>
  </w:abstractNum>
  <w:abstractNum w:abstractNumId="358">
    <w:nsid w:val="306235EA"/>
    <w:multiLevelType w:val="hybridMultilevel"/>
    <w:lvl w:ilvl="0">
      <w:lvlJc w:val="left"/>
      <w:lvlText w:val="(%1)"/>
      <w:numFmt w:val="lowerLetter"/>
      <w:start w:val="9"/>
    </w:lvl>
  </w:abstractNum>
  <w:abstractNum w:abstractNumId="359">
    <w:nsid w:val="1187C70F"/>
    <w:multiLevelType w:val="hybridMultilevel"/>
    <w:lvl w:ilvl="0">
      <w:lvlJc w:val="left"/>
      <w:lvlText w:val="."/>
      <w:numFmt w:val="bullet"/>
      <w:start w:val="1"/>
    </w:lvl>
    <w:lvl w:ilvl="1">
      <w:lvlJc w:val="left"/>
      <w:lvlText w:val="%2"/>
      <w:numFmt w:val="lowerLetter"/>
      <w:start w:val="1"/>
    </w:lvl>
    <w:lvl w:ilvl="2">
      <w:lvlJc w:val="left"/>
      <w:lvlText w:val="(%3)"/>
      <w:numFmt w:val="lowerLetter"/>
      <w:start w:val="1"/>
    </w:lvl>
  </w:abstractNum>
  <w:abstractNum w:abstractNumId="360">
    <w:nsid w:val="5476DE98"/>
    <w:multiLevelType w:val="hybridMultilevel"/>
    <w:lvl w:ilvl="0">
      <w:lvlJc w:val="left"/>
      <w:lvlText w:val="."/>
      <w:numFmt w:val="bullet"/>
      <w:start w:val="1"/>
    </w:lvl>
    <w:lvl w:ilvl="1">
      <w:lvlJc w:val="left"/>
      <w:lvlText w:val="(%2)"/>
      <w:numFmt w:val="lowerLetter"/>
      <w:start w:val="9"/>
    </w:lvl>
    <w:lvl w:ilvl="2">
      <w:lvlJc w:val="left"/>
      <w:lvlText w:val="(%3)"/>
      <w:numFmt w:val="lowerLetter"/>
      <w:start w:val="8"/>
    </w:lvl>
  </w:abstractNum>
  <w:abstractNum w:abstractNumId="361">
    <w:nsid w:val="EA697F2"/>
    <w:multiLevelType w:val="hybridMultilevel"/>
    <w:lvl w:ilvl="0">
      <w:lvlJc w:val="left"/>
      <w:lvlText w:val="."/>
      <w:numFmt w:val="bullet"/>
      <w:start w:val="1"/>
    </w:lvl>
    <w:lvl w:ilvl="1">
      <w:lvlJc w:val="left"/>
      <w:lvlText w:val="(%2)"/>
      <w:numFmt w:val="lowerLetter"/>
      <w:start w:val="1"/>
    </w:lvl>
  </w:abstractNum>
  <w:abstractNum w:abstractNumId="362">
    <w:nsid w:val="70BA39EB"/>
    <w:multiLevelType w:val="hybridMultilevel"/>
    <w:lvl w:ilvl="0">
      <w:lvlJc w:val="left"/>
      <w:lvlText w:val="(%1)"/>
      <w:numFmt w:val="lowerLetter"/>
      <w:start w:val="2"/>
    </w:lvl>
  </w:abstractNum>
  <w:abstractNum w:abstractNumId="363">
    <w:nsid w:val="4A8DB59C"/>
    <w:multiLevelType w:val="hybridMultilevel"/>
    <w:lvl w:ilvl="0">
      <w:lvlJc w:val="left"/>
      <w:lvlText w:val="(%1)"/>
      <w:numFmt w:val="lowerLetter"/>
      <w:start w:val="35"/>
    </w:lvl>
    <w:lvl w:ilvl="1">
      <w:lvlJc w:val="left"/>
      <w:lvlText w:val="(%2)"/>
      <w:numFmt w:val="lowerLetter"/>
      <w:start w:val="16"/>
    </w:lvl>
  </w:abstractNum>
  <w:abstractNum w:abstractNumId="364">
    <w:nsid w:val="1AFD9053"/>
    <w:multiLevelType w:val="hybridMultilevel"/>
    <w:lvl w:ilvl="0">
      <w:lvlJc w:val="left"/>
      <w:lvlText w:val="."/>
      <w:numFmt w:val="bullet"/>
      <w:start w:val="1"/>
    </w:lvl>
    <w:lvl w:ilvl="1">
      <w:lvlJc w:val="left"/>
      <w:lvlText w:val="(%2)"/>
      <w:numFmt w:val="lowerLetter"/>
      <w:start w:val="1"/>
    </w:lvl>
  </w:abstractNum>
  <w:abstractNum w:abstractNumId="365">
    <w:nsid w:val="558BB10D"/>
    <w:multiLevelType w:val="hybridMultilevel"/>
    <w:lvl w:ilvl="0">
      <w:lvlJc w:val="left"/>
      <w:lvlText w:val="."/>
      <w:numFmt w:val="bullet"/>
      <w:start w:val="1"/>
    </w:lvl>
  </w:abstractNum>
  <w:abstractNum w:abstractNumId="366">
    <w:nsid w:val="43B27FA7"/>
    <w:multiLevelType w:val="hybridMultilevel"/>
    <w:lvl w:ilvl="0">
      <w:lvlJc w:val="left"/>
      <w:lvlText w:val="(%1)"/>
      <w:numFmt w:val="lowerLetter"/>
      <w:start w:val="3"/>
    </w:lvl>
  </w:abstractNum>
  <w:abstractNum w:abstractNumId="367">
    <w:nsid w:val="27FADEFA"/>
    <w:multiLevelType w:val="hybridMultilevel"/>
    <w:lvl w:ilvl="0">
      <w:lvlJc w:val="left"/>
      <w:lvlText w:val="(%1)"/>
      <w:numFmt w:val="lowerLetter"/>
      <w:start w:val="1"/>
    </w:lvl>
  </w:abstractNum>
  <w:abstractNum w:abstractNumId="368">
    <w:nsid w:val="78BB805A"/>
    <w:multiLevelType w:val="hybridMultilevel"/>
    <w:lvl w:ilvl="0">
      <w:lvlJc w:val="left"/>
      <w:lvlText w:val="(%1)"/>
      <w:numFmt w:val="lowerLetter"/>
      <w:start w:val="1"/>
    </w:lvl>
  </w:abstractNum>
  <w:abstractNum w:abstractNumId="369">
    <w:nsid w:val="62548FD8"/>
    <w:multiLevelType w:val="hybridMultilevel"/>
    <w:lvl w:ilvl="0">
      <w:lvlJc w:val="left"/>
      <w:lvlText w:val="(%1)"/>
      <w:numFmt w:val="lowerLetter"/>
      <w:start w:val="2"/>
    </w:lvl>
  </w:abstractNum>
  <w:abstractNum w:abstractNumId="370">
    <w:nsid w:val="FA085B0"/>
    <w:multiLevelType w:val="hybridMultilevel"/>
    <w:lvl w:ilvl="0">
      <w:lvlJc w:val="left"/>
      <w:lvlText w:val="(%1)"/>
      <w:numFmt w:val="lowerLetter"/>
      <w:start w:val="3"/>
    </w:lvl>
  </w:abstractNum>
  <w:abstractNum w:abstractNumId="371">
    <w:nsid w:val="4E5DCB5"/>
    <w:multiLevelType w:val="hybridMultilevel"/>
    <w:lvl w:ilvl="0">
      <w:lvlJc w:val="left"/>
      <w:lvlText w:val="(%1)"/>
      <w:numFmt w:val="lowerLetter"/>
      <w:start w:val="1"/>
    </w:lvl>
  </w:abstractNum>
  <w:abstractNum w:abstractNumId="372">
    <w:nsid w:val="41E96BDB"/>
    <w:multiLevelType w:val="hybridMultilevel"/>
    <w:lvl w:ilvl="0">
      <w:lvlJc w:val="left"/>
      <w:lvlText w:val="(%1)"/>
      <w:numFmt w:val="lowerRoman"/>
      <w:start w:val="3"/>
    </w:lvl>
  </w:abstractNum>
  <w:abstractNum w:abstractNumId="373">
    <w:nsid w:val="331C4250"/>
    <w:multiLevelType w:val="hybridMultilevel"/>
    <w:lvl w:ilvl="0">
      <w:lvlJc w:val="left"/>
      <w:lvlText w:val="(%1)"/>
      <w:numFmt w:val="upperLetter"/>
      <w:start w:val="7"/>
    </w:lvl>
  </w:abstractNum>
  <w:abstractNum w:abstractNumId="374">
    <w:nsid w:val="1B1493C2"/>
    <w:multiLevelType w:val="hybridMultilevel"/>
    <w:lvl w:ilvl="0">
      <w:lvlJc w:val="left"/>
      <w:lvlText w:val="."/>
      <w:numFmt w:val="bullet"/>
      <w:start w:val="1"/>
    </w:lvl>
  </w:abstractNum>
  <w:abstractNum w:abstractNumId="375">
    <w:nsid w:val="39F06DFD"/>
    <w:multiLevelType w:val="hybridMultilevel"/>
    <w:lvl w:ilvl="0">
      <w:lvlJc w:val="left"/>
      <w:lvlText w:val="."/>
      <w:numFmt w:val="bullet"/>
      <w:start w:val="1"/>
    </w:lvl>
  </w:abstractNum>
  <w:abstractNum w:abstractNumId="376">
    <w:nsid w:val="14802F5D"/>
    <w:multiLevelType w:val="hybridMultilevel"/>
    <w:lvl w:ilvl="0">
      <w:lvlJc w:val="left"/>
      <w:lvlText w:val="(%1)"/>
      <w:numFmt w:val="lowerRoman"/>
      <w:start w:val="10"/>
    </w:lvl>
  </w:abstractNum>
  <w:abstractNum w:abstractNumId="377">
    <w:nsid w:val="2774A209"/>
    <w:multiLevelType w:val="hybridMultilevel"/>
    <w:lvl w:ilvl="0">
      <w:lvlJc w:val="left"/>
      <w:lvlText w:val="."/>
      <w:numFmt w:val="bullet"/>
      <w:start w:val="1"/>
    </w:lvl>
  </w:abstractNum>
  <w:abstractNum w:abstractNumId="378">
    <w:nsid w:val="3785655A"/>
    <w:multiLevelType w:val="hybridMultilevel"/>
    <w:lvl w:ilvl="0">
      <w:lvlJc w:val="left"/>
      <w:lvlText w:val="%1"/>
      <w:numFmt w:val="lowerLetter"/>
      <w:start w:val="1"/>
    </w:lvl>
    <w:lvl w:ilvl="1">
      <w:lvlJc w:val="left"/>
      <w:lvlText w:val="(%2)"/>
      <w:numFmt w:val="lowerLetter"/>
      <w:start w:val="4"/>
    </w:lvl>
  </w:abstractNum>
  <w:abstractNum w:abstractNumId="379">
    <w:nsid w:val="B2172A"/>
    <w:multiLevelType w:val="hybridMultilevel"/>
    <w:lvl w:ilvl="0">
      <w:lvlJc w:val="left"/>
      <w:lvlText w:val="(%1)"/>
      <w:numFmt w:val="lowerLetter"/>
      <w:start w:val="35"/>
    </w:lvl>
    <w:lvl w:ilvl="1">
      <w:lvlJc w:val="left"/>
      <w:lvlText w:val="(%2)"/>
      <w:numFmt w:val="lowerLetter"/>
      <w:start w:val="10"/>
    </w:lvl>
  </w:abstractNum>
  <w:abstractNum w:abstractNumId="380">
    <w:nsid w:val="532C34A5"/>
    <w:multiLevelType w:val="hybridMultilevel"/>
    <w:lvl w:ilvl="0">
      <w:lvlJc w:val="left"/>
      <w:lvlText w:val="."/>
      <w:numFmt w:val="bullet"/>
      <w:start w:val="1"/>
    </w:lvl>
    <w:lvl w:ilvl="1">
      <w:lvlJc w:val="left"/>
      <w:lvlText w:val="(%2)"/>
      <w:numFmt w:val="lowerLetter"/>
      <w:start w:val="1"/>
    </w:lvl>
  </w:abstractNum>
  <w:abstractNum w:abstractNumId="381">
    <w:nsid w:val="102809E2"/>
    <w:multiLevelType w:val="hybridMultilevel"/>
    <w:lvl w:ilvl="0">
      <w:lvlJc w:val="left"/>
      <w:lvlText w:val="(%1)"/>
      <w:numFmt w:val="lowerLetter"/>
      <w:start w:val="1"/>
    </w:lvl>
  </w:abstractNum>
  <w:abstractNum w:abstractNumId="382">
    <w:nsid w:val="3B2125A3"/>
    <w:multiLevelType w:val="hybridMultilevel"/>
    <w:lvl w:ilvl="0">
      <w:lvlJc w:val="left"/>
      <w:lvlText w:val="(%1)"/>
      <w:numFmt w:val="lowerLetter"/>
      <w:start w:val="2"/>
    </w:lvl>
  </w:abstractNum>
  <w:abstractNum w:abstractNumId="383">
    <w:nsid w:val="AC68FFB"/>
    <w:multiLevelType w:val="hybridMultilevel"/>
    <w:lvl w:ilvl="0">
      <w:lvlJc w:val="left"/>
      <w:lvlText w:val="."/>
      <w:numFmt w:val="bullet"/>
      <w:start w:val="1"/>
    </w:lvl>
    <w:lvl w:ilvl="1">
      <w:lvlJc w:val="left"/>
      <w:lvlText w:val="(%2)"/>
      <w:numFmt w:val="lowerLetter"/>
      <w:start w:val="1"/>
    </w:lvl>
  </w:abstractNum>
  <w:abstractNum w:abstractNumId="384">
    <w:nsid w:val="63DF3FB7"/>
    <w:multiLevelType w:val="hybridMultilevel"/>
    <w:lvl w:ilvl="0">
      <w:lvlJc w:val="left"/>
      <w:lvlText w:val="(%1)"/>
      <w:numFmt w:val="lowerLetter"/>
      <w:start w:val="2"/>
    </w:lvl>
  </w:abstractNum>
  <w:abstractNum w:abstractNumId="385">
    <w:nsid w:val="64996E13"/>
    <w:multiLevelType w:val="hybridMultilevel"/>
    <w:lvl w:ilvl="0">
      <w:lvlJc w:val="left"/>
      <w:lvlText w:val="."/>
      <w:numFmt w:val="bullet"/>
      <w:start w:val="1"/>
    </w:lvl>
    <w:lvl w:ilvl="1">
      <w:lvlJc w:val="left"/>
      <w:lvlText w:val="(%2)"/>
      <w:numFmt w:val="lowerLetter"/>
      <w:start w:val="1"/>
    </w:lvl>
  </w:abstractNum>
  <w:abstractNum w:abstractNumId="386">
    <w:nsid w:val="57A37D47"/>
    <w:multiLevelType w:val="hybridMultilevel"/>
    <w:lvl w:ilvl="0">
      <w:lvlJc w:val="left"/>
      <w:lvlText w:val="(%1)"/>
      <w:numFmt w:val="lowerLetter"/>
      <w:start w:val="1"/>
    </w:lvl>
  </w:abstractNum>
  <w:abstractNum w:abstractNumId="387">
    <w:nsid w:val="74824D54"/>
    <w:multiLevelType w:val="hybridMultilevel"/>
    <w:lvl w:ilvl="0">
      <w:lvlJc w:val="left"/>
      <w:lvlText w:val="(%1)"/>
      <w:numFmt w:val="lowerLetter"/>
      <w:start w:val="2"/>
    </w:lvl>
  </w:abstractNum>
  <w:abstractNum w:abstractNumId="388">
    <w:nsid w:val="6F00529A"/>
    <w:multiLevelType w:val="hybridMultilevel"/>
    <w:lvl w:ilvl="0">
      <w:lvlJc w:val="left"/>
      <w:lvlText w:val="."/>
      <w:numFmt w:val="bullet"/>
      <w:start w:val="1"/>
    </w:lvl>
  </w:abstractNum>
  <w:abstractNum w:abstractNumId="389">
    <w:nsid w:val="805B331"/>
    <w:multiLevelType w:val="hybridMultilevel"/>
    <w:lvl w:ilvl="0">
      <w:lvlJc w:val="left"/>
      <w:lvlText w:val="(%1)"/>
      <w:numFmt w:val="lowerLetter"/>
      <w:start w:val="1"/>
    </w:lvl>
  </w:abstractNum>
  <w:abstractNum w:abstractNumId="390">
    <w:nsid w:val="60A1463"/>
    <w:multiLevelType w:val="hybridMultilevel"/>
    <w:lvl w:ilvl="0">
      <w:lvlJc w:val="left"/>
      <w:lvlText w:val="."/>
      <w:numFmt w:val="bullet"/>
      <w:start w:val="1"/>
    </w:lvl>
  </w:abstractNum>
  <w:abstractNum w:abstractNumId="391">
    <w:nsid w:val="43773132"/>
    <w:multiLevelType w:val="hybridMultilevel"/>
    <w:lvl w:ilvl="0">
      <w:lvlJc w:val="left"/>
      <w:lvlText w:val="(%1)"/>
      <w:numFmt w:val="lowerLetter"/>
      <w:start w:val="1"/>
    </w:lvl>
  </w:abstractNum>
  <w:abstractNum w:abstractNumId="392">
    <w:nsid w:val="16AC4B23"/>
    <w:multiLevelType w:val="hybridMultilevel"/>
    <w:lvl w:ilvl="0">
      <w:lvlJc w:val="left"/>
      <w:lvlText w:val="%1"/>
      <w:numFmt w:val="lowerLetter"/>
      <w:start w:val="1"/>
    </w:lvl>
    <w:lvl w:ilvl="1">
      <w:lvlJc w:val="left"/>
      <w:lvlText w:val="(%2)"/>
      <w:numFmt w:val="lowerLetter"/>
      <w:start w:val="2"/>
    </w:lvl>
  </w:abstractNum>
  <w:abstractNum w:abstractNumId="393">
    <w:nsid w:val="76C44E4E"/>
    <w:multiLevelType w:val="hybridMultilevel"/>
    <w:lvl w:ilvl="0">
      <w:lvlJc w:val="left"/>
      <w:lvlText w:val="(%1)"/>
      <w:numFmt w:val="lowerLetter"/>
      <w:start w:val="24"/>
    </w:lvl>
    <w:lvl w:ilvl="1">
      <w:lvlJc w:val="left"/>
      <w:lvlText w:val="%2"/>
      <w:numFmt w:val="lowerLetter"/>
      <w:start w:val="1"/>
    </w:lvl>
  </w:abstractNum>
  <w:abstractNum w:abstractNumId="394">
    <w:nsid w:val="E04E6CE"/>
    <w:multiLevelType w:val="hybridMultilevel"/>
    <w:lvl w:ilvl="0">
      <w:lvlJc w:val="left"/>
      <w:lvlText w:val="."/>
      <w:numFmt w:val="bullet"/>
      <w:start w:val="1"/>
    </w:lvl>
  </w:abstractNum>
  <w:abstractNum w:abstractNumId="395">
    <w:nsid w:val="31A9DB76"/>
    <w:multiLevelType w:val="hybridMultilevel"/>
    <w:lvl w:ilvl="0">
      <w:lvlJc w:val="left"/>
      <w:lvlText w:val="."/>
      <w:numFmt w:val="bullet"/>
      <w:start w:val="1"/>
    </w:lvl>
  </w:abstractNum>
  <w:abstractNum w:abstractNumId="396">
    <w:nsid w:val="4C4FFF5B"/>
    <w:multiLevelType w:val="hybridMultilevel"/>
    <w:lvl w:ilvl="0">
      <w:lvlJc w:val="left"/>
      <w:lvlText w:val="(%1)"/>
      <w:numFmt w:val="lowerLetter"/>
      <w:start w:val="11"/>
    </w:lvl>
  </w:abstractNum>
  <w:abstractNum w:abstractNumId="397">
    <w:nsid w:val="51B76675"/>
    <w:multiLevelType w:val="hybridMultilevel"/>
    <w:lvl w:ilvl="0">
      <w:lvlJc w:val="left"/>
      <w:lvlText w:val="."/>
      <w:numFmt w:val="bullet"/>
      <w:start w:val="1"/>
    </w:lvl>
  </w:abstractNum>
  <w:abstractNum w:abstractNumId="398">
    <w:nsid w:val="59A4BA71"/>
    <w:multiLevelType w:val="hybridMultilevel"/>
    <w:lvl w:ilvl="0">
      <w:lvlJc w:val="left"/>
      <w:lvlText w:val="."/>
      <w:numFmt w:val="bullet"/>
      <w:start w:val="1"/>
    </w:lvl>
  </w:abstractNum>
  <w:abstractNum w:abstractNumId="399">
    <w:nsid w:val="450B7FB6"/>
    <w:multiLevelType w:val="hybridMultilevel"/>
    <w:lvl w:ilvl="0">
      <w:lvlJc w:val="left"/>
      <w:lvlText w:val="(%1)"/>
      <w:numFmt w:val="lowerLetter"/>
      <w:start w:val="1"/>
    </w:lvl>
  </w:abstractNum>
  <w:abstractNum w:abstractNumId="400">
    <w:nsid w:val="340BF64D"/>
    <w:multiLevelType w:val="hybridMultilevel"/>
    <w:lvl w:ilvl="0">
      <w:lvlJc w:val="left"/>
      <w:lvlText w:val="(%1)"/>
      <w:numFmt w:val="upperLetter"/>
      <w:start w:val="2"/>
    </w:lvl>
  </w:abstractNum>
  <w:abstractNum w:abstractNumId="401">
    <w:nsid w:val="69454021"/>
    <w:multiLevelType w:val="hybridMultilevel"/>
    <w:lvl w:ilvl="0">
      <w:lvlJc w:val="left"/>
      <w:lvlText w:val="(%1)"/>
      <w:numFmt w:val="lowerLetter"/>
      <w:start w:val="2"/>
    </w:lvl>
  </w:abstractNum>
  <w:abstractNum w:abstractNumId="402">
    <w:nsid w:val="49F15C6B"/>
    <w:multiLevelType w:val="hybridMultilevel"/>
    <w:lvl w:ilvl="0">
      <w:lvlJc w:val="left"/>
      <w:lvlText w:val="."/>
      <w:numFmt w:val="bullet"/>
      <w:start w:val="1"/>
    </w:lvl>
  </w:abstractNum>
  <w:abstractNum w:abstractNumId="403">
    <w:nsid w:val="75F56228"/>
    <w:multiLevelType w:val="hybridMultilevel"/>
    <w:lvl w:ilvl="0">
      <w:lvlJc w:val="left"/>
      <w:lvlText w:val="(%1)"/>
      <w:numFmt w:val="lowerLetter"/>
      <w:start w:val="1"/>
    </w:lvl>
  </w:abstractNum>
  <w:abstractNum w:abstractNumId="404">
    <w:nsid w:val="1C618271"/>
    <w:multiLevelType w:val="hybridMultilevel"/>
    <w:lvl w:ilvl="0">
      <w:lvlJc w:val="left"/>
      <w:lvlText w:val="(%1)"/>
      <w:numFmt w:val="lowerLetter"/>
      <w:start w:val="4"/>
    </w:lvl>
  </w:abstractNum>
  <w:abstractNum w:abstractNumId="405">
    <w:nsid w:val="6505F02E"/>
    <w:multiLevelType w:val="hybridMultilevel"/>
    <w:lvl w:ilvl="0">
      <w:lvlJc w:val="left"/>
      <w:lvlText w:val="(%1)"/>
      <w:numFmt w:val="lowerLetter"/>
      <w:start w:val="25"/>
    </w:lvl>
    <w:lvl w:ilvl="1">
      <w:lvlJc w:val="left"/>
      <w:lvlText w:val="(%2)"/>
      <w:numFmt w:val="lowerLetter"/>
      <w:start w:val="6"/>
    </w:lvl>
  </w:abstractNum>
  <w:abstractNum w:abstractNumId="406">
    <w:nsid w:val="2FE5D025"/>
    <w:multiLevelType w:val="hybridMultilevel"/>
    <w:lvl w:ilvl="0">
      <w:lvlJc w:val="left"/>
      <w:lvlText w:val="(%1)"/>
      <w:numFmt w:val="lowerLetter"/>
      <w:start w:val="7"/>
    </w:lvl>
  </w:abstractNum>
  <w:abstractNum w:abstractNumId="407">
    <w:nsid w:val="30E1B1CF"/>
    <w:multiLevelType w:val="hybridMultilevel"/>
    <w:lvl w:ilvl="0">
      <w:lvlJc w:val="left"/>
      <w:lvlText w:val="(%1)"/>
      <w:numFmt w:val="lowerLetter"/>
      <w:start w:val="1"/>
    </w:lvl>
  </w:abstractNum>
  <w:abstractNum w:abstractNumId="408">
    <w:nsid w:val="C7A9237"/>
    <w:multiLevelType w:val="hybridMultilevel"/>
    <w:lvl w:ilvl="0">
      <w:lvlJc w:val="left"/>
      <w:lvlText w:val="%1"/>
      <w:numFmt w:val="upperLetter"/>
      <w:start w:val="1"/>
    </w:lvl>
    <w:lvl w:ilvl="1">
      <w:lvlJc w:val="left"/>
      <w:lvlText w:val="(%2)"/>
      <w:numFmt w:val="lowerLetter"/>
      <w:start w:val="2"/>
    </w:lvl>
  </w:abstractNum>
  <w:abstractNum w:abstractNumId="409">
    <w:nsid w:val="676B3580"/>
    <w:multiLevelType w:val="hybridMultilevel"/>
    <w:lvl w:ilvl="0">
      <w:lvlJc w:val="left"/>
      <w:lvlText w:val="(%1)"/>
      <w:numFmt w:val="lowerLetter"/>
      <w:start w:val="3"/>
    </w:lvl>
  </w:abstractNum>
  <w:abstractNum w:abstractNumId="410">
    <w:nsid w:val="3193C8F9"/>
    <w:multiLevelType w:val="hybridMultilevel"/>
    <w:lvl w:ilvl="0">
      <w:lvlJc w:val="left"/>
      <w:lvlText w:val="(%1)"/>
      <w:numFmt w:val="lowerLetter"/>
      <w:start w:val="6"/>
    </w:lvl>
  </w:abstractNum>
  <w:abstractNum w:abstractNumId="411">
    <w:nsid w:val="5FA6C6DC"/>
    <w:multiLevelType w:val="hybridMultilevel"/>
    <w:lvl w:ilvl="0">
      <w:lvlJc w:val="left"/>
      <w:lvlText w:val="."/>
      <w:numFmt w:val="bullet"/>
      <w:start w:val="1"/>
    </w:lvl>
  </w:abstractNum>
  <w:abstractNum w:abstractNumId="412">
    <w:nsid w:val="77933F62"/>
    <w:multiLevelType w:val="hybridMultilevel"/>
    <w:lvl w:ilvl="0">
      <w:lvlJc w:val="left"/>
      <w:lvlText w:val="(%1)"/>
      <w:numFmt w:val="lowerLetter"/>
      <w:start w:val="1"/>
    </w:lvl>
  </w:abstractNum>
  <w:abstractNum w:abstractNumId="413">
    <w:nsid w:val="6CB4EE9C"/>
    <w:multiLevelType w:val="hybridMultilevel"/>
    <w:lvl w:ilvl="0">
      <w:lvlJc w:val="left"/>
      <w:lvlText w:val="(%1)"/>
      <w:numFmt w:val="lowerLetter"/>
      <w:start w:val="8"/>
    </w:lvl>
  </w:abstractNum>
  <w:abstractNum w:abstractNumId="414">
    <w:nsid w:val="6A6D56D7"/>
    <w:multiLevelType w:val="hybridMultilevel"/>
    <w:lvl w:ilvl="0">
      <w:lvlJc w:val="left"/>
      <w:lvlText w:val="(%1)"/>
      <w:numFmt w:val="lowerLetter"/>
      <w:start w:val="1"/>
    </w:lvl>
  </w:abstractNum>
  <w:abstractNum w:abstractNumId="415">
    <w:nsid w:val="5B727F19"/>
    <w:multiLevelType w:val="hybridMultilevel"/>
    <w:lvl w:ilvl="0">
      <w:lvlJc w:val="left"/>
      <w:lvlText w:val="(%1)"/>
      <w:numFmt w:val="lowerLetter"/>
      <w:start w:val="2"/>
    </w:lvl>
  </w:abstractNum>
  <w:abstractNum w:abstractNumId="416">
    <w:nsid w:val="514E5CB0"/>
    <w:multiLevelType w:val="hybridMultilevel"/>
    <w:lvl w:ilvl="0">
      <w:lvlJc w:val="left"/>
      <w:lvlText w:val="(%1)"/>
      <w:numFmt w:val="lowerLetter"/>
      <w:start w:val="4"/>
    </w:lvl>
  </w:abstractNum>
  <w:abstractNum w:abstractNumId="417">
    <w:nsid w:val="4210D41E"/>
    <w:multiLevelType w:val="hybridMultilevel"/>
    <w:lvl w:ilvl="0">
      <w:lvlJc w:val="left"/>
      <w:lvlText w:val="."/>
      <w:numFmt w:val="bullet"/>
      <w:start w:val="1"/>
    </w:lvl>
  </w:abstractNum>
  <w:abstractNum w:abstractNumId="418">
    <w:nsid w:val="4FF4CC6D"/>
    <w:multiLevelType w:val="hybridMultilevel"/>
    <w:lvl w:ilvl="0">
      <w:lvlJc w:val="left"/>
      <w:lvlText w:val="(%1)"/>
      <w:numFmt w:val="lowerLetter"/>
      <w:start w:val="1"/>
    </w:lvl>
  </w:abstractNum>
  <w:abstractNum w:abstractNumId="419">
    <w:nsid w:val="404EAF4A"/>
    <w:multiLevelType w:val="hybridMultilevel"/>
    <w:lvl w:ilvl="0">
      <w:lvlJc w:val="left"/>
      <w:lvlText w:val="."/>
      <w:numFmt w:val="bullet"/>
      <w:start w:val="1"/>
    </w:lvl>
  </w:abstractNum>
  <w:abstractNum w:abstractNumId="420">
    <w:nsid w:val="4A16874F"/>
    <w:multiLevelType w:val="hybridMultilevel"/>
    <w:lvl w:ilvl="0">
      <w:lvlJc w:val="left"/>
      <w:lvlText w:val="."/>
      <w:numFmt w:val="bullet"/>
      <w:start w:val="1"/>
    </w:lvl>
  </w:abstractNum>
  <w:abstractNum w:abstractNumId="421">
    <w:nsid w:val="55FEE0D1"/>
    <w:multiLevelType w:val="hybridMultilevel"/>
    <w:lvl w:ilvl="0">
      <w:lvlJc w:val="left"/>
      <w:lvlText w:val="."/>
      <w:numFmt w:val="bullet"/>
      <w:start w:val="1"/>
    </w:lvl>
  </w:abstractNum>
  <w:abstractNum w:abstractNumId="422">
    <w:nsid w:val="3C5E07C"/>
    <w:multiLevelType w:val="hybridMultilevel"/>
    <w:lvl w:ilvl="0">
      <w:lvlJc w:val="left"/>
      <w:lvlText w:val="%1"/>
      <w:numFmt w:val="lowerLetter"/>
      <w:start w:val="1"/>
    </w:lvl>
    <w:lvl w:ilvl="1">
      <w:lvlJc w:val="left"/>
      <w:lvlText w:val="(%2)"/>
      <w:numFmt w:val="lowerLetter"/>
      <w:start w:val="1"/>
    </w:lvl>
  </w:abstractNum>
  <w:abstractNum w:abstractNumId="423">
    <w:nsid w:val="60C2D273"/>
    <w:multiLevelType w:val="hybridMultilevel"/>
    <w:lvl w:ilvl="0">
      <w:lvlJc w:val="left"/>
      <w:lvlText w:val="(%1)"/>
      <w:numFmt w:val="lowerLetter"/>
      <w:start w:val="4"/>
    </w:lvl>
    <w:lvl w:ilvl="1">
      <w:lvlJc w:val="left"/>
      <w:lvlText w:val="%2"/>
      <w:numFmt w:val="lowerLetter"/>
      <w:start w:val="1"/>
    </w:lvl>
  </w:abstractNum>
  <w:abstractNum w:abstractNumId="424">
    <w:nsid w:val="4CC32F1F"/>
    <w:multiLevelType w:val="hybridMultilevel"/>
    <w:lvl w:ilvl="0">
      <w:lvlJc w:val="left"/>
      <w:lvlText w:val="(%1)"/>
      <w:numFmt w:val="lowerLetter"/>
      <w:start w:val="2"/>
    </w:lvl>
  </w:abstractNum>
  <w:abstractNum w:abstractNumId="425">
    <w:nsid w:val="11CAC74A"/>
    <w:multiLevelType w:val="hybridMultilevel"/>
    <w:lvl w:ilvl="0">
      <w:lvlJc w:val="left"/>
      <w:lvlText w:val="(%1)"/>
      <w:numFmt w:val="upperLetter"/>
      <w:start w:val="1"/>
    </w:lvl>
  </w:abstractNum>
  <w:abstractNum w:abstractNumId="426">
    <w:nsid w:val="126CADE9"/>
    <w:multiLevelType w:val="hybridMultilevel"/>
    <w:lvl w:ilvl="0">
      <w:lvlJc w:val="left"/>
      <w:lvlText w:val="%1"/>
      <w:numFmt w:val="lowerRoman"/>
      <w:start w:val="1"/>
    </w:lvl>
    <w:lvl w:ilvl="1">
      <w:lvlJc w:val="left"/>
      <w:lvlText w:val="(%2)"/>
      <w:numFmt w:val="upperLetter"/>
      <w:start w:val="1"/>
    </w:lvl>
  </w:abstractNum>
  <w:abstractNum w:abstractNumId="427">
    <w:nsid w:val="19132E7B"/>
    <w:multiLevelType w:val="hybridMultilevel"/>
    <w:lvl w:ilvl="0">
      <w:lvlJc w:val="left"/>
      <w:lvlText w:val="(%1)"/>
      <w:numFmt w:val="lowerRoman"/>
      <w:start w:val="10"/>
    </w:lvl>
    <w:lvl w:ilvl="1">
      <w:lvlJc w:val="left"/>
      <w:lvlText w:val="%2"/>
      <w:numFmt w:val="upperLetter"/>
      <w:start w:val="1"/>
    </w:lvl>
  </w:abstractNum>
  <w:abstractNum w:abstractNumId="428">
    <w:nsid w:val="63822DC0"/>
    <w:multiLevelType w:val="hybridMultilevel"/>
    <w:lvl w:ilvl="0">
      <w:lvlJc w:val="left"/>
      <w:lvlText w:val="(%1)"/>
      <w:numFmt w:val="upperLetter"/>
      <w:start w:val="1"/>
    </w:lvl>
  </w:abstractNum>
  <w:abstractNum w:abstractNumId="429">
    <w:nsid w:val="6C11685A"/>
    <w:multiLevelType w:val="hybridMultilevel"/>
    <w:lvl w:ilvl="0">
      <w:lvlJc w:val="left"/>
      <w:lvlText w:val="(%1)"/>
      <w:numFmt w:val="lowerLetter"/>
      <w:start w:val="3"/>
    </w:lvl>
  </w:abstractNum>
  <w:abstractNum w:abstractNumId="430">
    <w:nsid w:val="5E1EAE31"/>
    <w:multiLevelType w:val="hybridMultilevel"/>
    <w:lvl w:ilvl="0">
      <w:lvlJc w:val="left"/>
      <w:lvlText w:val="(%1)"/>
      <w:numFmt w:val="lowerLetter"/>
      <w:start w:val="5"/>
    </w:lvl>
  </w:abstractNum>
  <w:abstractNum w:abstractNumId="431">
    <w:nsid w:val="178E240D"/>
    <w:multiLevelType w:val="hybridMultilevel"/>
    <w:lvl w:ilvl="0">
      <w:lvlJc w:val="left"/>
      <w:lvlText w:val="."/>
      <w:numFmt w:val="bullet"/>
      <w:start w:val="1"/>
    </w:lvl>
  </w:abstractNum>
  <w:abstractNum w:abstractNumId="432">
    <w:nsid w:val="5556A87B"/>
    <w:multiLevelType w:val="hybridMultilevel"/>
    <w:lvl w:ilvl="0">
      <w:lvlJc w:val="left"/>
      <w:lvlText w:val="."/>
      <w:numFmt w:val="bullet"/>
      <w:start w:val="1"/>
    </w:lvl>
  </w:abstractNum>
  <w:abstractNum w:abstractNumId="433">
    <w:nsid w:val="28100A9C"/>
    <w:multiLevelType w:val="hybridMultilevel"/>
    <w:lvl w:ilvl="0">
      <w:lvlJc w:val="left"/>
      <w:lvlText w:val="."/>
      <w:numFmt w:val="bullet"/>
      <w:start w:val="1"/>
    </w:lvl>
  </w:abstractNum>
  <w:abstractNum w:abstractNumId="434">
    <w:nsid w:val="D838636"/>
    <w:multiLevelType w:val="hybridMultilevel"/>
    <w:lvl w:ilvl="0">
      <w:lvlJc w:val="left"/>
      <w:lvlText w:val="(%1)"/>
      <w:numFmt w:val="lowerLetter"/>
      <w:start w:val="1"/>
    </w:lvl>
  </w:abstractNum>
  <w:abstractNum w:abstractNumId="435">
    <w:nsid w:val="71B82AED"/>
    <w:multiLevelType w:val="hybridMultilevel"/>
    <w:lvl w:ilvl="0">
      <w:lvlJc w:val="left"/>
      <w:lvlText w:val="(%1)"/>
      <w:numFmt w:val="lowerLetter"/>
      <w:start w:val="2"/>
    </w:lvl>
  </w:abstractNum>
  <w:abstractNum w:abstractNumId="436">
    <w:nsid w:val="D15FACA"/>
    <w:multiLevelType w:val="hybridMultilevel"/>
    <w:lvl w:ilvl="0">
      <w:lvlJc w:val="left"/>
      <w:lvlText w:val="."/>
      <w:numFmt w:val="bullet"/>
      <w:start w:val="1"/>
    </w:lvl>
  </w:abstractNum>
  <w:abstractNum w:abstractNumId="437">
    <w:nsid w:val="3D69565B"/>
    <w:multiLevelType w:val="hybridMultilevel"/>
    <w:lvl w:ilvl="0">
      <w:lvlJc w:val="left"/>
      <w:lvlText w:val="."/>
      <w:numFmt w:val="bullet"/>
      <w:start w:val="1"/>
    </w:lvl>
  </w:abstractNum>
  <w:abstractNum w:abstractNumId="438">
    <w:nsid w:val="2299DCBC"/>
    <w:multiLevelType w:val="hybridMultilevel"/>
    <w:lvl w:ilvl="0">
      <w:lvlJc w:val="left"/>
      <w:lvlText w:val="(%1)"/>
      <w:numFmt w:val="lowerLetter"/>
      <w:start w:val="1"/>
    </w:lvl>
  </w:abstractNum>
  <w:abstractNum w:abstractNumId="439">
    <w:nsid w:val="19908D02"/>
    <w:multiLevelType w:val="hybridMultilevel"/>
    <w:lvl w:ilvl="0">
      <w:lvlJc w:val="left"/>
      <w:lvlText w:val="."/>
      <w:numFmt w:val="bullet"/>
      <w:start w:val="1"/>
    </w:lvl>
  </w:abstractNum>
  <w:abstractNum w:abstractNumId="440">
    <w:nsid w:val="24D48BDB"/>
    <w:multiLevelType w:val="hybridMultilevel"/>
    <w:lvl w:ilvl="0">
      <w:lvlJc w:val="left"/>
      <w:lvlText w:val="."/>
      <w:numFmt w:val="bullet"/>
      <w:start w:val="1"/>
    </w:lvl>
  </w:abstractNum>
  <w:abstractNum w:abstractNumId="441">
    <w:nsid w:val="542DA5B5"/>
    <w:multiLevelType w:val="hybridMultilevel"/>
    <w:lvl w:ilvl="0">
      <w:lvlJc w:val="left"/>
      <w:lvlText w:val="."/>
      <w:numFmt w:val="bullet"/>
      <w:start w:val="1"/>
    </w:lvl>
  </w:abstractNum>
  <w:abstractNum w:abstractNumId="442">
    <w:nsid w:val="793753DE"/>
    <w:multiLevelType w:val="hybridMultilevel"/>
    <w:lvl w:ilvl="0">
      <w:lvlJc w:val="left"/>
      <w:lvlText w:val="(%1)"/>
      <w:numFmt w:val="lowerLetter"/>
      <w:start w:val="14"/>
    </w:lvl>
  </w:abstractNum>
  <w:abstractNum w:abstractNumId="443">
    <w:nsid w:val="1C67CB3D"/>
    <w:multiLevelType w:val="hybridMultilevel"/>
    <w:lvl w:ilvl="0">
      <w:lvlJc w:val="left"/>
      <w:lvlText w:val="."/>
      <w:numFmt w:val="bullet"/>
      <w:start w:val="1"/>
    </w:lvl>
  </w:abstractNum>
  <w:abstractNum w:abstractNumId="444">
    <w:nsid w:val="40E29452"/>
    <w:multiLevelType w:val="hybridMultilevel"/>
    <w:lvl w:ilvl="0">
      <w:lvlJc w:val="left"/>
      <w:lvlText w:val="."/>
      <w:numFmt w:val="bullet"/>
      <w:start w:val="1"/>
    </w:lvl>
  </w:abstractNum>
  <w:abstractNum w:abstractNumId="445">
    <w:nsid w:val="63A4AAB6"/>
    <w:multiLevelType w:val="hybridMultilevel"/>
    <w:lvl w:ilvl="0">
      <w:lvlJc w:val="left"/>
      <w:lvlText w:val="(%1)"/>
      <w:numFmt w:val="lowerLetter"/>
      <w:start w:val="1"/>
    </w:lvl>
  </w:abstractNum>
  <w:abstractNum w:abstractNumId="446">
    <w:nsid w:val="77DA4A57"/>
    <w:multiLevelType w:val="hybridMultilevel"/>
    <w:lvl w:ilvl="0">
      <w:lvlJc w:val="left"/>
      <w:lvlText w:val="(%1)"/>
      <w:numFmt w:val="lowerLetter"/>
      <w:start w:val="1"/>
    </w:lvl>
  </w:abstractNum>
  <w:abstractNum w:abstractNumId="447">
    <w:nsid w:val="1230F102"/>
    <w:multiLevelType w:val="hybridMultilevel"/>
    <w:lvl w:ilvl="0">
      <w:lvlJc w:val="left"/>
      <w:lvlText w:val="(%1)"/>
      <w:numFmt w:val="lowerLetter"/>
      <w:start w:val="2"/>
    </w:lvl>
  </w:abstractNum>
  <w:abstractNum w:abstractNumId="448">
    <w:nsid w:val="25B57ED4"/>
    <w:multiLevelType w:val="hybridMultilevel"/>
    <w:lvl w:ilvl="0">
      <w:lvlJc w:val="left"/>
      <w:lvlText w:val="."/>
      <w:numFmt w:val="bullet"/>
      <w:start w:val="1"/>
    </w:lvl>
    <w:lvl w:ilvl="1">
      <w:lvlJc w:val="left"/>
      <w:lvlText w:val="(%2)"/>
      <w:numFmt w:val="lowerLetter"/>
      <w:start w:val="1"/>
    </w:lvl>
  </w:abstractNum>
  <w:abstractNum w:abstractNumId="449">
    <w:nsid w:val="47CF16C4"/>
    <w:multiLevelType w:val="hybridMultilevel"/>
    <w:lvl w:ilvl="0">
      <w:lvlJc w:val="left"/>
      <w:lvlText w:val="."/>
      <w:numFmt w:val="bullet"/>
      <w:start w:val="1"/>
    </w:lvl>
  </w:abstractNum>
  <w:abstractNum w:abstractNumId="450">
    <w:nsid w:val="527FA04C"/>
    <w:multiLevelType w:val="hybridMultilevel"/>
    <w:lvl w:ilvl="0">
      <w:lvlJc w:val="left"/>
      <w:lvlText w:val="%1."/>
      <w:numFmt w:val="decimal"/>
      <w:start w:val="1"/>
    </w:lvl>
  </w:abstractNum>
  <w:abstractNum w:abstractNumId="451">
    <w:nsid w:val="6FCC0624"/>
    <w:multiLevelType w:val="hybridMultilevel"/>
    <w:lvl w:ilvl="0">
      <w:lvlJc w:val="left"/>
      <w:lvlText w:val="%1."/>
      <w:numFmt w:val="decimal"/>
      <w:start w:val="3"/>
    </w:lvl>
  </w:abstractNum>
  <w:abstractNum w:abstractNumId="452">
    <w:nsid w:val="1DCDF795"/>
    <w:multiLevelType w:val="hybridMultilevel"/>
    <w:lvl w:ilvl="0">
      <w:lvlJc w:val="left"/>
      <w:lvlText w:val="%1."/>
      <w:numFmt w:val="decimal"/>
      <w:start w:val="4"/>
    </w:lvl>
  </w:abstractNum>
  <w:abstractNum w:abstractNumId="453">
    <w:nsid w:val="564580C8"/>
    <w:multiLevelType w:val="hybridMultilevel"/>
    <w:lvl w:ilvl="0">
      <w:lvlJc w:val="left"/>
      <w:lvlText w:val="%1."/>
      <w:numFmt w:val="decimal"/>
      <w:start w:val="1"/>
    </w:lvl>
  </w:abstractNum>
  <w:abstractNum w:abstractNumId="454">
    <w:nsid w:val="508ED897"/>
    <w:multiLevelType w:val="hybridMultilevel"/>
    <w:lvl w:ilvl="0">
      <w:lvlJc w:val="left"/>
      <w:lvlText w:val="%1."/>
      <w:numFmt w:val="decimal"/>
      <w:start w:val="2"/>
    </w:lvl>
  </w:abstractNum>
  <w:abstractNum w:abstractNumId="455">
    <w:nsid w:val="6A9126B5"/>
    <w:multiLevelType w:val="hybridMultilevel"/>
    <w:lvl w:ilvl="0">
      <w:lvlJc w:val="left"/>
      <w:lvlText w:val="%1."/>
      <w:numFmt w:val="decimal"/>
      <w:start w:val="3"/>
    </w:lvl>
  </w:abstractNum>
  <w:abstractNum w:abstractNumId="456">
    <w:nsid w:val="68104812"/>
    <w:multiLevelType w:val="hybridMultilevel"/>
    <w:lvl w:ilvl="0">
      <w:lvlJc w:val="left"/>
      <w:lvlText w:val="(%1)"/>
      <w:numFmt w:val="decimal"/>
      <w:start w:val="1"/>
    </w:lvl>
  </w:abstractNum>
  <w:abstractNum w:abstractNumId="457">
    <w:nsid w:val="62FB8680"/>
    <w:multiLevelType w:val="hybridMultilevel"/>
    <w:lvl w:ilvl="0">
      <w:lvlJc w:val="left"/>
      <w:lvlText w:val="%1."/>
      <w:numFmt w:val="decimal"/>
      <w:start w:val="1"/>
    </w:lvl>
  </w:abstractNum>
  <w:abstractNum w:abstractNumId="458">
    <w:nsid w:val="3A45530"/>
    <w:multiLevelType w:val="hybridMultilevel"/>
    <w:lvl w:ilvl="0">
      <w:lvlJc w:val="left"/>
      <w:lvlText w:val="%1."/>
      <w:numFmt w:val="decimal"/>
      <w:start w:val="1"/>
    </w:lvl>
  </w:abstractNum>
  <w:abstractNum w:abstractNumId="459">
    <w:nsid w:val="4B9275D2"/>
    <w:multiLevelType w:val="hybridMultilevel"/>
    <w:lvl w:ilvl="0">
      <w:lvlJc w:val="left"/>
      <w:lvlText w:val="%1."/>
      <w:numFmt w:val="decimal"/>
      <w:start w:val="1"/>
    </w:lvl>
    <w:lvl w:ilvl="1">
      <w:lvlJc w:val="left"/>
      <w:lvlText w:val="(%2)"/>
      <w:numFmt w:val="lowerLetter"/>
      <w:start w:val="1"/>
    </w:lvl>
  </w:abstractNum>
  <w:abstractNum w:abstractNumId="460">
    <w:nsid w:val="4F0CEEDB"/>
    <w:multiLevelType w:val="hybridMultilevel"/>
    <w:lvl w:ilvl="0">
      <w:lvlJc w:val="left"/>
      <w:lvlText w:val="%1."/>
      <w:numFmt w:val="decimal"/>
      <w:start w:val="1"/>
    </w:lvl>
    <w:lvl w:ilvl="1">
      <w:lvlJc w:val="left"/>
      <w:lvlText w:val="(%2)"/>
      <w:numFmt w:val="lowerLetter"/>
      <w:start w:val="1"/>
    </w:lvl>
  </w:abstractNum>
  <w:abstractNum w:abstractNumId="461">
    <w:nsid w:val="61C30361"/>
    <w:multiLevelType w:val="hybridMultilevel"/>
    <w:lvl w:ilvl="0">
      <w:lvlJc w:val="left"/>
      <w:lvlText w:val="%1."/>
      <w:numFmt w:val="decimal"/>
      <w:start w:val="1"/>
    </w:lvl>
    <w:lvl w:ilvl="1">
      <w:lvlJc w:val="left"/>
      <w:lvlText w:val="(%2)"/>
      <w:numFmt w:val="lowerLetter"/>
      <w:start w:val="1"/>
    </w:lvl>
  </w:abstractNum>
  <w:abstractNum w:abstractNumId="462">
    <w:nsid w:val="632099E0"/>
    <w:multiLevelType w:val="hybridMultilevel"/>
    <w:lvl w:ilvl="0">
      <w:lvlJc w:val="left"/>
      <w:lvlText w:val="%1."/>
      <w:numFmt w:val="decimal"/>
      <w:start w:val="1"/>
    </w:lvl>
    <w:lvl w:ilvl="1">
      <w:lvlJc w:val="left"/>
      <w:lvlText w:val="(%2)"/>
      <w:numFmt w:val="lowerLetter"/>
      <w:start w:val="1"/>
    </w:lvl>
  </w:abstractNum>
  <w:abstractNum w:abstractNumId="463">
    <w:nsid w:val="24639756"/>
    <w:multiLevelType w:val="hybridMultilevel"/>
    <w:lvl w:ilvl="0">
      <w:lvlJc w:val="left"/>
      <w:lvlText w:val="(%1)"/>
      <w:numFmt w:val="decimal"/>
      <w:start w:val="1"/>
    </w:lvl>
  </w:abstractNum>
  <w:abstractNum w:abstractNumId="464">
    <w:nsid w:val="9D30DFD"/>
    <w:multiLevelType w:val="hybridMultilevel"/>
    <w:lvl w:ilvl="0">
      <w:lvlJc w:val="left"/>
      <w:lvlText w:val="(%1)"/>
      <w:numFmt w:val="decimal"/>
      <w:start w:val="1"/>
    </w:lvl>
  </w:abstractNum>
  <w:abstractNum w:abstractNumId="465">
    <w:nsid w:val="70A42016"/>
    <w:multiLevelType w:val="hybridMultilevel"/>
    <w:lvl w:ilvl="0">
      <w:lvlJc w:val="left"/>
      <w:lvlText w:val="(%1)"/>
      <w:numFmt w:val="decimal"/>
      <w:start w:val="1"/>
    </w:lvl>
  </w:abstractNum>
  <w:abstractNum w:abstractNumId="466">
    <w:nsid w:val="161BC24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jpeg"/><Relationship Id="rId74" Type="http://schemas.openxmlformats.org/officeDocument/2006/relationships/image" Target="media/image64.jpeg"/><Relationship Id="rId75" Type="http://schemas.openxmlformats.org/officeDocument/2006/relationships/image" Target="media/image65.jpeg"/><Relationship Id="rId76" Type="http://schemas.openxmlformats.org/officeDocument/2006/relationships/image" Target="media/image66.jpeg"/><Relationship Id="rId77" Type="http://schemas.openxmlformats.org/officeDocument/2006/relationships/image" Target="media/image67.jpeg"/><Relationship Id="rId78" Type="http://schemas.openxmlformats.org/officeDocument/2006/relationships/image" Target="media/image68.jpeg"/><Relationship Id="rId79" Type="http://schemas.openxmlformats.org/officeDocument/2006/relationships/image" Target="media/image69.jpeg"/><Relationship Id="rId80" Type="http://schemas.openxmlformats.org/officeDocument/2006/relationships/image" Target="media/image70.jpeg"/><Relationship Id="rId81" Type="http://schemas.openxmlformats.org/officeDocument/2006/relationships/image" Target="media/image71.jpeg"/><Relationship Id="rId82" Type="http://schemas.openxmlformats.org/officeDocument/2006/relationships/image" Target="media/image72.jpeg"/><Relationship Id="rId83" Type="http://schemas.openxmlformats.org/officeDocument/2006/relationships/image" Target="media/image73.jpeg"/><Relationship Id="rId84" Type="http://schemas.openxmlformats.org/officeDocument/2006/relationships/image" Target="media/image74.jpeg"/><Relationship Id="rId85" Type="http://schemas.openxmlformats.org/officeDocument/2006/relationships/image" Target="media/image75.jpeg"/><Relationship Id="rId86"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jpeg"/><Relationship Id="rId90" Type="http://schemas.openxmlformats.org/officeDocument/2006/relationships/image" Target="media/image80.jpeg"/><Relationship Id="rId91" Type="http://schemas.openxmlformats.org/officeDocument/2006/relationships/image" Target="media/image81.png"/><Relationship Id="rId92" Type="http://schemas.openxmlformats.org/officeDocument/2006/relationships/image" Target="media/image82.png"/><Relationship Id="rId93" Type="http://schemas.openxmlformats.org/officeDocument/2006/relationships/image" Target="media/image83.png"/><Relationship Id="rId94" Type="http://schemas.openxmlformats.org/officeDocument/2006/relationships/image" Target="media/image84.png"/><Relationship Id="rId95" Type="http://schemas.openxmlformats.org/officeDocument/2006/relationships/image" Target="media/image85.png"/><Relationship Id="rId96" Type="http://schemas.openxmlformats.org/officeDocument/2006/relationships/image" Target="media/image86.png"/><Relationship Id="rId97" Type="http://schemas.openxmlformats.org/officeDocument/2006/relationships/image" Target="media/image87.png"/><Relationship Id="rId98" Type="http://schemas.openxmlformats.org/officeDocument/2006/relationships/image" Target="media/image88.png"/><Relationship Id="rId99" Type="http://schemas.openxmlformats.org/officeDocument/2006/relationships/image" Target="media/image89.png"/><Relationship Id="rId100" Type="http://schemas.openxmlformats.org/officeDocument/2006/relationships/image" Target="media/image90.png"/><Relationship Id="rId101" Type="http://schemas.openxmlformats.org/officeDocument/2006/relationships/image" Target="media/image91.png"/><Relationship Id="rId102" Type="http://schemas.openxmlformats.org/officeDocument/2006/relationships/image" Target="media/image92.png"/><Relationship Id="rId103" Type="http://schemas.openxmlformats.org/officeDocument/2006/relationships/image" Target="media/image93.png"/><Relationship Id="rId104" Type="http://schemas.openxmlformats.org/officeDocument/2006/relationships/image" Target="media/image94.png"/><Relationship Id="rId105" Type="http://schemas.openxmlformats.org/officeDocument/2006/relationships/image" Target="media/image95.png"/><Relationship Id="rId106" Type="http://schemas.openxmlformats.org/officeDocument/2006/relationships/image" Target="media/image96.png"/><Relationship Id="rId107" Type="http://schemas.openxmlformats.org/officeDocument/2006/relationships/image" Target="media/image97.png"/><Relationship Id="rId108" Type="http://schemas.openxmlformats.org/officeDocument/2006/relationships/image" Target="media/image98.png"/><Relationship Id="rId109" Type="http://schemas.openxmlformats.org/officeDocument/2006/relationships/image" Target="media/image99.png"/><Relationship Id="rId110" Type="http://schemas.openxmlformats.org/officeDocument/2006/relationships/image" Target="media/image100.png"/><Relationship Id="rId111" Type="http://schemas.openxmlformats.org/officeDocument/2006/relationships/image" Target="media/image101.png"/><Relationship Id="rId112" Type="http://schemas.openxmlformats.org/officeDocument/2006/relationships/image" Target="media/image102.png"/><Relationship Id="rId113" Type="http://schemas.openxmlformats.org/officeDocument/2006/relationships/image" Target="media/image103.png"/><Relationship Id="rId114" Type="http://schemas.openxmlformats.org/officeDocument/2006/relationships/image" Target="media/image104.png"/><Relationship Id="rId115" Type="http://schemas.openxmlformats.org/officeDocument/2006/relationships/image" Target="media/image105.png"/><Relationship Id="rId116" Type="http://schemas.openxmlformats.org/officeDocument/2006/relationships/image" Target="media/image106.png"/><Relationship Id="rId117" Type="http://schemas.openxmlformats.org/officeDocument/2006/relationships/image" Target="media/image107.png"/><Relationship Id="rId118" Type="http://schemas.openxmlformats.org/officeDocument/2006/relationships/image" Target="media/image108.png"/><Relationship Id="rId119" Type="http://schemas.openxmlformats.org/officeDocument/2006/relationships/image" Target="media/image109.png"/><Relationship Id="rId120" Type="http://schemas.openxmlformats.org/officeDocument/2006/relationships/image" Target="media/image110.png"/><Relationship Id="rId121" Type="http://schemas.openxmlformats.org/officeDocument/2006/relationships/image" Target="media/image111.jpeg"/><Relationship Id="rId122" Type="http://schemas.openxmlformats.org/officeDocument/2006/relationships/image" Target="media/image112.jpeg"/><Relationship Id="rId123" Type="http://schemas.openxmlformats.org/officeDocument/2006/relationships/image" Target="media/image113.png"/><Relationship Id="rId124" Type="http://schemas.openxmlformats.org/officeDocument/2006/relationships/image" Target="media/image114.png"/><Relationship Id="rId125" Type="http://schemas.openxmlformats.org/officeDocument/2006/relationships/image" Target="media/image115.jpeg"/><Relationship Id="rId126" Type="http://schemas.openxmlformats.org/officeDocument/2006/relationships/image" Target="media/image116.jpeg"/><Relationship Id="rId127" Type="http://schemas.openxmlformats.org/officeDocument/2006/relationships/image" Target="media/image117.png"/><Relationship Id="rId128" Type="http://schemas.openxmlformats.org/officeDocument/2006/relationships/image" Target="media/image118.png"/><Relationship Id="rId129" Type="http://schemas.openxmlformats.org/officeDocument/2006/relationships/image" Target="media/image119.jpeg"/><Relationship Id="rId130" Type="http://schemas.openxmlformats.org/officeDocument/2006/relationships/image" Target="media/image120.jpeg"/><Relationship Id="rId131" Type="http://schemas.openxmlformats.org/officeDocument/2006/relationships/image" Target="media/image121.jpeg"/><Relationship Id="rId132" Type="http://schemas.openxmlformats.org/officeDocument/2006/relationships/image" Target="media/image122.png"/><Relationship Id="rId133" Type="http://schemas.openxmlformats.org/officeDocument/2006/relationships/image" Target="media/image123.png"/><Relationship Id="rId134" Type="http://schemas.openxmlformats.org/officeDocument/2006/relationships/image" Target="media/image124.png"/><Relationship Id="rId135" Type="http://schemas.openxmlformats.org/officeDocument/2006/relationships/image" Target="media/image125.png"/><Relationship Id="rId136" Type="http://schemas.openxmlformats.org/officeDocument/2006/relationships/image" Target="media/image126.png"/><Relationship Id="rId137" Type="http://schemas.openxmlformats.org/officeDocument/2006/relationships/image" Target="media/image127.png"/><Relationship Id="rId138" Type="http://schemas.openxmlformats.org/officeDocument/2006/relationships/image" Target="media/image128.png"/><Relationship Id="rId139" Type="http://schemas.openxmlformats.org/officeDocument/2006/relationships/image" Target="media/image129.png"/><Relationship Id="rId140" Type="http://schemas.openxmlformats.org/officeDocument/2006/relationships/image" Target="media/image130.png"/><Relationship Id="rId141" Type="http://schemas.openxmlformats.org/officeDocument/2006/relationships/image" Target="media/image131.png"/><Relationship Id="rId142" Type="http://schemas.openxmlformats.org/officeDocument/2006/relationships/image" Target="media/image132.png"/><Relationship Id="rId143" Type="http://schemas.openxmlformats.org/officeDocument/2006/relationships/image" Target="media/image133.png"/><Relationship Id="rId144" Type="http://schemas.openxmlformats.org/officeDocument/2006/relationships/image" Target="media/image134.png"/><Relationship Id="rId145" Type="http://schemas.openxmlformats.org/officeDocument/2006/relationships/image" Target="media/image135.png"/><Relationship Id="rId146" Type="http://schemas.openxmlformats.org/officeDocument/2006/relationships/image" Target="media/image136.png"/><Relationship Id="rId147" Type="http://schemas.openxmlformats.org/officeDocument/2006/relationships/image" Target="media/image137.png"/><Relationship Id="rId148" Type="http://schemas.openxmlformats.org/officeDocument/2006/relationships/image" Target="media/image138.png"/><Relationship Id="rId149" Type="http://schemas.openxmlformats.org/officeDocument/2006/relationships/image" Target="media/image139.png"/><Relationship Id="rId150" Type="http://schemas.openxmlformats.org/officeDocument/2006/relationships/image" Target="media/image140.png"/><Relationship Id="rId151" Type="http://schemas.openxmlformats.org/officeDocument/2006/relationships/image" Target="media/image141.png"/><Relationship Id="rId65" Type="http://schemas.openxmlformats.org/officeDocument/2006/relationships/hyperlink" Target="https://www.sec.gov/Archives/edgar/data/1692115/000119312522254307/d386504dex101.htm" TargetMode="External"/><Relationship Id="rId66" Type="http://schemas.openxmlformats.org/officeDocument/2006/relationships/hyperlink" Target="https://www.sec.gov/Archives/edgar/data/1692115/000119312522213820/d365610dex101.htm" TargetMode="External"/><Relationship Id="rId67" Type="http://schemas.openxmlformats.org/officeDocument/2006/relationships/hyperlink" Target="http://www.sec.gov/Archives/edgar/data/1692115/000119312522268954/d401097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2022-11-09T07:57:51Z</dcterms:created>
  <dcterms:modified xsi:type="dcterms:W3CDTF">2022-11-09T07:57:51Z</dcterms:modified>
</cp:coreProperties>
</file>