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146" w:lineRule="exact"/>
        <w:rPr>
          <w:sz w:val="24"/>
          <w:szCs w:val="24"/>
          <w:color w:val="auto"/>
        </w:rPr>
      </w:pPr>
    </w:p>
    <w:p>
      <w:pPr>
        <w:ind w:left="680" w:hanging="449"/>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61" w:lineRule="exact"/>
        <w:rPr>
          <w:rFonts w:ascii="MS PGothic" w:cs="MS PGothic" w:eastAsia="MS PGothic" w:hAnsi="MS PGothic"/>
          <w:sz w:val="18"/>
          <w:szCs w:val="18"/>
          <w:color w:val="auto"/>
        </w:rPr>
      </w:pPr>
    </w:p>
    <w:p>
      <w:pPr>
        <w:ind w:left="374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quarterly period ended September 30, 2019</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99" w:lineRule="exact"/>
        <w:rPr>
          <w:sz w:val="24"/>
          <w:szCs w:val="24"/>
          <w:color w:val="auto"/>
        </w:rPr>
      </w:pPr>
    </w:p>
    <w:p>
      <w:pPr>
        <w:ind w:left="680" w:hanging="449"/>
        <w:spacing w:after="0"/>
        <w:tabs>
          <w:tab w:leader="none" w:pos="68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9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ind w:left="200"/>
              <w:spacing w:after="0"/>
              <w:rPr>
                <w:sz w:val="20"/>
                <w:szCs w:val="20"/>
                <w:color w:val="auto"/>
              </w:rPr>
            </w:pPr>
            <w:r>
              <w:rPr>
                <w:rFonts w:ascii="Arial" w:cs="Arial" w:eastAsia="Arial" w:hAnsi="Arial"/>
                <w:sz w:val="14"/>
                <w:szCs w:val="14"/>
                <w:i w:val="1"/>
                <w:iCs w:val="1"/>
                <w:color w:val="auto"/>
                <w:w w:val="93"/>
              </w:rPr>
              <w:t>Commission</w:t>
            </w:r>
          </w:p>
        </w:tc>
        <w:tc>
          <w:tcPr>
            <w:tcW w:w="4040" w:type="dxa"/>
            <w:vAlign w:val="bottom"/>
            <w:gridSpan w:val="2"/>
          </w:tcPr>
          <w:p>
            <w:pPr>
              <w:ind w:left="420"/>
              <w:spacing w:after="0"/>
              <w:rPr>
                <w:sz w:val="20"/>
                <w:szCs w:val="20"/>
                <w:color w:val="auto"/>
              </w:rPr>
            </w:pPr>
            <w:r>
              <w:rPr>
                <w:rFonts w:ascii="Arial" w:cs="Arial" w:eastAsia="Arial" w:hAnsi="Arial"/>
                <w:sz w:val="14"/>
                <w:szCs w:val="14"/>
                <w:i w:val="1"/>
                <w:iCs w:val="1"/>
                <w:color w:val="auto"/>
              </w:rPr>
              <w:t>Exact name of registrant as specified in its charter and</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263"/>
              <w:spacing w:after="0"/>
              <w:rPr>
                <w:sz w:val="20"/>
                <w:szCs w:val="20"/>
                <w:color w:val="auto"/>
              </w:rPr>
            </w:pPr>
            <w:r>
              <w:rPr>
                <w:rFonts w:ascii="Arial" w:cs="Arial" w:eastAsia="Arial" w:hAnsi="Arial"/>
                <w:sz w:val="14"/>
                <w:szCs w:val="14"/>
                <w:i w:val="1"/>
                <w:iCs w:val="1"/>
                <w:color w:val="auto"/>
                <w:w w:val="91"/>
              </w:rPr>
              <w:t>State of</w:t>
            </w:r>
          </w:p>
        </w:tc>
        <w:tc>
          <w:tcPr>
            <w:tcW w:w="3020" w:type="dxa"/>
            <w:vAlign w:val="bottom"/>
          </w:tcPr>
          <w:p>
            <w:pPr>
              <w:jc w:val="center"/>
              <w:ind w:left="443"/>
              <w:spacing w:after="0"/>
              <w:rPr>
                <w:sz w:val="20"/>
                <w:szCs w:val="20"/>
                <w:color w:val="auto"/>
              </w:rPr>
            </w:pPr>
            <w:r>
              <w:rPr>
                <w:rFonts w:ascii="Arial" w:cs="Arial" w:eastAsia="Arial" w:hAnsi="Arial"/>
                <w:sz w:val="14"/>
                <w:szCs w:val="14"/>
                <w:i w:val="1"/>
                <w:iCs w:val="1"/>
                <w:color w:val="auto"/>
                <w:w w:val="85"/>
              </w:rPr>
              <w:t>I.R.S.</w:t>
            </w:r>
          </w:p>
        </w:tc>
      </w:tr>
      <w:tr>
        <w:trPr>
          <w:trHeight w:val="188"/>
        </w:trPr>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4"/>
                <w:szCs w:val="14"/>
                <w:i w:val="1"/>
                <w:iCs w:val="1"/>
                <w:color w:val="auto"/>
                <w:w w:val="97"/>
              </w:rPr>
              <w:t>File Number</w:t>
            </w:r>
          </w:p>
        </w:tc>
        <w:tc>
          <w:tcPr>
            <w:tcW w:w="404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i w:val="1"/>
                <w:iCs w:val="1"/>
                <w:color w:val="auto"/>
              </w:rPr>
              <w:t>principal office address and telephone number</w:t>
            </w:r>
          </w:p>
        </w:tc>
        <w:tc>
          <w:tcPr>
            <w:tcW w:w="8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center"/>
              <w:ind w:right="43"/>
              <w:spacing w:after="0"/>
              <w:rPr>
                <w:sz w:val="20"/>
                <w:szCs w:val="20"/>
                <w:color w:val="auto"/>
              </w:rPr>
            </w:pPr>
            <w:r>
              <w:rPr>
                <w:rFonts w:ascii="Arial" w:cs="Arial" w:eastAsia="Arial" w:hAnsi="Arial"/>
                <w:sz w:val="14"/>
                <w:szCs w:val="14"/>
                <w:i w:val="1"/>
                <w:iCs w:val="1"/>
                <w:color w:val="auto"/>
                <w:w w:val="97"/>
              </w:rPr>
              <w:t>Incorporation</w:t>
            </w:r>
          </w:p>
        </w:tc>
        <w:tc>
          <w:tcPr>
            <w:tcW w:w="3020" w:type="dxa"/>
            <w:vAlign w:val="bottom"/>
            <w:tcBorders>
              <w:bottom w:val="single" w:sz="8" w:color="auto"/>
            </w:tcBorders>
          </w:tcPr>
          <w:p>
            <w:pPr>
              <w:jc w:val="center"/>
              <w:ind w:left="443"/>
              <w:spacing w:after="0"/>
              <w:rPr>
                <w:sz w:val="20"/>
                <w:szCs w:val="20"/>
                <w:color w:val="auto"/>
              </w:rPr>
            </w:pPr>
            <w:r>
              <w:rPr>
                <w:rFonts w:ascii="Arial" w:cs="Arial" w:eastAsia="Arial" w:hAnsi="Arial"/>
                <w:sz w:val="14"/>
                <w:szCs w:val="14"/>
                <w:i w:val="1"/>
                <w:iCs w:val="1"/>
                <w:color w:val="auto"/>
                <w:w w:val="96"/>
              </w:rPr>
              <w:t>Employer Identification No.</w:t>
            </w:r>
          </w:p>
        </w:tc>
      </w:tr>
      <w:tr>
        <w:trPr>
          <w:trHeight w:val="237"/>
        </w:trPr>
        <w:tc>
          <w:tcPr>
            <w:tcW w:w="940" w:type="dxa"/>
            <w:vAlign w:val="bottom"/>
          </w:tcPr>
          <w:p>
            <w:pPr>
              <w:jc w:val="right"/>
              <w:spacing w:after="0"/>
              <w:rPr>
                <w:sz w:val="20"/>
                <w:szCs w:val="20"/>
                <w:color w:val="auto"/>
              </w:rPr>
            </w:pPr>
            <w:r>
              <w:rPr>
                <w:rFonts w:ascii="Arial" w:cs="Arial" w:eastAsia="Arial" w:hAnsi="Arial"/>
                <w:sz w:val="16"/>
                <w:szCs w:val="16"/>
                <w:color w:val="auto"/>
              </w:rPr>
              <w:t>001-37976</w:t>
            </w:r>
          </w:p>
        </w:tc>
        <w:tc>
          <w:tcPr>
            <w:tcW w:w="2440" w:type="dxa"/>
            <w:vAlign w:val="bottom"/>
          </w:tcPr>
          <w:p>
            <w:pPr>
              <w:ind w:left="420"/>
              <w:spacing w:after="0"/>
              <w:rPr>
                <w:sz w:val="20"/>
                <w:szCs w:val="20"/>
                <w:color w:val="auto"/>
              </w:rPr>
            </w:pPr>
            <w:r>
              <w:rPr>
                <w:rFonts w:ascii="Arial" w:cs="Arial" w:eastAsia="Arial" w:hAnsi="Arial"/>
                <w:sz w:val="16"/>
                <w:szCs w:val="16"/>
                <w:color w:val="auto"/>
                <w:w w:val="95"/>
              </w:rPr>
              <w:t>Southwest Gas Holdings, Inc.</w:t>
            </w:r>
          </w:p>
        </w:tc>
        <w:tc>
          <w:tcPr>
            <w:tcW w:w="1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center"/>
              <w:ind w:right="183"/>
              <w:spacing w:after="0"/>
              <w:rPr>
                <w:sz w:val="20"/>
                <w:szCs w:val="20"/>
                <w:color w:val="auto"/>
              </w:rPr>
            </w:pPr>
            <w:r>
              <w:rPr>
                <w:rFonts w:ascii="Arial" w:cs="Arial" w:eastAsia="Arial" w:hAnsi="Arial"/>
                <w:sz w:val="16"/>
                <w:szCs w:val="16"/>
                <w:color w:val="auto"/>
                <w:w w:val="91"/>
              </w:rPr>
              <w:t>Delaware</w:t>
            </w:r>
          </w:p>
        </w:tc>
        <w:tc>
          <w:tcPr>
            <w:tcW w:w="3020" w:type="dxa"/>
            <w:vAlign w:val="bottom"/>
          </w:tcPr>
          <w:p>
            <w:pPr>
              <w:jc w:val="center"/>
              <w:ind w:left="443"/>
              <w:spacing w:after="0"/>
              <w:rPr>
                <w:sz w:val="20"/>
                <w:szCs w:val="20"/>
                <w:color w:val="auto"/>
              </w:rPr>
            </w:pPr>
            <w:r>
              <w:rPr>
                <w:rFonts w:ascii="Arial" w:cs="Arial" w:eastAsia="Arial" w:hAnsi="Arial"/>
                <w:sz w:val="16"/>
                <w:szCs w:val="16"/>
                <w:color w:val="auto"/>
                <w:w w:val="91"/>
              </w:rPr>
              <w:t>81-3881866</w:t>
            </w:r>
          </w:p>
        </w:tc>
      </w:tr>
      <w:tr>
        <w:trPr>
          <w:trHeight w:val="270"/>
        </w:trPr>
        <w:tc>
          <w:tcPr>
            <w:tcW w:w="940" w:type="dxa"/>
            <w:vAlign w:val="bottom"/>
          </w:tcPr>
          <w:p>
            <w:pPr>
              <w:spacing w:after="0"/>
              <w:rPr>
                <w:sz w:val="23"/>
                <w:szCs w:val="23"/>
                <w:color w:val="auto"/>
              </w:rPr>
            </w:pPr>
          </w:p>
        </w:tc>
        <w:tc>
          <w:tcPr>
            <w:tcW w:w="2440" w:type="dxa"/>
            <w:vAlign w:val="bottom"/>
          </w:tcPr>
          <w:p>
            <w:pPr>
              <w:ind w:left="420"/>
              <w:spacing w:after="0"/>
              <w:rPr>
                <w:sz w:val="20"/>
                <w:szCs w:val="20"/>
                <w:color w:val="auto"/>
              </w:rPr>
            </w:pPr>
            <w:r>
              <w:rPr>
                <w:rFonts w:ascii="Arial" w:cs="Arial" w:eastAsia="Arial" w:hAnsi="Arial"/>
                <w:sz w:val="16"/>
                <w:szCs w:val="16"/>
                <w:color w:val="auto"/>
              </w:rPr>
              <w:t>5241 Spring Mountain Road</w:t>
            </w:r>
          </w:p>
        </w:tc>
        <w:tc>
          <w:tcPr>
            <w:tcW w:w="16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020" w:type="dxa"/>
            <w:vAlign w:val="bottom"/>
          </w:tcPr>
          <w:p>
            <w:pPr>
              <w:spacing w:after="0"/>
              <w:rPr>
                <w:sz w:val="23"/>
                <w:szCs w:val="23"/>
                <w:color w:val="auto"/>
              </w:rPr>
            </w:pPr>
          </w:p>
        </w:tc>
      </w:tr>
      <w:tr>
        <w:trPr>
          <w:trHeight w:val="270"/>
        </w:trPr>
        <w:tc>
          <w:tcPr>
            <w:tcW w:w="940" w:type="dxa"/>
            <w:vAlign w:val="bottom"/>
          </w:tcPr>
          <w:p>
            <w:pPr>
              <w:spacing w:after="0"/>
              <w:rPr>
                <w:sz w:val="23"/>
                <w:szCs w:val="23"/>
                <w:color w:val="auto"/>
              </w:rPr>
            </w:pPr>
          </w:p>
        </w:tc>
        <w:tc>
          <w:tcPr>
            <w:tcW w:w="2440" w:type="dxa"/>
            <w:vAlign w:val="bottom"/>
          </w:tcPr>
          <w:p>
            <w:pPr>
              <w:ind w:left="420"/>
              <w:spacing w:after="0"/>
              <w:rPr>
                <w:sz w:val="20"/>
                <w:szCs w:val="20"/>
                <w:color w:val="auto"/>
              </w:rPr>
            </w:pPr>
            <w:r>
              <w:rPr>
                <w:rFonts w:ascii="Arial" w:cs="Arial" w:eastAsia="Arial" w:hAnsi="Arial"/>
                <w:sz w:val="16"/>
                <w:szCs w:val="16"/>
                <w:color w:val="auto"/>
              </w:rPr>
              <w:t>Post Office Box 98510</w:t>
            </w:r>
          </w:p>
        </w:tc>
        <w:tc>
          <w:tcPr>
            <w:tcW w:w="16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020" w:type="dxa"/>
            <w:vAlign w:val="bottom"/>
          </w:tcPr>
          <w:p>
            <w:pPr>
              <w:spacing w:after="0"/>
              <w:rPr>
                <w:sz w:val="23"/>
                <w:szCs w:val="23"/>
                <w:color w:val="auto"/>
              </w:rPr>
            </w:pPr>
          </w:p>
        </w:tc>
      </w:tr>
      <w:tr>
        <w:trPr>
          <w:trHeight w:val="270"/>
        </w:trPr>
        <w:tc>
          <w:tcPr>
            <w:tcW w:w="940" w:type="dxa"/>
            <w:vAlign w:val="bottom"/>
          </w:tcPr>
          <w:p>
            <w:pPr>
              <w:spacing w:after="0"/>
              <w:rPr>
                <w:sz w:val="23"/>
                <w:szCs w:val="23"/>
                <w:color w:val="auto"/>
              </w:rPr>
            </w:pPr>
          </w:p>
        </w:tc>
        <w:tc>
          <w:tcPr>
            <w:tcW w:w="2440" w:type="dxa"/>
            <w:vAlign w:val="bottom"/>
          </w:tcPr>
          <w:p>
            <w:pPr>
              <w:ind w:left="420"/>
              <w:spacing w:after="0"/>
              <w:rPr>
                <w:sz w:val="20"/>
                <w:szCs w:val="20"/>
                <w:color w:val="auto"/>
              </w:rPr>
            </w:pPr>
            <w:r>
              <w:rPr>
                <w:rFonts w:ascii="Arial" w:cs="Arial" w:eastAsia="Arial" w:hAnsi="Arial"/>
                <w:sz w:val="16"/>
                <w:szCs w:val="16"/>
                <w:color w:val="auto"/>
              </w:rPr>
              <w:t>Las Vegas,</w:t>
            </w:r>
          </w:p>
        </w:tc>
        <w:tc>
          <w:tcPr>
            <w:tcW w:w="1600" w:type="dxa"/>
            <w:vAlign w:val="bottom"/>
          </w:tcPr>
          <w:p>
            <w:pPr>
              <w:jc w:val="right"/>
              <w:ind w:right="539"/>
              <w:spacing w:after="0"/>
              <w:rPr>
                <w:sz w:val="20"/>
                <w:szCs w:val="20"/>
                <w:color w:val="auto"/>
              </w:rPr>
            </w:pPr>
            <w:r>
              <w:rPr>
                <w:rFonts w:ascii="Arial" w:cs="Arial" w:eastAsia="Arial" w:hAnsi="Arial"/>
                <w:sz w:val="16"/>
                <w:szCs w:val="16"/>
                <w:color w:val="auto"/>
              </w:rPr>
              <w:t>Nevada</w:t>
            </w: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89193-8510</w:t>
            </w: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020" w:type="dxa"/>
            <w:vAlign w:val="bottom"/>
          </w:tcPr>
          <w:p>
            <w:pPr>
              <w:spacing w:after="0"/>
              <w:rPr>
                <w:sz w:val="23"/>
                <w:szCs w:val="23"/>
                <w:color w:val="auto"/>
              </w:rPr>
            </w:pPr>
          </w:p>
        </w:tc>
      </w:tr>
      <w:tr>
        <w:trPr>
          <w:trHeight w:val="270"/>
        </w:trPr>
        <w:tc>
          <w:tcPr>
            <w:tcW w:w="94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1600" w:type="dxa"/>
            <w:vAlign w:val="bottom"/>
          </w:tcPr>
          <w:p>
            <w:pPr>
              <w:jc w:val="right"/>
              <w:ind w:right="419"/>
              <w:spacing w:after="0"/>
              <w:rPr>
                <w:sz w:val="20"/>
                <w:szCs w:val="20"/>
                <w:color w:val="auto"/>
              </w:rPr>
            </w:pPr>
            <w:r>
              <w:rPr>
                <w:rFonts w:ascii="Arial" w:cs="Arial" w:eastAsia="Arial" w:hAnsi="Arial"/>
                <w:sz w:val="16"/>
                <w:szCs w:val="16"/>
                <w:color w:val="auto"/>
                <w:w w:val="98"/>
              </w:rPr>
              <w:t>(702) 876-7237</w:t>
            </w: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020" w:type="dxa"/>
            <w:vAlign w:val="bottom"/>
          </w:tcPr>
          <w:p>
            <w:pPr>
              <w:spacing w:after="0"/>
              <w:rPr>
                <w:sz w:val="23"/>
                <w:szCs w:val="23"/>
                <w:color w:val="auto"/>
              </w:rPr>
            </w:pPr>
          </w:p>
        </w:tc>
      </w:tr>
      <w:tr>
        <w:trPr>
          <w:trHeight w:val="303"/>
        </w:trPr>
        <w:tc>
          <w:tcPr>
            <w:tcW w:w="9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r>
      <w:tr>
        <w:trPr>
          <w:trHeight w:val="231"/>
        </w:trPr>
        <w:tc>
          <w:tcPr>
            <w:tcW w:w="940" w:type="dxa"/>
            <w:vAlign w:val="bottom"/>
          </w:tcPr>
          <w:p>
            <w:pPr>
              <w:jc w:val="right"/>
              <w:ind w:right="83"/>
              <w:spacing w:after="0"/>
              <w:rPr>
                <w:sz w:val="20"/>
                <w:szCs w:val="20"/>
                <w:color w:val="auto"/>
              </w:rPr>
            </w:pPr>
            <w:r>
              <w:rPr>
                <w:rFonts w:ascii="Arial" w:cs="Arial" w:eastAsia="Arial" w:hAnsi="Arial"/>
                <w:sz w:val="16"/>
                <w:szCs w:val="16"/>
                <w:color w:val="auto"/>
              </w:rPr>
              <w:t>1-7850</w:t>
            </w:r>
          </w:p>
        </w:tc>
        <w:tc>
          <w:tcPr>
            <w:tcW w:w="2440" w:type="dxa"/>
            <w:vAlign w:val="bottom"/>
          </w:tcPr>
          <w:p>
            <w:pPr>
              <w:ind w:left="420"/>
              <w:spacing w:after="0"/>
              <w:rPr>
                <w:sz w:val="20"/>
                <w:szCs w:val="20"/>
                <w:color w:val="auto"/>
              </w:rPr>
            </w:pPr>
            <w:r>
              <w:rPr>
                <w:rFonts w:ascii="Arial" w:cs="Arial" w:eastAsia="Arial" w:hAnsi="Arial"/>
                <w:sz w:val="16"/>
                <w:szCs w:val="16"/>
                <w:color w:val="auto"/>
              </w:rPr>
              <w:t>Southwest Gas Corporation</w:t>
            </w:r>
          </w:p>
        </w:tc>
        <w:tc>
          <w:tcPr>
            <w:tcW w:w="1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center"/>
              <w:ind w:right="183"/>
              <w:spacing w:after="0"/>
              <w:rPr>
                <w:sz w:val="20"/>
                <w:szCs w:val="20"/>
                <w:color w:val="auto"/>
              </w:rPr>
            </w:pPr>
            <w:r>
              <w:rPr>
                <w:rFonts w:ascii="Arial" w:cs="Arial" w:eastAsia="Arial" w:hAnsi="Arial"/>
                <w:sz w:val="16"/>
                <w:szCs w:val="16"/>
                <w:color w:val="auto"/>
                <w:w w:val="97"/>
              </w:rPr>
              <w:t>California</w:t>
            </w:r>
          </w:p>
        </w:tc>
        <w:tc>
          <w:tcPr>
            <w:tcW w:w="3020" w:type="dxa"/>
            <w:vAlign w:val="bottom"/>
          </w:tcPr>
          <w:p>
            <w:pPr>
              <w:jc w:val="center"/>
              <w:ind w:left="443"/>
              <w:spacing w:after="0"/>
              <w:rPr>
                <w:sz w:val="20"/>
                <w:szCs w:val="20"/>
                <w:color w:val="auto"/>
              </w:rPr>
            </w:pPr>
            <w:r>
              <w:rPr>
                <w:rFonts w:ascii="Arial" w:cs="Arial" w:eastAsia="Arial" w:hAnsi="Arial"/>
                <w:sz w:val="16"/>
                <w:szCs w:val="16"/>
                <w:color w:val="auto"/>
                <w:w w:val="91"/>
              </w:rPr>
              <w:t>88-0085720</w:t>
            </w:r>
          </w:p>
        </w:tc>
      </w:tr>
      <w:tr>
        <w:trPr>
          <w:trHeight w:val="270"/>
        </w:trPr>
        <w:tc>
          <w:tcPr>
            <w:tcW w:w="940" w:type="dxa"/>
            <w:vAlign w:val="bottom"/>
          </w:tcPr>
          <w:p>
            <w:pPr>
              <w:spacing w:after="0"/>
              <w:rPr>
                <w:sz w:val="23"/>
                <w:szCs w:val="23"/>
                <w:color w:val="auto"/>
              </w:rPr>
            </w:pPr>
          </w:p>
        </w:tc>
        <w:tc>
          <w:tcPr>
            <w:tcW w:w="2440" w:type="dxa"/>
            <w:vAlign w:val="bottom"/>
          </w:tcPr>
          <w:p>
            <w:pPr>
              <w:ind w:left="420"/>
              <w:spacing w:after="0"/>
              <w:rPr>
                <w:sz w:val="20"/>
                <w:szCs w:val="20"/>
                <w:color w:val="auto"/>
              </w:rPr>
            </w:pPr>
            <w:r>
              <w:rPr>
                <w:rFonts w:ascii="Arial" w:cs="Arial" w:eastAsia="Arial" w:hAnsi="Arial"/>
                <w:sz w:val="16"/>
                <w:szCs w:val="16"/>
                <w:color w:val="auto"/>
              </w:rPr>
              <w:t>5241 Spring Mountain Road</w:t>
            </w:r>
          </w:p>
        </w:tc>
        <w:tc>
          <w:tcPr>
            <w:tcW w:w="16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020" w:type="dxa"/>
            <w:vAlign w:val="bottom"/>
          </w:tcPr>
          <w:p>
            <w:pPr>
              <w:spacing w:after="0"/>
              <w:rPr>
                <w:sz w:val="23"/>
                <w:szCs w:val="23"/>
                <w:color w:val="auto"/>
              </w:rPr>
            </w:pPr>
          </w:p>
        </w:tc>
      </w:tr>
      <w:tr>
        <w:trPr>
          <w:trHeight w:val="270"/>
        </w:trPr>
        <w:tc>
          <w:tcPr>
            <w:tcW w:w="940" w:type="dxa"/>
            <w:vAlign w:val="bottom"/>
          </w:tcPr>
          <w:p>
            <w:pPr>
              <w:spacing w:after="0"/>
              <w:rPr>
                <w:sz w:val="23"/>
                <w:szCs w:val="23"/>
                <w:color w:val="auto"/>
              </w:rPr>
            </w:pPr>
          </w:p>
        </w:tc>
        <w:tc>
          <w:tcPr>
            <w:tcW w:w="2440" w:type="dxa"/>
            <w:vAlign w:val="bottom"/>
          </w:tcPr>
          <w:p>
            <w:pPr>
              <w:ind w:left="420"/>
              <w:spacing w:after="0"/>
              <w:rPr>
                <w:sz w:val="20"/>
                <w:szCs w:val="20"/>
                <w:color w:val="auto"/>
              </w:rPr>
            </w:pPr>
            <w:r>
              <w:rPr>
                <w:rFonts w:ascii="Arial" w:cs="Arial" w:eastAsia="Arial" w:hAnsi="Arial"/>
                <w:sz w:val="16"/>
                <w:szCs w:val="16"/>
                <w:color w:val="auto"/>
              </w:rPr>
              <w:t>Post Office Box 98510</w:t>
            </w:r>
          </w:p>
        </w:tc>
        <w:tc>
          <w:tcPr>
            <w:tcW w:w="16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020" w:type="dxa"/>
            <w:vAlign w:val="bottom"/>
          </w:tcPr>
          <w:p>
            <w:pPr>
              <w:spacing w:after="0"/>
              <w:rPr>
                <w:sz w:val="23"/>
                <w:szCs w:val="23"/>
                <w:color w:val="auto"/>
              </w:rPr>
            </w:pPr>
          </w:p>
        </w:tc>
      </w:tr>
      <w:tr>
        <w:trPr>
          <w:trHeight w:val="270"/>
        </w:trPr>
        <w:tc>
          <w:tcPr>
            <w:tcW w:w="940" w:type="dxa"/>
            <w:vAlign w:val="bottom"/>
          </w:tcPr>
          <w:p>
            <w:pPr>
              <w:spacing w:after="0"/>
              <w:rPr>
                <w:sz w:val="23"/>
                <w:szCs w:val="23"/>
                <w:color w:val="auto"/>
              </w:rPr>
            </w:pPr>
          </w:p>
        </w:tc>
        <w:tc>
          <w:tcPr>
            <w:tcW w:w="2440" w:type="dxa"/>
            <w:vAlign w:val="bottom"/>
          </w:tcPr>
          <w:p>
            <w:pPr>
              <w:ind w:left="420"/>
              <w:spacing w:after="0"/>
              <w:rPr>
                <w:sz w:val="20"/>
                <w:szCs w:val="20"/>
                <w:color w:val="auto"/>
              </w:rPr>
            </w:pPr>
            <w:r>
              <w:rPr>
                <w:rFonts w:ascii="Arial" w:cs="Arial" w:eastAsia="Arial" w:hAnsi="Arial"/>
                <w:sz w:val="16"/>
                <w:szCs w:val="16"/>
                <w:color w:val="auto"/>
              </w:rPr>
              <w:t>Las Vegas,</w:t>
            </w:r>
          </w:p>
        </w:tc>
        <w:tc>
          <w:tcPr>
            <w:tcW w:w="1600" w:type="dxa"/>
            <w:vAlign w:val="bottom"/>
          </w:tcPr>
          <w:p>
            <w:pPr>
              <w:jc w:val="right"/>
              <w:ind w:right="539"/>
              <w:spacing w:after="0"/>
              <w:rPr>
                <w:sz w:val="20"/>
                <w:szCs w:val="20"/>
                <w:color w:val="auto"/>
              </w:rPr>
            </w:pPr>
            <w:r>
              <w:rPr>
                <w:rFonts w:ascii="Arial" w:cs="Arial" w:eastAsia="Arial" w:hAnsi="Arial"/>
                <w:sz w:val="16"/>
                <w:szCs w:val="16"/>
                <w:color w:val="auto"/>
              </w:rPr>
              <w:t>Nevada</w:t>
            </w: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89193-8510</w:t>
            </w: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020" w:type="dxa"/>
            <w:vAlign w:val="bottom"/>
          </w:tcPr>
          <w:p>
            <w:pPr>
              <w:spacing w:after="0"/>
              <w:rPr>
                <w:sz w:val="23"/>
                <w:szCs w:val="23"/>
                <w:color w:val="auto"/>
              </w:rPr>
            </w:pPr>
          </w:p>
        </w:tc>
      </w:tr>
      <w:tr>
        <w:trPr>
          <w:trHeight w:val="270"/>
        </w:trPr>
        <w:tc>
          <w:tcPr>
            <w:tcW w:w="94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1600" w:type="dxa"/>
            <w:vAlign w:val="bottom"/>
          </w:tcPr>
          <w:p>
            <w:pPr>
              <w:jc w:val="right"/>
              <w:ind w:right="419"/>
              <w:spacing w:after="0"/>
              <w:rPr>
                <w:sz w:val="20"/>
                <w:szCs w:val="20"/>
                <w:color w:val="auto"/>
              </w:rPr>
            </w:pPr>
            <w:r>
              <w:rPr>
                <w:rFonts w:ascii="Arial" w:cs="Arial" w:eastAsia="Arial" w:hAnsi="Arial"/>
                <w:sz w:val="16"/>
                <w:szCs w:val="16"/>
                <w:color w:val="auto"/>
                <w:w w:val="98"/>
              </w:rPr>
              <w:t>(702) 876-7237</w:t>
            </w: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020" w:type="dxa"/>
            <w:vAlign w:val="bottom"/>
          </w:tcPr>
          <w:p>
            <w:pPr>
              <w:spacing w:after="0"/>
              <w:rPr>
                <w:sz w:val="23"/>
                <w:szCs w:val="23"/>
                <w:color w:val="auto"/>
              </w:rPr>
            </w:pPr>
          </w:p>
        </w:tc>
      </w:tr>
      <w:tr>
        <w:trPr>
          <w:trHeight w:val="500"/>
        </w:trPr>
        <w:tc>
          <w:tcPr>
            <w:tcW w:w="9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5020" w:type="dxa"/>
            <w:vAlign w:val="bottom"/>
            <w:gridSpan w:val="7"/>
          </w:tcPr>
          <w:p>
            <w:pPr>
              <w:ind w:left="360"/>
              <w:spacing w:after="0"/>
              <w:rPr>
                <w:sz w:val="20"/>
                <w:szCs w:val="20"/>
                <w:color w:val="auto"/>
              </w:rPr>
            </w:pPr>
            <w:r>
              <w:rPr>
                <w:rFonts w:ascii="Arial" w:cs="Arial" w:eastAsia="Arial" w:hAnsi="Arial"/>
                <w:sz w:val="16"/>
                <w:szCs w:val="16"/>
                <w:b w:val="1"/>
                <w:bCs w:val="1"/>
                <w:color w:val="auto"/>
              </w:rPr>
              <w:t>Securities registered pursuant to Section 12(b) of the Act:</w:t>
            </w:r>
          </w:p>
        </w:tc>
        <w:tc>
          <w:tcPr>
            <w:tcW w:w="3020" w:type="dxa"/>
            <w:vAlign w:val="bottom"/>
          </w:tcPr>
          <w:p>
            <w:pPr>
              <w:spacing w:after="0"/>
              <w:rPr>
                <w:sz w:val="24"/>
                <w:szCs w:val="24"/>
                <w:color w:val="auto"/>
              </w:rPr>
            </w:pPr>
          </w:p>
        </w:tc>
      </w:tr>
      <w:tr>
        <w:trPr>
          <w:trHeight w:val="270"/>
        </w:trPr>
        <w:tc>
          <w:tcPr>
            <w:tcW w:w="940" w:type="dxa"/>
            <w:vAlign w:val="bottom"/>
          </w:tcPr>
          <w:p>
            <w:pPr>
              <w:spacing w:after="0"/>
              <w:rPr>
                <w:sz w:val="23"/>
                <w:szCs w:val="23"/>
                <w:color w:val="auto"/>
              </w:rPr>
            </w:pPr>
          </w:p>
        </w:tc>
        <w:tc>
          <w:tcPr>
            <w:tcW w:w="4040" w:type="dxa"/>
            <w:vAlign w:val="bottom"/>
            <w:gridSpan w:val="2"/>
          </w:tcPr>
          <w:p>
            <w:pPr>
              <w:ind w:left="1380"/>
              <w:spacing w:after="0"/>
              <w:rPr>
                <w:sz w:val="20"/>
                <w:szCs w:val="20"/>
                <w:color w:val="auto"/>
              </w:rPr>
            </w:pPr>
            <w:r>
              <w:rPr>
                <w:rFonts w:ascii="Arial" w:cs="Arial" w:eastAsia="Arial" w:hAnsi="Arial"/>
                <w:sz w:val="16"/>
                <w:szCs w:val="16"/>
                <w:b w:val="1"/>
                <w:bCs w:val="1"/>
                <w:color w:val="auto"/>
              </w:rPr>
              <w:t>Title of each class</w:t>
            </w: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jc w:val="center"/>
              <w:ind w:left="39"/>
              <w:spacing w:after="0"/>
              <w:rPr>
                <w:sz w:val="20"/>
                <w:szCs w:val="20"/>
                <w:color w:val="auto"/>
              </w:rPr>
            </w:pPr>
            <w:r>
              <w:rPr>
                <w:rFonts w:ascii="Arial" w:cs="Arial" w:eastAsia="Arial" w:hAnsi="Arial"/>
                <w:sz w:val="16"/>
                <w:szCs w:val="16"/>
                <w:b w:val="1"/>
                <w:bCs w:val="1"/>
                <w:color w:val="auto"/>
                <w:w w:val="92"/>
              </w:rPr>
              <w:t>Trading Symbol</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8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33"/>
        </w:trPr>
        <w:tc>
          <w:tcPr>
            <w:tcW w:w="94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r>
      <w:tr>
        <w:trPr>
          <w:trHeight w:val="217"/>
        </w:trPr>
        <w:tc>
          <w:tcPr>
            <w:tcW w:w="940" w:type="dxa"/>
            <w:vAlign w:val="bottom"/>
          </w:tcPr>
          <w:p>
            <w:pPr>
              <w:spacing w:after="0"/>
              <w:rPr>
                <w:sz w:val="18"/>
                <w:szCs w:val="18"/>
                <w:color w:val="auto"/>
              </w:rPr>
            </w:pPr>
          </w:p>
        </w:tc>
        <w:tc>
          <w:tcPr>
            <w:tcW w:w="4040" w:type="dxa"/>
            <w:vAlign w:val="bottom"/>
            <w:gridSpan w:val="2"/>
          </w:tcPr>
          <w:p>
            <w:pPr>
              <w:ind w:left="40"/>
              <w:spacing w:after="0"/>
              <w:rPr>
                <w:sz w:val="20"/>
                <w:szCs w:val="20"/>
                <w:color w:val="auto"/>
              </w:rPr>
            </w:pPr>
            <w:r>
              <w:rPr>
                <w:rFonts w:ascii="Arial" w:cs="Arial" w:eastAsia="Arial" w:hAnsi="Arial"/>
                <w:sz w:val="16"/>
                <w:szCs w:val="16"/>
                <w:color w:val="auto"/>
                <w:w w:val="93"/>
              </w:rPr>
              <w:t>Southwest Gas Holdings, Inc. Common Stock, $1 Par Value</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center"/>
              <w:ind w:left="39"/>
              <w:spacing w:after="0"/>
              <w:rPr>
                <w:sz w:val="20"/>
                <w:szCs w:val="20"/>
                <w:color w:val="auto"/>
              </w:rPr>
            </w:pPr>
            <w:r>
              <w:rPr>
                <w:rFonts w:ascii="Arial" w:cs="Arial" w:eastAsia="Arial" w:hAnsi="Arial"/>
                <w:sz w:val="16"/>
                <w:szCs w:val="16"/>
                <w:color w:val="auto"/>
                <w:w w:val="98"/>
              </w:rPr>
              <w:t>SWX</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20" w:type="dxa"/>
            <w:vAlign w:val="bottom"/>
          </w:tcPr>
          <w:p>
            <w:pPr>
              <w:jc w:val="center"/>
              <w:ind w:right="783"/>
              <w:spacing w:after="0"/>
              <w:rPr>
                <w:sz w:val="20"/>
                <w:szCs w:val="20"/>
                <w:color w:val="auto"/>
              </w:rPr>
            </w:pPr>
            <w:r>
              <w:rPr>
                <w:rFonts w:ascii="Arial" w:cs="Arial" w:eastAsia="Arial" w:hAnsi="Arial"/>
                <w:sz w:val="16"/>
                <w:szCs w:val="16"/>
                <w:color w:val="auto"/>
                <w:w w:val="92"/>
              </w:rPr>
              <w:t>New York Stock Exchange</w:t>
            </w:r>
          </w:p>
        </w:tc>
      </w:tr>
    </w:tbl>
    <w:p>
      <w:pPr>
        <w:spacing w:after="0" w:line="145" w:lineRule="exact"/>
        <w:rPr>
          <w:sz w:val="24"/>
          <w:szCs w:val="24"/>
          <w:color w:val="auto"/>
        </w:rPr>
      </w:pPr>
    </w:p>
    <w:p>
      <w:pPr>
        <w:ind w:right="40"/>
        <w:spacing w:after="0" w:line="293" w:lineRule="auto"/>
        <w:rPr>
          <w:sz w:val="20"/>
          <w:szCs w:val="20"/>
          <w:color w:val="auto"/>
        </w:rPr>
      </w:pPr>
      <w:r>
        <w:rPr>
          <w:rFonts w:ascii="Arial" w:cs="Arial" w:eastAsia="Arial" w:hAnsi="Arial"/>
          <w:sz w:val="15"/>
          <w:szCs w:val="15"/>
          <w:color w:val="auto"/>
        </w:rPr>
        <w:t>Indicate by check mark whether each registrant: (1) has filed all reports required to be filed by Section 13 or 15(d) of the Securities Exchange Act of 1934 during the preceding 12 months (or for such shorter period that each registrant was required to file such reports), and (2) has been subject to such filing requirements for the past 90</w:t>
      </w:r>
    </w:p>
    <w:p>
      <w:pPr>
        <w:spacing w:after="0" w:line="1" w:lineRule="exact"/>
        <w:rPr>
          <w:sz w:val="24"/>
          <w:szCs w:val="24"/>
          <w:color w:val="auto"/>
        </w:rPr>
      </w:pPr>
    </w:p>
    <w:p>
      <w:pPr>
        <w:spacing w:after="0" w:line="207" w:lineRule="exact"/>
        <w:tabs>
          <w:tab w:leader="none" w:pos="480" w:val="left"/>
          <w:tab w:leader="none" w:pos="112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8"/>
          <w:szCs w:val="18"/>
          <w:color w:val="auto"/>
        </w:rPr>
        <w:t>☒</w:t>
      </w:r>
      <w:r>
        <w:rPr>
          <w:rFonts w:ascii="Arial" w:cs="Arial" w:eastAsia="Arial" w:hAnsi="Arial"/>
          <w:sz w:val="16"/>
          <w:szCs w:val="16"/>
          <w:color w:val="auto"/>
        </w:rPr>
        <w:tab/>
        <w:t xml:space="preserve">No </w:t>
      </w:r>
      <w:r>
        <w:rPr>
          <w:rFonts w:ascii="MS PGothic" w:cs="MS PGothic" w:eastAsia="MS PGothic" w:hAnsi="MS PGothic"/>
          <w:sz w:val="18"/>
          <w:szCs w:val="18"/>
          <w:color w:val="auto"/>
        </w:rPr>
        <w:t>☐</w:t>
      </w:r>
    </w:p>
    <w:p>
      <w:pPr>
        <w:spacing w:after="0" w:line="127" w:lineRule="exact"/>
        <w:rPr>
          <w:sz w:val="24"/>
          <w:szCs w:val="24"/>
          <w:color w:val="auto"/>
        </w:rPr>
      </w:pPr>
    </w:p>
    <w:p>
      <w:pPr>
        <w:ind w:right="480"/>
        <w:spacing w:after="0" w:line="224" w:lineRule="exact"/>
        <w:rPr>
          <w:sz w:val="20"/>
          <w:szCs w:val="20"/>
          <w:color w:val="auto"/>
        </w:rPr>
      </w:pPr>
      <w:r>
        <w:rPr>
          <w:rFonts w:ascii="Arial" w:cs="Arial" w:eastAsia="Arial" w:hAnsi="Arial"/>
          <w:sz w:val="15"/>
          <w:szCs w:val="15"/>
          <w:color w:val="auto"/>
        </w:rPr>
        <w:t xml:space="preserve">Indicate by check mark whether each registrant has submitted electronically every Interactive Data File required to be submitted pursuant to Rule 405 of Regulation S-T (§232.405 of this chapter) during the preceding 12 months (or for such shorter period that each registrant was required to submit such files). Yes </w:t>
      </w:r>
      <w:r>
        <w:rPr>
          <w:rFonts w:ascii="MS PGothic" w:cs="MS PGothic" w:eastAsia="MS PGothic" w:hAnsi="MS PGothic"/>
          <w:sz w:val="17"/>
          <w:szCs w:val="17"/>
          <w:color w:val="auto"/>
        </w:rPr>
        <w:t>☒</w:t>
      </w:r>
      <w:r>
        <w:rPr>
          <w:rFonts w:ascii="Arial" w:cs="Arial" w:eastAsia="Arial" w:hAnsi="Arial"/>
          <w:sz w:val="15"/>
          <w:szCs w:val="15"/>
          <w:color w:val="auto"/>
        </w:rPr>
        <w:t xml:space="preserve"> No </w:t>
      </w:r>
      <w:r>
        <w:rPr>
          <w:rFonts w:ascii="MS PGothic" w:cs="MS PGothic" w:eastAsia="MS PGothic" w:hAnsi="MS PGothic"/>
          <w:sz w:val="17"/>
          <w:szCs w:val="17"/>
          <w:color w:val="auto"/>
        </w:rPr>
        <w:t>☐</w:t>
      </w:r>
    </w:p>
    <w:p>
      <w:pPr>
        <w:spacing w:after="0" w:line="79" w:lineRule="exact"/>
        <w:rPr>
          <w:sz w:val="24"/>
          <w:szCs w:val="24"/>
          <w:color w:val="auto"/>
        </w:rPr>
      </w:pPr>
    </w:p>
    <w:p>
      <w:pPr>
        <w:ind w:right="160"/>
        <w:spacing w:after="0" w:line="261" w:lineRule="auto"/>
        <w:rPr>
          <w:sz w:val="20"/>
          <w:szCs w:val="20"/>
          <w:color w:val="auto"/>
        </w:rPr>
      </w:pPr>
      <w:r>
        <w:rPr>
          <w:rFonts w:ascii="Arial" w:cs="Arial" w:eastAsia="Arial" w:hAnsi="Arial"/>
          <w:sz w:val="16"/>
          <w:szCs w:val="16"/>
          <w:color w:val="auto"/>
        </w:rPr>
        <w:t>Indicate by check mark whether each registrant is a large accelerated filer, an accelerated filer, a non-accelerated filer, or a smaller reporting company, or an emerging growth company. See the definitions of “large accelerated filer,” “accelerated filer,” “non-accelerated filer,” “smaller reporting company,” and “emerging growth company” in Rule 12b-2 of the Exchange Act.</w:t>
      </w:r>
    </w:p>
    <w:p>
      <w:pPr>
        <w:spacing w:after="0" w:line="75"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2500" w:type="dxa"/>
            <w:vAlign w:val="bottom"/>
          </w:tcPr>
          <w:p>
            <w:pPr>
              <w:spacing w:after="0"/>
              <w:rPr>
                <w:sz w:val="20"/>
                <w:szCs w:val="20"/>
                <w:color w:val="auto"/>
              </w:rPr>
            </w:pPr>
            <w:r>
              <w:rPr>
                <w:rFonts w:ascii="Arial" w:cs="Arial" w:eastAsia="Arial" w:hAnsi="Arial"/>
                <w:sz w:val="16"/>
                <w:szCs w:val="16"/>
                <w:color w:val="auto"/>
              </w:rPr>
              <w:t>Southwest Gas Holdings, Inc.:</w:t>
            </w:r>
          </w:p>
        </w:tc>
        <w:tc>
          <w:tcPr>
            <w:tcW w:w="32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391"/>
        </w:trPr>
        <w:tc>
          <w:tcPr>
            <w:tcW w:w="2500" w:type="dxa"/>
            <w:vAlign w:val="bottom"/>
          </w:tcPr>
          <w:p>
            <w:pPr>
              <w:ind w:left="40"/>
              <w:spacing w:after="0"/>
              <w:rPr>
                <w:sz w:val="20"/>
                <w:szCs w:val="20"/>
                <w:color w:val="auto"/>
              </w:rPr>
            </w:pPr>
            <w:r>
              <w:rPr>
                <w:rFonts w:ascii="Arial" w:cs="Arial" w:eastAsia="Arial" w:hAnsi="Arial"/>
                <w:sz w:val="16"/>
                <w:szCs w:val="16"/>
                <w:color w:val="auto"/>
              </w:rPr>
              <w:t>Large accelerated filer</w:t>
            </w:r>
          </w:p>
        </w:tc>
        <w:tc>
          <w:tcPr>
            <w:tcW w:w="322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4860" w:type="dxa"/>
            <w:vAlign w:val="bottom"/>
          </w:tcPr>
          <w:p>
            <w:pPr>
              <w:ind w:left="2560"/>
              <w:spacing w:after="0"/>
              <w:rPr>
                <w:sz w:val="20"/>
                <w:szCs w:val="20"/>
                <w:color w:val="auto"/>
              </w:rPr>
            </w:pPr>
            <w:r>
              <w:rPr>
                <w:rFonts w:ascii="Arial" w:cs="Arial" w:eastAsia="Arial" w:hAnsi="Arial"/>
                <w:sz w:val="16"/>
                <w:szCs w:val="16"/>
                <w:color w:val="auto"/>
              </w:rPr>
              <w:t>Accelerated filer</w:t>
            </w:r>
          </w:p>
        </w:tc>
        <w:tc>
          <w:tcPr>
            <w:tcW w:w="70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2500" w:type="dxa"/>
            <w:vAlign w:val="bottom"/>
          </w:tcPr>
          <w:p>
            <w:pPr>
              <w:ind w:left="40"/>
              <w:spacing w:after="0"/>
              <w:rPr>
                <w:sz w:val="20"/>
                <w:szCs w:val="20"/>
                <w:color w:val="auto"/>
              </w:rPr>
            </w:pPr>
            <w:r>
              <w:rPr>
                <w:rFonts w:ascii="Arial" w:cs="Arial" w:eastAsia="Arial" w:hAnsi="Arial"/>
                <w:sz w:val="16"/>
                <w:szCs w:val="16"/>
                <w:color w:val="auto"/>
              </w:rPr>
              <w:t>Non-accelerated filer</w:t>
            </w:r>
          </w:p>
        </w:tc>
        <w:tc>
          <w:tcPr>
            <w:tcW w:w="322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4860" w:type="dxa"/>
            <w:vAlign w:val="bottom"/>
          </w:tcPr>
          <w:p>
            <w:pPr>
              <w:ind w:left="2560"/>
              <w:spacing w:after="0"/>
              <w:rPr>
                <w:sz w:val="20"/>
                <w:szCs w:val="20"/>
                <w:color w:val="auto"/>
              </w:rPr>
            </w:pPr>
            <w:r>
              <w:rPr>
                <w:rFonts w:ascii="Arial" w:cs="Arial" w:eastAsia="Arial" w:hAnsi="Arial"/>
                <w:sz w:val="16"/>
                <w:szCs w:val="16"/>
                <w:color w:val="auto"/>
              </w:rPr>
              <w:t>Smaller reporting company</w:t>
            </w:r>
          </w:p>
        </w:tc>
        <w:tc>
          <w:tcPr>
            <w:tcW w:w="70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2500" w:type="dxa"/>
            <w:vAlign w:val="bottom"/>
          </w:tcPr>
          <w:p>
            <w:pPr>
              <w:ind w:left="40"/>
              <w:spacing w:after="0"/>
              <w:rPr>
                <w:sz w:val="20"/>
                <w:szCs w:val="20"/>
                <w:color w:val="auto"/>
              </w:rPr>
            </w:pPr>
            <w:r>
              <w:rPr>
                <w:rFonts w:ascii="Arial" w:cs="Arial" w:eastAsia="Arial" w:hAnsi="Arial"/>
                <w:sz w:val="16"/>
                <w:szCs w:val="16"/>
                <w:color w:val="auto"/>
              </w:rPr>
              <w:t>Emerging growth company</w:t>
            </w:r>
          </w:p>
        </w:tc>
        <w:tc>
          <w:tcPr>
            <w:tcW w:w="322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486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11" w:lineRule="exact"/>
        <w:rPr>
          <w:sz w:val="24"/>
          <w:szCs w:val="24"/>
          <w:color w:val="auto"/>
        </w:rPr>
      </w:pPr>
    </w:p>
    <w:p>
      <w:pPr>
        <w:jc w:val="both"/>
        <w:ind w:right="160"/>
        <w:spacing w:after="0" w:line="22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9"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2380" w:type="dxa"/>
            <w:vAlign w:val="bottom"/>
          </w:tcPr>
          <w:p>
            <w:pPr>
              <w:spacing w:after="0"/>
              <w:rPr>
                <w:sz w:val="20"/>
                <w:szCs w:val="20"/>
                <w:color w:val="auto"/>
              </w:rPr>
            </w:pPr>
            <w:r>
              <w:rPr>
                <w:rFonts w:ascii="Arial" w:cs="Arial" w:eastAsia="Arial" w:hAnsi="Arial"/>
                <w:sz w:val="16"/>
                <w:szCs w:val="16"/>
                <w:color w:val="auto"/>
              </w:rPr>
              <w:t>Southwest Gas Corporation:</w:t>
            </w:r>
          </w:p>
        </w:tc>
        <w:tc>
          <w:tcPr>
            <w:tcW w:w="322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391"/>
        </w:trPr>
        <w:tc>
          <w:tcPr>
            <w:tcW w:w="2380" w:type="dxa"/>
            <w:vAlign w:val="bottom"/>
          </w:tcPr>
          <w:p>
            <w:pPr>
              <w:ind w:left="40"/>
              <w:spacing w:after="0"/>
              <w:rPr>
                <w:sz w:val="20"/>
                <w:szCs w:val="20"/>
                <w:color w:val="auto"/>
              </w:rPr>
            </w:pPr>
            <w:r>
              <w:rPr>
                <w:rFonts w:ascii="Arial" w:cs="Arial" w:eastAsia="Arial" w:hAnsi="Arial"/>
                <w:sz w:val="16"/>
                <w:szCs w:val="16"/>
                <w:color w:val="auto"/>
              </w:rPr>
              <w:t>Large accelerated filer</w:t>
            </w:r>
          </w:p>
        </w:tc>
        <w:tc>
          <w:tcPr>
            <w:tcW w:w="322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560"/>
              <w:spacing w:after="0"/>
              <w:rPr>
                <w:sz w:val="20"/>
                <w:szCs w:val="20"/>
                <w:color w:val="auto"/>
              </w:rPr>
            </w:pPr>
            <w:r>
              <w:rPr>
                <w:rFonts w:ascii="Arial" w:cs="Arial" w:eastAsia="Arial" w:hAnsi="Arial"/>
                <w:sz w:val="16"/>
                <w:szCs w:val="16"/>
                <w:color w:val="auto"/>
              </w:rPr>
              <w:t>Accelerated filer</w:t>
            </w:r>
          </w:p>
        </w:tc>
        <w:tc>
          <w:tcPr>
            <w:tcW w:w="76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2380" w:type="dxa"/>
            <w:vAlign w:val="bottom"/>
          </w:tcPr>
          <w:p>
            <w:pPr>
              <w:ind w:left="40"/>
              <w:spacing w:after="0"/>
              <w:rPr>
                <w:sz w:val="20"/>
                <w:szCs w:val="20"/>
                <w:color w:val="auto"/>
              </w:rPr>
            </w:pPr>
            <w:r>
              <w:rPr>
                <w:rFonts w:ascii="Arial" w:cs="Arial" w:eastAsia="Arial" w:hAnsi="Arial"/>
                <w:sz w:val="16"/>
                <w:szCs w:val="16"/>
                <w:color w:val="auto"/>
              </w:rPr>
              <w:t>Non-accelerated filer</w:t>
            </w:r>
          </w:p>
        </w:tc>
        <w:tc>
          <w:tcPr>
            <w:tcW w:w="322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ind w:left="2560"/>
              <w:spacing w:after="0"/>
              <w:rPr>
                <w:sz w:val="20"/>
                <w:szCs w:val="20"/>
                <w:color w:val="auto"/>
              </w:rPr>
            </w:pPr>
            <w:r>
              <w:rPr>
                <w:rFonts w:ascii="Arial" w:cs="Arial" w:eastAsia="Arial" w:hAnsi="Arial"/>
                <w:sz w:val="16"/>
                <w:szCs w:val="16"/>
                <w:color w:val="auto"/>
              </w:rPr>
              <w:t>Smaller reporting company</w:t>
            </w:r>
          </w:p>
        </w:tc>
        <w:tc>
          <w:tcPr>
            <w:tcW w:w="76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2380" w:type="dxa"/>
            <w:vAlign w:val="bottom"/>
          </w:tcPr>
          <w:p>
            <w:pPr>
              <w:ind w:left="40"/>
              <w:spacing w:after="0"/>
              <w:rPr>
                <w:sz w:val="20"/>
                <w:szCs w:val="20"/>
                <w:color w:val="auto"/>
              </w:rPr>
            </w:pPr>
            <w:r>
              <w:rPr>
                <w:rFonts w:ascii="Arial" w:cs="Arial" w:eastAsia="Arial" w:hAnsi="Arial"/>
                <w:sz w:val="16"/>
                <w:szCs w:val="16"/>
                <w:color w:val="auto"/>
              </w:rPr>
              <w:t>Emerging growth company</w:t>
            </w:r>
          </w:p>
        </w:tc>
        <w:tc>
          <w:tcPr>
            <w:tcW w:w="3220" w:type="dxa"/>
            <w:vAlign w:val="bottom"/>
          </w:tcPr>
          <w:p>
            <w:pPr>
              <w:ind w:left="520"/>
              <w:spacing w:after="0" w:line="181" w:lineRule="exact"/>
              <w:rPr>
                <w:sz w:val="20"/>
                <w:szCs w:val="20"/>
                <w:color w:val="auto"/>
              </w:rPr>
            </w:pPr>
            <w:r>
              <w:rPr>
                <w:rFonts w:ascii="MS PGothic" w:cs="MS PGothic" w:eastAsia="MS PGothic" w:hAnsi="MS PGothic"/>
                <w:sz w:val="18"/>
                <w:szCs w:val="18"/>
                <w:color w:val="auto"/>
              </w:rPr>
              <w:t>☐</w:t>
            </w:r>
          </w:p>
        </w:tc>
        <w:tc>
          <w:tcPr>
            <w:tcW w:w="492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119" w:lineRule="exact"/>
        <w:rPr>
          <w:sz w:val="24"/>
          <w:szCs w:val="24"/>
          <w:color w:val="auto"/>
        </w:rPr>
      </w:pPr>
    </w:p>
    <w:p>
      <w:pPr>
        <w:jc w:val="both"/>
        <w:ind w:right="160"/>
        <w:spacing w:after="0" w:line="22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207" w:lineRule="exact"/>
        <w:tabs>
          <w:tab w:leader="none" w:pos="7600" w:val="left"/>
          <w:tab w:leader="none" w:pos="8240" w:val="left"/>
        </w:tabs>
        <w:rPr>
          <w:sz w:val="20"/>
          <w:szCs w:val="20"/>
          <w:color w:val="auto"/>
        </w:rPr>
      </w:pPr>
      <w:r>
        <w:rPr>
          <w:rFonts w:ascii="Arial" w:cs="Arial" w:eastAsia="Arial" w:hAnsi="Arial"/>
          <w:sz w:val="15"/>
          <w:szCs w:val="15"/>
          <w:color w:val="auto"/>
        </w:rPr>
        <w:t>Indicate by check mark whether each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8"/>
          <w:szCs w:val="18"/>
          <w:color w:val="auto"/>
        </w:rPr>
        <w:t>☐</w:t>
      </w:r>
      <w:r>
        <w:rPr>
          <w:rFonts w:ascii="Arial" w:cs="Arial" w:eastAsia="Arial" w:hAnsi="Arial"/>
          <w:sz w:val="16"/>
          <w:szCs w:val="16"/>
          <w:color w:val="auto"/>
        </w:rPr>
        <w:tab/>
        <w:t xml:space="preserve">No </w:t>
      </w:r>
      <w:r>
        <w:rPr>
          <w:rFonts w:ascii="MS PGothic" w:cs="MS PGothic" w:eastAsia="MS PGothic" w:hAnsi="MS PGothic"/>
          <w:sz w:val="18"/>
          <w:szCs w:val="18"/>
          <w:color w:val="auto"/>
        </w:rPr>
        <w:t>☒</w:t>
      </w:r>
    </w:p>
    <w:p>
      <w:pPr>
        <w:spacing w:after="0" w:line="154"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13" w:lineRule="exact"/>
        <w:rPr>
          <w:sz w:val="24"/>
          <w:szCs w:val="24"/>
          <w:color w:val="auto"/>
        </w:rPr>
      </w:pPr>
    </w:p>
    <w:p>
      <w:pPr>
        <w:ind w:left="2360"/>
        <w:spacing w:after="0"/>
        <w:rPr>
          <w:sz w:val="20"/>
          <w:szCs w:val="20"/>
          <w:color w:val="auto"/>
        </w:rPr>
      </w:pPr>
      <w:r>
        <w:rPr>
          <w:rFonts w:ascii="Arial" w:cs="Arial" w:eastAsia="Arial" w:hAnsi="Arial"/>
          <w:sz w:val="16"/>
          <w:szCs w:val="16"/>
          <w:color w:val="auto"/>
        </w:rPr>
        <w:t>Southwest Gas Holdings, Inc. Common Stock, $1 Par Value, 54,626,240 shares as of October 31, 2019.</w:t>
      </w:r>
    </w:p>
    <w:p>
      <w:pPr>
        <w:spacing w:after="0" w:line="113" w:lineRule="exact"/>
        <w:rPr>
          <w:sz w:val="24"/>
          <w:szCs w:val="24"/>
          <w:color w:val="auto"/>
        </w:rPr>
      </w:pPr>
    </w:p>
    <w:p>
      <w:pPr>
        <w:spacing w:after="0"/>
        <w:rPr>
          <w:sz w:val="20"/>
          <w:szCs w:val="20"/>
          <w:color w:val="auto"/>
        </w:rPr>
      </w:pPr>
      <w:r>
        <w:rPr>
          <w:rFonts w:ascii="Arial" w:cs="Arial" w:eastAsia="Arial" w:hAnsi="Arial"/>
          <w:sz w:val="16"/>
          <w:szCs w:val="16"/>
          <w:color w:val="auto"/>
        </w:rPr>
        <w:t>All of the outstanding shares of common stock ($1 par value) of Southwest Gas Corporation were held by Southwest Gas Holdings, Inc. as of October 31, 2019.</w:t>
      </w:r>
    </w:p>
    <w:p>
      <w:pPr>
        <w:spacing w:after="0" w:line="104"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SOUTHWEST GAS CORPORATION MEETS THE CONDITIONS SET FORTH IN GENERAL INSTRUCTION (H)(1)(a) and (b) OF FORM 10-Q AND IS THEREFORE FILING THIS REPORT WITH THE REDUCED DISCLOSURE FORMAT AS PERMITTED BY GENERAL INSTRUCTION H(2).</w:t>
      </w:r>
    </w:p>
    <w:p>
      <w:pPr>
        <w:sectPr>
          <w:pgSz w:w="11900" w:h="16838" w:orient="portrait"/>
          <w:cols w:equalWidth="0" w:num="1">
            <w:col w:w="11420"/>
          </w:cols>
          <w:pgMar w:left="240" w:top="224" w:right="239" w:bottom="794" w:gutter="0" w:footer="0" w:header="0"/>
        </w:sectPr>
      </w:pPr>
    </w:p>
    <w:p>
      <w:pPr>
        <w:spacing w:after="0" w:line="367"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20"/>
          </w:cols>
          <w:pgMar w:left="240" w:top="224" w:right="239" w:bottom="794" w:gutter="0" w:footer="0" w:header="0"/>
          <w:type w:val="continuous"/>
        </w:sectPr>
      </w:pPr>
    </w:p>
    <w:bookmarkStart w:id="1" w:name="page2"/>
    <w:bookmarkEnd w:id="1"/>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FILING FORMAT</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This quarterly report on Form 10-Q is a combined report being filed by two separate registrants: Southwest Gas Holdings, Inc. and Southwest Gas Corporation. Except where the content clearly indicates otherwise, any reference in the report to “we,” “us” or “our” is to the holding company or the consolidated entity of Southwest Gas Holdings, Inc. and all of its subsidiaries, including Southwest Gas Corporation, which is a distinct registrant that is a wholly owned subsidiary of Southwest Gas Holdings, Inc. Information contained herein relating to any individual company is filed by such company on its own behalf. Each company makes representations only as to itself and makes no other representation whatsoever as to any other company.</w:t>
      </w:r>
    </w:p>
    <w:p>
      <w:pPr>
        <w:spacing w:after="0" w:line="17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Part I—Financial information in this Quarterly Report on Form 10-Q includes separate financial statements (i.e., balance sheets, statements of income, statements of comprehensive income, statements of cash flows, and statements of equity) for Southwest Gas Holdings, Inc. and Southwest Gas Corporation, in that order. The Notes to the Condensed Consolidated Financial Statements are presented on a combined basis for both entities. All Items other than Part I – Item 1 are combined for the reporting companies.</w:t>
      </w:r>
    </w:p>
    <w:p>
      <w:pPr>
        <w:spacing w:after="0" w:line="200" w:lineRule="exact"/>
        <w:rPr>
          <w:sz w:val="20"/>
          <w:szCs w:val="20"/>
          <w:color w:val="auto"/>
        </w:rPr>
      </w:pPr>
    </w:p>
    <w:p>
      <w:pPr>
        <w:spacing w:after="0" w:line="39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2" w:name="page3"/>
    <w:bookmarkEnd w:id="2"/>
    <w:p>
      <w:pPr>
        <w:spacing w:after="0" w:line="88"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SOUTHWEST GAS HOLDINGS,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(Thousands of dollars, except par value)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7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100"/>
              <w:spacing w:after="0"/>
              <w:rPr>
                <w:sz w:val="20"/>
                <w:szCs w:val="20"/>
                <w:color w:val="auto"/>
              </w:rPr>
            </w:pPr>
            <w:r>
              <w:rPr>
                <w:rFonts w:ascii="Arial" w:cs="Arial" w:eastAsia="Arial" w:hAnsi="Arial"/>
                <w:sz w:val="14"/>
                <w:szCs w:val="14"/>
                <w:color w:val="auto"/>
              </w:rPr>
              <w:t>September 30, 2019</w:t>
            </w:r>
          </w:p>
        </w:tc>
        <w:tc>
          <w:tcPr>
            <w:tcW w:w="180" w:type="dxa"/>
            <w:vAlign w:val="bottom"/>
          </w:tcPr>
          <w:p>
            <w:pPr>
              <w:spacing w:after="0"/>
              <w:rPr>
                <w:sz w:val="16"/>
                <w:szCs w:val="16"/>
                <w:color w:val="auto"/>
              </w:rPr>
            </w:pPr>
          </w:p>
        </w:tc>
        <w:tc>
          <w:tcPr>
            <w:tcW w:w="1500" w:type="dxa"/>
            <w:vAlign w:val="bottom"/>
          </w:tcPr>
          <w:p>
            <w:pPr>
              <w:jc w:val="right"/>
              <w:ind w:right="208"/>
              <w:spacing w:after="0"/>
              <w:rPr>
                <w:sz w:val="20"/>
                <w:szCs w:val="20"/>
                <w:color w:val="auto"/>
              </w:rPr>
            </w:pPr>
            <w:r>
              <w:rPr>
                <w:rFonts w:ascii="Arial" w:cs="Arial" w:eastAsia="Arial" w:hAnsi="Arial"/>
                <w:sz w:val="14"/>
                <w:szCs w:val="14"/>
                <w:color w:val="auto"/>
                <w:w w:val="97"/>
              </w:rPr>
              <w:t>December 31, 2018</w:t>
            </w:r>
          </w:p>
        </w:tc>
        <w:tc>
          <w:tcPr>
            <w:tcW w:w="0" w:type="dxa"/>
            <w:vAlign w:val="bottom"/>
          </w:tcPr>
          <w:p>
            <w:pPr>
              <w:spacing w:after="0"/>
              <w:rPr>
                <w:sz w:val="1"/>
                <w:szCs w:val="1"/>
                <w:color w:val="auto"/>
              </w:rPr>
            </w:pPr>
          </w:p>
        </w:tc>
      </w:tr>
      <w:tr>
        <w:trPr>
          <w:trHeight w:val="177"/>
        </w:trPr>
        <w:tc>
          <w:tcPr>
            <w:tcW w:w="7880" w:type="dxa"/>
            <w:vAlign w:val="bottom"/>
            <w:tcBorders>
              <w:top w:val="single" w:sz="8" w:color="CCEEFF"/>
            </w:tcBorders>
            <w:shd w:val="clear" w:color="auto" w:fill="CCEEFF"/>
          </w:tcPr>
          <w:p>
            <w:pPr>
              <w:ind w:left="3620"/>
              <w:spacing w:after="0"/>
              <w:rPr>
                <w:sz w:val="20"/>
                <w:szCs w:val="20"/>
                <w:color w:val="auto"/>
              </w:rPr>
            </w:pPr>
            <w:r>
              <w:rPr>
                <w:rFonts w:ascii="Arial" w:cs="Arial" w:eastAsia="Arial" w:hAnsi="Arial"/>
                <w:sz w:val="14"/>
                <w:szCs w:val="14"/>
                <w:color w:val="auto"/>
              </w:rPr>
              <w:t>ASSETS</w:t>
            </w:r>
          </w:p>
        </w:tc>
        <w:tc>
          <w:tcPr>
            <w:tcW w:w="180" w:type="dxa"/>
            <w:vAlign w:val="bottom"/>
            <w:tcBorders>
              <w:top w:val="single" w:sz="8" w:color="auto"/>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78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7880" w:type="dxa"/>
            <w:vAlign w:val="bottom"/>
          </w:tcPr>
          <w:p>
            <w:pPr>
              <w:ind w:left="20"/>
              <w:spacing w:after="0"/>
              <w:rPr>
                <w:sz w:val="20"/>
                <w:szCs w:val="20"/>
                <w:color w:val="auto"/>
              </w:rPr>
            </w:pPr>
            <w:r>
              <w:rPr>
                <w:rFonts w:ascii="Arial" w:cs="Arial" w:eastAsia="Arial" w:hAnsi="Arial"/>
                <w:sz w:val="14"/>
                <w:szCs w:val="14"/>
                <w:color w:val="auto"/>
              </w:rPr>
              <w:t>Utility plant:</w:t>
            </w: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8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Gas plant</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7,550,855</w:t>
            </w:r>
          </w:p>
        </w:tc>
        <w:tc>
          <w:tcPr>
            <w:tcW w:w="10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7,134,239</w:t>
            </w:r>
          </w:p>
        </w:tc>
        <w:tc>
          <w:tcPr>
            <w:tcW w:w="0" w:type="dxa"/>
            <w:vAlign w:val="bottom"/>
          </w:tcPr>
          <w:p>
            <w:pPr>
              <w:spacing w:after="0"/>
              <w:rPr>
                <w:sz w:val="1"/>
                <w:szCs w:val="1"/>
                <w:color w:val="auto"/>
              </w:rPr>
            </w:pPr>
          </w:p>
        </w:tc>
      </w:tr>
      <w:tr>
        <w:trPr>
          <w:trHeight w:val="80"/>
        </w:trPr>
        <w:tc>
          <w:tcPr>
            <w:tcW w:w="788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15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80" w:type="dxa"/>
            <w:vAlign w:val="bottom"/>
          </w:tcPr>
          <w:p>
            <w:pPr>
              <w:ind w:left="380"/>
              <w:spacing w:after="0"/>
              <w:rPr>
                <w:sz w:val="20"/>
                <w:szCs w:val="20"/>
                <w:color w:val="auto"/>
              </w:rPr>
            </w:pPr>
            <w:r>
              <w:rPr>
                <w:rFonts w:ascii="Arial" w:cs="Arial" w:eastAsia="Arial" w:hAnsi="Arial"/>
                <w:sz w:val="14"/>
                <w:szCs w:val="14"/>
                <w:color w:val="auto"/>
              </w:rPr>
              <w:t>Less: accumulated depreciation</w:t>
            </w:r>
          </w:p>
        </w:tc>
        <w:tc>
          <w:tcPr>
            <w:tcW w:w="180" w:type="dxa"/>
            <w:vAlign w:val="bottom"/>
          </w:tcPr>
          <w:p>
            <w:pPr>
              <w:spacing w:after="0"/>
              <w:rPr>
                <w:sz w:val="16"/>
                <w:szCs w:val="16"/>
                <w:color w:val="auto"/>
              </w:rPr>
            </w:pPr>
          </w:p>
        </w:tc>
        <w:tc>
          <w:tcPr>
            <w:tcW w:w="1540" w:type="dxa"/>
            <w:vAlign w:val="bottom"/>
            <w:vMerge w:val="restart"/>
          </w:tcPr>
          <w:p>
            <w:pPr>
              <w:jc w:val="right"/>
              <w:spacing w:after="0"/>
              <w:rPr>
                <w:sz w:val="20"/>
                <w:szCs w:val="20"/>
                <w:color w:val="auto"/>
              </w:rPr>
            </w:pPr>
            <w:r>
              <w:rPr>
                <w:rFonts w:ascii="Arial" w:cs="Arial" w:eastAsia="Arial" w:hAnsi="Arial"/>
                <w:sz w:val="14"/>
                <w:szCs w:val="14"/>
                <w:color w:val="auto"/>
              </w:rPr>
              <w:t>(2,303,864)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right"/>
              <w:spacing w:after="0"/>
              <w:rPr>
                <w:sz w:val="20"/>
                <w:szCs w:val="20"/>
                <w:color w:val="auto"/>
              </w:rPr>
            </w:pPr>
            <w:r>
              <w:rPr>
                <w:rFonts w:ascii="Arial" w:cs="Arial" w:eastAsia="Arial" w:hAnsi="Arial"/>
                <w:sz w:val="14"/>
                <w:szCs w:val="14"/>
                <w:color w:val="auto"/>
              </w:rPr>
              <w:t>(2,234,029)</w:t>
            </w:r>
          </w:p>
        </w:tc>
        <w:tc>
          <w:tcPr>
            <w:tcW w:w="0" w:type="dxa"/>
            <w:vAlign w:val="bottom"/>
          </w:tcPr>
          <w:p>
            <w:pPr>
              <w:spacing w:after="0"/>
              <w:rPr>
                <w:sz w:val="1"/>
                <w:szCs w:val="1"/>
                <w:color w:val="auto"/>
              </w:rPr>
            </w:pPr>
          </w:p>
        </w:tc>
      </w:tr>
      <w:tr>
        <w:trPr>
          <w:trHeight w:val="74"/>
        </w:trPr>
        <w:tc>
          <w:tcPr>
            <w:tcW w:w="78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Construction work in progress</w:t>
            </w:r>
          </w:p>
        </w:tc>
        <w:tc>
          <w:tcPr>
            <w:tcW w:w="180" w:type="dxa"/>
            <w:vAlign w:val="bottom"/>
            <w:shd w:val="clear" w:color="auto" w:fill="CCEEFF"/>
          </w:tcPr>
          <w:p>
            <w:pPr>
              <w:spacing w:after="0"/>
              <w:rPr>
                <w:sz w:val="17"/>
                <w:szCs w:val="17"/>
                <w:color w:val="auto"/>
              </w:rPr>
            </w:pPr>
          </w:p>
        </w:tc>
        <w:tc>
          <w:tcPr>
            <w:tcW w:w="15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288,573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193,028</w:t>
            </w:r>
          </w:p>
        </w:tc>
        <w:tc>
          <w:tcPr>
            <w:tcW w:w="0" w:type="dxa"/>
            <w:vAlign w:val="bottom"/>
          </w:tcPr>
          <w:p>
            <w:pPr>
              <w:spacing w:after="0"/>
              <w:rPr>
                <w:sz w:val="1"/>
                <w:szCs w:val="1"/>
                <w:color w:val="auto"/>
              </w:rPr>
            </w:pPr>
          </w:p>
        </w:tc>
      </w:tr>
      <w:tr>
        <w:trPr>
          <w:trHeight w:val="80"/>
        </w:trPr>
        <w:tc>
          <w:tcPr>
            <w:tcW w:w="788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5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5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880" w:type="dxa"/>
            <w:vAlign w:val="bottom"/>
          </w:tcPr>
          <w:p>
            <w:pPr>
              <w:ind w:left="700"/>
              <w:spacing w:after="0"/>
              <w:rPr>
                <w:sz w:val="20"/>
                <w:szCs w:val="20"/>
                <w:color w:val="auto"/>
              </w:rPr>
            </w:pPr>
            <w:r>
              <w:rPr>
                <w:rFonts w:ascii="Arial" w:cs="Arial" w:eastAsia="Arial" w:hAnsi="Arial"/>
                <w:sz w:val="14"/>
                <w:szCs w:val="14"/>
                <w:color w:val="auto"/>
              </w:rPr>
              <w:t>Net utility plant</w:t>
            </w:r>
          </w:p>
        </w:tc>
        <w:tc>
          <w:tcPr>
            <w:tcW w:w="180" w:type="dxa"/>
            <w:vAlign w:val="bottom"/>
          </w:tcPr>
          <w:p>
            <w:pPr>
              <w:spacing w:after="0"/>
              <w:rPr>
                <w:sz w:val="14"/>
                <w:szCs w:val="14"/>
                <w:color w:val="auto"/>
              </w:rPr>
            </w:pPr>
          </w:p>
        </w:tc>
        <w:tc>
          <w:tcPr>
            <w:tcW w:w="1540" w:type="dxa"/>
            <w:vAlign w:val="bottom"/>
            <w:vMerge w:val="restart"/>
          </w:tcPr>
          <w:p>
            <w:pPr>
              <w:jc w:val="right"/>
              <w:ind w:right="48"/>
              <w:spacing w:after="0"/>
              <w:rPr>
                <w:sz w:val="20"/>
                <w:szCs w:val="20"/>
                <w:color w:val="auto"/>
              </w:rPr>
            </w:pPr>
            <w:r>
              <w:rPr>
                <w:rFonts w:ascii="Arial" w:cs="Arial" w:eastAsia="Arial" w:hAnsi="Arial"/>
                <w:sz w:val="14"/>
                <w:szCs w:val="14"/>
                <w:color w:val="auto"/>
              </w:rPr>
              <w:t>5,535,564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vMerge w:val="restart"/>
          </w:tcPr>
          <w:p>
            <w:pPr>
              <w:jc w:val="right"/>
              <w:ind w:right="28"/>
              <w:spacing w:after="0"/>
              <w:rPr>
                <w:sz w:val="20"/>
                <w:szCs w:val="20"/>
                <w:color w:val="auto"/>
              </w:rPr>
            </w:pPr>
            <w:r>
              <w:rPr>
                <w:rFonts w:ascii="Arial" w:cs="Arial" w:eastAsia="Arial" w:hAnsi="Arial"/>
                <w:sz w:val="14"/>
                <w:szCs w:val="14"/>
                <w:color w:val="auto"/>
              </w:rPr>
              <w:t>5,093,238</w:t>
            </w:r>
          </w:p>
        </w:tc>
        <w:tc>
          <w:tcPr>
            <w:tcW w:w="0" w:type="dxa"/>
            <w:vAlign w:val="bottom"/>
          </w:tcPr>
          <w:p>
            <w:pPr>
              <w:spacing w:after="0"/>
              <w:rPr>
                <w:sz w:val="1"/>
                <w:szCs w:val="1"/>
                <w:color w:val="auto"/>
              </w:rPr>
            </w:pPr>
          </w:p>
        </w:tc>
      </w:tr>
      <w:tr>
        <w:trPr>
          <w:trHeight w:val="74"/>
        </w:trPr>
        <w:tc>
          <w:tcPr>
            <w:tcW w:w="788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property and investments</w:t>
            </w:r>
          </w:p>
        </w:tc>
        <w:tc>
          <w:tcPr>
            <w:tcW w:w="18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768,685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623,551</w:t>
            </w:r>
          </w:p>
        </w:tc>
        <w:tc>
          <w:tcPr>
            <w:tcW w:w="0" w:type="dxa"/>
            <w:vAlign w:val="bottom"/>
          </w:tcPr>
          <w:p>
            <w:pPr>
              <w:spacing w:after="0"/>
              <w:rPr>
                <w:sz w:val="1"/>
                <w:szCs w:val="1"/>
                <w:color w:val="auto"/>
              </w:rPr>
            </w:pPr>
          </w:p>
        </w:tc>
      </w:tr>
      <w:tr>
        <w:trPr>
          <w:trHeight w:val="80"/>
        </w:trPr>
        <w:tc>
          <w:tcPr>
            <w:tcW w:w="788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5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5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8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7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78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 and cash equivalents</w:t>
            </w:r>
          </w:p>
        </w:tc>
        <w:tc>
          <w:tcPr>
            <w:tcW w:w="180" w:type="dxa"/>
            <w:vAlign w:val="bottom"/>
            <w:shd w:val="clear" w:color="auto" w:fill="CCEEFF"/>
          </w:tcPr>
          <w:p>
            <w:pPr>
              <w:spacing w:after="0"/>
              <w:rPr>
                <w:sz w:val="16"/>
                <w:szCs w:val="16"/>
                <w:color w:val="auto"/>
              </w:rPr>
            </w:pPr>
          </w:p>
        </w:tc>
        <w:tc>
          <w:tcPr>
            <w:tcW w:w="15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28,480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85,361</w:t>
            </w:r>
          </w:p>
        </w:tc>
        <w:tc>
          <w:tcPr>
            <w:tcW w:w="0" w:type="dxa"/>
            <w:vAlign w:val="bottom"/>
          </w:tcPr>
          <w:p>
            <w:pPr>
              <w:spacing w:after="0"/>
              <w:rPr>
                <w:sz w:val="1"/>
                <w:szCs w:val="1"/>
                <w:color w:val="auto"/>
              </w:rPr>
            </w:pPr>
          </w:p>
        </w:tc>
      </w:tr>
      <w:tr>
        <w:trPr>
          <w:trHeight w:val="80"/>
        </w:trPr>
        <w:tc>
          <w:tcPr>
            <w:tcW w:w="78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80" w:type="dxa"/>
            <w:vAlign w:val="bottom"/>
          </w:tcPr>
          <w:p>
            <w:pPr>
              <w:ind w:left="380"/>
              <w:spacing w:after="0"/>
              <w:rPr>
                <w:sz w:val="20"/>
                <w:szCs w:val="20"/>
                <w:color w:val="auto"/>
              </w:rPr>
            </w:pPr>
            <w:r>
              <w:rPr>
                <w:rFonts w:ascii="Arial" w:cs="Arial" w:eastAsia="Arial" w:hAnsi="Arial"/>
                <w:sz w:val="14"/>
                <w:szCs w:val="14"/>
                <w:color w:val="auto"/>
              </w:rPr>
              <w:t>Accounts receivable, net of allowances</w:t>
            </w:r>
          </w:p>
        </w:tc>
        <w:tc>
          <w:tcPr>
            <w:tcW w:w="180" w:type="dxa"/>
            <w:vAlign w:val="bottom"/>
          </w:tcPr>
          <w:p>
            <w:pPr>
              <w:spacing w:after="0"/>
              <w:rPr>
                <w:sz w:val="16"/>
                <w:szCs w:val="16"/>
                <w:color w:val="auto"/>
              </w:rPr>
            </w:pPr>
          </w:p>
        </w:tc>
        <w:tc>
          <w:tcPr>
            <w:tcW w:w="1540" w:type="dxa"/>
            <w:vAlign w:val="bottom"/>
            <w:vMerge w:val="restart"/>
          </w:tcPr>
          <w:p>
            <w:pPr>
              <w:jc w:val="right"/>
              <w:ind w:right="48"/>
              <w:spacing w:after="0"/>
              <w:rPr>
                <w:sz w:val="20"/>
                <w:szCs w:val="20"/>
                <w:color w:val="auto"/>
              </w:rPr>
            </w:pPr>
            <w:r>
              <w:rPr>
                <w:rFonts w:ascii="Arial" w:cs="Arial" w:eastAsia="Arial" w:hAnsi="Arial"/>
                <w:sz w:val="14"/>
                <w:szCs w:val="14"/>
                <w:color w:val="auto"/>
              </w:rPr>
              <w:t>434,153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right"/>
              <w:ind w:right="28"/>
              <w:spacing w:after="0"/>
              <w:rPr>
                <w:sz w:val="20"/>
                <w:szCs w:val="20"/>
                <w:color w:val="auto"/>
              </w:rPr>
            </w:pPr>
            <w:r>
              <w:rPr>
                <w:rFonts w:ascii="Arial" w:cs="Arial" w:eastAsia="Arial" w:hAnsi="Arial"/>
                <w:sz w:val="14"/>
                <w:szCs w:val="14"/>
                <w:color w:val="auto"/>
              </w:rPr>
              <w:t>413,926</w:t>
            </w:r>
          </w:p>
        </w:tc>
        <w:tc>
          <w:tcPr>
            <w:tcW w:w="0" w:type="dxa"/>
            <w:vAlign w:val="bottom"/>
          </w:tcPr>
          <w:p>
            <w:pPr>
              <w:spacing w:after="0"/>
              <w:rPr>
                <w:sz w:val="1"/>
                <w:szCs w:val="1"/>
                <w:color w:val="auto"/>
              </w:rPr>
            </w:pPr>
          </w:p>
        </w:tc>
      </w:tr>
      <w:tr>
        <w:trPr>
          <w:trHeight w:val="74"/>
        </w:trPr>
        <w:tc>
          <w:tcPr>
            <w:tcW w:w="78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Accrued utility revenue</w:t>
            </w:r>
          </w:p>
        </w:tc>
        <w:tc>
          <w:tcPr>
            <w:tcW w:w="180" w:type="dxa"/>
            <w:vAlign w:val="bottom"/>
            <w:shd w:val="clear" w:color="auto" w:fill="CCEEFF"/>
          </w:tcPr>
          <w:p>
            <w:pPr>
              <w:spacing w:after="0"/>
              <w:rPr>
                <w:sz w:val="17"/>
                <w:szCs w:val="17"/>
                <w:color w:val="auto"/>
              </w:rPr>
            </w:pPr>
          </w:p>
        </w:tc>
        <w:tc>
          <w:tcPr>
            <w:tcW w:w="15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35,800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77,200</w:t>
            </w:r>
          </w:p>
        </w:tc>
        <w:tc>
          <w:tcPr>
            <w:tcW w:w="0" w:type="dxa"/>
            <w:vAlign w:val="bottom"/>
          </w:tcPr>
          <w:p>
            <w:pPr>
              <w:spacing w:after="0"/>
              <w:rPr>
                <w:sz w:val="1"/>
                <w:szCs w:val="1"/>
                <w:color w:val="auto"/>
              </w:rPr>
            </w:pPr>
          </w:p>
        </w:tc>
      </w:tr>
      <w:tr>
        <w:trPr>
          <w:trHeight w:val="80"/>
        </w:trPr>
        <w:tc>
          <w:tcPr>
            <w:tcW w:w="78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80" w:type="dxa"/>
            <w:vAlign w:val="bottom"/>
          </w:tcPr>
          <w:p>
            <w:pPr>
              <w:ind w:left="380"/>
              <w:spacing w:after="0"/>
              <w:rPr>
                <w:sz w:val="20"/>
                <w:szCs w:val="20"/>
                <w:color w:val="auto"/>
              </w:rPr>
            </w:pPr>
            <w:r>
              <w:rPr>
                <w:rFonts w:ascii="Arial" w:cs="Arial" w:eastAsia="Arial" w:hAnsi="Arial"/>
                <w:sz w:val="14"/>
                <w:szCs w:val="14"/>
                <w:color w:val="auto"/>
              </w:rPr>
              <w:t>Income taxes receivable</w:t>
            </w:r>
          </w:p>
        </w:tc>
        <w:tc>
          <w:tcPr>
            <w:tcW w:w="180" w:type="dxa"/>
            <w:vAlign w:val="bottom"/>
          </w:tcPr>
          <w:p>
            <w:pPr>
              <w:spacing w:after="0"/>
              <w:rPr>
                <w:sz w:val="16"/>
                <w:szCs w:val="16"/>
                <w:color w:val="auto"/>
              </w:rPr>
            </w:pPr>
          </w:p>
        </w:tc>
        <w:tc>
          <w:tcPr>
            <w:tcW w:w="1540" w:type="dxa"/>
            <w:vAlign w:val="bottom"/>
            <w:vMerge w:val="restart"/>
          </w:tcPr>
          <w:p>
            <w:pPr>
              <w:jc w:val="right"/>
              <w:ind w:right="48"/>
              <w:spacing w:after="0"/>
              <w:rPr>
                <w:sz w:val="20"/>
                <w:szCs w:val="20"/>
                <w:color w:val="auto"/>
              </w:rPr>
            </w:pPr>
            <w:r>
              <w:rPr>
                <w:rFonts w:ascii="Arial" w:cs="Arial" w:eastAsia="Arial" w:hAnsi="Arial"/>
                <w:sz w:val="14"/>
                <w:szCs w:val="14"/>
                <w:color w:val="auto"/>
              </w:rPr>
              <w:t>26,611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right"/>
              <w:ind w:right="28"/>
              <w:spacing w:after="0"/>
              <w:rPr>
                <w:sz w:val="20"/>
                <w:szCs w:val="20"/>
                <w:color w:val="auto"/>
              </w:rPr>
            </w:pPr>
            <w:r>
              <w:rPr>
                <w:rFonts w:ascii="Arial" w:cs="Arial" w:eastAsia="Arial" w:hAnsi="Arial"/>
                <w:sz w:val="14"/>
                <w:szCs w:val="14"/>
                <w:color w:val="auto"/>
              </w:rPr>
              <w:t>14,653</w:t>
            </w:r>
          </w:p>
        </w:tc>
        <w:tc>
          <w:tcPr>
            <w:tcW w:w="0" w:type="dxa"/>
            <w:vAlign w:val="bottom"/>
          </w:tcPr>
          <w:p>
            <w:pPr>
              <w:spacing w:after="0"/>
              <w:rPr>
                <w:sz w:val="1"/>
                <w:szCs w:val="1"/>
                <w:color w:val="auto"/>
              </w:rPr>
            </w:pPr>
          </w:p>
        </w:tc>
      </w:tr>
      <w:tr>
        <w:trPr>
          <w:trHeight w:val="74"/>
        </w:trPr>
        <w:tc>
          <w:tcPr>
            <w:tcW w:w="78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Deferred purchased gas costs</w:t>
            </w:r>
          </w:p>
        </w:tc>
        <w:tc>
          <w:tcPr>
            <w:tcW w:w="180" w:type="dxa"/>
            <w:vAlign w:val="bottom"/>
            <w:shd w:val="clear" w:color="auto" w:fill="CCEEFF"/>
          </w:tcPr>
          <w:p>
            <w:pPr>
              <w:spacing w:after="0"/>
              <w:rPr>
                <w:sz w:val="17"/>
                <w:szCs w:val="17"/>
                <w:color w:val="auto"/>
              </w:rPr>
            </w:pPr>
          </w:p>
        </w:tc>
        <w:tc>
          <w:tcPr>
            <w:tcW w:w="15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49,804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4,928</w:t>
            </w:r>
          </w:p>
        </w:tc>
        <w:tc>
          <w:tcPr>
            <w:tcW w:w="0" w:type="dxa"/>
            <w:vAlign w:val="bottom"/>
          </w:tcPr>
          <w:p>
            <w:pPr>
              <w:spacing w:after="0"/>
              <w:rPr>
                <w:sz w:val="1"/>
                <w:szCs w:val="1"/>
                <w:color w:val="auto"/>
              </w:rPr>
            </w:pPr>
          </w:p>
        </w:tc>
      </w:tr>
      <w:tr>
        <w:trPr>
          <w:trHeight w:val="80"/>
        </w:trPr>
        <w:tc>
          <w:tcPr>
            <w:tcW w:w="78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80" w:type="dxa"/>
            <w:vAlign w:val="bottom"/>
          </w:tcPr>
          <w:p>
            <w:pPr>
              <w:ind w:left="380"/>
              <w:spacing w:after="0"/>
              <w:rPr>
                <w:sz w:val="20"/>
                <w:szCs w:val="20"/>
                <w:color w:val="auto"/>
              </w:rPr>
            </w:pPr>
            <w:r>
              <w:rPr>
                <w:rFonts w:ascii="Arial" w:cs="Arial" w:eastAsia="Arial" w:hAnsi="Arial"/>
                <w:sz w:val="14"/>
                <w:szCs w:val="14"/>
                <w:color w:val="auto"/>
              </w:rPr>
              <w:t>Prepaid and other current assets</w:t>
            </w:r>
          </w:p>
        </w:tc>
        <w:tc>
          <w:tcPr>
            <w:tcW w:w="180" w:type="dxa"/>
            <w:vAlign w:val="bottom"/>
          </w:tcPr>
          <w:p>
            <w:pPr>
              <w:spacing w:after="0"/>
              <w:rPr>
                <w:sz w:val="16"/>
                <w:szCs w:val="16"/>
                <w:color w:val="auto"/>
              </w:rPr>
            </w:pPr>
          </w:p>
        </w:tc>
        <w:tc>
          <w:tcPr>
            <w:tcW w:w="1540" w:type="dxa"/>
            <w:vAlign w:val="bottom"/>
            <w:vMerge w:val="restart"/>
          </w:tcPr>
          <w:p>
            <w:pPr>
              <w:jc w:val="right"/>
              <w:ind w:right="48"/>
              <w:spacing w:after="0"/>
              <w:rPr>
                <w:sz w:val="20"/>
                <w:szCs w:val="20"/>
                <w:color w:val="auto"/>
              </w:rPr>
            </w:pPr>
            <w:r>
              <w:rPr>
                <w:rFonts w:ascii="Arial" w:cs="Arial" w:eastAsia="Arial" w:hAnsi="Arial"/>
                <w:sz w:val="14"/>
                <w:szCs w:val="14"/>
                <w:color w:val="auto"/>
              </w:rPr>
              <w:t>190,554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right"/>
              <w:ind w:right="28"/>
              <w:spacing w:after="0"/>
              <w:rPr>
                <w:sz w:val="20"/>
                <w:szCs w:val="20"/>
                <w:color w:val="auto"/>
              </w:rPr>
            </w:pPr>
            <w:r>
              <w:rPr>
                <w:rFonts w:ascii="Arial" w:cs="Arial" w:eastAsia="Arial" w:hAnsi="Arial"/>
                <w:sz w:val="14"/>
                <w:szCs w:val="14"/>
                <w:color w:val="auto"/>
              </w:rPr>
              <w:t>243,701</w:t>
            </w:r>
          </w:p>
        </w:tc>
        <w:tc>
          <w:tcPr>
            <w:tcW w:w="0" w:type="dxa"/>
            <w:vAlign w:val="bottom"/>
          </w:tcPr>
          <w:p>
            <w:pPr>
              <w:spacing w:after="0"/>
              <w:rPr>
                <w:sz w:val="1"/>
                <w:szCs w:val="1"/>
                <w:color w:val="auto"/>
              </w:rPr>
            </w:pPr>
          </w:p>
        </w:tc>
      </w:tr>
      <w:tr>
        <w:trPr>
          <w:trHeight w:val="74"/>
        </w:trPr>
        <w:tc>
          <w:tcPr>
            <w:tcW w:w="788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880" w:type="dxa"/>
            <w:vAlign w:val="bottom"/>
            <w:shd w:val="clear" w:color="auto" w:fill="CCEEFF"/>
          </w:tcPr>
          <w:p>
            <w:pPr>
              <w:ind w:left="700"/>
              <w:spacing w:after="0"/>
              <w:rPr>
                <w:sz w:val="20"/>
                <w:szCs w:val="20"/>
                <w:color w:val="auto"/>
              </w:rPr>
            </w:pPr>
            <w:r>
              <w:rPr>
                <w:rFonts w:ascii="Arial" w:cs="Arial" w:eastAsia="Arial" w:hAnsi="Arial"/>
                <w:sz w:val="14"/>
                <w:szCs w:val="14"/>
                <w:color w:val="auto"/>
              </w:rPr>
              <w:t>Total current assets</w:t>
            </w:r>
          </w:p>
        </w:tc>
        <w:tc>
          <w:tcPr>
            <w:tcW w:w="18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765,402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839,769</w:t>
            </w:r>
          </w:p>
        </w:tc>
        <w:tc>
          <w:tcPr>
            <w:tcW w:w="0" w:type="dxa"/>
            <w:vAlign w:val="bottom"/>
          </w:tcPr>
          <w:p>
            <w:pPr>
              <w:spacing w:after="0"/>
              <w:rPr>
                <w:sz w:val="1"/>
                <w:szCs w:val="1"/>
                <w:color w:val="auto"/>
              </w:rPr>
            </w:pPr>
          </w:p>
        </w:tc>
      </w:tr>
      <w:tr>
        <w:trPr>
          <w:trHeight w:val="80"/>
        </w:trPr>
        <w:tc>
          <w:tcPr>
            <w:tcW w:w="788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5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5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880" w:type="dxa"/>
            <w:vAlign w:val="bottom"/>
          </w:tcPr>
          <w:p>
            <w:pPr>
              <w:ind w:left="20"/>
              <w:spacing w:after="0"/>
              <w:rPr>
                <w:sz w:val="20"/>
                <w:szCs w:val="20"/>
                <w:color w:val="auto"/>
              </w:rPr>
            </w:pPr>
            <w:r>
              <w:rPr>
                <w:rFonts w:ascii="Arial" w:cs="Arial" w:eastAsia="Arial" w:hAnsi="Arial"/>
                <w:sz w:val="14"/>
                <w:szCs w:val="14"/>
                <w:color w:val="auto"/>
              </w:rPr>
              <w:t>Noncurrent assets:</w:t>
            </w: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7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78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Goodwill</w:t>
            </w:r>
          </w:p>
        </w:tc>
        <w:tc>
          <w:tcPr>
            <w:tcW w:w="180" w:type="dxa"/>
            <w:vAlign w:val="bottom"/>
            <w:shd w:val="clear" w:color="auto" w:fill="CCEEFF"/>
          </w:tcPr>
          <w:p>
            <w:pPr>
              <w:spacing w:after="0"/>
              <w:rPr>
                <w:sz w:val="16"/>
                <w:szCs w:val="16"/>
                <w:color w:val="auto"/>
              </w:rPr>
            </w:pPr>
          </w:p>
        </w:tc>
        <w:tc>
          <w:tcPr>
            <w:tcW w:w="15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339,948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359,045</w:t>
            </w:r>
          </w:p>
        </w:tc>
        <w:tc>
          <w:tcPr>
            <w:tcW w:w="0" w:type="dxa"/>
            <w:vAlign w:val="bottom"/>
          </w:tcPr>
          <w:p>
            <w:pPr>
              <w:spacing w:after="0"/>
              <w:rPr>
                <w:sz w:val="1"/>
                <w:szCs w:val="1"/>
                <w:color w:val="auto"/>
              </w:rPr>
            </w:pPr>
          </w:p>
        </w:tc>
      </w:tr>
      <w:tr>
        <w:trPr>
          <w:trHeight w:val="80"/>
        </w:trPr>
        <w:tc>
          <w:tcPr>
            <w:tcW w:w="78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80" w:type="dxa"/>
            <w:vAlign w:val="bottom"/>
          </w:tcPr>
          <w:p>
            <w:pPr>
              <w:ind w:left="380"/>
              <w:spacing w:after="0"/>
              <w:rPr>
                <w:sz w:val="20"/>
                <w:szCs w:val="20"/>
                <w:color w:val="auto"/>
              </w:rPr>
            </w:pPr>
            <w:r>
              <w:rPr>
                <w:rFonts w:ascii="Arial" w:cs="Arial" w:eastAsia="Arial" w:hAnsi="Arial"/>
                <w:sz w:val="14"/>
                <w:szCs w:val="14"/>
                <w:color w:val="auto"/>
              </w:rPr>
              <w:t>Deferred income taxes</w:t>
            </w:r>
          </w:p>
        </w:tc>
        <w:tc>
          <w:tcPr>
            <w:tcW w:w="180" w:type="dxa"/>
            <w:vAlign w:val="bottom"/>
          </w:tcPr>
          <w:p>
            <w:pPr>
              <w:spacing w:after="0"/>
              <w:rPr>
                <w:sz w:val="16"/>
                <w:szCs w:val="16"/>
                <w:color w:val="auto"/>
              </w:rPr>
            </w:pPr>
          </w:p>
        </w:tc>
        <w:tc>
          <w:tcPr>
            <w:tcW w:w="1540" w:type="dxa"/>
            <w:vAlign w:val="bottom"/>
            <w:vMerge w:val="restart"/>
          </w:tcPr>
          <w:p>
            <w:pPr>
              <w:jc w:val="right"/>
              <w:ind w:right="48"/>
              <w:spacing w:after="0"/>
              <w:rPr>
                <w:sz w:val="20"/>
                <w:szCs w:val="20"/>
                <w:color w:val="auto"/>
              </w:rPr>
            </w:pPr>
            <w:r>
              <w:rPr>
                <w:rFonts w:ascii="Arial" w:cs="Arial" w:eastAsia="Arial" w:hAnsi="Arial"/>
                <w:sz w:val="14"/>
                <w:szCs w:val="14"/>
                <w:color w:val="auto"/>
              </w:rPr>
              <w:t>896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right"/>
              <w:ind w:right="28"/>
              <w:spacing w:after="0"/>
              <w:rPr>
                <w:sz w:val="20"/>
                <w:szCs w:val="20"/>
                <w:color w:val="auto"/>
              </w:rPr>
            </w:pPr>
            <w:r>
              <w:rPr>
                <w:rFonts w:ascii="Arial" w:cs="Arial" w:eastAsia="Arial" w:hAnsi="Arial"/>
                <w:sz w:val="14"/>
                <w:szCs w:val="14"/>
                <w:color w:val="auto"/>
              </w:rPr>
              <w:t>1,264</w:t>
            </w:r>
          </w:p>
        </w:tc>
        <w:tc>
          <w:tcPr>
            <w:tcW w:w="0" w:type="dxa"/>
            <w:vAlign w:val="bottom"/>
          </w:tcPr>
          <w:p>
            <w:pPr>
              <w:spacing w:after="0"/>
              <w:rPr>
                <w:sz w:val="1"/>
                <w:szCs w:val="1"/>
                <w:color w:val="auto"/>
              </w:rPr>
            </w:pPr>
          </w:p>
        </w:tc>
      </w:tr>
      <w:tr>
        <w:trPr>
          <w:trHeight w:val="74"/>
        </w:trPr>
        <w:tc>
          <w:tcPr>
            <w:tcW w:w="78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Deferred charges and other assets</w:t>
            </w:r>
          </w:p>
        </w:tc>
        <w:tc>
          <w:tcPr>
            <w:tcW w:w="180" w:type="dxa"/>
            <w:vAlign w:val="bottom"/>
            <w:shd w:val="clear" w:color="auto" w:fill="CCEEFF"/>
          </w:tcPr>
          <w:p>
            <w:pPr>
              <w:spacing w:after="0"/>
              <w:rPr>
                <w:sz w:val="17"/>
                <w:szCs w:val="17"/>
                <w:color w:val="auto"/>
              </w:rPr>
            </w:pPr>
          </w:p>
        </w:tc>
        <w:tc>
          <w:tcPr>
            <w:tcW w:w="15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429,716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440,862</w:t>
            </w:r>
          </w:p>
        </w:tc>
        <w:tc>
          <w:tcPr>
            <w:tcW w:w="0" w:type="dxa"/>
            <w:vAlign w:val="bottom"/>
          </w:tcPr>
          <w:p>
            <w:pPr>
              <w:spacing w:after="0"/>
              <w:rPr>
                <w:sz w:val="1"/>
                <w:szCs w:val="1"/>
                <w:color w:val="auto"/>
              </w:rPr>
            </w:pPr>
          </w:p>
        </w:tc>
      </w:tr>
      <w:tr>
        <w:trPr>
          <w:trHeight w:val="80"/>
        </w:trPr>
        <w:tc>
          <w:tcPr>
            <w:tcW w:w="788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5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5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880" w:type="dxa"/>
            <w:vAlign w:val="bottom"/>
          </w:tcPr>
          <w:p>
            <w:pPr>
              <w:ind w:left="700"/>
              <w:spacing w:after="0"/>
              <w:rPr>
                <w:sz w:val="20"/>
                <w:szCs w:val="20"/>
                <w:color w:val="auto"/>
              </w:rPr>
            </w:pPr>
            <w:r>
              <w:rPr>
                <w:rFonts w:ascii="Arial" w:cs="Arial" w:eastAsia="Arial" w:hAnsi="Arial"/>
                <w:sz w:val="14"/>
                <w:szCs w:val="14"/>
                <w:color w:val="auto"/>
              </w:rPr>
              <w:t>Total noncurrent assets</w:t>
            </w:r>
          </w:p>
        </w:tc>
        <w:tc>
          <w:tcPr>
            <w:tcW w:w="180" w:type="dxa"/>
            <w:vAlign w:val="bottom"/>
          </w:tcPr>
          <w:p>
            <w:pPr>
              <w:spacing w:after="0"/>
              <w:rPr>
                <w:sz w:val="14"/>
                <w:szCs w:val="14"/>
                <w:color w:val="auto"/>
              </w:rPr>
            </w:pPr>
          </w:p>
        </w:tc>
        <w:tc>
          <w:tcPr>
            <w:tcW w:w="1540" w:type="dxa"/>
            <w:vAlign w:val="bottom"/>
            <w:vMerge w:val="restart"/>
          </w:tcPr>
          <w:p>
            <w:pPr>
              <w:jc w:val="right"/>
              <w:ind w:right="48"/>
              <w:spacing w:after="0"/>
              <w:rPr>
                <w:sz w:val="20"/>
                <w:szCs w:val="20"/>
                <w:color w:val="auto"/>
              </w:rPr>
            </w:pPr>
            <w:r>
              <w:rPr>
                <w:rFonts w:ascii="Arial" w:cs="Arial" w:eastAsia="Arial" w:hAnsi="Arial"/>
                <w:sz w:val="14"/>
                <w:szCs w:val="14"/>
                <w:color w:val="auto"/>
              </w:rPr>
              <w:t>770,560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vMerge w:val="restart"/>
          </w:tcPr>
          <w:p>
            <w:pPr>
              <w:jc w:val="right"/>
              <w:ind w:right="28"/>
              <w:spacing w:after="0"/>
              <w:rPr>
                <w:sz w:val="20"/>
                <w:szCs w:val="20"/>
                <w:color w:val="auto"/>
              </w:rPr>
            </w:pPr>
            <w:r>
              <w:rPr>
                <w:rFonts w:ascii="Arial" w:cs="Arial" w:eastAsia="Arial" w:hAnsi="Arial"/>
                <w:sz w:val="14"/>
                <w:szCs w:val="14"/>
                <w:color w:val="auto"/>
              </w:rPr>
              <w:t>801,171</w:t>
            </w:r>
          </w:p>
        </w:tc>
        <w:tc>
          <w:tcPr>
            <w:tcW w:w="0" w:type="dxa"/>
            <w:vAlign w:val="bottom"/>
          </w:tcPr>
          <w:p>
            <w:pPr>
              <w:spacing w:after="0"/>
              <w:rPr>
                <w:sz w:val="1"/>
                <w:szCs w:val="1"/>
                <w:color w:val="auto"/>
              </w:rPr>
            </w:pPr>
          </w:p>
        </w:tc>
      </w:tr>
      <w:tr>
        <w:trPr>
          <w:trHeight w:val="74"/>
        </w:trPr>
        <w:tc>
          <w:tcPr>
            <w:tcW w:w="788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7,840,211</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7,357,729</w:t>
            </w:r>
          </w:p>
        </w:tc>
        <w:tc>
          <w:tcPr>
            <w:tcW w:w="0" w:type="dxa"/>
            <w:vAlign w:val="bottom"/>
          </w:tcPr>
          <w:p>
            <w:pPr>
              <w:spacing w:after="0"/>
              <w:rPr>
                <w:sz w:val="1"/>
                <w:szCs w:val="1"/>
                <w:color w:val="auto"/>
              </w:rPr>
            </w:pPr>
          </w:p>
        </w:tc>
      </w:tr>
      <w:tr>
        <w:trPr>
          <w:trHeight w:val="60"/>
        </w:trPr>
        <w:tc>
          <w:tcPr>
            <w:tcW w:w="788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auto"/>
            </w:tcBorders>
            <w:vMerge w:val="continue"/>
            <w:shd w:val="clear" w:color="auto" w:fill="CCEEFF"/>
          </w:tcPr>
          <w:p>
            <w:pPr>
              <w:spacing w:after="0"/>
              <w:rPr>
                <w:sz w:val="5"/>
                <w:szCs w:val="5"/>
                <w:color w:val="auto"/>
              </w:rPr>
            </w:pPr>
          </w:p>
        </w:tc>
        <w:tc>
          <w:tcPr>
            <w:tcW w:w="15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auto"/>
            </w:tcBorders>
            <w:vMerge w:val="continue"/>
            <w:shd w:val="clear" w:color="auto" w:fill="CCEEFF"/>
          </w:tcPr>
          <w:p>
            <w:pPr>
              <w:spacing w:after="0"/>
              <w:rPr>
                <w:sz w:val="5"/>
                <w:szCs w:val="5"/>
                <w:color w:val="auto"/>
              </w:rPr>
            </w:pPr>
          </w:p>
        </w:tc>
        <w:tc>
          <w:tcPr>
            <w:tcW w:w="15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880" w:type="dxa"/>
            <w:vAlign w:val="bottom"/>
            <w:vMerge w:val="restart"/>
          </w:tcPr>
          <w:p>
            <w:pPr>
              <w:ind w:left="2700"/>
              <w:spacing w:after="0"/>
              <w:rPr>
                <w:sz w:val="20"/>
                <w:szCs w:val="20"/>
                <w:color w:val="auto"/>
              </w:rPr>
            </w:pPr>
            <w:r>
              <w:rPr>
                <w:rFonts w:ascii="Arial" w:cs="Arial" w:eastAsia="Arial" w:hAnsi="Arial"/>
                <w:sz w:val="14"/>
                <w:szCs w:val="14"/>
                <w:color w:val="auto"/>
              </w:rPr>
              <w:t>CAPITALIZATION AND LIABILITIES</w:t>
            </w: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8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7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Capitalization:</w:t>
            </w:r>
          </w:p>
        </w:tc>
        <w:tc>
          <w:tcPr>
            <w:tcW w:w="1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8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7880" w:type="dxa"/>
            <w:vAlign w:val="bottom"/>
          </w:tcPr>
          <w:p>
            <w:pPr>
              <w:ind w:left="380"/>
              <w:spacing w:after="0"/>
              <w:rPr>
                <w:sz w:val="20"/>
                <w:szCs w:val="20"/>
                <w:color w:val="auto"/>
              </w:rPr>
            </w:pPr>
            <w:r>
              <w:rPr>
                <w:rFonts w:ascii="Arial" w:cs="Arial" w:eastAsia="Arial" w:hAnsi="Arial"/>
                <w:sz w:val="14"/>
                <w:szCs w:val="14"/>
                <w:color w:val="auto"/>
              </w:rPr>
              <w:t>Common stock, $1 par (authorized - 120,000,000 shares; issued and outstanding - 54,624,090 and 53,026,848 shares)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56,254</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54,656</w:t>
            </w:r>
          </w:p>
        </w:tc>
        <w:tc>
          <w:tcPr>
            <w:tcW w:w="0" w:type="dxa"/>
            <w:vAlign w:val="bottom"/>
          </w:tcPr>
          <w:p>
            <w:pPr>
              <w:spacing w:after="0"/>
              <w:rPr>
                <w:sz w:val="1"/>
                <w:szCs w:val="1"/>
                <w:color w:val="auto"/>
              </w:rPr>
            </w:pPr>
          </w:p>
        </w:tc>
      </w:tr>
      <w:tr>
        <w:trPr>
          <w:trHeight w:val="276"/>
        </w:trPr>
        <w:tc>
          <w:tcPr>
            <w:tcW w:w="78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Additional paid-in capital</w:t>
            </w:r>
          </w:p>
        </w:tc>
        <w:tc>
          <w:tcPr>
            <w:tcW w:w="1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1,437,733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1,305,769</w:t>
            </w:r>
          </w:p>
        </w:tc>
        <w:tc>
          <w:tcPr>
            <w:tcW w:w="0" w:type="dxa"/>
            <w:vAlign w:val="bottom"/>
          </w:tcPr>
          <w:p>
            <w:pPr>
              <w:spacing w:after="0"/>
              <w:rPr>
                <w:sz w:val="1"/>
                <w:szCs w:val="1"/>
                <w:color w:val="auto"/>
              </w:rPr>
            </w:pPr>
          </w:p>
        </w:tc>
      </w:tr>
      <w:tr>
        <w:trPr>
          <w:trHeight w:val="191"/>
        </w:trPr>
        <w:tc>
          <w:tcPr>
            <w:tcW w:w="7880" w:type="dxa"/>
            <w:vAlign w:val="bottom"/>
          </w:tcPr>
          <w:p>
            <w:pPr>
              <w:ind w:left="380"/>
              <w:spacing w:after="0"/>
              <w:rPr>
                <w:sz w:val="20"/>
                <w:szCs w:val="20"/>
                <w:color w:val="auto"/>
              </w:rPr>
            </w:pPr>
            <w:r>
              <w:rPr>
                <w:rFonts w:ascii="Arial" w:cs="Arial" w:eastAsia="Arial" w:hAnsi="Arial"/>
                <w:sz w:val="14"/>
                <w:szCs w:val="14"/>
                <w:color w:val="auto"/>
              </w:rPr>
              <w:t>Accumulated other comprehensive income (loss), net</w:t>
            </w:r>
          </w:p>
        </w:tc>
        <w:tc>
          <w:tcPr>
            <w:tcW w:w="180" w:type="dxa"/>
            <w:vAlign w:val="bottom"/>
          </w:tcPr>
          <w:p>
            <w:pPr>
              <w:spacing w:after="0"/>
              <w:rPr>
                <w:sz w:val="16"/>
                <w:szCs w:val="16"/>
                <w:color w:val="auto"/>
              </w:rPr>
            </w:pPr>
          </w:p>
        </w:tc>
        <w:tc>
          <w:tcPr>
            <w:tcW w:w="1540" w:type="dxa"/>
            <w:vAlign w:val="bottom"/>
            <w:vMerge w:val="restart"/>
          </w:tcPr>
          <w:p>
            <w:pPr>
              <w:jc w:val="right"/>
              <w:spacing w:after="0"/>
              <w:rPr>
                <w:sz w:val="20"/>
                <w:szCs w:val="20"/>
                <w:color w:val="auto"/>
              </w:rPr>
            </w:pPr>
            <w:r>
              <w:rPr>
                <w:rFonts w:ascii="Arial" w:cs="Arial" w:eastAsia="Arial" w:hAnsi="Arial"/>
                <w:sz w:val="14"/>
                <w:szCs w:val="14"/>
                <w:color w:val="auto"/>
              </w:rPr>
              <w:t>(47,775)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right"/>
              <w:spacing w:after="0"/>
              <w:rPr>
                <w:sz w:val="20"/>
                <w:szCs w:val="20"/>
                <w:color w:val="auto"/>
              </w:rPr>
            </w:pPr>
            <w:r>
              <w:rPr>
                <w:rFonts w:ascii="Arial" w:cs="Arial" w:eastAsia="Arial" w:hAnsi="Arial"/>
                <w:sz w:val="14"/>
                <w:szCs w:val="14"/>
                <w:color w:val="auto"/>
              </w:rPr>
              <w:t>(52,668)</w:t>
            </w:r>
          </w:p>
        </w:tc>
        <w:tc>
          <w:tcPr>
            <w:tcW w:w="0" w:type="dxa"/>
            <w:vAlign w:val="bottom"/>
          </w:tcPr>
          <w:p>
            <w:pPr>
              <w:spacing w:after="0"/>
              <w:rPr>
                <w:sz w:val="1"/>
                <w:szCs w:val="1"/>
                <w:color w:val="auto"/>
              </w:rPr>
            </w:pPr>
          </w:p>
        </w:tc>
      </w:tr>
      <w:tr>
        <w:trPr>
          <w:trHeight w:val="74"/>
        </w:trPr>
        <w:tc>
          <w:tcPr>
            <w:tcW w:w="78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Retained earnings</w:t>
            </w:r>
          </w:p>
        </w:tc>
        <w:tc>
          <w:tcPr>
            <w:tcW w:w="180" w:type="dxa"/>
            <w:vAlign w:val="bottom"/>
            <w:shd w:val="clear" w:color="auto" w:fill="CCEEFF"/>
          </w:tcPr>
          <w:p>
            <w:pPr>
              <w:spacing w:after="0"/>
              <w:rPr>
                <w:sz w:val="17"/>
                <w:szCs w:val="17"/>
                <w:color w:val="auto"/>
              </w:rPr>
            </w:pPr>
          </w:p>
        </w:tc>
        <w:tc>
          <w:tcPr>
            <w:tcW w:w="15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977,498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944,285</w:t>
            </w:r>
          </w:p>
        </w:tc>
        <w:tc>
          <w:tcPr>
            <w:tcW w:w="0" w:type="dxa"/>
            <w:vAlign w:val="bottom"/>
          </w:tcPr>
          <w:p>
            <w:pPr>
              <w:spacing w:after="0"/>
              <w:rPr>
                <w:sz w:val="1"/>
                <w:szCs w:val="1"/>
                <w:color w:val="auto"/>
              </w:rPr>
            </w:pPr>
          </w:p>
        </w:tc>
      </w:tr>
      <w:tr>
        <w:trPr>
          <w:trHeight w:val="80"/>
        </w:trPr>
        <w:tc>
          <w:tcPr>
            <w:tcW w:w="788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5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5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880" w:type="dxa"/>
            <w:vAlign w:val="bottom"/>
          </w:tcPr>
          <w:p>
            <w:pPr>
              <w:ind w:left="700"/>
              <w:spacing w:after="0"/>
              <w:rPr>
                <w:sz w:val="20"/>
                <w:szCs w:val="20"/>
                <w:color w:val="auto"/>
              </w:rPr>
            </w:pPr>
            <w:r>
              <w:rPr>
                <w:rFonts w:ascii="Arial" w:cs="Arial" w:eastAsia="Arial" w:hAnsi="Arial"/>
                <w:sz w:val="14"/>
                <w:szCs w:val="14"/>
                <w:color w:val="auto"/>
              </w:rPr>
              <w:t>Total Southwest Gas Holdings, Inc. equity</w:t>
            </w:r>
          </w:p>
        </w:tc>
        <w:tc>
          <w:tcPr>
            <w:tcW w:w="180" w:type="dxa"/>
            <w:vAlign w:val="bottom"/>
          </w:tcPr>
          <w:p>
            <w:pPr>
              <w:spacing w:after="0"/>
              <w:rPr>
                <w:sz w:val="14"/>
                <w:szCs w:val="14"/>
                <w:color w:val="auto"/>
              </w:rPr>
            </w:pPr>
          </w:p>
        </w:tc>
        <w:tc>
          <w:tcPr>
            <w:tcW w:w="1540" w:type="dxa"/>
            <w:vAlign w:val="bottom"/>
            <w:vMerge w:val="restart"/>
          </w:tcPr>
          <w:p>
            <w:pPr>
              <w:jc w:val="right"/>
              <w:ind w:right="48"/>
              <w:spacing w:after="0"/>
              <w:rPr>
                <w:sz w:val="20"/>
                <w:szCs w:val="20"/>
                <w:color w:val="auto"/>
              </w:rPr>
            </w:pPr>
            <w:r>
              <w:rPr>
                <w:rFonts w:ascii="Arial" w:cs="Arial" w:eastAsia="Arial" w:hAnsi="Arial"/>
                <w:sz w:val="14"/>
                <w:szCs w:val="14"/>
                <w:color w:val="auto"/>
              </w:rPr>
              <w:t>2,423,710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vMerge w:val="restart"/>
          </w:tcPr>
          <w:p>
            <w:pPr>
              <w:jc w:val="right"/>
              <w:ind w:right="28"/>
              <w:spacing w:after="0"/>
              <w:rPr>
                <w:sz w:val="20"/>
                <w:szCs w:val="20"/>
                <w:color w:val="auto"/>
              </w:rPr>
            </w:pPr>
            <w:r>
              <w:rPr>
                <w:rFonts w:ascii="Arial" w:cs="Arial" w:eastAsia="Arial" w:hAnsi="Arial"/>
                <w:sz w:val="14"/>
                <w:szCs w:val="14"/>
                <w:color w:val="auto"/>
              </w:rPr>
              <w:t>2,252,042</w:t>
            </w:r>
          </w:p>
        </w:tc>
        <w:tc>
          <w:tcPr>
            <w:tcW w:w="0" w:type="dxa"/>
            <w:vAlign w:val="bottom"/>
          </w:tcPr>
          <w:p>
            <w:pPr>
              <w:spacing w:after="0"/>
              <w:rPr>
                <w:sz w:val="1"/>
                <w:szCs w:val="1"/>
                <w:color w:val="auto"/>
              </w:rPr>
            </w:pPr>
          </w:p>
        </w:tc>
      </w:tr>
      <w:tr>
        <w:trPr>
          <w:trHeight w:val="74"/>
        </w:trPr>
        <w:tc>
          <w:tcPr>
            <w:tcW w:w="78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Noncontrolling interest</w:t>
            </w:r>
          </w:p>
        </w:tc>
        <w:tc>
          <w:tcPr>
            <w:tcW w:w="180" w:type="dxa"/>
            <w:vAlign w:val="bottom"/>
            <w:shd w:val="clear" w:color="auto" w:fill="CCEEFF"/>
          </w:tcPr>
          <w:p>
            <w:pPr>
              <w:spacing w:after="0"/>
              <w:rPr>
                <w:sz w:val="17"/>
                <w:szCs w:val="17"/>
                <w:color w:val="auto"/>
              </w:rPr>
            </w:pPr>
          </w:p>
        </w:tc>
        <w:tc>
          <w:tcPr>
            <w:tcW w:w="16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(452)</w:t>
            </w:r>
          </w:p>
        </w:tc>
        <w:tc>
          <w:tcPr>
            <w:tcW w:w="0" w:type="dxa"/>
            <w:vAlign w:val="bottom"/>
          </w:tcPr>
          <w:p>
            <w:pPr>
              <w:spacing w:after="0"/>
              <w:rPr>
                <w:sz w:val="1"/>
                <w:szCs w:val="1"/>
                <w:color w:val="auto"/>
              </w:rPr>
            </w:pPr>
          </w:p>
        </w:tc>
      </w:tr>
      <w:tr>
        <w:trPr>
          <w:trHeight w:val="80"/>
        </w:trPr>
        <w:tc>
          <w:tcPr>
            <w:tcW w:w="78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640" w:type="dxa"/>
            <w:vAlign w:val="bottom"/>
            <w:gridSpan w:val="2"/>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880" w:type="dxa"/>
            <w:vAlign w:val="bottom"/>
          </w:tcPr>
          <w:p>
            <w:pPr>
              <w:ind w:left="700"/>
              <w:spacing w:after="0"/>
              <w:rPr>
                <w:sz w:val="20"/>
                <w:szCs w:val="20"/>
                <w:color w:val="auto"/>
              </w:rPr>
            </w:pPr>
            <w:r>
              <w:rPr>
                <w:rFonts w:ascii="Arial" w:cs="Arial" w:eastAsia="Arial" w:hAnsi="Arial"/>
                <w:sz w:val="14"/>
                <w:szCs w:val="14"/>
                <w:color w:val="auto"/>
              </w:rPr>
              <w:t>Total equity</w:t>
            </w:r>
          </w:p>
        </w:tc>
        <w:tc>
          <w:tcPr>
            <w:tcW w:w="18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2,423,710</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2,251,590</w:t>
            </w:r>
          </w:p>
        </w:tc>
        <w:tc>
          <w:tcPr>
            <w:tcW w:w="0" w:type="dxa"/>
            <w:vAlign w:val="bottom"/>
          </w:tcPr>
          <w:p>
            <w:pPr>
              <w:spacing w:after="0"/>
              <w:rPr>
                <w:sz w:val="1"/>
                <w:szCs w:val="1"/>
                <w:color w:val="auto"/>
              </w:rPr>
            </w:pPr>
          </w:p>
        </w:tc>
      </w:tr>
      <w:tr>
        <w:trPr>
          <w:trHeight w:val="74"/>
        </w:trPr>
        <w:tc>
          <w:tcPr>
            <w:tcW w:w="78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Redeemable noncontrolling interest</w:t>
            </w:r>
          </w:p>
        </w:tc>
        <w:tc>
          <w:tcPr>
            <w:tcW w:w="180" w:type="dxa"/>
            <w:vAlign w:val="bottom"/>
            <w:shd w:val="clear" w:color="auto" w:fill="CCEEFF"/>
          </w:tcPr>
          <w:p>
            <w:pPr>
              <w:spacing w:after="0"/>
              <w:rPr>
                <w:sz w:val="17"/>
                <w:szCs w:val="17"/>
                <w:color w:val="auto"/>
              </w:rPr>
            </w:pPr>
          </w:p>
        </w:tc>
        <w:tc>
          <w:tcPr>
            <w:tcW w:w="15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84,354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81,831</w:t>
            </w:r>
          </w:p>
        </w:tc>
        <w:tc>
          <w:tcPr>
            <w:tcW w:w="0" w:type="dxa"/>
            <w:vAlign w:val="bottom"/>
          </w:tcPr>
          <w:p>
            <w:pPr>
              <w:spacing w:after="0"/>
              <w:rPr>
                <w:sz w:val="1"/>
                <w:szCs w:val="1"/>
                <w:color w:val="auto"/>
              </w:rPr>
            </w:pPr>
          </w:p>
        </w:tc>
      </w:tr>
      <w:tr>
        <w:trPr>
          <w:trHeight w:val="80"/>
        </w:trPr>
        <w:tc>
          <w:tcPr>
            <w:tcW w:w="78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80" w:type="dxa"/>
            <w:vAlign w:val="bottom"/>
          </w:tcPr>
          <w:p>
            <w:pPr>
              <w:ind w:left="380"/>
              <w:spacing w:after="0"/>
              <w:rPr>
                <w:sz w:val="20"/>
                <w:szCs w:val="20"/>
                <w:color w:val="auto"/>
              </w:rPr>
            </w:pPr>
            <w:r>
              <w:rPr>
                <w:rFonts w:ascii="Arial" w:cs="Arial" w:eastAsia="Arial" w:hAnsi="Arial"/>
                <w:sz w:val="14"/>
                <w:szCs w:val="14"/>
                <w:color w:val="auto"/>
              </w:rPr>
              <w:t>Long-term debt, less current maturities</w:t>
            </w:r>
          </w:p>
        </w:tc>
        <w:tc>
          <w:tcPr>
            <w:tcW w:w="180" w:type="dxa"/>
            <w:vAlign w:val="bottom"/>
          </w:tcPr>
          <w:p>
            <w:pPr>
              <w:spacing w:after="0"/>
              <w:rPr>
                <w:sz w:val="16"/>
                <w:szCs w:val="16"/>
                <w:color w:val="auto"/>
              </w:rPr>
            </w:pPr>
          </w:p>
        </w:tc>
        <w:tc>
          <w:tcPr>
            <w:tcW w:w="1540" w:type="dxa"/>
            <w:vAlign w:val="bottom"/>
            <w:vMerge w:val="restart"/>
          </w:tcPr>
          <w:p>
            <w:pPr>
              <w:jc w:val="right"/>
              <w:ind w:right="48"/>
              <w:spacing w:after="0"/>
              <w:rPr>
                <w:sz w:val="20"/>
                <w:szCs w:val="20"/>
                <w:color w:val="auto"/>
              </w:rPr>
            </w:pPr>
            <w:r>
              <w:rPr>
                <w:rFonts w:ascii="Arial" w:cs="Arial" w:eastAsia="Arial" w:hAnsi="Arial"/>
                <w:sz w:val="14"/>
                <w:szCs w:val="14"/>
                <w:color w:val="auto"/>
              </w:rPr>
              <w:t>2,462,116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right"/>
              <w:ind w:right="28"/>
              <w:spacing w:after="0"/>
              <w:rPr>
                <w:sz w:val="20"/>
                <w:szCs w:val="20"/>
                <w:color w:val="auto"/>
              </w:rPr>
            </w:pPr>
            <w:r>
              <w:rPr>
                <w:rFonts w:ascii="Arial" w:cs="Arial" w:eastAsia="Arial" w:hAnsi="Arial"/>
                <w:sz w:val="14"/>
                <w:szCs w:val="14"/>
                <w:color w:val="auto"/>
              </w:rPr>
              <w:t>2,107,258</w:t>
            </w:r>
          </w:p>
        </w:tc>
        <w:tc>
          <w:tcPr>
            <w:tcW w:w="0" w:type="dxa"/>
            <w:vAlign w:val="bottom"/>
          </w:tcPr>
          <w:p>
            <w:pPr>
              <w:spacing w:after="0"/>
              <w:rPr>
                <w:sz w:val="1"/>
                <w:szCs w:val="1"/>
                <w:color w:val="auto"/>
              </w:rPr>
            </w:pPr>
          </w:p>
        </w:tc>
      </w:tr>
      <w:tr>
        <w:trPr>
          <w:trHeight w:val="74"/>
        </w:trPr>
        <w:tc>
          <w:tcPr>
            <w:tcW w:w="788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880" w:type="dxa"/>
            <w:vAlign w:val="bottom"/>
            <w:shd w:val="clear" w:color="auto" w:fill="CCEEFF"/>
          </w:tcPr>
          <w:p>
            <w:pPr>
              <w:ind w:left="700"/>
              <w:spacing w:after="0"/>
              <w:rPr>
                <w:sz w:val="20"/>
                <w:szCs w:val="20"/>
                <w:color w:val="auto"/>
              </w:rPr>
            </w:pPr>
            <w:r>
              <w:rPr>
                <w:rFonts w:ascii="Arial" w:cs="Arial" w:eastAsia="Arial" w:hAnsi="Arial"/>
                <w:sz w:val="14"/>
                <w:szCs w:val="14"/>
                <w:color w:val="auto"/>
              </w:rPr>
              <w:t>Total capitalization</w:t>
            </w:r>
          </w:p>
        </w:tc>
        <w:tc>
          <w:tcPr>
            <w:tcW w:w="18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4,970,180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4,440,679</w:t>
            </w:r>
          </w:p>
        </w:tc>
        <w:tc>
          <w:tcPr>
            <w:tcW w:w="0" w:type="dxa"/>
            <w:vAlign w:val="bottom"/>
          </w:tcPr>
          <w:p>
            <w:pPr>
              <w:spacing w:after="0"/>
              <w:rPr>
                <w:sz w:val="1"/>
                <w:szCs w:val="1"/>
                <w:color w:val="auto"/>
              </w:rPr>
            </w:pPr>
          </w:p>
        </w:tc>
      </w:tr>
      <w:tr>
        <w:trPr>
          <w:trHeight w:val="80"/>
        </w:trPr>
        <w:tc>
          <w:tcPr>
            <w:tcW w:w="788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5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5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8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7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78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Current maturities of long-term debt</w:t>
            </w:r>
          </w:p>
        </w:tc>
        <w:tc>
          <w:tcPr>
            <w:tcW w:w="180" w:type="dxa"/>
            <w:vAlign w:val="bottom"/>
            <w:shd w:val="clear" w:color="auto" w:fill="CCEEFF"/>
          </w:tcPr>
          <w:p>
            <w:pPr>
              <w:spacing w:after="0"/>
              <w:rPr>
                <w:sz w:val="16"/>
                <w:szCs w:val="16"/>
                <w:color w:val="auto"/>
              </w:rPr>
            </w:pPr>
          </w:p>
        </w:tc>
        <w:tc>
          <w:tcPr>
            <w:tcW w:w="15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38,165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33,060</w:t>
            </w:r>
          </w:p>
        </w:tc>
        <w:tc>
          <w:tcPr>
            <w:tcW w:w="0" w:type="dxa"/>
            <w:vAlign w:val="bottom"/>
          </w:tcPr>
          <w:p>
            <w:pPr>
              <w:spacing w:after="0"/>
              <w:rPr>
                <w:sz w:val="1"/>
                <w:szCs w:val="1"/>
                <w:color w:val="auto"/>
              </w:rPr>
            </w:pPr>
          </w:p>
        </w:tc>
      </w:tr>
      <w:tr>
        <w:trPr>
          <w:trHeight w:val="80"/>
        </w:trPr>
        <w:tc>
          <w:tcPr>
            <w:tcW w:w="78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80" w:type="dxa"/>
            <w:vAlign w:val="bottom"/>
          </w:tcPr>
          <w:p>
            <w:pPr>
              <w:ind w:left="380"/>
              <w:spacing w:after="0"/>
              <w:rPr>
                <w:sz w:val="20"/>
                <w:szCs w:val="20"/>
                <w:color w:val="auto"/>
              </w:rPr>
            </w:pPr>
            <w:r>
              <w:rPr>
                <w:rFonts w:ascii="Arial" w:cs="Arial" w:eastAsia="Arial" w:hAnsi="Arial"/>
                <w:sz w:val="14"/>
                <w:szCs w:val="14"/>
                <w:color w:val="auto"/>
              </w:rPr>
              <w:t>Short-term debt</w:t>
            </w:r>
          </w:p>
        </w:tc>
        <w:tc>
          <w:tcPr>
            <w:tcW w:w="180" w:type="dxa"/>
            <w:vAlign w:val="bottom"/>
          </w:tcPr>
          <w:p>
            <w:pPr>
              <w:spacing w:after="0"/>
              <w:rPr>
                <w:sz w:val="16"/>
                <w:szCs w:val="16"/>
                <w:color w:val="auto"/>
              </w:rPr>
            </w:pPr>
          </w:p>
        </w:tc>
        <w:tc>
          <w:tcPr>
            <w:tcW w:w="1540" w:type="dxa"/>
            <w:vAlign w:val="bottom"/>
            <w:vMerge w:val="restart"/>
          </w:tcPr>
          <w:p>
            <w:pPr>
              <w:jc w:val="right"/>
              <w:ind w:right="48"/>
              <w:spacing w:after="0"/>
              <w:rPr>
                <w:sz w:val="20"/>
                <w:szCs w:val="20"/>
                <w:color w:val="auto"/>
              </w:rPr>
            </w:pPr>
            <w:r>
              <w:rPr>
                <w:rFonts w:ascii="Arial" w:cs="Arial" w:eastAsia="Arial" w:hAnsi="Arial"/>
                <w:sz w:val="14"/>
                <w:szCs w:val="14"/>
                <w:color w:val="auto"/>
              </w:rPr>
              <w:t>30,000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right"/>
              <w:ind w:right="28"/>
              <w:spacing w:after="0"/>
              <w:rPr>
                <w:sz w:val="20"/>
                <w:szCs w:val="20"/>
                <w:color w:val="auto"/>
              </w:rPr>
            </w:pPr>
            <w:r>
              <w:rPr>
                <w:rFonts w:ascii="Arial" w:cs="Arial" w:eastAsia="Arial" w:hAnsi="Arial"/>
                <w:sz w:val="14"/>
                <w:szCs w:val="14"/>
                <w:color w:val="auto"/>
              </w:rPr>
              <w:t>152,000</w:t>
            </w:r>
          </w:p>
        </w:tc>
        <w:tc>
          <w:tcPr>
            <w:tcW w:w="0" w:type="dxa"/>
            <w:vAlign w:val="bottom"/>
          </w:tcPr>
          <w:p>
            <w:pPr>
              <w:spacing w:after="0"/>
              <w:rPr>
                <w:sz w:val="1"/>
                <w:szCs w:val="1"/>
                <w:color w:val="auto"/>
              </w:rPr>
            </w:pPr>
          </w:p>
        </w:tc>
      </w:tr>
      <w:tr>
        <w:trPr>
          <w:trHeight w:val="74"/>
        </w:trPr>
        <w:tc>
          <w:tcPr>
            <w:tcW w:w="78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payable</w:t>
            </w:r>
          </w:p>
        </w:tc>
        <w:tc>
          <w:tcPr>
            <w:tcW w:w="180" w:type="dxa"/>
            <w:vAlign w:val="bottom"/>
            <w:shd w:val="clear" w:color="auto" w:fill="CCEEFF"/>
          </w:tcPr>
          <w:p>
            <w:pPr>
              <w:spacing w:after="0"/>
              <w:rPr>
                <w:sz w:val="17"/>
                <w:szCs w:val="17"/>
                <w:color w:val="auto"/>
              </w:rPr>
            </w:pPr>
          </w:p>
        </w:tc>
        <w:tc>
          <w:tcPr>
            <w:tcW w:w="15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188,896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248,993</w:t>
            </w:r>
          </w:p>
        </w:tc>
        <w:tc>
          <w:tcPr>
            <w:tcW w:w="0" w:type="dxa"/>
            <w:vAlign w:val="bottom"/>
          </w:tcPr>
          <w:p>
            <w:pPr>
              <w:spacing w:after="0"/>
              <w:rPr>
                <w:sz w:val="1"/>
                <w:szCs w:val="1"/>
                <w:color w:val="auto"/>
              </w:rPr>
            </w:pPr>
          </w:p>
        </w:tc>
      </w:tr>
      <w:tr>
        <w:trPr>
          <w:trHeight w:val="80"/>
        </w:trPr>
        <w:tc>
          <w:tcPr>
            <w:tcW w:w="78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80" w:type="dxa"/>
            <w:vAlign w:val="bottom"/>
          </w:tcPr>
          <w:p>
            <w:pPr>
              <w:ind w:left="380"/>
              <w:spacing w:after="0"/>
              <w:rPr>
                <w:sz w:val="20"/>
                <w:szCs w:val="20"/>
                <w:color w:val="auto"/>
              </w:rPr>
            </w:pPr>
            <w:r>
              <w:rPr>
                <w:rFonts w:ascii="Arial" w:cs="Arial" w:eastAsia="Arial" w:hAnsi="Arial"/>
                <w:sz w:val="14"/>
                <w:szCs w:val="14"/>
                <w:color w:val="auto"/>
              </w:rPr>
              <w:t>Customer deposits</w:t>
            </w:r>
          </w:p>
        </w:tc>
        <w:tc>
          <w:tcPr>
            <w:tcW w:w="180" w:type="dxa"/>
            <w:vAlign w:val="bottom"/>
          </w:tcPr>
          <w:p>
            <w:pPr>
              <w:spacing w:after="0"/>
              <w:rPr>
                <w:sz w:val="16"/>
                <w:szCs w:val="16"/>
                <w:color w:val="auto"/>
              </w:rPr>
            </w:pPr>
          </w:p>
        </w:tc>
        <w:tc>
          <w:tcPr>
            <w:tcW w:w="1540" w:type="dxa"/>
            <w:vAlign w:val="bottom"/>
            <w:vMerge w:val="restart"/>
          </w:tcPr>
          <w:p>
            <w:pPr>
              <w:jc w:val="right"/>
              <w:ind w:right="48"/>
              <w:spacing w:after="0"/>
              <w:rPr>
                <w:sz w:val="20"/>
                <w:szCs w:val="20"/>
                <w:color w:val="auto"/>
              </w:rPr>
            </w:pPr>
            <w:r>
              <w:rPr>
                <w:rFonts w:ascii="Arial" w:cs="Arial" w:eastAsia="Arial" w:hAnsi="Arial"/>
                <w:sz w:val="14"/>
                <w:szCs w:val="14"/>
                <w:color w:val="auto"/>
              </w:rPr>
              <w:t>68,897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right"/>
              <w:ind w:right="28"/>
              <w:spacing w:after="0"/>
              <w:rPr>
                <w:sz w:val="20"/>
                <w:szCs w:val="20"/>
                <w:color w:val="auto"/>
              </w:rPr>
            </w:pPr>
            <w:r>
              <w:rPr>
                <w:rFonts w:ascii="Arial" w:cs="Arial" w:eastAsia="Arial" w:hAnsi="Arial"/>
                <w:sz w:val="14"/>
                <w:szCs w:val="14"/>
                <w:color w:val="auto"/>
              </w:rPr>
              <w:t>67,940</w:t>
            </w:r>
          </w:p>
        </w:tc>
        <w:tc>
          <w:tcPr>
            <w:tcW w:w="0" w:type="dxa"/>
            <w:vAlign w:val="bottom"/>
          </w:tcPr>
          <w:p>
            <w:pPr>
              <w:spacing w:after="0"/>
              <w:rPr>
                <w:sz w:val="1"/>
                <w:szCs w:val="1"/>
                <w:color w:val="auto"/>
              </w:rPr>
            </w:pPr>
          </w:p>
        </w:tc>
      </w:tr>
      <w:tr>
        <w:trPr>
          <w:trHeight w:val="74"/>
        </w:trPr>
        <w:tc>
          <w:tcPr>
            <w:tcW w:w="78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Income taxes payable</w:t>
            </w:r>
          </w:p>
        </w:tc>
        <w:tc>
          <w:tcPr>
            <w:tcW w:w="180" w:type="dxa"/>
            <w:vAlign w:val="bottom"/>
            <w:shd w:val="clear" w:color="auto" w:fill="CCEEFF"/>
          </w:tcPr>
          <w:p>
            <w:pPr>
              <w:spacing w:after="0"/>
              <w:rPr>
                <w:sz w:val="17"/>
                <w:szCs w:val="17"/>
                <w:color w:val="auto"/>
              </w:rPr>
            </w:pPr>
          </w:p>
        </w:tc>
        <w:tc>
          <w:tcPr>
            <w:tcW w:w="15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1,319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1,083</w:t>
            </w:r>
          </w:p>
        </w:tc>
        <w:tc>
          <w:tcPr>
            <w:tcW w:w="0" w:type="dxa"/>
            <w:vAlign w:val="bottom"/>
          </w:tcPr>
          <w:p>
            <w:pPr>
              <w:spacing w:after="0"/>
              <w:rPr>
                <w:sz w:val="1"/>
                <w:szCs w:val="1"/>
                <w:color w:val="auto"/>
              </w:rPr>
            </w:pPr>
          </w:p>
        </w:tc>
      </w:tr>
      <w:tr>
        <w:trPr>
          <w:trHeight w:val="80"/>
        </w:trPr>
        <w:tc>
          <w:tcPr>
            <w:tcW w:w="78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80" w:type="dxa"/>
            <w:vAlign w:val="bottom"/>
          </w:tcPr>
          <w:p>
            <w:pPr>
              <w:ind w:left="380"/>
              <w:spacing w:after="0"/>
              <w:rPr>
                <w:sz w:val="20"/>
                <w:szCs w:val="20"/>
                <w:color w:val="auto"/>
              </w:rPr>
            </w:pPr>
            <w:r>
              <w:rPr>
                <w:rFonts w:ascii="Arial" w:cs="Arial" w:eastAsia="Arial" w:hAnsi="Arial"/>
                <w:sz w:val="14"/>
                <w:szCs w:val="14"/>
                <w:color w:val="auto"/>
              </w:rPr>
              <w:t>Accrued general taxes</w:t>
            </w:r>
          </w:p>
        </w:tc>
        <w:tc>
          <w:tcPr>
            <w:tcW w:w="180" w:type="dxa"/>
            <w:vAlign w:val="bottom"/>
          </w:tcPr>
          <w:p>
            <w:pPr>
              <w:spacing w:after="0"/>
              <w:rPr>
                <w:sz w:val="16"/>
                <w:szCs w:val="16"/>
                <w:color w:val="auto"/>
              </w:rPr>
            </w:pPr>
          </w:p>
        </w:tc>
        <w:tc>
          <w:tcPr>
            <w:tcW w:w="1540" w:type="dxa"/>
            <w:vAlign w:val="bottom"/>
            <w:vMerge w:val="restart"/>
          </w:tcPr>
          <w:p>
            <w:pPr>
              <w:jc w:val="right"/>
              <w:ind w:right="48"/>
              <w:spacing w:after="0"/>
              <w:rPr>
                <w:sz w:val="20"/>
                <w:szCs w:val="20"/>
                <w:color w:val="auto"/>
              </w:rPr>
            </w:pPr>
            <w:r>
              <w:rPr>
                <w:rFonts w:ascii="Arial" w:cs="Arial" w:eastAsia="Arial" w:hAnsi="Arial"/>
                <w:sz w:val="14"/>
                <w:szCs w:val="14"/>
                <w:color w:val="auto"/>
              </w:rPr>
              <w:t>52,361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right"/>
              <w:ind w:right="28"/>
              <w:spacing w:after="0"/>
              <w:rPr>
                <w:sz w:val="20"/>
                <w:szCs w:val="20"/>
                <w:color w:val="auto"/>
              </w:rPr>
            </w:pPr>
            <w:r>
              <w:rPr>
                <w:rFonts w:ascii="Arial" w:cs="Arial" w:eastAsia="Arial" w:hAnsi="Arial"/>
                <w:sz w:val="14"/>
                <w:szCs w:val="14"/>
                <w:color w:val="auto"/>
              </w:rPr>
              <w:t>43,560</w:t>
            </w:r>
          </w:p>
        </w:tc>
        <w:tc>
          <w:tcPr>
            <w:tcW w:w="0" w:type="dxa"/>
            <w:vAlign w:val="bottom"/>
          </w:tcPr>
          <w:p>
            <w:pPr>
              <w:spacing w:after="0"/>
              <w:rPr>
                <w:sz w:val="1"/>
                <w:szCs w:val="1"/>
                <w:color w:val="auto"/>
              </w:rPr>
            </w:pPr>
          </w:p>
        </w:tc>
      </w:tr>
      <w:tr>
        <w:trPr>
          <w:trHeight w:val="74"/>
        </w:trPr>
        <w:tc>
          <w:tcPr>
            <w:tcW w:w="78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Accrued interest</w:t>
            </w:r>
          </w:p>
        </w:tc>
        <w:tc>
          <w:tcPr>
            <w:tcW w:w="180" w:type="dxa"/>
            <w:vAlign w:val="bottom"/>
            <w:shd w:val="clear" w:color="auto" w:fill="CCEEFF"/>
          </w:tcPr>
          <w:p>
            <w:pPr>
              <w:spacing w:after="0"/>
              <w:rPr>
                <w:sz w:val="17"/>
                <w:szCs w:val="17"/>
                <w:color w:val="auto"/>
              </w:rPr>
            </w:pPr>
          </w:p>
        </w:tc>
        <w:tc>
          <w:tcPr>
            <w:tcW w:w="15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34,745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21,369</w:t>
            </w:r>
          </w:p>
        </w:tc>
        <w:tc>
          <w:tcPr>
            <w:tcW w:w="0" w:type="dxa"/>
            <w:vAlign w:val="bottom"/>
          </w:tcPr>
          <w:p>
            <w:pPr>
              <w:spacing w:after="0"/>
              <w:rPr>
                <w:sz w:val="1"/>
                <w:szCs w:val="1"/>
                <w:color w:val="auto"/>
              </w:rPr>
            </w:pPr>
          </w:p>
        </w:tc>
      </w:tr>
      <w:tr>
        <w:trPr>
          <w:trHeight w:val="80"/>
        </w:trPr>
        <w:tc>
          <w:tcPr>
            <w:tcW w:w="78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80" w:type="dxa"/>
            <w:vAlign w:val="bottom"/>
          </w:tcPr>
          <w:p>
            <w:pPr>
              <w:ind w:left="380"/>
              <w:spacing w:after="0"/>
              <w:rPr>
                <w:sz w:val="20"/>
                <w:szCs w:val="20"/>
                <w:color w:val="auto"/>
              </w:rPr>
            </w:pPr>
            <w:r>
              <w:rPr>
                <w:rFonts w:ascii="Arial" w:cs="Arial" w:eastAsia="Arial" w:hAnsi="Arial"/>
                <w:sz w:val="14"/>
                <w:szCs w:val="14"/>
                <w:color w:val="auto"/>
              </w:rPr>
              <w:t>Deferred purchased gas costs</w:t>
            </w:r>
          </w:p>
        </w:tc>
        <w:tc>
          <w:tcPr>
            <w:tcW w:w="180" w:type="dxa"/>
            <w:vAlign w:val="bottom"/>
          </w:tcPr>
          <w:p>
            <w:pPr>
              <w:spacing w:after="0"/>
              <w:rPr>
                <w:sz w:val="16"/>
                <w:szCs w:val="16"/>
                <w:color w:val="auto"/>
              </w:rPr>
            </w:pPr>
          </w:p>
        </w:tc>
        <w:tc>
          <w:tcPr>
            <w:tcW w:w="1540" w:type="dxa"/>
            <w:vAlign w:val="bottom"/>
            <w:vMerge w:val="restart"/>
          </w:tcPr>
          <w:p>
            <w:pPr>
              <w:jc w:val="right"/>
              <w:ind w:right="48"/>
              <w:spacing w:after="0"/>
              <w:rPr>
                <w:sz w:val="20"/>
                <w:szCs w:val="20"/>
                <w:color w:val="auto"/>
              </w:rPr>
            </w:pPr>
            <w:r>
              <w:rPr>
                <w:rFonts w:ascii="Arial" w:cs="Arial" w:eastAsia="Arial" w:hAnsi="Arial"/>
                <w:sz w:val="14"/>
                <w:szCs w:val="14"/>
                <w:color w:val="auto"/>
              </w:rPr>
              <w:t>88,030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right"/>
              <w:ind w:right="28"/>
              <w:spacing w:after="0"/>
              <w:rPr>
                <w:sz w:val="20"/>
                <w:szCs w:val="20"/>
                <w:color w:val="auto"/>
              </w:rPr>
            </w:pPr>
            <w:r>
              <w:rPr>
                <w:rFonts w:ascii="Arial" w:cs="Arial" w:eastAsia="Arial" w:hAnsi="Arial"/>
                <w:sz w:val="14"/>
                <w:szCs w:val="14"/>
                <w:color w:val="auto"/>
              </w:rPr>
              <w:t>79,762</w:t>
            </w:r>
          </w:p>
        </w:tc>
        <w:tc>
          <w:tcPr>
            <w:tcW w:w="0" w:type="dxa"/>
            <w:vAlign w:val="bottom"/>
          </w:tcPr>
          <w:p>
            <w:pPr>
              <w:spacing w:after="0"/>
              <w:rPr>
                <w:sz w:val="1"/>
                <w:szCs w:val="1"/>
                <w:color w:val="auto"/>
              </w:rPr>
            </w:pPr>
          </w:p>
        </w:tc>
      </w:tr>
      <w:tr>
        <w:trPr>
          <w:trHeight w:val="74"/>
        </w:trPr>
        <w:tc>
          <w:tcPr>
            <w:tcW w:w="78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current liabilities</w:t>
            </w:r>
          </w:p>
        </w:tc>
        <w:tc>
          <w:tcPr>
            <w:tcW w:w="180" w:type="dxa"/>
            <w:vAlign w:val="bottom"/>
            <w:shd w:val="clear" w:color="auto" w:fill="CCEEFF"/>
          </w:tcPr>
          <w:p>
            <w:pPr>
              <w:spacing w:after="0"/>
              <w:rPr>
                <w:sz w:val="17"/>
                <w:szCs w:val="17"/>
                <w:color w:val="auto"/>
              </w:rPr>
            </w:pPr>
          </w:p>
        </w:tc>
        <w:tc>
          <w:tcPr>
            <w:tcW w:w="15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279,931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290,878</w:t>
            </w:r>
          </w:p>
        </w:tc>
        <w:tc>
          <w:tcPr>
            <w:tcW w:w="0" w:type="dxa"/>
            <w:vAlign w:val="bottom"/>
          </w:tcPr>
          <w:p>
            <w:pPr>
              <w:spacing w:after="0"/>
              <w:rPr>
                <w:sz w:val="1"/>
                <w:szCs w:val="1"/>
                <w:color w:val="auto"/>
              </w:rPr>
            </w:pPr>
          </w:p>
        </w:tc>
      </w:tr>
      <w:tr>
        <w:trPr>
          <w:trHeight w:val="80"/>
        </w:trPr>
        <w:tc>
          <w:tcPr>
            <w:tcW w:w="788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5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5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880" w:type="dxa"/>
            <w:vAlign w:val="bottom"/>
          </w:tcPr>
          <w:p>
            <w:pPr>
              <w:ind w:left="700"/>
              <w:spacing w:after="0"/>
              <w:rPr>
                <w:sz w:val="20"/>
                <w:szCs w:val="20"/>
                <w:color w:val="auto"/>
              </w:rPr>
            </w:pPr>
            <w:r>
              <w:rPr>
                <w:rFonts w:ascii="Arial" w:cs="Arial" w:eastAsia="Arial" w:hAnsi="Arial"/>
                <w:sz w:val="14"/>
                <w:szCs w:val="14"/>
                <w:color w:val="auto"/>
              </w:rPr>
              <w:t>Total current liabilities</w:t>
            </w:r>
          </w:p>
        </w:tc>
        <w:tc>
          <w:tcPr>
            <w:tcW w:w="180" w:type="dxa"/>
            <w:vAlign w:val="bottom"/>
          </w:tcPr>
          <w:p>
            <w:pPr>
              <w:spacing w:after="0"/>
              <w:rPr>
                <w:sz w:val="14"/>
                <w:szCs w:val="14"/>
                <w:color w:val="auto"/>
              </w:rPr>
            </w:pPr>
          </w:p>
        </w:tc>
        <w:tc>
          <w:tcPr>
            <w:tcW w:w="1540" w:type="dxa"/>
            <w:vAlign w:val="bottom"/>
            <w:vMerge w:val="restart"/>
          </w:tcPr>
          <w:p>
            <w:pPr>
              <w:jc w:val="right"/>
              <w:ind w:right="48"/>
              <w:spacing w:after="0"/>
              <w:rPr>
                <w:sz w:val="20"/>
                <w:szCs w:val="20"/>
                <w:color w:val="auto"/>
              </w:rPr>
            </w:pPr>
            <w:r>
              <w:rPr>
                <w:rFonts w:ascii="Arial" w:cs="Arial" w:eastAsia="Arial" w:hAnsi="Arial"/>
                <w:sz w:val="14"/>
                <w:szCs w:val="14"/>
                <w:color w:val="auto"/>
              </w:rPr>
              <w:t>782,344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vMerge w:val="restart"/>
          </w:tcPr>
          <w:p>
            <w:pPr>
              <w:jc w:val="right"/>
              <w:ind w:right="28"/>
              <w:spacing w:after="0"/>
              <w:rPr>
                <w:sz w:val="20"/>
                <w:szCs w:val="20"/>
                <w:color w:val="auto"/>
              </w:rPr>
            </w:pPr>
            <w:r>
              <w:rPr>
                <w:rFonts w:ascii="Arial" w:cs="Arial" w:eastAsia="Arial" w:hAnsi="Arial"/>
                <w:sz w:val="14"/>
                <w:szCs w:val="14"/>
                <w:color w:val="auto"/>
              </w:rPr>
              <w:t>938,645</w:t>
            </w:r>
          </w:p>
        </w:tc>
        <w:tc>
          <w:tcPr>
            <w:tcW w:w="0" w:type="dxa"/>
            <w:vAlign w:val="bottom"/>
          </w:tcPr>
          <w:p>
            <w:pPr>
              <w:spacing w:after="0"/>
              <w:rPr>
                <w:sz w:val="1"/>
                <w:szCs w:val="1"/>
                <w:color w:val="auto"/>
              </w:rPr>
            </w:pPr>
          </w:p>
        </w:tc>
      </w:tr>
      <w:tr>
        <w:trPr>
          <w:trHeight w:val="74"/>
        </w:trPr>
        <w:tc>
          <w:tcPr>
            <w:tcW w:w="788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income taxes and other credits:</w:t>
            </w:r>
          </w:p>
        </w:tc>
        <w:tc>
          <w:tcPr>
            <w:tcW w:w="18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78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5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5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7880" w:type="dxa"/>
            <w:vAlign w:val="bottom"/>
          </w:tcPr>
          <w:p>
            <w:pPr>
              <w:ind w:left="380"/>
              <w:spacing w:after="0"/>
              <w:rPr>
                <w:sz w:val="20"/>
                <w:szCs w:val="20"/>
                <w:color w:val="auto"/>
              </w:rPr>
            </w:pPr>
            <w:r>
              <w:rPr>
                <w:rFonts w:ascii="Arial" w:cs="Arial" w:eastAsia="Arial" w:hAnsi="Arial"/>
                <w:sz w:val="14"/>
                <w:szCs w:val="14"/>
                <w:color w:val="auto"/>
              </w:rPr>
              <w:t>Deferred income taxes and investment tax credits</w:t>
            </w:r>
          </w:p>
        </w:tc>
        <w:tc>
          <w:tcPr>
            <w:tcW w:w="180" w:type="dxa"/>
            <w:vAlign w:val="bottom"/>
          </w:tcPr>
          <w:p>
            <w:pPr>
              <w:spacing w:after="0"/>
              <w:rPr>
                <w:sz w:val="16"/>
                <w:szCs w:val="16"/>
                <w:color w:val="auto"/>
              </w:rPr>
            </w:pPr>
          </w:p>
        </w:tc>
        <w:tc>
          <w:tcPr>
            <w:tcW w:w="1540" w:type="dxa"/>
            <w:vAlign w:val="bottom"/>
            <w:vMerge w:val="restart"/>
          </w:tcPr>
          <w:p>
            <w:pPr>
              <w:jc w:val="right"/>
              <w:ind w:right="48"/>
              <w:spacing w:after="0"/>
              <w:rPr>
                <w:sz w:val="20"/>
                <w:szCs w:val="20"/>
                <w:color w:val="auto"/>
              </w:rPr>
            </w:pPr>
            <w:r>
              <w:rPr>
                <w:rFonts w:ascii="Arial" w:cs="Arial" w:eastAsia="Arial" w:hAnsi="Arial"/>
                <w:sz w:val="14"/>
                <w:szCs w:val="14"/>
                <w:color w:val="auto"/>
              </w:rPr>
              <w:t>577,928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right"/>
              <w:ind w:right="28"/>
              <w:spacing w:after="0"/>
              <w:rPr>
                <w:sz w:val="20"/>
                <w:szCs w:val="20"/>
                <w:color w:val="auto"/>
              </w:rPr>
            </w:pPr>
            <w:r>
              <w:rPr>
                <w:rFonts w:ascii="Arial" w:cs="Arial" w:eastAsia="Arial" w:hAnsi="Arial"/>
                <w:sz w:val="14"/>
                <w:szCs w:val="14"/>
                <w:color w:val="auto"/>
              </w:rPr>
              <w:t>529,201</w:t>
            </w:r>
          </w:p>
        </w:tc>
        <w:tc>
          <w:tcPr>
            <w:tcW w:w="0" w:type="dxa"/>
            <w:vAlign w:val="bottom"/>
          </w:tcPr>
          <w:p>
            <w:pPr>
              <w:spacing w:after="0"/>
              <w:rPr>
                <w:sz w:val="1"/>
                <w:szCs w:val="1"/>
                <w:color w:val="auto"/>
              </w:rPr>
            </w:pPr>
          </w:p>
        </w:tc>
      </w:tr>
      <w:tr>
        <w:trPr>
          <w:trHeight w:val="74"/>
        </w:trPr>
        <w:tc>
          <w:tcPr>
            <w:tcW w:w="78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Accumulated removal costs</w:t>
            </w:r>
          </w:p>
        </w:tc>
        <w:tc>
          <w:tcPr>
            <w:tcW w:w="180" w:type="dxa"/>
            <w:vAlign w:val="bottom"/>
            <w:shd w:val="clear" w:color="auto" w:fill="CCEEFF"/>
          </w:tcPr>
          <w:p>
            <w:pPr>
              <w:spacing w:after="0"/>
              <w:rPr>
                <w:sz w:val="17"/>
                <w:szCs w:val="17"/>
                <w:color w:val="auto"/>
              </w:rPr>
            </w:pPr>
          </w:p>
        </w:tc>
        <w:tc>
          <w:tcPr>
            <w:tcW w:w="15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392,000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383,000</w:t>
            </w:r>
          </w:p>
        </w:tc>
        <w:tc>
          <w:tcPr>
            <w:tcW w:w="0" w:type="dxa"/>
            <w:vAlign w:val="bottom"/>
          </w:tcPr>
          <w:p>
            <w:pPr>
              <w:spacing w:after="0"/>
              <w:rPr>
                <w:sz w:val="1"/>
                <w:szCs w:val="1"/>
                <w:color w:val="auto"/>
              </w:rPr>
            </w:pPr>
          </w:p>
        </w:tc>
      </w:tr>
      <w:tr>
        <w:trPr>
          <w:trHeight w:val="80"/>
        </w:trPr>
        <w:tc>
          <w:tcPr>
            <w:tcW w:w="78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80" w:type="dxa"/>
            <w:vAlign w:val="bottom"/>
          </w:tcPr>
          <w:p>
            <w:pPr>
              <w:ind w:left="380"/>
              <w:spacing w:after="0"/>
              <w:rPr>
                <w:sz w:val="20"/>
                <w:szCs w:val="20"/>
                <w:color w:val="auto"/>
              </w:rPr>
            </w:pPr>
            <w:r>
              <w:rPr>
                <w:rFonts w:ascii="Arial" w:cs="Arial" w:eastAsia="Arial" w:hAnsi="Arial"/>
                <w:sz w:val="14"/>
                <w:szCs w:val="14"/>
                <w:color w:val="auto"/>
              </w:rPr>
              <w:t>Other deferred credits and other long-term liabilities</w:t>
            </w:r>
          </w:p>
        </w:tc>
        <w:tc>
          <w:tcPr>
            <w:tcW w:w="180" w:type="dxa"/>
            <w:vAlign w:val="bottom"/>
          </w:tcPr>
          <w:p>
            <w:pPr>
              <w:spacing w:after="0"/>
              <w:rPr>
                <w:sz w:val="16"/>
                <w:szCs w:val="16"/>
                <w:color w:val="auto"/>
              </w:rPr>
            </w:pPr>
          </w:p>
        </w:tc>
        <w:tc>
          <w:tcPr>
            <w:tcW w:w="1540" w:type="dxa"/>
            <w:vAlign w:val="bottom"/>
            <w:vMerge w:val="restart"/>
          </w:tcPr>
          <w:p>
            <w:pPr>
              <w:jc w:val="right"/>
              <w:ind w:right="48"/>
              <w:spacing w:after="0"/>
              <w:rPr>
                <w:sz w:val="20"/>
                <w:szCs w:val="20"/>
                <w:color w:val="auto"/>
              </w:rPr>
            </w:pPr>
            <w:r>
              <w:rPr>
                <w:rFonts w:ascii="Arial" w:cs="Arial" w:eastAsia="Arial" w:hAnsi="Arial"/>
                <w:sz w:val="14"/>
                <w:szCs w:val="14"/>
                <w:color w:val="auto"/>
              </w:rPr>
              <w:t>1,117,759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right"/>
              <w:ind w:right="28"/>
              <w:spacing w:after="0"/>
              <w:rPr>
                <w:sz w:val="20"/>
                <w:szCs w:val="20"/>
                <w:color w:val="auto"/>
              </w:rPr>
            </w:pPr>
            <w:r>
              <w:rPr>
                <w:rFonts w:ascii="Arial" w:cs="Arial" w:eastAsia="Arial" w:hAnsi="Arial"/>
                <w:sz w:val="14"/>
                <w:szCs w:val="14"/>
                <w:color w:val="auto"/>
              </w:rPr>
              <w:t>1,066,204</w:t>
            </w:r>
          </w:p>
        </w:tc>
        <w:tc>
          <w:tcPr>
            <w:tcW w:w="0" w:type="dxa"/>
            <w:vAlign w:val="bottom"/>
          </w:tcPr>
          <w:p>
            <w:pPr>
              <w:spacing w:after="0"/>
              <w:rPr>
                <w:sz w:val="1"/>
                <w:szCs w:val="1"/>
                <w:color w:val="auto"/>
              </w:rPr>
            </w:pPr>
          </w:p>
        </w:tc>
      </w:tr>
      <w:tr>
        <w:trPr>
          <w:trHeight w:val="74"/>
        </w:trPr>
        <w:tc>
          <w:tcPr>
            <w:tcW w:w="788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880" w:type="dxa"/>
            <w:vAlign w:val="bottom"/>
            <w:shd w:val="clear" w:color="auto" w:fill="CCEEFF"/>
          </w:tcPr>
          <w:p>
            <w:pPr>
              <w:ind w:left="700"/>
              <w:spacing w:after="0"/>
              <w:rPr>
                <w:sz w:val="20"/>
                <w:szCs w:val="20"/>
                <w:color w:val="auto"/>
              </w:rPr>
            </w:pPr>
            <w:r>
              <w:rPr>
                <w:rFonts w:ascii="Arial" w:cs="Arial" w:eastAsia="Arial" w:hAnsi="Arial"/>
                <w:sz w:val="14"/>
                <w:szCs w:val="14"/>
                <w:color w:val="auto"/>
              </w:rPr>
              <w:t>Total deferred income taxes and other credits</w:t>
            </w:r>
          </w:p>
        </w:tc>
        <w:tc>
          <w:tcPr>
            <w:tcW w:w="180" w:type="dxa"/>
            <w:vAlign w:val="bottom"/>
            <w:shd w:val="clear" w:color="auto" w:fill="CCEEFF"/>
          </w:tcPr>
          <w:p>
            <w:pPr>
              <w:spacing w:after="0"/>
              <w:rPr>
                <w:sz w:val="15"/>
                <w:szCs w:val="15"/>
                <w:color w:val="auto"/>
              </w:rPr>
            </w:pPr>
          </w:p>
        </w:tc>
        <w:tc>
          <w:tcPr>
            <w:tcW w:w="15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2,087,687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1,978,405</w:t>
            </w:r>
          </w:p>
        </w:tc>
        <w:tc>
          <w:tcPr>
            <w:tcW w:w="0" w:type="dxa"/>
            <w:vAlign w:val="bottom"/>
          </w:tcPr>
          <w:p>
            <w:pPr>
              <w:spacing w:after="0"/>
              <w:rPr>
                <w:sz w:val="1"/>
                <w:szCs w:val="1"/>
                <w:color w:val="auto"/>
              </w:rPr>
            </w:pPr>
          </w:p>
        </w:tc>
      </w:tr>
      <w:tr>
        <w:trPr>
          <w:trHeight w:val="80"/>
        </w:trPr>
        <w:tc>
          <w:tcPr>
            <w:tcW w:w="788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5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5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7880" w:type="dxa"/>
            <w:vAlign w:val="bottom"/>
          </w:tcPr>
          <w:p>
            <w:pPr>
              <w:ind w:left="20"/>
              <w:spacing w:after="0"/>
              <w:rPr>
                <w:sz w:val="20"/>
                <w:szCs w:val="20"/>
                <w:color w:val="auto"/>
              </w:rPr>
            </w:pPr>
            <w:r>
              <w:rPr>
                <w:rFonts w:ascii="Arial" w:cs="Arial" w:eastAsia="Arial" w:hAnsi="Arial"/>
                <w:sz w:val="14"/>
                <w:szCs w:val="14"/>
                <w:color w:val="auto"/>
              </w:rPr>
              <w:t>Total capitalization and liabilities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48"/>
              <w:spacing w:after="0"/>
              <w:rPr>
                <w:sz w:val="20"/>
                <w:szCs w:val="20"/>
                <w:color w:val="auto"/>
              </w:rPr>
            </w:pPr>
            <w:r>
              <w:rPr>
                <w:rFonts w:ascii="Arial" w:cs="Arial" w:eastAsia="Arial" w:hAnsi="Arial"/>
                <w:sz w:val="14"/>
                <w:szCs w:val="14"/>
                <w:color w:val="auto"/>
              </w:rPr>
              <w:t>7,840,211</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7,357,729</w:t>
            </w:r>
          </w:p>
        </w:tc>
        <w:tc>
          <w:tcPr>
            <w:tcW w:w="0" w:type="dxa"/>
            <w:vAlign w:val="bottom"/>
          </w:tcPr>
          <w:p>
            <w:pPr>
              <w:spacing w:after="0"/>
              <w:rPr>
                <w:sz w:val="1"/>
                <w:szCs w:val="1"/>
                <w:color w:val="auto"/>
              </w:rPr>
            </w:pPr>
          </w:p>
        </w:tc>
      </w:tr>
    </w:tbl>
    <w:p>
      <w:pPr>
        <w:sectPr>
          <w:pgSz w:w="11900" w:h="16926" w:orient="portrait"/>
          <w:cols w:equalWidth="0" w:num="1">
            <w:col w:w="11400"/>
          </w:cols>
          <w:pgMar w:left="240" w:top="270" w:right="259" w:bottom="0" w:gutter="0" w:footer="0" w:header="0"/>
        </w:sectPr>
      </w:pPr>
    </w:p>
    <w:bookmarkStart w:id="3" w:name="page4"/>
    <w:bookmarkEnd w:id="3"/>
    <w:p>
      <w:pPr>
        <w:jc w:val="cente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5165725</wp:posOffset>
            </wp:positionH>
            <wp:positionV relativeFrom="page">
              <wp:posOffset>234950</wp:posOffset>
            </wp:positionV>
            <wp:extent cx="222948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29485" cy="26035"/>
                    </a:xfrm>
                    <a:prstGeom prst="rect">
                      <a:avLst/>
                    </a:prstGeom>
                    <a:noFill/>
                  </pic:spPr>
                </pic:pic>
              </a:graphicData>
            </a:graphic>
          </wp:anchor>
        </w:drawing>
        <w:t>The accompanying notes are an integral part of these statements.</w:t>
      </w:r>
    </w:p>
    <w:p>
      <w:pPr>
        <w:sectPr>
          <w:pgSz w:w="11900" w:h="16838" w:orient="portrait"/>
          <w:cols w:equalWidth="0" w:num="1">
            <w:col w:w="9019"/>
          </w:cols>
          <w:pgMar w:left="1440" w:top="611" w:right="1440" w:bottom="144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ind w:right="-140"/>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9019"/>
          </w:cols>
          <w:pgMar w:left="1440" w:top="611" w:right="1440"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1"/>
              </w:rPr>
              <w:t>Form 10-Q</w:t>
            </w:r>
          </w:p>
        </w:tc>
      </w:tr>
      <w:tr>
        <w:trPr>
          <w:trHeight w:val="250"/>
        </w:trPr>
        <w:tc>
          <w:tcPr>
            <w:tcW w:w="60" w:type="dxa"/>
            <w:vAlign w:val="bottom"/>
          </w:tcPr>
          <w:p>
            <w:pPr>
              <w:spacing w:after="0"/>
              <w:rPr>
                <w:sz w:val="21"/>
                <w:szCs w:val="21"/>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9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20" w:type="dxa"/>
            <w:vAlign w:val="bottom"/>
            <w:gridSpan w:val="4"/>
          </w:tcPr>
          <w:p>
            <w:pPr>
              <w:jc w:val="right"/>
              <w:spacing w:after="0"/>
              <w:rPr>
                <w:sz w:val="20"/>
                <w:szCs w:val="20"/>
                <w:color w:val="auto"/>
              </w:rPr>
            </w:pPr>
            <w:r>
              <w:rPr>
                <w:rFonts w:ascii="Arial" w:cs="Arial" w:eastAsia="Arial" w:hAnsi="Arial"/>
                <w:sz w:val="18"/>
                <w:szCs w:val="18"/>
                <w:color w:val="auto"/>
              </w:rPr>
              <w:t>September 30, 2019</w:t>
            </w:r>
          </w:p>
        </w:tc>
      </w:tr>
      <w:tr>
        <w:trPr>
          <w:trHeight w:val="816"/>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0" w:type="dxa"/>
            <w:vAlign w:val="bottom"/>
            <w:gridSpan w:val="11"/>
          </w:tcPr>
          <w:p>
            <w:pPr>
              <w:jc w:val="center"/>
              <w:ind w:left="230"/>
              <w:spacing w:after="0"/>
              <w:rPr>
                <w:sz w:val="20"/>
                <w:szCs w:val="20"/>
                <w:color w:val="auto"/>
              </w:rPr>
            </w:pPr>
            <w:r>
              <w:rPr>
                <w:rFonts w:ascii="Arial" w:cs="Arial" w:eastAsia="Arial" w:hAnsi="Arial"/>
                <w:sz w:val="18"/>
                <w:szCs w:val="18"/>
                <w:color w:val="auto"/>
                <w:w w:val="96"/>
              </w:rPr>
              <w:t>SOUTHWEST GAS HOLDINGS, INC. AND SUBSIDIARIES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0" w:type="dxa"/>
            <w:vAlign w:val="bottom"/>
            <w:gridSpan w:val="11"/>
          </w:tcPr>
          <w:p>
            <w:pPr>
              <w:jc w:val="center"/>
              <w:ind w:left="230"/>
              <w:spacing w:after="0"/>
              <w:rPr>
                <w:sz w:val="20"/>
                <w:szCs w:val="20"/>
                <w:color w:val="auto"/>
              </w:rPr>
            </w:pPr>
            <w:r>
              <w:rPr>
                <w:rFonts w:ascii="Arial" w:cs="Arial" w:eastAsia="Arial" w:hAnsi="Arial"/>
                <w:sz w:val="18"/>
                <w:szCs w:val="18"/>
                <w:color w:val="auto"/>
                <w:w w:val="95"/>
              </w:rPr>
              <w:t>CONDENSED CONSOLIDATED STATEMENTS OF INCOME</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340" w:type="dxa"/>
            <w:vAlign w:val="bottom"/>
            <w:gridSpan w:val="8"/>
          </w:tcPr>
          <w:p>
            <w:pPr>
              <w:jc w:val="center"/>
              <w:ind w:left="122"/>
              <w:spacing w:after="0"/>
              <w:rPr>
                <w:sz w:val="20"/>
                <w:szCs w:val="20"/>
                <w:color w:val="auto"/>
              </w:rPr>
            </w:pPr>
            <w:r>
              <w:rPr>
                <w:rFonts w:ascii="Arial" w:cs="Arial" w:eastAsia="Arial" w:hAnsi="Arial"/>
                <w:sz w:val="18"/>
                <w:szCs w:val="18"/>
                <w:color w:val="auto"/>
                <w:w w:val="88"/>
              </w:rPr>
              <w:t>(In thousands, except per share amounts)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3"/>
          </w:tcPr>
          <w:p>
            <w:pPr>
              <w:jc w:val="center"/>
              <w:ind w:left="147"/>
              <w:spacing w:after="0"/>
              <w:rPr>
                <w:sz w:val="20"/>
                <w:szCs w:val="20"/>
                <w:color w:val="auto"/>
              </w:rPr>
            </w:pPr>
            <w:r>
              <w:rPr>
                <w:rFonts w:ascii="Arial" w:cs="Arial" w:eastAsia="Arial" w:hAnsi="Arial"/>
                <w:sz w:val="18"/>
                <w:szCs w:val="18"/>
                <w:color w:val="auto"/>
                <w:w w:val="91"/>
              </w:rPr>
              <w:t>(Unaudited)</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92"/>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gridSpan w:val="5"/>
          </w:tcPr>
          <w:p>
            <w:pPr>
              <w:ind w:left="280"/>
              <w:spacing w:after="0"/>
              <w:rPr>
                <w:sz w:val="20"/>
                <w:szCs w:val="20"/>
                <w:color w:val="auto"/>
              </w:rPr>
            </w:pPr>
            <w:r>
              <w:rPr>
                <w:rFonts w:ascii="Arial" w:cs="Arial" w:eastAsia="Arial" w:hAnsi="Arial"/>
                <w:sz w:val="14"/>
                <w:szCs w:val="14"/>
                <w:color w:val="auto"/>
              </w:rPr>
              <w:t>Three Months Ended</w:t>
            </w:r>
          </w:p>
        </w:tc>
        <w:tc>
          <w:tcPr>
            <w:tcW w:w="240" w:type="dxa"/>
            <w:vAlign w:val="bottom"/>
          </w:tcPr>
          <w:p>
            <w:pPr>
              <w:spacing w:after="0"/>
              <w:rPr>
                <w:sz w:val="24"/>
                <w:szCs w:val="24"/>
                <w:color w:val="auto"/>
              </w:rPr>
            </w:pPr>
          </w:p>
        </w:tc>
        <w:tc>
          <w:tcPr>
            <w:tcW w:w="2000" w:type="dxa"/>
            <w:vAlign w:val="bottom"/>
            <w:gridSpan w:val="5"/>
          </w:tcPr>
          <w:p>
            <w:pPr>
              <w:jc w:val="center"/>
              <w:ind w:right="320"/>
              <w:spacing w:after="0"/>
              <w:rPr>
                <w:sz w:val="20"/>
                <w:szCs w:val="20"/>
                <w:color w:val="auto"/>
              </w:rPr>
            </w:pPr>
            <w:r>
              <w:rPr>
                <w:rFonts w:ascii="Arial" w:cs="Arial" w:eastAsia="Arial" w:hAnsi="Arial"/>
                <w:sz w:val="14"/>
                <w:szCs w:val="14"/>
                <w:color w:val="auto"/>
                <w:w w:val="94"/>
              </w:rPr>
              <w:t>Nine Months Ended</w:t>
            </w:r>
          </w:p>
        </w:tc>
        <w:tc>
          <w:tcPr>
            <w:tcW w:w="220" w:type="dxa"/>
            <w:vAlign w:val="bottom"/>
          </w:tcPr>
          <w:p>
            <w:pPr>
              <w:spacing w:after="0"/>
              <w:rPr>
                <w:sz w:val="24"/>
                <w:szCs w:val="24"/>
                <w:color w:val="auto"/>
              </w:rPr>
            </w:pPr>
          </w:p>
        </w:tc>
        <w:tc>
          <w:tcPr>
            <w:tcW w:w="1920" w:type="dxa"/>
            <w:vAlign w:val="bottom"/>
            <w:gridSpan w:val="4"/>
          </w:tcPr>
          <w:p>
            <w:pPr>
              <w:jc w:val="right"/>
              <w:ind w:right="327"/>
              <w:spacing w:after="0"/>
              <w:rPr>
                <w:sz w:val="20"/>
                <w:szCs w:val="20"/>
                <w:color w:val="auto"/>
              </w:rPr>
            </w:pPr>
            <w:r>
              <w:rPr>
                <w:rFonts w:ascii="Arial" w:cs="Arial" w:eastAsia="Arial" w:hAnsi="Arial"/>
                <w:sz w:val="14"/>
                <w:szCs w:val="14"/>
                <w:color w:val="auto"/>
              </w:rPr>
              <w:t>Twelve Months Ended</w:t>
            </w:r>
          </w:p>
        </w:tc>
      </w:tr>
      <w:tr>
        <w:trPr>
          <w:trHeight w:val="188"/>
        </w:trPr>
        <w:tc>
          <w:tcPr>
            <w:tcW w:w="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color w:val="auto"/>
              </w:rPr>
              <w:t>September 30,</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5"/>
          </w:tcPr>
          <w:p>
            <w:pPr>
              <w:jc w:val="center"/>
              <w:ind w:right="320"/>
              <w:spacing w:after="0"/>
              <w:rPr>
                <w:sz w:val="20"/>
                <w:szCs w:val="20"/>
                <w:color w:val="auto"/>
              </w:rPr>
            </w:pPr>
            <w:r>
              <w:rPr>
                <w:rFonts w:ascii="Arial" w:cs="Arial" w:eastAsia="Arial" w:hAnsi="Arial"/>
                <w:sz w:val="14"/>
                <w:szCs w:val="14"/>
                <w:color w:val="auto"/>
                <w:w w:val="91"/>
              </w:rPr>
              <w:t>September 30,</w:t>
            </w:r>
          </w:p>
        </w:tc>
        <w:tc>
          <w:tcPr>
            <w:tcW w:w="220" w:type="dxa"/>
            <w:vAlign w:val="bottom"/>
          </w:tcPr>
          <w:p>
            <w:pPr>
              <w:spacing w:after="0"/>
              <w:rPr>
                <w:sz w:val="16"/>
                <w:szCs w:val="16"/>
                <w:color w:val="auto"/>
              </w:rPr>
            </w:pPr>
          </w:p>
        </w:tc>
        <w:tc>
          <w:tcPr>
            <w:tcW w:w="1920" w:type="dxa"/>
            <w:vAlign w:val="bottom"/>
            <w:gridSpan w:val="4"/>
          </w:tcPr>
          <w:p>
            <w:pPr>
              <w:jc w:val="right"/>
              <w:ind w:right="567"/>
              <w:spacing w:after="0"/>
              <w:rPr>
                <w:sz w:val="20"/>
                <w:szCs w:val="20"/>
                <w:color w:val="auto"/>
              </w:rPr>
            </w:pPr>
            <w:r>
              <w:rPr>
                <w:rFonts w:ascii="Arial" w:cs="Arial" w:eastAsia="Arial" w:hAnsi="Arial"/>
                <w:sz w:val="14"/>
                <w:szCs w:val="14"/>
                <w:color w:val="auto"/>
              </w:rPr>
              <w:t>September 30,</w:t>
            </w:r>
          </w:p>
        </w:tc>
      </w:tr>
      <w:tr>
        <w:trPr>
          <w:trHeight w:val="264"/>
        </w:trPr>
        <w:tc>
          <w:tcPr>
            <w:tcW w:w="60" w:type="dxa"/>
            <w:vAlign w:val="bottom"/>
            <w:tcBorders>
              <w:bottom w:val="single" w:sz="8" w:color="CCEEFF"/>
            </w:tcBorders>
          </w:tcPr>
          <w:p>
            <w:pPr>
              <w:spacing w:after="0"/>
              <w:rPr>
                <w:sz w:val="22"/>
                <w:szCs w:val="22"/>
                <w:color w:val="auto"/>
              </w:rPr>
            </w:pPr>
          </w:p>
        </w:tc>
        <w:tc>
          <w:tcPr>
            <w:tcW w:w="28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07"/>
              <w:spacing w:after="0"/>
              <w:rPr>
                <w:sz w:val="20"/>
                <w:szCs w:val="20"/>
                <w:color w:val="auto"/>
              </w:rPr>
            </w:pPr>
            <w:r>
              <w:rPr>
                <w:rFonts w:ascii="Arial" w:cs="Arial" w:eastAsia="Arial" w:hAnsi="Arial"/>
                <w:sz w:val="14"/>
                <w:szCs w:val="14"/>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w w:val="89"/>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2018</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87"/>
              <w:spacing w:after="0"/>
              <w:rPr>
                <w:sz w:val="20"/>
                <w:szCs w:val="20"/>
                <w:color w:val="auto"/>
              </w:rPr>
            </w:pPr>
            <w:r>
              <w:rPr>
                <w:rFonts w:ascii="Arial" w:cs="Arial" w:eastAsia="Arial" w:hAnsi="Arial"/>
                <w:sz w:val="14"/>
                <w:szCs w:val="14"/>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87"/>
              <w:spacing w:after="0"/>
              <w:rPr>
                <w:sz w:val="20"/>
                <w:szCs w:val="20"/>
                <w:color w:val="auto"/>
              </w:rPr>
            </w:pPr>
            <w:r>
              <w:rPr>
                <w:rFonts w:ascii="Arial" w:cs="Arial" w:eastAsia="Arial" w:hAnsi="Arial"/>
                <w:sz w:val="14"/>
                <w:szCs w:val="14"/>
                <w:color w:val="auto"/>
              </w:rPr>
              <w:t>2018</w:t>
            </w:r>
          </w:p>
        </w:tc>
      </w:tr>
      <w:tr>
        <w:trPr>
          <w:trHeight w:val="270"/>
        </w:trPr>
        <w:tc>
          <w:tcPr>
            <w:tcW w:w="394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Operating revenues:</w:t>
            </w:r>
          </w:p>
        </w:tc>
        <w:tc>
          <w:tcPr>
            <w:tcW w:w="7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4"/>
        </w:trPr>
        <w:tc>
          <w:tcPr>
            <w:tcW w:w="60" w:type="dxa"/>
            <w:vAlign w:val="bottom"/>
          </w:tcPr>
          <w:p>
            <w:pPr>
              <w:spacing w:after="0"/>
              <w:rPr>
                <w:sz w:val="22"/>
                <w:szCs w:val="22"/>
                <w:color w:val="auto"/>
              </w:rPr>
            </w:pPr>
          </w:p>
        </w:tc>
        <w:tc>
          <w:tcPr>
            <w:tcW w:w="3880" w:type="dxa"/>
            <w:vAlign w:val="bottom"/>
            <w:gridSpan w:val="3"/>
          </w:tcPr>
          <w:p>
            <w:pPr>
              <w:ind w:left="320"/>
              <w:spacing w:after="0"/>
              <w:rPr>
                <w:sz w:val="20"/>
                <w:szCs w:val="20"/>
                <w:color w:val="auto"/>
              </w:rPr>
            </w:pPr>
            <w:r>
              <w:rPr>
                <w:rFonts w:ascii="Arial" w:cs="Arial" w:eastAsia="Arial" w:hAnsi="Arial"/>
                <w:sz w:val="14"/>
                <w:szCs w:val="14"/>
                <w:color w:val="auto"/>
              </w:rPr>
              <w:t>Gas operating revenues</w:t>
            </w:r>
          </w:p>
        </w:tc>
        <w:tc>
          <w:tcPr>
            <w:tcW w:w="100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209,980</w:t>
            </w:r>
          </w:p>
        </w:tc>
        <w:tc>
          <w:tcPr>
            <w:tcW w:w="12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217,523</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989,368</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987,515</w:t>
            </w:r>
          </w:p>
        </w:tc>
        <w:tc>
          <w:tcPr>
            <w:tcW w:w="100" w:type="dxa"/>
            <w:vAlign w:val="bottom"/>
          </w:tcPr>
          <w:p>
            <w:pPr>
              <w:spacing w:after="0"/>
              <w:rPr>
                <w:sz w:val="22"/>
                <w:szCs w:val="22"/>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7"/>
              <w:spacing w:after="0"/>
              <w:rPr>
                <w:sz w:val="20"/>
                <w:szCs w:val="20"/>
                <w:color w:val="auto"/>
              </w:rPr>
            </w:pPr>
            <w:r>
              <w:rPr>
                <w:rFonts w:ascii="Arial" w:cs="Arial" w:eastAsia="Arial" w:hAnsi="Arial"/>
                <w:sz w:val="14"/>
                <w:szCs w:val="14"/>
                <w:color w:val="auto"/>
              </w:rPr>
              <w:t>1,359,581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7"/>
              <w:spacing w:after="0"/>
              <w:rPr>
                <w:sz w:val="20"/>
                <w:szCs w:val="20"/>
                <w:color w:val="auto"/>
              </w:rPr>
            </w:pPr>
            <w:r>
              <w:rPr>
                <w:rFonts w:ascii="Arial" w:cs="Arial" w:eastAsia="Arial" w:hAnsi="Arial"/>
                <w:sz w:val="14"/>
                <w:szCs w:val="14"/>
                <w:color w:val="auto"/>
              </w:rPr>
              <w:t>1,354,000</w:t>
            </w:r>
          </w:p>
        </w:tc>
      </w:tr>
      <w:tr>
        <w:trPr>
          <w:trHeight w:val="270"/>
        </w:trPr>
        <w:tc>
          <w:tcPr>
            <w:tcW w:w="60" w:type="dxa"/>
            <w:vAlign w:val="bottom"/>
            <w:shd w:val="clear" w:color="auto" w:fill="CCEEFF"/>
          </w:tcPr>
          <w:p>
            <w:pPr>
              <w:spacing w:after="0"/>
              <w:rPr>
                <w:sz w:val="23"/>
                <w:szCs w:val="23"/>
                <w:color w:val="auto"/>
              </w:rPr>
            </w:pPr>
          </w:p>
        </w:tc>
        <w:tc>
          <w:tcPr>
            <w:tcW w:w="38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Utility infrastructure services revenues</w:t>
            </w:r>
          </w:p>
        </w:tc>
        <w:tc>
          <w:tcPr>
            <w:tcW w:w="76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515,250</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450,623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1,282,412</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1,105,844</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1,698,853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1,479,792</w:t>
            </w:r>
          </w:p>
        </w:tc>
      </w:tr>
      <w:tr>
        <w:trPr>
          <w:trHeight w:val="250"/>
        </w:trPr>
        <w:tc>
          <w:tcPr>
            <w:tcW w:w="60" w:type="dxa"/>
            <w:vAlign w:val="bottom"/>
            <w:tcBorders>
              <w:bottom w:val="single" w:sz="8" w:color="CCEEFF"/>
            </w:tcBorders>
          </w:tcPr>
          <w:p>
            <w:pPr>
              <w:spacing w:after="0"/>
              <w:rPr>
                <w:sz w:val="21"/>
                <w:szCs w:val="21"/>
                <w:color w:val="auto"/>
              </w:rPr>
            </w:pPr>
          </w:p>
        </w:tc>
        <w:tc>
          <w:tcPr>
            <w:tcW w:w="3880" w:type="dxa"/>
            <w:vAlign w:val="bottom"/>
            <w:tcBorders>
              <w:bottom w:val="single" w:sz="8" w:color="CCEEFF"/>
            </w:tcBorders>
            <w:gridSpan w:val="3"/>
          </w:tcPr>
          <w:p>
            <w:pPr>
              <w:ind w:left="660"/>
              <w:spacing w:after="0"/>
              <w:rPr>
                <w:sz w:val="20"/>
                <w:szCs w:val="20"/>
                <w:color w:val="auto"/>
              </w:rPr>
            </w:pPr>
            <w:r>
              <w:rPr>
                <w:rFonts w:ascii="Arial" w:cs="Arial" w:eastAsia="Arial" w:hAnsi="Arial"/>
                <w:sz w:val="14"/>
                <w:szCs w:val="14"/>
                <w:color w:val="auto"/>
              </w:rPr>
              <w:t>Total operating revenues</w:t>
            </w:r>
          </w:p>
        </w:tc>
        <w:tc>
          <w:tcPr>
            <w:tcW w:w="7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725,230</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668,146</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2,271,780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2,093,359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3,058,434</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2,833,792</w:t>
            </w:r>
          </w:p>
        </w:tc>
      </w:tr>
      <w:tr>
        <w:trPr>
          <w:trHeight w:val="270"/>
        </w:trPr>
        <w:tc>
          <w:tcPr>
            <w:tcW w:w="394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7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4"/>
        </w:trPr>
        <w:tc>
          <w:tcPr>
            <w:tcW w:w="60" w:type="dxa"/>
            <w:vAlign w:val="bottom"/>
          </w:tcPr>
          <w:p>
            <w:pPr>
              <w:spacing w:after="0"/>
              <w:rPr>
                <w:sz w:val="22"/>
                <w:szCs w:val="22"/>
                <w:color w:val="auto"/>
              </w:rPr>
            </w:pPr>
          </w:p>
        </w:tc>
        <w:tc>
          <w:tcPr>
            <w:tcW w:w="3880" w:type="dxa"/>
            <w:vAlign w:val="bottom"/>
            <w:gridSpan w:val="3"/>
          </w:tcPr>
          <w:p>
            <w:pPr>
              <w:ind w:left="320"/>
              <w:spacing w:after="0"/>
              <w:rPr>
                <w:sz w:val="20"/>
                <w:szCs w:val="20"/>
                <w:color w:val="auto"/>
              </w:rPr>
            </w:pPr>
            <w:r>
              <w:rPr>
                <w:rFonts w:ascii="Arial" w:cs="Arial" w:eastAsia="Arial" w:hAnsi="Arial"/>
                <w:sz w:val="14"/>
                <w:szCs w:val="14"/>
                <w:color w:val="auto"/>
              </w:rPr>
              <w:t>Net cost of gas sold</w:t>
            </w:r>
          </w:p>
        </w:tc>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35,068</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49,903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292,854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319,101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7"/>
              <w:spacing w:after="0"/>
              <w:rPr>
                <w:sz w:val="20"/>
                <w:szCs w:val="20"/>
                <w:color w:val="auto"/>
              </w:rPr>
            </w:pPr>
            <w:r>
              <w:rPr>
                <w:rFonts w:ascii="Arial" w:cs="Arial" w:eastAsia="Arial" w:hAnsi="Arial"/>
                <w:sz w:val="14"/>
                <w:szCs w:val="14"/>
                <w:color w:val="auto"/>
              </w:rPr>
              <w:t>393,141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7"/>
              <w:spacing w:after="0"/>
              <w:rPr>
                <w:sz w:val="20"/>
                <w:szCs w:val="20"/>
                <w:color w:val="auto"/>
              </w:rPr>
            </w:pPr>
            <w:r>
              <w:rPr>
                <w:rFonts w:ascii="Arial" w:cs="Arial" w:eastAsia="Arial" w:hAnsi="Arial"/>
                <w:sz w:val="14"/>
                <w:szCs w:val="14"/>
                <w:color w:val="auto"/>
              </w:rPr>
              <w:t>412,307</w:t>
            </w:r>
          </w:p>
        </w:tc>
      </w:tr>
      <w:tr>
        <w:trPr>
          <w:trHeight w:val="276"/>
        </w:trPr>
        <w:tc>
          <w:tcPr>
            <w:tcW w:w="60" w:type="dxa"/>
            <w:vAlign w:val="bottom"/>
            <w:shd w:val="clear" w:color="auto" w:fill="CCEEFF"/>
          </w:tcPr>
          <w:p>
            <w:pPr>
              <w:spacing w:after="0"/>
              <w:rPr>
                <w:sz w:val="24"/>
                <w:szCs w:val="24"/>
                <w:color w:val="auto"/>
              </w:rPr>
            </w:pPr>
          </w:p>
        </w:tc>
        <w:tc>
          <w:tcPr>
            <w:tcW w:w="38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Operations and maintenance</w:t>
            </w:r>
          </w:p>
        </w:tc>
        <w:tc>
          <w:tcPr>
            <w:tcW w:w="7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109,652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105,508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321,190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313,294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414,289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406,137</w:t>
            </w:r>
          </w:p>
        </w:tc>
      </w:tr>
      <w:tr>
        <w:trPr>
          <w:trHeight w:val="264"/>
        </w:trPr>
        <w:tc>
          <w:tcPr>
            <w:tcW w:w="60" w:type="dxa"/>
            <w:vAlign w:val="bottom"/>
          </w:tcPr>
          <w:p>
            <w:pPr>
              <w:spacing w:after="0"/>
              <w:rPr>
                <w:sz w:val="22"/>
                <w:szCs w:val="22"/>
                <w:color w:val="auto"/>
              </w:rPr>
            </w:pPr>
          </w:p>
        </w:tc>
        <w:tc>
          <w:tcPr>
            <w:tcW w:w="3880" w:type="dxa"/>
            <w:vAlign w:val="bottom"/>
            <w:gridSpan w:val="3"/>
          </w:tcPr>
          <w:p>
            <w:pPr>
              <w:ind w:left="320"/>
              <w:spacing w:after="0"/>
              <w:rPr>
                <w:sz w:val="20"/>
                <w:szCs w:val="20"/>
                <w:color w:val="auto"/>
              </w:rPr>
            </w:pPr>
            <w:r>
              <w:rPr>
                <w:rFonts w:ascii="Arial" w:cs="Arial" w:eastAsia="Arial" w:hAnsi="Arial"/>
                <w:sz w:val="14"/>
                <w:szCs w:val="14"/>
                <w:color w:val="auto"/>
              </w:rPr>
              <w:t>Depreciation and amortization</w:t>
            </w:r>
          </w:p>
        </w:tc>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75,370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62,156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223,251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185,941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7"/>
              <w:spacing w:after="0"/>
              <w:rPr>
                <w:sz w:val="20"/>
                <w:szCs w:val="20"/>
                <w:color w:val="auto"/>
              </w:rPr>
            </w:pPr>
            <w:r>
              <w:rPr>
                <w:rFonts w:ascii="Arial" w:cs="Arial" w:eastAsia="Arial" w:hAnsi="Arial"/>
                <w:sz w:val="14"/>
                <w:szCs w:val="14"/>
                <w:color w:val="auto"/>
              </w:rPr>
              <w:t>286,522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7"/>
              <w:spacing w:after="0"/>
              <w:rPr>
                <w:sz w:val="20"/>
                <w:szCs w:val="20"/>
                <w:color w:val="auto"/>
              </w:rPr>
            </w:pPr>
            <w:r>
              <w:rPr>
                <w:rFonts w:ascii="Arial" w:cs="Arial" w:eastAsia="Arial" w:hAnsi="Arial"/>
                <w:sz w:val="14"/>
                <w:szCs w:val="14"/>
                <w:color w:val="auto"/>
              </w:rPr>
              <w:t>247,803</w:t>
            </w:r>
          </w:p>
        </w:tc>
      </w:tr>
      <w:tr>
        <w:trPr>
          <w:trHeight w:val="276"/>
        </w:trPr>
        <w:tc>
          <w:tcPr>
            <w:tcW w:w="60" w:type="dxa"/>
            <w:vAlign w:val="bottom"/>
            <w:shd w:val="clear" w:color="auto" w:fill="CCEEFF"/>
          </w:tcPr>
          <w:p>
            <w:pPr>
              <w:spacing w:after="0"/>
              <w:rPr>
                <w:sz w:val="24"/>
                <w:szCs w:val="24"/>
                <w:color w:val="auto"/>
              </w:rPr>
            </w:pPr>
          </w:p>
        </w:tc>
        <w:tc>
          <w:tcPr>
            <w:tcW w:w="38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Taxes other than income taxes</w:t>
            </w:r>
          </w:p>
        </w:tc>
        <w:tc>
          <w:tcPr>
            <w:tcW w:w="7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15,308</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15,036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46,640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44,959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61,579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59,580</w:t>
            </w:r>
          </w:p>
        </w:tc>
      </w:tr>
      <w:tr>
        <w:trPr>
          <w:trHeight w:val="264"/>
        </w:trPr>
        <w:tc>
          <w:tcPr>
            <w:tcW w:w="60" w:type="dxa"/>
            <w:vAlign w:val="bottom"/>
            <w:tcBorders>
              <w:bottom w:val="single" w:sz="8" w:color="CCEEFF"/>
            </w:tcBorders>
          </w:tcPr>
          <w:p>
            <w:pPr>
              <w:spacing w:after="0"/>
              <w:rPr>
                <w:sz w:val="22"/>
                <w:szCs w:val="22"/>
                <w:color w:val="auto"/>
              </w:rPr>
            </w:pPr>
          </w:p>
        </w:tc>
        <w:tc>
          <w:tcPr>
            <w:tcW w:w="3880" w:type="dxa"/>
            <w:vAlign w:val="bottom"/>
            <w:tcBorders>
              <w:bottom w:val="single" w:sz="8" w:color="CCEEFF"/>
            </w:tcBorders>
            <w:gridSpan w:val="3"/>
          </w:tcPr>
          <w:p>
            <w:pPr>
              <w:ind w:left="320"/>
              <w:spacing w:after="0"/>
              <w:rPr>
                <w:sz w:val="20"/>
                <w:szCs w:val="20"/>
                <w:color w:val="auto"/>
              </w:rPr>
            </w:pPr>
            <w:r>
              <w:rPr>
                <w:rFonts w:ascii="Arial" w:cs="Arial" w:eastAsia="Arial" w:hAnsi="Arial"/>
                <w:sz w:val="14"/>
                <w:szCs w:val="14"/>
                <w:color w:val="auto"/>
              </w:rPr>
              <w:t>Utility infrastructure services expenses</w:t>
            </w:r>
          </w:p>
        </w:tc>
        <w:tc>
          <w:tcPr>
            <w:tcW w:w="7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451,574</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395,862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1,154,238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1,007,485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1,534,442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1,349,862</w:t>
            </w:r>
          </w:p>
        </w:tc>
      </w:tr>
      <w:tr>
        <w:trPr>
          <w:trHeight w:val="250"/>
        </w:trPr>
        <w:tc>
          <w:tcPr>
            <w:tcW w:w="60" w:type="dxa"/>
            <w:vAlign w:val="bottom"/>
            <w:shd w:val="clear" w:color="auto" w:fill="CCEEFF"/>
          </w:tcPr>
          <w:p>
            <w:pPr>
              <w:spacing w:after="0"/>
              <w:rPr>
                <w:sz w:val="21"/>
                <w:szCs w:val="21"/>
                <w:color w:val="auto"/>
              </w:rPr>
            </w:pPr>
          </w:p>
        </w:tc>
        <w:tc>
          <w:tcPr>
            <w:tcW w:w="3880" w:type="dxa"/>
            <w:vAlign w:val="bottom"/>
            <w:gridSpan w:val="3"/>
            <w:shd w:val="clear" w:color="auto" w:fill="CCEEFF"/>
          </w:tcPr>
          <w:p>
            <w:pPr>
              <w:ind w:left="660"/>
              <w:spacing w:after="0"/>
              <w:rPr>
                <w:sz w:val="20"/>
                <w:szCs w:val="20"/>
                <w:color w:val="auto"/>
              </w:rPr>
            </w:pPr>
            <w:r>
              <w:rPr>
                <w:rFonts w:ascii="Arial" w:cs="Arial" w:eastAsia="Arial" w:hAnsi="Arial"/>
                <w:sz w:val="14"/>
                <w:szCs w:val="14"/>
                <w:color w:val="auto"/>
              </w:rPr>
              <w:t>Total operating expenses</w:t>
            </w:r>
          </w:p>
        </w:tc>
        <w:tc>
          <w:tcPr>
            <w:tcW w:w="76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686,972</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628,465</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2,038,173</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1,870,780</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2,689,973</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2,475,689</w:t>
            </w:r>
          </w:p>
        </w:tc>
      </w:tr>
      <w:tr>
        <w:trPr>
          <w:trHeight w:val="250"/>
        </w:trPr>
        <w:tc>
          <w:tcPr>
            <w:tcW w:w="3940" w:type="dxa"/>
            <w:vAlign w:val="bottom"/>
            <w:tcBorders>
              <w:bottom w:val="single" w:sz="8" w:color="CCEEFF"/>
            </w:tcBorders>
            <w:gridSpan w:val="4"/>
          </w:tcPr>
          <w:p>
            <w:pPr>
              <w:ind w:left="40"/>
              <w:spacing w:after="0"/>
              <w:rPr>
                <w:sz w:val="20"/>
                <w:szCs w:val="20"/>
                <w:color w:val="auto"/>
              </w:rPr>
            </w:pPr>
            <w:r>
              <w:rPr>
                <w:rFonts w:ascii="Arial" w:cs="Arial" w:eastAsia="Arial" w:hAnsi="Arial"/>
                <w:sz w:val="14"/>
                <w:szCs w:val="14"/>
                <w:color w:val="auto"/>
              </w:rPr>
              <w:t>Operating income</w:t>
            </w:r>
          </w:p>
        </w:tc>
        <w:tc>
          <w:tcPr>
            <w:tcW w:w="7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38,258</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39,681</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233,607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222,579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368,461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358,103</w:t>
            </w:r>
          </w:p>
        </w:tc>
      </w:tr>
      <w:tr>
        <w:trPr>
          <w:trHeight w:val="270"/>
        </w:trPr>
        <w:tc>
          <w:tcPr>
            <w:tcW w:w="394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Other income and (expenses):</w:t>
            </w:r>
          </w:p>
        </w:tc>
        <w:tc>
          <w:tcPr>
            <w:tcW w:w="7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64"/>
        </w:trPr>
        <w:tc>
          <w:tcPr>
            <w:tcW w:w="60" w:type="dxa"/>
            <w:vAlign w:val="bottom"/>
          </w:tcPr>
          <w:p>
            <w:pPr>
              <w:spacing w:after="0"/>
              <w:rPr>
                <w:sz w:val="22"/>
                <w:szCs w:val="22"/>
                <w:color w:val="auto"/>
              </w:rPr>
            </w:pPr>
          </w:p>
        </w:tc>
        <w:tc>
          <w:tcPr>
            <w:tcW w:w="3880" w:type="dxa"/>
            <w:vAlign w:val="bottom"/>
            <w:gridSpan w:val="3"/>
          </w:tcPr>
          <w:p>
            <w:pPr>
              <w:ind w:left="320"/>
              <w:spacing w:after="0"/>
              <w:rPr>
                <w:sz w:val="20"/>
                <w:szCs w:val="20"/>
                <w:color w:val="auto"/>
              </w:rPr>
            </w:pPr>
            <w:r>
              <w:rPr>
                <w:rFonts w:ascii="Arial" w:cs="Arial" w:eastAsia="Arial" w:hAnsi="Arial"/>
                <w:sz w:val="14"/>
                <w:szCs w:val="14"/>
                <w:color w:val="auto"/>
              </w:rPr>
              <w:t>Net interest deductions</w:t>
            </w:r>
          </w:p>
        </w:tc>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7"/>
              <w:spacing w:after="0"/>
              <w:rPr>
                <w:sz w:val="20"/>
                <w:szCs w:val="20"/>
                <w:color w:val="auto"/>
              </w:rPr>
            </w:pPr>
            <w:r>
              <w:rPr>
                <w:rFonts w:ascii="Arial" w:cs="Arial" w:eastAsia="Arial" w:hAnsi="Arial"/>
                <w:sz w:val="14"/>
                <w:szCs w:val="14"/>
                <w:color w:val="auto"/>
              </w:rPr>
              <w:t>(27,434)</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(24,548)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(80,662)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(70,831)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(106,502)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(92,032)</w:t>
            </w:r>
          </w:p>
        </w:tc>
      </w:tr>
      <w:tr>
        <w:trPr>
          <w:trHeight w:val="270"/>
        </w:trPr>
        <w:tc>
          <w:tcPr>
            <w:tcW w:w="60" w:type="dxa"/>
            <w:vAlign w:val="bottom"/>
            <w:shd w:val="clear" w:color="auto" w:fill="CCEEFF"/>
          </w:tcPr>
          <w:p>
            <w:pPr>
              <w:spacing w:after="0"/>
              <w:rPr>
                <w:sz w:val="23"/>
                <w:szCs w:val="23"/>
                <w:color w:val="auto"/>
              </w:rPr>
            </w:pPr>
          </w:p>
        </w:tc>
        <w:tc>
          <w:tcPr>
            <w:tcW w:w="38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Other income (deductions)</w:t>
            </w:r>
          </w:p>
        </w:tc>
        <w:tc>
          <w:tcPr>
            <w:tcW w:w="76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(1,158)</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889</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6,827</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(6,151)</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(4,448)</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(6,401)</w:t>
            </w:r>
          </w:p>
        </w:tc>
      </w:tr>
      <w:tr>
        <w:trPr>
          <w:trHeight w:val="250"/>
        </w:trPr>
        <w:tc>
          <w:tcPr>
            <w:tcW w:w="60" w:type="dxa"/>
            <w:vAlign w:val="bottom"/>
            <w:tcBorders>
              <w:bottom w:val="single" w:sz="8" w:color="CCEEFF"/>
            </w:tcBorders>
          </w:tcPr>
          <w:p>
            <w:pPr>
              <w:spacing w:after="0"/>
              <w:rPr>
                <w:sz w:val="21"/>
                <w:szCs w:val="21"/>
                <w:color w:val="auto"/>
              </w:rPr>
            </w:pPr>
          </w:p>
        </w:tc>
        <w:tc>
          <w:tcPr>
            <w:tcW w:w="3880" w:type="dxa"/>
            <w:vAlign w:val="bottom"/>
            <w:tcBorders>
              <w:bottom w:val="single" w:sz="8" w:color="CCEEFF"/>
            </w:tcBorders>
            <w:gridSpan w:val="3"/>
          </w:tcPr>
          <w:p>
            <w:pPr>
              <w:ind w:left="660"/>
              <w:spacing w:after="0"/>
              <w:rPr>
                <w:sz w:val="20"/>
                <w:szCs w:val="20"/>
                <w:color w:val="auto"/>
              </w:rPr>
            </w:pPr>
            <w:r>
              <w:rPr>
                <w:rFonts w:ascii="Arial" w:cs="Arial" w:eastAsia="Arial" w:hAnsi="Arial"/>
                <w:sz w:val="14"/>
                <w:szCs w:val="14"/>
                <w:color w:val="auto"/>
              </w:rPr>
              <w:t>Total other income and (expenses)</w:t>
            </w:r>
          </w:p>
        </w:tc>
        <w:tc>
          <w:tcPr>
            <w:tcW w:w="7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(28,592)</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(23,659)</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(73,835)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(76,982)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(110,950)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(98,433)</w:t>
            </w:r>
          </w:p>
        </w:tc>
      </w:tr>
      <w:tr>
        <w:trPr>
          <w:trHeight w:val="256"/>
        </w:trPr>
        <w:tc>
          <w:tcPr>
            <w:tcW w:w="394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Income before income taxes</w:t>
            </w:r>
          </w:p>
        </w:tc>
        <w:tc>
          <w:tcPr>
            <w:tcW w:w="7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9,666</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16,022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159,772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145,597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257,511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259,670</w:t>
            </w:r>
          </w:p>
        </w:tc>
      </w:tr>
      <w:tr>
        <w:trPr>
          <w:trHeight w:val="264"/>
        </w:trPr>
        <w:tc>
          <w:tcPr>
            <w:tcW w:w="3940" w:type="dxa"/>
            <w:vAlign w:val="bottom"/>
            <w:tcBorders>
              <w:bottom w:val="single" w:sz="8" w:color="CCEEFF"/>
            </w:tcBorders>
            <w:gridSpan w:val="4"/>
          </w:tcPr>
          <w:p>
            <w:pPr>
              <w:ind w:left="40"/>
              <w:spacing w:after="0"/>
              <w:rPr>
                <w:sz w:val="20"/>
                <w:szCs w:val="20"/>
                <w:color w:val="auto"/>
              </w:rPr>
            </w:pPr>
            <w:r>
              <w:rPr>
                <w:rFonts w:ascii="Arial" w:cs="Arial" w:eastAsia="Arial" w:hAnsi="Arial"/>
                <w:sz w:val="14"/>
                <w:szCs w:val="14"/>
                <w:color w:val="auto"/>
              </w:rPr>
              <w:t>Income tax expense</w:t>
            </w:r>
          </w:p>
        </w:tc>
        <w:tc>
          <w:tcPr>
            <w:tcW w:w="7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3,141</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3,691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35,031</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33,421</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63,294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51,098</w:t>
            </w:r>
          </w:p>
        </w:tc>
      </w:tr>
      <w:tr>
        <w:trPr>
          <w:trHeight w:val="256"/>
        </w:trPr>
        <w:tc>
          <w:tcPr>
            <w:tcW w:w="394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7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6,525</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12,331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124,741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112,176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194,217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208,572</w:t>
            </w:r>
          </w:p>
        </w:tc>
      </w:tr>
      <w:tr>
        <w:trPr>
          <w:trHeight w:val="264"/>
        </w:trPr>
        <w:tc>
          <w:tcPr>
            <w:tcW w:w="60" w:type="dxa"/>
            <w:vAlign w:val="bottom"/>
            <w:tcBorders>
              <w:bottom w:val="single" w:sz="8" w:color="CCEEFF"/>
            </w:tcBorders>
          </w:tcPr>
          <w:p>
            <w:pPr>
              <w:spacing w:after="0"/>
              <w:rPr>
                <w:sz w:val="22"/>
                <w:szCs w:val="22"/>
                <w:color w:val="auto"/>
              </w:rPr>
            </w:pPr>
          </w:p>
        </w:tc>
        <w:tc>
          <w:tcPr>
            <w:tcW w:w="3880" w:type="dxa"/>
            <w:vAlign w:val="bottom"/>
            <w:tcBorders>
              <w:bottom w:val="single" w:sz="8" w:color="CCEEFF"/>
            </w:tcBorders>
            <w:gridSpan w:val="3"/>
          </w:tcPr>
          <w:p>
            <w:pPr>
              <w:ind w:left="320"/>
              <w:spacing w:after="0"/>
              <w:rPr>
                <w:sz w:val="20"/>
                <w:szCs w:val="20"/>
                <w:color w:val="auto"/>
              </w:rPr>
            </w:pPr>
            <w:r>
              <w:rPr>
                <w:rFonts w:ascii="Arial" w:cs="Arial" w:eastAsia="Arial" w:hAnsi="Arial"/>
                <w:sz w:val="14"/>
                <w:szCs w:val="14"/>
                <w:color w:val="auto"/>
              </w:rPr>
              <w:t>Net income (loss) attributable to noncontrolling interests</w:t>
            </w:r>
          </w:p>
        </w:tc>
        <w:tc>
          <w:tcPr>
            <w:tcW w:w="7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1,172</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2,523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(797)</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2,695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(866)</w:t>
            </w:r>
          </w:p>
        </w:tc>
      </w:tr>
      <w:tr>
        <w:trPr>
          <w:trHeight w:val="243"/>
        </w:trPr>
        <w:tc>
          <w:tcPr>
            <w:tcW w:w="39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4"/>
                <w:szCs w:val="14"/>
                <w:color w:val="auto"/>
              </w:rPr>
              <w:t>Net income attributable to Southwest Gas Holdings, Inc.</w:t>
            </w:r>
          </w:p>
        </w:tc>
        <w:tc>
          <w:tcPr>
            <w:tcW w:w="7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5,353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12,331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122,218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112,973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191,522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209,438</w:t>
            </w: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0"/>
        </w:trPr>
        <w:tc>
          <w:tcPr>
            <w:tcW w:w="3940" w:type="dxa"/>
            <w:vAlign w:val="bottom"/>
            <w:tcBorders>
              <w:bottom w:val="single" w:sz="8" w:color="CCEEFF"/>
            </w:tcBorders>
            <w:gridSpan w:val="4"/>
          </w:tcPr>
          <w:p>
            <w:pPr>
              <w:ind w:left="40"/>
              <w:spacing w:after="0"/>
              <w:rPr>
                <w:sz w:val="20"/>
                <w:szCs w:val="20"/>
                <w:color w:val="auto"/>
              </w:rPr>
            </w:pPr>
            <w:r>
              <w:rPr>
                <w:rFonts w:ascii="Arial" w:cs="Arial" w:eastAsia="Arial" w:hAnsi="Arial"/>
                <w:sz w:val="14"/>
                <w:szCs w:val="14"/>
                <w:color w:val="auto"/>
              </w:rPr>
              <w:t>Basic earnings per share</w:t>
            </w:r>
          </w:p>
        </w:tc>
        <w:tc>
          <w:tcPr>
            <w:tcW w:w="7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0.10</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0.25</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2.26</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3.60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4.30</w:t>
            </w:r>
          </w:p>
        </w:tc>
      </w:tr>
      <w:tr>
        <w:trPr>
          <w:trHeight w:val="210"/>
        </w:trPr>
        <w:tc>
          <w:tcPr>
            <w:tcW w:w="394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Diluted earnings per share</w:t>
            </w:r>
          </w:p>
        </w:tc>
        <w:tc>
          <w:tcPr>
            <w:tcW w:w="10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0.10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0.25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3.59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4.29</w:t>
            </w: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18"/>
        </w:trPr>
        <w:tc>
          <w:tcPr>
            <w:tcW w:w="3940" w:type="dxa"/>
            <w:vAlign w:val="bottom"/>
            <w:gridSpan w:val="4"/>
          </w:tcPr>
          <w:p>
            <w:pPr>
              <w:ind w:left="40"/>
              <w:spacing w:after="0"/>
              <w:rPr>
                <w:sz w:val="20"/>
                <w:szCs w:val="20"/>
                <w:color w:val="auto"/>
              </w:rPr>
            </w:pPr>
            <w:r>
              <w:rPr>
                <w:rFonts w:ascii="Arial" w:cs="Arial" w:eastAsia="Arial" w:hAnsi="Arial"/>
                <w:sz w:val="14"/>
                <w:szCs w:val="14"/>
                <w:color w:val="auto"/>
              </w:rPr>
              <w:t>Average number of common shares</w:t>
            </w: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47"/>
              <w:spacing w:after="0"/>
              <w:rPr>
                <w:sz w:val="20"/>
                <w:szCs w:val="20"/>
                <w:color w:val="auto"/>
              </w:rPr>
            </w:pPr>
            <w:r>
              <w:rPr>
                <w:rFonts w:ascii="Arial" w:cs="Arial" w:eastAsia="Arial" w:hAnsi="Arial"/>
                <w:sz w:val="14"/>
                <w:szCs w:val="14"/>
                <w:color w:val="auto"/>
              </w:rPr>
              <w:t>54,670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49,493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53,996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48,916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27"/>
              <w:spacing w:after="0"/>
              <w:rPr>
                <w:sz w:val="20"/>
                <w:szCs w:val="20"/>
                <w:color w:val="auto"/>
              </w:rPr>
            </w:pPr>
            <w:r>
              <w:rPr>
                <w:rFonts w:ascii="Arial" w:cs="Arial" w:eastAsia="Arial" w:hAnsi="Arial"/>
                <w:sz w:val="14"/>
                <w:szCs w:val="14"/>
                <w:color w:val="auto"/>
              </w:rPr>
              <w:t>53,219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27"/>
              <w:spacing w:after="0"/>
              <w:rPr>
                <w:sz w:val="20"/>
                <w:szCs w:val="20"/>
                <w:color w:val="auto"/>
              </w:rPr>
            </w:pPr>
            <w:r>
              <w:rPr>
                <w:rFonts w:ascii="Arial" w:cs="Arial" w:eastAsia="Arial" w:hAnsi="Arial"/>
                <w:sz w:val="14"/>
                <w:szCs w:val="14"/>
                <w:color w:val="auto"/>
              </w:rPr>
              <w:t>48,728</w:t>
            </w:r>
          </w:p>
        </w:tc>
      </w:tr>
      <w:tr>
        <w:trPr>
          <w:trHeight w:val="276"/>
        </w:trPr>
        <w:tc>
          <w:tcPr>
            <w:tcW w:w="394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Average shares (assuming dilution)</w:t>
            </w:r>
          </w:p>
        </w:tc>
        <w:tc>
          <w:tcPr>
            <w:tcW w:w="7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54,748</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49,553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54,063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48,968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53,287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48,781</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0"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456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color w:val="auto"/>
                <w:w w:val="96"/>
              </w:rPr>
              <w:t>Form 10-Q</w:t>
            </w:r>
          </w:p>
        </w:tc>
      </w:tr>
      <w:tr>
        <w:trPr>
          <w:trHeight w:val="250"/>
        </w:trPr>
        <w:tc>
          <w:tcPr>
            <w:tcW w:w="60" w:type="dxa"/>
            <w:vAlign w:val="bottom"/>
          </w:tcPr>
          <w:p>
            <w:pPr>
              <w:spacing w:after="0"/>
              <w:rPr>
                <w:sz w:val="21"/>
                <w:szCs w:val="21"/>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16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gridSpan w:val="4"/>
          </w:tcPr>
          <w:p>
            <w:pPr>
              <w:jc w:val="right"/>
              <w:spacing w:after="0"/>
              <w:rPr>
                <w:sz w:val="20"/>
                <w:szCs w:val="20"/>
                <w:color w:val="auto"/>
              </w:rPr>
            </w:pPr>
            <w:r>
              <w:rPr>
                <w:rFonts w:ascii="Arial" w:cs="Arial" w:eastAsia="Arial" w:hAnsi="Arial"/>
                <w:sz w:val="18"/>
                <w:szCs w:val="18"/>
                <w:color w:val="auto"/>
                <w:w w:val="99"/>
              </w:rPr>
              <w:t>September 30, 2019</w:t>
            </w:r>
          </w:p>
        </w:tc>
      </w:tr>
      <w:tr>
        <w:trPr>
          <w:trHeight w:val="816"/>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560" w:type="dxa"/>
            <w:vAlign w:val="bottom"/>
            <w:gridSpan w:val="11"/>
          </w:tcPr>
          <w:p>
            <w:pPr>
              <w:jc w:val="center"/>
              <w:ind w:right="40"/>
              <w:spacing w:after="0"/>
              <w:rPr>
                <w:sz w:val="20"/>
                <w:szCs w:val="20"/>
                <w:color w:val="auto"/>
              </w:rPr>
            </w:pPr>
            <w:r>
              <w:rPr>
                <w:rFonts w:ascii="Arial" w:cs="Arial" w:eastAsia="Arial" w:hAnsi="Arial"/>
                <w:sz w:val="18"/>
                <w:szCs w:val="18"/>
                <w:color w:val="auto"/>
                <w:w w:val="96"/>
              </w:rPr>
              <w:t>SOUTHWEST GAS HOLDINGS, INC. AND SUBSIDIARIES</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9460" w:type="dxa"/>
            <w:vAlign w:val="bottom"/>
            <w:gridSpan w:val="16"/>
          </w:tcPr>
          <w:p>
            <w:pPr>
              <w:jc w:val="center"/>
              <w:ind w:left="1764"/>
              <w:spacing w:after="0"/>
              <w:rPr>
                <w:sz w:val="20"/>
                <w:szCs w:val="20"/>
                <w:color w:val="auto"/>
              </w:rPr>
            </w:pPr>
            <w:r>
              <w:rPr>
                <w:rFonts w:ascii="Arial" w:cs="Arial" w:eastAsia="Arial" w:hAnsi="Arial"/>
                <w:sz w:val="18"/>
                <w:szCs w:val="18"/>
                <w:color w:val="auto"/>
                <w:w w:val="95"/>
              </w:rPr>
              <w:t>CONDENSED CONSOLIDATED STATEMENTS OF COMPREHENSIVE INCOME</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020" w:type="dxa"/>
            <w:vAlign w:val="bottom"/>
            <w:gridSpan w:val="5"/>
          </w:tcPr>
          <w:p>
            <w:pPr>
              <w:jc w:val="center"/>
              <w:ind w:left="79"/>
              <w:spacing w:after="0"/>
              <w:rPr>
                <w:sz w:val="20"/>
                <w:szCs w:val="20"/>
                <w:color w:val="auto"/>
              </w:rPr>
            </w:pPr>
            <w:r>
              <w:rPr>
                <w:rFonts w:ascii="Arial" w:cs="Arial" w:eastAsia="Arial" w:hAnsi="Arial"/>
                <w:sz w:val="18"/>
                <w:szCs w:val="18"/>
                <w:color w:val="auto"/>
                <w:w w:val="90"/>
              </w:rPr>
              <w:t>(Thousands of dollars)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0"/>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820" w:type="dxa"/>
            <w:vAlign w:val="bottom"/>
            <w:gridSpan w:val="4"/>
          </w:tcPr>
          <w:p>
            <w:pPr>
              <w:jc w:val="center"/>
              <w:ind w:left="279"/>
              <w:spacing w:after="0"/>
              <w:rPr>
                <w:sz w:val="20"/>
                <w:szCs w:val="20"/>
                <w:color w:val="auto"/>
              </w:rPr>
            </w:pPr>
            <w:r>
              <w:rPr>
                <w:rFonts w:ascii="Arial" w:cs="Arial" w:eastAsia="Arial" w:hAnsi="Arial"/>
                <w:sz w:val="18"/>
                <w:szCs w:val="18"/>
                <w:color w:val="auto"/>
                <w:w w:val="91"/>
              </w:rPr>
              <w:t>(Unaudited)</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92"/>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gridSpan w:val="5"/>
          </w:tcPr>
          <w:p>
            <w:pPr>
              <w:jc w:val="center"/>
              <w:ind w:right="300"/>
              <w:spacing w:after="0"/>
              <w:rPr>
                <w:sz w:val="20"/>
                <w:szCs w:val="20"/>
                <w:color w:val="auto"/>
              </w:rPr>
            </w:pPr>
            <w:r>
              <w:rPr>
                <w:rFonts w:ascii="Arial" w:cs="Arial" w:eastAsia="Arial" w:hAnsi="Arial"/>
                <w:sz w:val="14"/>
                <w:szCs w:val="14"/>
                <w:color w:val="auto"/>
                <w:w w:val="93"/>
              </w:rPr>
              <w:t>Three Months Ended</w:t>
            </w:r>
          </w:p>
        </w:tc>
        <w:tc>
          <w:tcPr>
            <w:tcW w:w="220" w:type="dxa"/>
            <w:vAlign w:val="bottom"/>
          </w:tcPr>
          <w:p>
            <w:pPr>
              <w:spacing w:after="0"/>
              <w:rPr>
                <w:sz w:val="24"/>
                <w:szCs w:val="24"/>
                <w:color w:val="auto"/>
              </w:rPr>
            </w:pPr>
          </w:p>
        </w:tc>
        <w:tc>
          <w:tcPr>
            <w:tcW w:w="1820" w:type="dxa"/>
            <w:vAlign w:val="bottom"/>
            <w:gridSpan w:val="5"/>
          </w:tcPr>
          <w:p>
            <w:pPr>
              <w:jc w:val="center"/>
              <w:ind w:right="300"/>
              <w:spacing w:after="0"/>
              <w:rPr>
                <w:sz w:val="20"/>
                <w:szCs w:val="20"/>
                <w:color w:val="auto"/>
              </w:rPr>
            </w:pPr>
            <w:r>
              <w:rPr>
                <w:rFonts w:ascii="Arial" w:cs="Arial" w:eastAsia="Arial" w:hAnsi="Arial"/>
                <w:sz w:val="14"/>
                <w:szCs w:val="14"/>
                <w:color w:val="auto"/>
                <w:w w:val="94"/>
              </w:rPr>
              <w:t>Nine Months Ended</w:t>
            </w:r>
          </w:p>
        </w:tc>
        <w:tc>
          <w:tcPr>
            <w:tcW w:w="200" w:type="dxa"/>
            <w:vAlign w:val="bottom"/>
          </w:tcPr>
          <w:p>
            <w:pPr>
              <w:spacing w:after="0"/>
              <w:rPr>
                <w:sz w:val="24"/>
                <w:szCs w:val="24"/>
                <w:color w:val="auto"/>
              </w:rPr>
            </w:pPr>
          </w:p>
        </w:tc>
        <w:tc>
          <w:tcPr>
            <w:tcW w:w="1700" w:type="dxa"/>
            <w:vAlign w:val="bottom"/>
            <w:gridSpan w:val="4"/>
          </w:tcPr>
          <w:p>
            <w:pPr>
              <w:ind w:left="120"/>
              <w:spacing w:after="0"/>
              <w:rPr>
                <w:sz w:val="20"/>
                <w:szCs w:val="20"/>
                <w:color w:val="auto"/>
              </w:rPr>
            </w:pPr>
            <w:r>
              <w:rPr>
                <w:rFonts w:ascii="Arial" w:cs="Arial" w:eastAsia="Arial" w:hAnsi="Arial"/>
                <w:sz w:val="14"/>
                <w:szCs w:val="14"/>
                <w:color w:val="auto"/>
              </w:rPr>
              <w:t>Twelve Months Ended</w:t>
            </w:r>
          </w:p>
        </w:tc>
      </w:tr>
      <w:tr>
        <w:trPr>
          <w:trHeight w:val="188"/>
        </w:trPr>
        <w:tc>
          <w:tcPr>
            <w:tcW w:w="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gridSpan w:val="5"/>
          </w:tcPr>
          <w:p>
            <w:pPr>
              <w:jc w:val="center"/>
              <w:ind w:right="300"/>
              <w:spacing w:after="0"/>
              <w:rPr>
                <w:sz w:val="20"/>
                <w:szCs w:val="20"/>
                <w:color w:val="auto"/>
              </w:rPr>
            </w:pPr>
            <w:r>
              <w:rPr>
                <w:rFonts w:ascii="Arial" w:cs="Arial" w:eastAsia="Arial" w:hAnsi="Arial"/>
                <w:sz w:val="14"/>
                <w:szCs w:val="14"/>
                <w:color w:val="auto"/>
                <w:w w:val="89"/>
              </w:rPr>
              <w:t>September 30,</w:t>
            </w:r>
          </w:p>
        </w:tc>
        <w:tc>
          <w:tcPr>
            <w:tcW w:w="220" w:type="dxa"/>
            <w:vAlign w:val="bottom"/>
          </w:tcPr>
          <w:p>
            <w:pPr>
              <w:spacing w:after="0"/>
              <w:rPr>
                <w:sz w:val="16"/>
                <w:szCs w:val="16"/>
                <w:color w:val="auto"/>
              </w:rPr>
            </w:pPr>
          </w:p>
        </w:tc>
        <w:tc>
          <w:tcPr>
            <w:tcW w:w="1820" w:type="dxa"/>
            <w:vAlign w:val="bottom"/>
            <w:gridSpan w:val="5"/>
          </w:tcPr>
          <w:p>
            <w:pPr>
              <w:jc w:val="center"/>
              <w:ind w:right="280"/>
              <w:spacing w:after="0"/>
              <w:rPr>
                <w:sz w:val="20"/>
                <w:szCs w:val="20"/>
                <w:color w:val="auto"/>
              </w:rPr>
            </w:pPr>
            <w:r>
              <w:rPr>
                <w:rFonts w:ascii="Arial" w:cs="Arial" w:eastAsia="Arial" w:hAnsi="Arial"/>
                <w:sz w:val="14"/>
                <w:szCs w:val="14"/>
                <w:color w:val="auto"/>
                <w:w w:val="89"/>
              </w:rPr>
              <w:t>September 30,</w:t>
            </w:r>
          </w:p>
        </w:tc>
        <w:tc>
          <w:tcPr>
            <w:tcW w:w="200" w:type="dxa"/>
            <w:vAlign w:val="bottom"/>
          </w:tcPr>
          <w:p>
            <w:pPr>
              <w:spacing w:after="0"/>
              <w:rPr>
                <w:sz w:val="16"/>
                <w:szCs w:val="16"/>
                <w:color w:val="auto"/>
              </w:rPr>
            </w:pPr>
          </w:p>
        </w:tc>
        <w:tc>
          <w:tcPr>
            <w:tcW w:w="1700" w:type="dxa"/>
            <w:vAlign w:val="bottom"/>
            <w:gridSpan w:val="4"/>
          </w:tcPr>
          <w:p>
            <w:pPr>
              <w:jc w:val="right"/>
              <w:ind w:right="448"/>
              <w:spacing w:after="0"/>
              <w:rPr>
                <w:sz w:val="20"/>
                <w:szCs w:val="20"/>
                <w:color w:val="auto"/>
              </w:rPr>
            </w:pPr>
            <w:r>
              <w:rPr>
                <w:rFonts w:ascii="Arial" w:cs="Arial" w:eastAsia="Arial" w:hAnsi="Arial"/>
                <w:sz w:val="14"/>
                <w:szCs w:val="14"/>
                <w:color w:val="auto"/>
              </w:rPr>
              <w:t>September 30,</w:t>
            </w:r>
          </w:p>
        </w:tc>
      </w:tr>
      <w:tr>
        <w:trPr>
          <w:trHeight w:val="264"/>
        </w:trPr>
        <w:tc>
          <w:tcPr>
            <w:tcW w:w="60" w:type="dxa"/>
            <w:vAlign w:val="bottom"/>
            <w:tcBorders>
              <w:top w:val="single" w:sz="8" w:color="CCEEFF"/>
            </w:tcBorders>
            <w:shd w:val="clear" w:color="auto" w:fill="CCEEFF"/>
          </w:tcPr>
          <w:p>
            <w:pPr>
              <w:spacing w:after="0"/>
              <w:rPr>
                <w:sz w:val="22"/>
                <w:szCs w:val="22"/>
                <w:color w:val="auto"/>
              </w:rPr>
            </w:pPr>
          </w:p>
        </w:tc>
        <w:tc>
          <w:tcPr>
            <w:tcW w:w="28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60" w:type="dxa"/>
            <w:vAlign w:val="bottom"/>
            <w:tcBorders>
              <w:top w:val="single" w:sz="8" w:color="CCEEFF"/>
            </w:tcBorders>
            <w:shd w:val="clear" w:color="auto" w:fill="CCEEFF"/>
          </w:tcPr>
          <w:p>
            <w:pPr>
              <w:spacing w:after="0"/>
              <w:rPr>
                <w:sz w:val="22"/>
                <w:szCs w:val="22"/>
                <w:color w:val="auto"/>
              </w:rPr>
            </w:pPr>
          </w:p>
        </w:tc>
        <w:tc>
          <w:tcPr>
            <w:tcW w:w="76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720" w:type="dxa"/>
            <w:vAlign w:val="bottom"/>
            <w:tcBorders>
              <w:top w:val="single" w:sz="8" w:color="auto"/>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2019</w:t>
            </w:r>
          </w:p>
        </w:tc>
        <w:tc>
          <w:tcPr>
            <w:tcW w:w="120" w:type="dxa"/>
            <w:vAlign w:val="bottom"/>
            <w:tcBorders>
              <w:top w:val="single" w:sz="8" w:color="auto"/>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720" w:type="dxa"/>
            <w:vAlign w:val="bottom"/>
            <w:tcBorders>
              <w:top w:val="single" w:sz="8" w:color="auto"/>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2018</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720" w:type="dxa"/>
            <w:vAlign w:val="bottom"/>
            <w:tcBorders>
              <w:top w:val="single" w:sz="8" w:color="auto"/>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2019</w:t>
            </w:r>
          </w:p>
        </w:tc>
        <w:tc>
          <w:tcPr>
            <w:tcW w:w="10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68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2018</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70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2019</w:t>
            </w:r>
          </w:p>
        </w:tc>
        <w:tc>
          <w:tcPr>
            <w:tcW w:w="100" w:type="dxa"/>
            <w:vAlign w:val="bottom"/>
            <w:tcBorders>
              <w:top w:val="single" w:sz="8" w:color="auto"/>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70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2018</w:t>
            </w:r>
          </w:p>
        </w:tc>
      </w:tr>
      <w:tr>
        <w:trPr>
          <w:trHeight w:val="250"/>
        </w:trPr>
        <w:tc>
          <w:tcPr>
            <w:tcW w:w="4620" w:type="dxa"/>
            <w:vAlign w:val="bottom"/>
            <w:gridSpan w:val="4"/>
          </w:tcPr>
          <w:p>
            <w:pPr>
              <w:ind w:left="40"/>
              <w:spacing w:after="0"/>
              <w:rPr>
                <w:sz w:val="20"/>
                <w:szCs w:val="20"/>
                <w:color w:val="auto"/>
              </w:rPr>
            </w:pPr>
            <w:r>
              <w:rPr>
                <w:rFonts w:ascii="Arial" w:cs="Arial" w:eastAsia="Arial" w:hAnsi="Arial"/>
                <w:sz w:val="14"/>
                <w:szCs w:val="14"/>
                <w:color w:val="auto"/>
              </w:rPr>
              <w:t>Net income</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6,525</w:t>
            </w:r>
          </w:p>
        </w:tc>
        <w:tc>
          <w:tcPr>
            <w:tcW w:w="12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12,331</w:t>
            </w:r>
          </w:p>
        </w:tc>
        <w:tc>
          <w:tcPr>
            <w:tcW w:w="12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124,741</w:t>
            </w:r>
          </w:p>
        </w:tc>
        <w:tc>
          <w:tcPr>
            <w:tcW w:w="10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112,176</w:t>
            </w:r>
          </w:p>
        </w:tc>
        <w:tc>
          <w:tcPr>
            <w:tcW w:w="10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7"/>
              <w:spacing w:after="0"/>
              <w:rPr>
                <w:sz w:val="20"/>
                <w:szCs w:val="20"/>
                <w:color w:val="auto"/>
              </w:rPr>
            </w:pPr>
            <w:r>
              <w:rPr>
                <w:rFonts w:ascii="Arial" w:cs="Arial" w:eastAsia="Arial" w:hAnsi="Arial"/>
                <w:sz w:val="14"/>
                <w:szCs w:val="14"/>
                <w:color w:val="auto"/>
              </w:rPr>
              <w:t>194,217</w:t>
            </w:r>
          </w:p>
        </w:tc>
        <w:tc>
          <w:tcPr>
            <w:tcW w:w="100" w:type="dxa"/>
            <w:vAlign w:val="bottom"/>
          </w:tcPr>
          <w:p>
            <w:pPr>
              <w:spacing w:after="0"/>
              <w:rPr>
                <w:sz w:val="21"/>
                <w:szCs w:val="21"/>
                <w:color w:val="auto"/>
              </w:rPr>
            </w:pPr>
          </w:p>
        </w:tc>
        <w:tc>
          <w:tcPr>
            <w:tcW w:w="200" w:type="dxa"/>
            <w:vAlign w:val="bottom"/>
          </w:tcPr>
          <w:p>
            <w:pPr>
              <w:ind w:left="4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208,572</w:t>
            </w:r>
          </w:p>
        </w:tc>
      </w:tr>
      <w:tr>
        <w:trPr>
          <w:trHeight w:val="270"/>
        </w:trPr>
        <w:tc>
          <w:tcPr>
            <w:tcW w:w="4620" w:type="dxa"/>
            <w:vAlign w:val="bottom"/>
            <w:tcBorders>
              <w:top w:val="single" w:sz="8" w:color="CCEEFF"/>
            </w:tcBorders>
            <w:gridSpan w:val="4"/>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 net of tax</w:t>
            </w:r>
          </w:p>
        </w:tc>
        <w:tc>
          <w:tcPr>
            <w:tcW w:w="76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r>
      <w:tr>
        <w:trPr>
          <w:trHeight w:val="264"/>
        </w:trPr>
        <w:tc>
          <w:tcPr>
            <w:tcW w:w="60" w:type="dxa"/>
            <w:vAlign w:val="bottom"/>
          </w:tcPr>
          <w:p>
            <w:pPr>
              <w:spacing w:after="0"/>
              <w:rPr>
                <w:sz w:val="22"/>
                <w:szCs w:val="22"/>
                <w:color w:val="auto"/>
              </w:rPr>
            </w:pPr>
          </w:p>
        </w:tc>
        <w:tc>
          <w:tcPr>
            <w:tcW w:w="4560" w:type="dxa"/>
            <w:vAlign w:val="bottom"/>
            <w:gridSpan w:val="3"/>
          </w:tcPr>
          <w:p>
            <w:pPr>
              <w:ind w:left="120"/>
              <w:spacing w:after="0"/>
              <w:rPr>
                <w:sz w:val="20"/>
                <w:szCs w:val="20"/>
                <w:color w:val="auto"/>
              </w:rPr>
            </w:pPr>
            <w:r>
              <w:rPr>
                <w:rFonts w:ascii="Arial" w:cs="Arial" w:eastAsia="Arial" w:hAnsi="Arial"/>
                <w:sz w:val="14"/>
                <w:szCs w:val="14"/>
                <w:color w:val="auto"/>
              </w:rPr>
              <w:t>Defined benefit pension plans:</w:t>
            </w: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76"/>
        </w:trPr>
        <w:tc>
          <w:tcPr>
            <w:tcW w:w="60" w:type="dxa"/>
            <w:vAlign w:val="bottom"/>
            <w:shd w:val="clear" w:color="auto" w:fill="CCEEFF"/>
          </w:tcPr>
          <w:p>
            <w:pPr>
              <w:spacing w:after="0"/>
              <w:rPr>
                <w:sz w:val="24"/>
                <w:szCs w:val="24"/>
                <w:color w:val="auto"/>
              </w:rPr>
            </w:pPr>
          </w:p>
        </w:tc>
        <w:tc>
          <w:tcPr>
            <w:tcW w:w="456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Net actuarial gain (loss)</w:t>
            </w:r>
          </w:p>
        </w:tc>
        <w:tc>
          <w:tcPr>
            <w:tcW w:w="7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(15,524)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(32,701)</w:t>
            </w:r>
          </w:p>
        </w:tc>
      </w:tr>
      <w:tr>
        <w:trPr>
          <w:trHeight w:val="264"/>
        </w:trPr>
        <w:tc>
          <w:tcPr>
            <w:tcW w:w="60" w:type="dxa"/>
            <w:vAlign w:val="bottom"/>
          </w:tcPr>
          <w:p>
            <w:pPr>
              <w:spacing w:after="0"/>
              <w:rPr>
                <w:sz w:val="22"/>
                <w:szCs w:val="22"/>
                <w:color w:val="auto"/>
              </w:rPr>
            </w:pPr>
          </w:p>
        </w:tc>
        <w:tc>
          <w:tcPr>
            <w:tcW w:w="4560" w:type="dxa"/>
            <w:vAlign w:val="bottom"/>
            <w:gridSpan w:val="3"/>
          </w:tcPr>
          <w:p>
            <w:pPr>
              <w:ind w:left="220"/>
              <w:spacing w:after="0"/>
              <w:rPr>
                <w:sz w:val="20"/>
                <w:szCs w:val="20"/>
                <w:color w:val="auto"/>
              </w:rPr>
            </w:pPr>
            <w:r>
              <w:rPr>
                <w:rFonts w:ascii="Arial" w:cs="Arial" w:eastAsia="Arial" w:hAnsi="Arial"/>
                <w:sz w:val="14"/>
                <w:szCs w:val="14"/>
                <w:color w:val="auto"/>
              </w:rPr>
              <w:t>Amortization of prior service cost</w:t>
            </w: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241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254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724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762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7"/>
              <w:spacing w:after="0"/>
              <w:rPr>
                <w:sz w:val="20"/>
                <w:szCs w:val="20"/>
                <w:color w:val="auto"/>
              </w:rPr>
            </w:pPr>
            <w:r>
              <w:rPr>
                <w:rFonts w:ascii="Arial" w:cs="Arial" w:eastAsia="Arial" w:hAnsi="Arial"/>
                <w:sz w:val="14"/>
                <w:szCs w:val="14"/>
                <w:color w:val="auto"/>
              </w:rPr>
              <w:t>977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969</w:t>
            </w:r>
          </w:p>
        </w:tc>
      </w:tr>
      <w:tr>
        <w:trPr>
          <w:trHeight w:val="276"/>
        </w:trPr>
        <w:tc>
          <w:tcPr>
            <w:tcW w:w="60" w:type="dxa"/>
            <w:vAlign w:val="bottom"/>
            <w:shd w:val="clear" w:color="auto" w:fill="CCEEFF"/>
          </w:tcPr>
          <w:p>
            <w:pPr>
              <w:spacing w:after="0"/>
              <w:rPr>
                <w:sz w:val="24"/>
                <w:szCs w:val="24"/>
                <w:color w:val="auto"/>
              </w:rPr>
            </w:pPr>
          </w:p>
        </w:tc>
        <w:tc>
          <w:tcPr>
            <w:tcW w:w="456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Amortization of net actuarial loss</w:t>
            </w:r>
          </w:p>
        </w:tc>
        <w:tc>
          <w:tcPr>
            <w:tcW w:w="7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4,442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6,387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13,325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19,161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19,713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23,105</w:t>
            </w:r>
          </w:p>
        </w:tc>
      </w:tr>
      <w:tr>
        <w:trPr>
          <w:trHeight w:val="264"/>
        </w:trPr>
        <w:tc>
          <w:tcPr>
            <w:tcW w:w="60" w:type="dxa"/>
            <w:vAlign w:val="bottom"/>
            <w:tcBorders>
              <w:bottom w:val="single" w:sz="8" w:color="CCEEFF"/>
            </w:tcBorders>
          </w:tcPr>
          <w:p>
            <w:pPr>
              <w:spacing w:after="0"/>
              <w:rPr>
                <w:sz w:val="22"/>
                <w:szCs w:val="22"/>
                <w:color w:val="auto"/>
              </w:rPr>
            </w:pPr>
          </w:p>
        </w:tc>
        <w:tc>
          <w:tcPr>
            <w:tcW w:w="4560" w:type="dxa"/>
            <w:vAlign w:val="bottom"/>
            <w:tcBorders>
              <w:bottom w:val="single" w:sz="8" w:color="CCEEFF"/>
            </w:tcBorders>
            <w:gridSpan w:val="3"/>
          </w:tcPr>
          <w:p>
            <w:pPr>
              <w:ind w:left="220"/>
              <w:spacing w:after="0"/>
              <w:rPr>
                <w:sz w:val="20"/>
                <w:szCs w:val="20"/>
                <w:color w:val="auto"/>
              </w:rPr>
            </w:pPr>
            <w:r>
              <w:rPr>
                <w:rFonts w:ascii="Arial" w:cs="Arial" w:eastAsia="Arial" w:hAnsi="Arial"/>
                <w:sz w:val="14"/>
                <w:szCs w:val="14"/>
                <w:color w:val="auto"/>
              </w:rPr>
              <w:t>Regulatory adjustment</w:t>
            </w:r>
          </w:p>
        </w:tc>
        <w:tc>
          <w:tcPr>
            <w:tcW w:w="7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(4,065)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(5,746)</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(12,193)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(17,236)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6,021</w:t>
            </w:r>
          </w:p>
        </w:tc>
      </w:tr>
      <w:tr>
        <w:trPr>
          <w:trHeight w:val="256"/>
        </w:trPr>
        <w:tc>
          <w:tcPr>
            <w:tcW w:w="60" w:type="dxa"/>
            <w:vAlign w:val="bottom"/>
            <w:shd w:val="clear" w:color="auto" w:fill="CCEEFF"/>
          </w:tcPr>
          <w:p>
            <w:pPr>
              <w:spacing w:after="0"/>
              <w:rPr>
                <w:sz w:val="22"/>
                <w:szCs w:val="22"/>
                <w:color w:val="auto"/>
              </w:rPr>
            </w:pPr>
          </w:p>
        </w:tc>
        <w:tc>
          <w:tcPr>
            <w:tcW w:w="456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Net defined benefit pension plans</w:t>
            </w:r>
          </w:p>
        </w:tc>
        <w:tc>
          <w:tcPr>
            <w:tcW w:w="76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618</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895</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1,856</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2,687</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3,952</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(2,606)</w:t>
            </w:r>
          </w:p>
        </w:tc>
      </w:tr>
      <w:tr>
        <w:trPr>
          <w:trHeight w:val="258"/>
        </w:trPr>
        <w:tc>
          <w:tcPr>
            <w:tcW w:w="60" w:type="dxa"/>
            <w:vAlign w:val="bottom"/>
          </w:tcPr>
          <w:p>
            <w:pPr>
              <w:spacing w:after="0"/>
              <w:rPr>
                <w:sz w:val="22"/>
                <w:szCs w:val="22"/>
                <w:color w:val="auto"/>
              </w:rPr>
            </w:pPr>
          </w:p>
        </w:tc>
        <w:tc>
          <w:tcPr>
            <w:tcW w:w="4560" w:type="dxa"/>
            <w:vAlign w:val="bottom"/>
            <w:gridSpan w:val="3"/>
          </w:tcPr>
          <w:p>
            <w:pPr>
              <w:ind w:left="120"/>
              <w:spacing w:after="0"/>
              <w:rPr>
                <w:sz w:val="20"/>
                <w:szCs w:val="20"/>
                <w:color w:val="auto"/>
              </w:rPr>
            </w:pPr>
            <w:r>
              <w:rPr>
                <w:rFonts w:ascii="Arial" w:cs="Arial" w:eastAsia="Arial" w:hAnsi="Arial"/>
                <w:sz w:val="14"/>
                <w:szCs w:val="14"/>
                <w:color w:val="auto"/>
              </w:rPr>
              <w:t>Forward-starting interest rate swaps (“FSIRS”):</w:t>
            </w: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70"/>
        </w:trPr>
        <w:tc>
          <w:tcPr>
            <w:tcW w:w="60" w:type="dxa"/>
            <w:vAlign w:val="bottom"/>
            <w:shd w:val="clear" w:color="auto" w:fill="CCEEFF"/>
          </w:tcPr>
          <w:p>
            <w:pPr>
              <w:spacing w:after="0"/>
              <w:rPr>
                <w:sz w:val="23"/>
                <w:szCs w:val="23"/>
                <w:color w:val="auto"/>
              </w:rPr>
            </w:pPr>
          </w:p>
        </w:tc>
        <w:tc>
          <w:tcPr>
            <w:tcW w:w="456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Amounts reclassified into net income</w:t>
            </w:r>
          </w:p>
        </w:tc>
        <w:tc>
          <w:tcPr>
            <w:tcW w:w="76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635</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636</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1,906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1,907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2,540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2,426</w:t>
            </w:r>
          </w:p>
        </w:tc>
      </w:tr>
      <w:tr>
        <w:trPr>
          <w:trHeight w:val="250"/>
        </w:trPr>
        <w:tc>
          <w:tcPr>
            <w:tcW w:w="60" w:type="dxa"/>
            <w:vAlign w:val="bottom"/>
            <w:tcBorders>
              <w:bottom w:val="single" w:sz="8" w:color="CCEEFF"/>
            </w:tcBorders>
          </w:tcPr>
          <w:p>
            <w:pPr>
              <w:spacing w:after="0"/>
              <w:rPr>
                <w:sz w:val="21"/>
                <w:szCs w:val="21"/>
                <w:color w:val="auto"/>
              </w:rPr>
            </w:pPr>
          </w:p>
        </w:tc>
        <w:tc>
          <w:tcPr>
            <w:tcW w:w="4560" w:type="dxa"/>
            <w:vAlign w:val="bottom"/>
            <w:tcBorders>
              <w:bottom w:val="single" w:sz="8" w:color="CCEEFF"/>
            </w:tcBorders>
            <w:gridSpan w:val="3"/>
          </w:tcPr>
          <w:p>
            <w:pPr>
              <w:ind w:left="320"/>
              <w:spacing w:after="0"/>
              <w:rPr>
                <w:sz w:val="20"/>
                <w:szCs w:val="20"/>
                <w:color w:val="auto"/>
              </w:rPr>
            </w:pPr>
            <w:r>
              <w:rPr>
                <w:rFonts w:ascii="Arial" w:cs="Arial" w:eastAsia="Arial" w:hAnsi="Arial"/>
                <w:sz w:val="14"/>
                <w:szCs w:val="14"/>
                <w:color w:val="auto"/>
              </w:rPr>
              <w:t>Net forward-starting interest rate swaps</w:t>
            </w:r>
          </w:p>
        </w:tc>
        <w:tc>
          <w:tcPr>
            <w:tcW w:w="7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635</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636</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1,906</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1,907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2,540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2,426</w:t>
            </w:r>
          </w:p>
        </w:tc>
      </w:tr>
      <w:tr>
        <w:trPr>
          <w:trHeight w:val="250"/>
        </w:trPr>
        <w:tc>
          <w:tcPr>
            <w:tcW w:w="60" w:type="dxa"/>
            <w:vAlign w:val="bottom"/>
            <w:shd w:val="clear" w:color="auto" w:fill="CCEEFF"/>
          </w:tcPr>
          <w:p>
            <w:pPr>
              <w:spacing w:after="0"/>
              <w:rPr>
                <w:sz w:val="21"/>
                <w:szCs w:val="21"/>
                <w:color w:val="auto"/>
              </w:rPr>
            </w:pPr>
          </w:p>
        </w:tc>
        <w:tc>
          <w:tcPr>
            <w:tcW w:w="45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Foreign currency translation adjustments</w:t>
            </w:r>
          </w:p>
        </w:tc>
        <w:tc>
          <w:tcPr>
            <w:tcW w:w="76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(447)</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599</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1,131</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(1,002)</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(877)</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(1,092)</w:t>
            </w:r>
          </w:p>
        </w:tc>
      </w:tr>
      <w:tr>
        <w:trPr>
          <w:trHeight w:val="250"/>
        </w:trPr>
        <w:tc>
          <w:tcPr>
            <w:tcW w:w="4620" w:type="dxa"/>
            <w:vAlign w:val="bottom"/>
            <w:tcBorders>
              <w:bottom w:val="single" w:sz="8" w:color="CCEEFF"/>
            </w:tcBorders>
            <w:gridSpan w:val="4"/>
          </w:tcPr>
          <w:p>
            <w:pPr>
              <w:ind w:left="40"/>
              <w:spacing w:after="0"/>
              <w:rPr>
                <w:sz w:val="20"/>
                <w:szCs w:val="20"/>
                <w:color w:val="auto"/>
              </w:rPr>
            </w:pPr>
            <w:r>
              <w:rPr>
                <w:rFonts w:ascii="Arial" w:cs="Arial" w:eastAsia="Arial" w:hAnsi="Arial"/>
                <w:sz w:val="14"/>
                <w:szCs w:val="14"/>
                <w:color w:val="auto"/>
              </w:rPr>
              <w:t>Total other comprehensive income (loss), net of tax</w:t>
            </w:r>
          </w:p>
        </w:tc>
        <w:tc>
          <w:tcPr>
            <w:tcW w:w="7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806</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2,130</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4,893</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3,592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5,615</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(1,272)</w:t>
            </w:r>
          </w:p>
        </w:tc>
      </w:tr>
      <w:tr>
        <w:trPr>
          <w:trHeight w:val="256"/>
        </w:trPr>
        <w:tc>
          <w:tcPr>
            <w:tcW w:w="462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Comprehensive income</w:t>
            </w:r>
          </w:p>
        </w:tc>
        <w:tc>
          <w:tcPr>
            <w:tcW w:w="7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7,331</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14,461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129,634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115,768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199,832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207,300</w:t>
            </w:r>
          </w:p>
        </w:tc>
      </w:tr>
      <w:tr>
        <w:trPr>
          <w:trHeight w:val="264"/>
        </w:trPr>
        <w:tc>
          <w:tcPr>
            <w:tcW w:w="60" w:type="dxa"/>
            <w:vAlign w:val="bottom"/>
            <w:tcBorders>
              <w:bottom w:val="single" w:sz="8" w:color="CCEEFF"/>
            </w:tcBorders>
          </w:tcPr>
          <w:p>
            <w:pPr>
              <w:spacing w:after="0"/>
              <w:rPr>
                <w:sz w:val="22"/>
                <w:szCs w:val="22"/>
                <w:color w:val="auto"/>
              </w:rPr>
            </w:pPr>
          </w:p>
        </w:tc>
        <w:tc>
          <w:tcPr>
            <w:tcW w:w="4560" w:type="dxa"/>
            <w:vAlign w:val="bottom"/>
            <w:tcBorders>
              <w:bottom w:val="single" w:sz="8" w:color="CCEEFF"/>
            </w:tcBorders>
            <w:gridSpan w:val="3"/>
          </w:tcPr>
          <w:p>
            <w:pPr>
              <w:ind w:left="320"/>
              <w:spacing w:after="0"/>
              <w:rPr>
                <w:sz w:val="20"/>
                <w:szCs w:val="20"/>
                <w:color w:val="auto"/>
              </w:rPr>
            </w:pPr>
            <w:r>
              <w:rPr>
                <w:rFonts w:ascii="Arial" w:cs="Arial" w:eastAsia="Arial" w:hAnsi="Arial"/>
                <w:sz w:val="14"/>
                <w:szCs w:val="14"/>
                <w:color w:val="auto"/>
              </w:rPr>
              <w:t>Comprehensive income (loss) attributable to noncontrolling interests</w:t>
            </w:r>
          </w:p>
        </w:tc>
        <w:tc>
          <w:tcPr>
            <w:tcW w:w="7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1,172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2,523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2,695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(866)</w:t>
            </w:r>
          </w:p>
        </w:tc>
      </w:tr>
      <w:tr>
        <w:trPr>
          <w:trHeight w:val="243"/>
        </w:trPr>
        <w:tc>
          <w:tcPr>
            <w:tcW w:w="462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rPr>
              <w:t>Comprehensive income attributable to Southwest Gas Holdings, Inc.</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6,159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14,461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127,111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116,565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197,137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208,166</w:t>
            </w: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sectPr>
      </w:pPr>
    </w:p>
    <w:bookmarkStart w:id="6" w:name="page7"/>
    <w:bookmarkEnd w:id="6"/>
    <w:tbl>
      <w:tblPr>
        <w:tblLayout w:type="fixed"/>
        <w:tblInd w:w="4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HOLDINGS,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ectPr>
          <w:pgSz w:w="11900" w:h="16838" w:orient="portrait"/>
          <w:cols w:equalWidth="0" w:num="1">
            <w:col w:w="11380"/>
          </w:cols>
          <w:pgMar w:left="260" w:top="270"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0"/>
        <w:spacing w:after="0"/>
        <w:rPr>
          <w:sz w:val="20"/>
          <w:szCs w:val="20"/>
          <w:color w:val="auto"/>
        </w:rPr>
      </w:pPr>
      <w:r>
        <w:rPr>
          <w:rFonts w:ascii="Arial" w:cs="Arial" w:eastAsia="Arial" w:hAnsi="Arial"/>
          <w:sz w:val="14"/>
          <w:szCs w:val="14"/>
          <w:color w:val="auto"/>
        </w:rPr>
        <w:t>CASH FLOW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-287020</wp:posOffset>
            </wp:positionV>
            <wp:extent cx="7229475" cy="1803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1803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72390</wp:posOffset>
            </wp:positionV>
            <wp:extent cx="7229475"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3"/>
          <w:szCs w:val="13"/>
          <w:color w:val="auto"/>
        </w:rPr>
        <w:t>Adjustments to reconcile net income to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71120</wp:posOffset>
            </wp:positionV>
            <wp:extent cx="7229475"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101"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Depreciation and amortization</w:t>
      </w:r>
    </w:p>
    <w:p>
      <w:pPr>
        <w:spacing w:after="0" w:line="109"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64135</wp:posOffset>
            </wp:positionV>
            <wp:extent cx="722947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Changes in current assets and liabilities:</w:t>
      </w:r>
    </w:p>
    <w:p>
      <w:pPr>
        <w:spacing w:after="0" w:line="109"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Accounts receivable, net of allowances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64135</wp:posOffset>
            </wp:positionV>
            <wp:extent cx="722947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Accrued utility revenue</w:t>
      </w:r>
    </w:p>
    <w:p>
      <w:pPr>
        <w:spacing w:after="0" w:line="109"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Deferred purchased gas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64135</wp:posOffset>
            </wp:positionV>
            <wp:extent cx="722947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Accounts payable</w:t>
      </w:r>
    </w:p>
    <w:p>
      <w:pPr>
        <w:spacing w:after="0" w:line="109"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Accrued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64135</wp:posOffset>
            </wp:positionV>
            <wp:extent cx="722947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1540"/>
        <w:spacing w:after="0"/>
        <w:rPr>
          <w:sz w:val="20"/>
          <w:szCs w:val="20"/>
          <w:color w:val="auto"/>
        </w:rPr>
      </w:pPr>
      <w:r>
        <w:rPr>
          <w:rFonts w:ascii="Arial" w:cs="Arial" w:eastAsia="Arial" w:hAnsi="Arial"/>
          <w:sz w:val="14"/>
          <w:szCs w:val="14"/>
          <w:color w:val="auto"/>
        </w:rPr>
        <w:t>Other current assets and liabilities</w:t>
      </w:r>
    </w:p>
    <w:p>
      <w:pPr>
        <w:spacing w:after="0" w:line="109"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Gains on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64135</wp:posOffset>
            </wp:positionV>
            <wp:extent cx="722947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Changes in undistributed stock compensation</w:t>
      </w:r>
    </w:p>
    <w:p>
      <w:pPr>
        <w:spacing w:after="0" w:line="109"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Equity AFUDC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64135</wp:posOffset>
            </wp:positionV>
            <wp:extent cx="722947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Changes in other assets and deferred charges</w:t>
      </w:r>
    </w:p>
    <w:p>
      <w:pPr>
        <w:spacing w:after="0" w:line="109"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Changes in other liabilities and deferred credits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64135</wp:posOffset>
            </wp:positionV>
            <wp:extent cx="722947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700"/>
        <w:spacing w:after="0"/>
        <w:rPr>
          <w:sz w:val="20"/>
          <w:szCs w:val="20"/>
          <w:color w:val="auto"/>
        </w:rPr>
      </w:pPr>
      <w:r>
        <w:rPr>
          <w:rFonts w:ascii="Arial" w:cs="Arial" w:eastAsia="Arial" w:hAnsi="Arial"/>
          <w:sz w:val="14"/>
          <w:szCs w:val="14"/>
          <w:color w:val="auto"/>
        </w:rPr>
        <w:t>Net cash provided by operating activities</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CASH FLOW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2947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Construction expenditures and property additions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Acquisition of businesses, net of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64135</wp:posOffset>
            </wp:positionV>
            <wp:extent cx="722947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Changes in customer advances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Miscellaneous inflows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64135</wp:posOffset>
            </wp:positionV>
            <wp:extent cx="722947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700"/>
        <w:spacing w:after="0"/>
        <w:rPr>
          <w:sz w:val="20"/>
          <w:szCs w:val="20"/>
          <w:color w:val="auto"/>
        </w:rPr>
      </w:pPr>
      <w:r>
        <w:rPr>
          <w:rFonts w:ascii="Arial" w:cs="Arial" w:eastAsia="Arial" w:hAnsi="Arial"/>
          <w:sz w:val="14"/>
          <w:szCs w:val="14"/>
          <w:color w:val="auto"/>
        </w:rPr>
        <w:t>Net cash used in investing activities</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CASH FLOW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72390</wp:posOffset>
            </wp:positionV>
            <wp:extent cx="722947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10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Issuance of common stock, net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Dividends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64135</wp:posOffset>
            </wp:positionV>
            <wp:extent cx="722947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Issuance of long-term debt, net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Retirement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64135</wp:posOffset>
            </wp:positionV>
            <wp:extent cx="722947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Change in short-term debt</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Principal payments on finance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64135</wp:posOffset>
            </wp:positionV>
            <wp:extent cx="722947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Withholding remittance - share-based compensation</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Other</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2060" w:type="dxa"/>
            <w:vAlign w:val="bottom"/>
            <w:gridSpan w:val="5"/>
          </w:tcPr>
          <w:p>
            <w:pPr>
              <w:jc w:val="center"/>
              <w:ind w:right="340"/>
              <w:spacing w:after="0"/>
              <w:rPr>
                <w:sz w:val="20"/>
                <w:szCs w:val="20"/>
                <w:color w:val="auto"/>
              </w:rPr>
            </w:pPr>
            <w:r>
              <w:rPr>
                <w:rFonts w:ascii="Arial" w:cs="Arial" w:eastAsia="Arial" w:hAnsi="Arial"/>
                <w:sz w:val="14"/>
                <w:szCs w:val="14"/>
                <w:color w:val="auto"/>
                <w:w w:val="94"/>
              </w:rPr>
              <w:t>Nine Months Ended</w:t>
            </w:r>
          </w:p>
        </w:tc>
        <w:tc>
          <w:tcPr>
            <w:tcW w:w="180" w:type="dxa"/>
            <w:vAlign w:val="bottom"/>
          </w:tcPr>
          <w:p>
            <w:pPr>
              <w:spacing w:after="0"/>
              <w:rPr>
                <w:sz w:val="14"/>
                <w:szCs w:val="14"/>
                <w:color w:val="auto"/>
              </w:rPr>
            </w:pPr>
          </w:p>
        </w:tc>
        <w:tc>
          <w:tcPr>
            <w:tcW w:w="1940" w:type="dxa"/>
            <w:vAlign w:val="bottom"/>
            <w:gridSpan w:val="4"/>
          </w:tcPr>
          <w:p>
            <w:pPr>
              <w:jc w:val="right"/>
              <w:ind w:right="328"/>
              <w:spacing w:after="0"/>
              <w:rPr>
                <w:sz w:val="20"/>
                <w:szCs w:val="20"/>
                <w:color w:val="auto"/>
              </w:rPr>
            </w:pPr>
            <w:r>
              <w:rPr>
                <w:rFonts w:ascii="Arial" w:cs="Arial" w:eastAsia="Arial" w:hAnsi="Arial"/>
                <w:sz w:val="14"/>
                <w:szCs w:val="14"/>
                <w:color w:val="auto"/>
              </w:rPr>
              <w:t>Twelve Months Ended</w:t>
            </w:r>
          </w:p>
        </w:tc>
      </w:tr>
      <w:tr>
        <w:trPr>
          <w:trHeight w:val="188"/>
        </w:trPr>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left="368"/>
              <w:spacing w:after="0"/>
              <w:rPr>
                <w:sz w:val="20"/>
                <w:szCs w:val="20"/>
                <w:color w:val="auto"/>
              </w:rPr>
            </w:pPr>
            <w:r>
              <w:rPr>
                <w:rFonts w:ascii="Arial" w:cs="Arial" w:eastAsia="Arial" w:hAnsi="Arial"/>
                <w:sz w:val="14"/>
                <w:szCs w:val="14"/>
                <w:color w:val="auto"/>
                <w:w w:val="91"/>
              </w:rPr>
              <w:t>September 30,</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568"/>
              <w:spacing w:after="0"/>
              <w:rPr>
                <w:sz w:val="20"/>
                <w:szCs w:val="20"/>
                <w:color w:val="auto"/>
              </w:rPr>
            </w:pPr>
            <w:r>
              <w:rPr>
                <w:rFonts w:ascii="Arial" w:cs="Arial" w:eastAsia="Arial" w:hAnsi="Arial"/>
                <w:sz w:val="14"/>
                <w:szCs w:val="14"/>
                <w:color w:val="auto"/>
              </w:rPr>
              <w:t>September 30,</w:t>
            </w:r>
          </w:p>
        </w:tc>
      </w:tr>
      <w:tr>
        <w:trPr>
          <w:trHeight w:val="264"/>
        </w:trPr>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w w:val="89"/>
              </w:rPr>
              <w:t>2018</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2018</w:t>
            </w:r>
          </w:p>
        </w:tc>
      </w:tr>
      <w:tr>
        <w:trPr>
          <w:trHeight w:val="528"/>
        </w:trPr>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124,741</w:t>
            </w:r>
          </w:p>
        </w:tc>
        <w:tc>
          <w:tcPr>
            <w:tcW w:w="12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112,176</w:t>
            </w: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194,217</w:t>
            </w:r>
          </w:p>
        </w:tc>
        <w:tc>
          <w:tcPr>
            <w:tcW w:w="12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208,572</w:t>
            </w:r>
          </w:p>
        </w:tc>
      </w:tr>
      <w:tr>
        <w:trPr>
          <w:trHeight w:val="540"/>
        </w:trPr>
        <w:tc>
          <w:tcPr>
            <w:tcW w:w="240" w:type="dxa"/>
            <w:vAlign w:val="bottom"/>
          </w:tcPr>
          <w:p>
            <w:pPr>
              <w:spacing w:after="0"/>
              <w:rPr>
                <w:sz w:val="24"/>
                <w:szCs w:val="24"/>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223,251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185,941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286,522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247,803</w:t>
            </w:r>
          </w:p>
        </w:tc>
      </w:tr>
      <w:tr>
        <w:trPr>
          <w:trHeight w:val="270"/>
        </w:trPr>
        <w:tc>
          <w:tcPr>
            <w:tcW w:w="240" w:type="dxa"/>
            <w:vAlign w:val="bottom"/>
          </w:tcPr>
          <w:p>
            <w:pPr>
              <w:spacing w:after="0"/>
              <w:rPr>
                <w:sz w:val="23"/>
                <w:szCs w:val="23"/>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46,099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36,210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60,930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50,190</w:t>
            </w:r>
          </w:p>
        </w:tc>
      </w:tr>
      <w:tr>
        <w:trPr>
          <w:trHeight w:val="540"/>
        </w:trPr>
        <w:tc>
          <w:tcPr>
            <w:tcW w:w="240" w:type="dxa"/>
            <w:vAlign w:val="bottom"/>
          </w:tcPr>
          <w:p>
            <w:pPr>
              <w:spacing w:after="0"/>
              <w:rPr>
                <w:sz w:val="24"/>
                <w:szCs w:val="24"/>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(19,615)</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(1,659)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(33,818)</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(27,276)</w:t>
            </w:r>
          </w:p>
        </w:tc>
      </w:tr>
      <w:tr>
        <w:trPr>
          <w:trHeight w:val="270"/>
        </w:trPr>
        <w:tc>
          <w:tcPr>
            <w:tcW w:w="240" w:type="dxa"/>
            <w:vAlign w:val="bottom"/>
          </w:tcPr>
          <w:p>
            <w:pPr>
              <w:spacing w:after="0"/>
              <w:rPr>
                <w:sz w:val="23"/>
                <w:szCs w:val="23"/>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41,400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43,600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(1,200)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(500)</w:t>
            </w:r>
          </w:p>
        </w:tc>
      </w:tr>
      <w:tr>
        <w:trPr>
          <w:trHeight w:val="270"/>
        </w:trPr>
        <w:tc>
          <w:tcPr>
            <w:tcW w:w="24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(36,608)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100,763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(54,797)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84,282</w:t>
            </w:r>
          </w:p>
        </w:tc>
      </w:tr>
      <w:tr>
        <w:trPr>
          <w:trHeight w:val="270"/>
        </w:trPr>
        <w:tc>
          <w:tcPr>
            <w:tcW w:w="24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(46,079)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(48,618)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14,317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(1,886)</w:t>
            </w:r>
          </w:p>
        </w:tc>
      </w:tr>
      <w:tr>
        <w:trPr>
          <w:trHeight w:val="270"/>
        </w:trPr>
        <w:tc>
          <w:tcPr>
            <w:tcW w:w="24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(2,841)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(9,840)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(4,956)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(12,417)</w:t>
            </w:r>
          </w:p>
        </w:tc>
      </w:tr>
      <w:tr>
        <w:trPr>
          <w:trHeight w:val="270"/>
        </w:trPr>
        <w:tc>
          <w:tcPr>
            <w:tcW w:w="240" w:type="dxa"/>
            <w:vAlign w:val="bottom"/>
          </w:tcPr>
          <w:p>
            <w:pPr>
              <w:spacing w:after="0"/>
              <w:rPr>
                <w:sz w:val="23"/>
                <w:szCs w:val="23"/>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74,048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1,245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18,730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(50,002)</w:t>
            </w:r>
          </w:p>
        </w:tc>
      </w:tr>
      <w:tr>
        <w:trPr>
          <w:trHeight w:val="270"/>
        </w:trPr>
        <w:tc>
          <w:tcPr>
            <w:tcW w:w="24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(3,157)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(997)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(3,863)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(3,741)</w:t>
            </w:r>
          </w:p>
        </w:tc>
      </w:tr>
      <w:tr>
        <w:trPr>
          <w:trHeight w:val="270"/>
        </w:trPr>
        <w:tc>
          <w:tcPr>
            <w:tcW w:w="240" w:type="dxa"/>
            <w:vAlign w:val="bottom"/>
          </w:tcPr>
          <w:p>
            <w:pPr>
              <w:spacing w:after="0"/>
              <w:rPr>
                <w:sz w:val="23"/>
                <w:szCs w:val="23"/>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6,067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4,686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7,492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6,375</w:t>
            </w:r>
          </w:p>
        </w:tc>
      </w:tr>
      <w:tr>
        <w:trPr>
          <w:trHeight w:val="270"/>
        </w:trPr>
        <w:tc>
          <w:tcPr>
            <w:tcW w:w="24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(3,179)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(1,034)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(5,772)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(1,253)</w:t>
            </w:r>
          </w:p>
        </w:tc>
      </w:tr>
      <w:tr>
        <w:trPr>
          <w:trHeight w:val="270"/>
        </w:trPr>
        <w:tc>
          <w:tcPr>
            <w:tcW w:w="24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(15,855)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(10,497)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(11,096)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(18,296)</w:t>
            </w:r>
          </w:p>
        </w:tc>
      </w:tr>
      <w:tr>
        <w:trPr>
          <w:trHeight w:val="276"/>
        </w:trPr>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(9,786)</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(4,583)</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33,243</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(3,747)</w:t>
            </w:r>
          </w:p>
        </w:tc>
      </w:tr>
      <w:tr>
        <w:trPr>
          <w:trHeight w:val="250"/>
        </w:trPr>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378,486</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407,393</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499,949</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478,104</w:t>
            </w:r>
          </w:p>
        </w:tc>
      </w:tr>
      <w:tr>
        <w:trPr>
          <w:trHeight w:val="528"/>
        </w:trPr>
        <w:tc>
          <w:tcPr>
            <w:tcW w:w="240" w:type="dxa"/>
            <w:vAlign w:val="bottom"/>
          </w:tcPr>
          <w:p>
            <w:pPr>
              <w:spacing w:after="0"/>
              <w:rPr>
                <w:sz w:val="24"/>
                <w:szCs w:val="24"/>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(719,386)</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(560,165)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(925,135)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(733,816)</w:t>
            </w:r>
          </w:p>
        </w:tc>
      </w:tr>
      <w:tr>
        <w:trPr>
          <w:trHeight w:val="270"/>
        </w:trPr>
        <w:tc>
          <w:tcPr>
            <w:tcW w:w="24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(19,533)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(4,209)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(266,697)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(98,413)</w:t>
            </w:r>
          </w:p>
        </w:tc>
      </w:tr>
      <w:tr>
        <w:trPr>
          <w:trHeight w:val="270"/>
        </w:trPr>
        <w:tc>
          <w:tcPr>
            <w:tcW w:w="240" w:type="dxa"/>
            <w:vAlign w:val="bottom"/>
          </w:tcPr>
          <w:p>
            <w:pPr>
              <w:spacing w:after="0"/>
              <w:rPr>
                <w:sz w:val="23"/>
                <w:szCs w:val="23"/>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15,049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11,051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17,461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13,325</w:t>
            </w:r>
          </w:p>
        </w:tc>
      </w:tr>
      <w:tr>
        <w:trPr>
          <w:trHeight w:val="276"/>
        </w:trPr>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12,862</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3,827</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13,376</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11,312</w:t>
            </w:r>
          </w:p>
        </w:tc>
      </w:tr>
      <w:tr>
        <w:trPr>
          <w:trHeight w:val="250"/>
        </w:trPr>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(711,008)</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(549,496)</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(1,160,995)</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(807,592)</w:t>
            </w:r>
          </w:p>
        </w:tc>
      </w:tr>
      <w:tr>
        <w:trPr>
          <w:trHeight w:val="528"/>
        </w:trPr>
        <w:tc>
          <w:tcPr>
            <w:tcW w:w="240" w:type="dxa"/>
            <w:vAlign w:val="bottom"/>
          </w:tcPr>
          <w:p>
            <w:pPr>
              <w:spacing w:after="0"/>
              <w:rPr>
                <w:sz w:val="24"/>
                <w:szCs w:val="24"/>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129,341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92,234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391,509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121,826</w:t>
            </w:r>
          </w:p>
        </w:tc>
      </w:tr>
      <w:tr>
        <w:trPr>
          <w:trHeight w:val="270"/>
        </w:trPr>
        <w:tc>
          <w:tcPr>
            <w:tcW w:w="24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(86,345)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(74,535)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(112,050)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(98,162)</w:t>
            </w:r>
          </w:p>
        </w:tc>
      </w:tr>
      <w:tr>
        <w:trPr>
          <w:trHeight w:val="270"/>
        </w:trPr>
        <w:tc>
          <w:tcPr>
            <w:tcW w:w="240" w:type="dxa"/>
            <w:vAlign w:val="bottom"/>
          </w:tcPr>
          <w:p>
            <w:pPr>
              <w:spacing w:after="0"/>
              <w:rPr>
                <w:sz w:val="23"/>
                <w:szCs w:val="23"/>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482,614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480,993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566,793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783,748</w:t>
            </w:r>
          </w:p>
        </w:tc>
      </w:tr>
      <w:tr>
        <w:trPr>
          <w:trHeight w:val="270"/>
        </w:trPr>
        <w:tc>
          <w:tcPr>
            <w:tcW w:w="24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(127,175)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(143,757)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(221,176)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(382,486)</w:t>
            </w:r>
          </w:p>
        </w:tc>
      </w:tr>
      <w:tr>
        <w:trPr>
          <w:trHeight w:val="270"/>
        </w:trPr>
        <w:tc>
          <w:tcPr>
            <w:tcW w:w="24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(122,000)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(183,000)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(1,500)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(79,000)</w:t>
            </w:r>
          </w:p>
        </w:tc>
      </w:tr>
      <w:tr>
        <w:trPr>
          <w:trHeight w:val="270"/>
        </w:trPr>
        <w:tc>
          <w:tcPr>
            <w:tcW w:w="24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(161)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(422)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(387)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(606)</w:t>
            </w:r>
          </w:p>
        </w:tc>
      </w:tr>
      <w:tr>
        <w:trPr>
          <w:trHeight w:val="270"/>
        </w:trPr>
        <w:tc>
          <w:tcPr>
            <w:tcW w:w="24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(1,858)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(2,880)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(2,088)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(2,880)</w:t>
            </w:r>
          </w:p>
        </w:tc>
      </w:tr>
      <w:tr>
        <w:trPr>
          <w:trHeight w:val="270"/>
        </w:trPr>
        <w:tc>
          <w:tcPr>
            <w:tcW w:w="240" w:type="dxa"/>
            <w:vAlign w:val="bottom"/>
          </w:tcPr>
          <w:p>
            <w:pPr>
              <w:spacing w:after="0"/>
              <w:rPr>
                <w:sz w:val="23"/>
                <w:szCs w:val="23"/>
                <w:color w:val="auto"/>
              </w:rPr>
            </w:pP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1,167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(1,121)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(456)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(3,091)</w:t>
            </w:r>
          </w:p>
        </w:tc>
      </w:tr>
    </w:tbl>
    <w:p>
      <w:pPr>
        <w:spacing w:after="0" w:line="1" w:lineRule="exact"/>
        <w:rPr>
          <w:sz w:val="20"/>
          <w:szCs w:val="20"/>
          <w:color w:val="auto"/>
        </w:rPr>
      </w:pPr>
    </w:p>
    <w:p>
      <w:pPr>
        <w:sectPr>
          <w:pgSz w:w="11900" w:h="16838" w:orient="portrait"/>
          <w:cols w:equalWidth="0" w:num="2">
            <w:col w:w="6240" w:space="720"/>
            <w:col w:w="4420"/>
          </w:cols>
          <w:pgMar w:left="260" w:top="270" w:right="259" w:bottom="1440"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6960" w:type="dxa"/>
            <w:vAlign w:val="bottom"/>
            <w:tcBorders>
              <w:top w:val="single" w:sz="8" w:color="CCEEFF"/>
              <w:bottom w:val="single" w:sz="8" w:color="CCEEFF"/>
            </w:tcBorders>
            <w:shd w:val="clear" w:color="auto" w:fill="CCEEFF"/>
          </w:tcPr>
          <w:p>
            <w:pPr>
              <w:ind w:left="700"/>
              <w:spacing w:after="0"/>
              <w:rPr>
                <w:sz w:val="20"/>
                <w:szCs w:val="20"/>
                <w:color w:val="auto"/>
              </w:rPr>
            </w:pPr>
            <w:r>
              <w:rPr>
                <w:rFonts w:ascii="Arial" w:cs="Arial" w:eastAsia="Arial" w:hAnsi="Arial"/>
                <w:sz w:val="14"/>
                <w:szCs w:val="14"/>
                <w:color w:val="auto"/>
              </w:rPr>
              <w:t>Net cash provided by financing activities</w:t>
            </w:r>
          </w:p>
        </w:tc>
        <w:tc>
          <w:tcPr>
            <w:tcW w:w="280" w:type="dxa"/>
            <w:vAlign w:val="bottom"/>
            <w:tcBorders>
              <w:top w:val="single" w:sz="8" w:color="auto"/>
              <w:bottom w:val="single" w:sz="8" w:color="CCEEFF"/>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275,583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spacing w:after="0"/>
              <w:rPr>
                <w:sz w:val="22"/>
                <w:szCs w:val="22"/>
                <w:color w:val="auto"/>
              </w:rPr>
            </w:pPr>
          </w:p>
        </w:tc>
        <w:tc>
          <w:tcPr>
            <w:tcW w:w="7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167,512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spacing w:after="0"/>
              <w:rPr>
                <w:sz w:val="22"/>
                <w:szCs w:val="22"/>
                <w:color w:val="auto"/>
              </w:rPr>
            </w:pPr>
          </w:p>
        </w:tc>
        <w:tc>
          <w:tcPr>
            <w:tcW w:w="7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620,645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spacing w:after="0"/>
              <w:rPr>
                <w:sz w:val="22"/>
                <w:szCs w:val="22"/>
                <w:color w:val="auto"/>
              </w:rPr>
            </w:pPr>
          </w:p>
        </w:tc>
        <w:tc>
          <w:tcPr>
            <w:tcW w:w="7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339,349</w:t>
            </w:r>
          </w:p>
        </w:tc>
        <w:tc>
          <w:tcPr>
            <w:tcW w:w="0" w:type="dxa"/>
            <w:vAlign w:val="bottom"/>
          </w:tcPr>
          <w:p>
            <w:pPr>
              <w:spacing w:after="0"/>
              <w:rPr>
                <w:sz w:val="1"/>
                <w:szCs w:val="1"/>
                <w:color w:val="auto"/>
              </w:rPr>
            </w:pPr>
          </w:p>
        </w:tc>
      </w:tr>
      <w:tr>
        <w:trPr>
          <w:trHeight w:val="171"/>
        </w:trPr>
        <w:tc>
          <w:tcPr>
            <w:tcW w:w="6960" w:type="dxa"/>
            <w:vAlign w:val="bottom"/>
          </w:tcPr>
          <w:p>
            <w:pPr>
              <w:ind w:left="380"/>
              <w:spacing w:after="0"/>
              <w:rPr>
                <w:sz w:val="20"/>
                <w:szCs w:val="20"/>
                <w:color w:val="auto"/>
              </w:rPr>
            </w:pPr>
            <w:r>
              <w:rPr>
                <w:rFonts w:ascii="Arial" w:cs="Arial" w:eastAsia="Arial" w:hAnsi="Arial"/>
                <w:sz w:val="14"/>
                <w:szCs w:val="14"/>
                <w:color w:val="auto"/>
              </w:rPr>
              <w:t>Effects of currency translation on cash and cash equivalents</w:t>
            </w:r>
          </w:p>
        </w:tc>
        <w:tc>
          <w:tcPr>
            <w:tcW w:w="2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vMerge w:val="restart"/>
          </w:tcPr>
          <w:p>
            <w:pPr>
              <w:jc w:val="right"/>
              <w:ind w:right="68"/>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139</w:t>
            </w: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(289)</w:t>
            </w: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74"/>
        </w:trPr>
        <w:tc>
          <w:tcPr>
            <w:tcW w:w="696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9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Change in cash and cash equivalents</w:t>
            </w:r>
          </w:p>
        </w:tc>
        <w:tc>
          <w:tcPr>
            <w:tcW w:w="28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(56,881)</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25,548</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(40,690)</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10,018</w:t>
            </w:r>
          </w:p>
        </w:tc>
        <w:tc>
          <w:tcPr>
            <w:tcW w:w="0" w:type="dxa"/>
            <w:vAlign w:val="bottom"/>
          </w:tcPr>
          <w:p>
            <w:pPr>
              <w:spacing w:after="0"/>
              <w:rPr>
                <w:sz w:val="1"/>
                <w:szCs w:val="1"/>
                <w:color w:val="auto"/>
              </w:rPr>
            </w:pPr>
          </w:p>
        </w:tc>
      </w:tr>
      <w:tr>
        <w:trPr>
          <w:trHeight w:val="80"/>
        </w:trPr>
        <w:tc>
          <w:tcPr>
            <w:tcW w:w="69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960" w:type="dxa"/>
            <w:vAlign w:val="bottom"/>
          </w:tcPr>
          <w:p>
            <w:pPr>
              <w:ind w:left="380"/>
              <w:spacing w:after="0"/>
              <w:rPr>
                <w:sz w:val="20"/>
                <w:szCs w:val="20"/>
                <w:color w:val="auto"/>
              </w:rPr>
            </w:pPr>
            <w:r>
              <w:rPr>
                <w:rFonts w:ascii="Arial" w:cs="Arial" w:eastAsia="Arial" w:hAnsi="Arial"/>
                <w:sz w:val="14"/>
                <w:szCs w:val="14"/>
                <w:color w:val="auto"/>
              </w:rPr>
              <w:t>Cash and cash equivalents at beginning of period</w:t>
            </w:r>
          </w:p>
        </w:tc>
        <w:tc>
          <w:tcPr>
            <w:tcW w:w="280" w:type="dxa"/>
            <w:vAlign w:val="bottom"/>
          </w:tcPr>
          <w:p>
            <w:pPr>
              <w:spacing w:after="0"/>
              <w:rPr>
                <w:sz w:val="16"/>
                <w:szCs w:val="16"/>
                <w:color w:val="auto"/>
              </w:rPr>
            </w:pP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color w:val="auto"/>
              </w:rPr>
              <w:t>85,361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43,622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69,170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59,152</w:t>
            </w:r>
          </w:p>
        </w:tc>
        <w:tc>
          <w:tcPr>
            <w:tcW w:w="0" w:type="dxa"/>
            <w:vAlign w:val="bottom"/>
          </w:tcPr>
          <w:p>
            <w:pPr>
              <w:spacing w:after="0"/>
              <w:rPr>
                <w:sz w:val="1"/>
                <w:szCs w:val="1"/>
                <w:color w:val="auto"/>
              </w:rPr>
            </w:pPr>
          </w:p>
        </w:tc>
      </w:tr>
      <w:tr>
        <w:trPr>
          <w:trHeight w:val="74"/>
        </w:trPr>
        <w:tc>
          <w:tcPr>
            <w:tcW w:w="6960" w:type="dxa"/>
            <w:vAlign w:val="bottom"/>
            <w:tcBorders>
              <w:bottom w:val="single" w:sz="8" w:color="CCEEFF"/>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9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 and cash equivalents at end of period</w:t>
            </w: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28,480</w:t>
            </w:r>
          </w:p>
        </w:tc>
        <w:tc>
          <w:tcPr>
            <w:tcW w:w="12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69,170</w:t>
            </w:r>
          </w:p>
        </w:tc>
        <w:tc>
          <w:tcPr>
            <w:tcW w:w="12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28,480</w:t>
            </w:r>
          </w:p>
        </w:tc>
        <w:tc>
          <w:tcPr>
            <w:tcW w:w="12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69,170</w:t>
            </w:r>
          </w:p>
        </w:tc>
        <w:tc>
          <w:tcPr>
            <w:tcW w:w="0" w:type="dxa"/>
            <w:vAlign w:val="bottom"/>
          </w:tcPr>
          <w:p>
            <w:pPr>
              <w:spacing w:after="0"/>
              <w:rPr>
                <w:sz w:val="1"/>
                <w:szCs w:val="1"/>
                <w:color w:val="auto"/>
              </w:rPr>
            </w:pPr>
          </w:p>
        </w:tc>
      </w:tr>
      <w:tr>
        <w:trPr>
          <w:trHeight w:val="60"/>
        </w:trPr>
        <w:tc>
          <w:tcPr>
            <w:tcW w:w="696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7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7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7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7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960" w:type="dxa"/>
            <w:vAlign w:val="bottom"/>
            <w:vMerge w:val="restart"/>
          </w:tcPr>
          <w:p>
            <w:pPr>
              <w:ind w:left="380"/>
              <w:spacing w:after="0"/>
              <w:rPr>
                <w:sz w:val="20"/>
                <w:szCs w:val="20"/>
                <w:color w:val="auto"/>
              </w:rPr>
            </w:pPr>
            <w:r>
              <w:rPr>
                <w:rFonts w:ascii="Arial" w:cs="Arial" w:eastAsia="Arial" w:hAnsi="Arial"/>
                <w:sz w:val="14"/>
                <w:szCs w:val="14"/>
                <w:color w:val="auto"/>
              </w:rPr>
              <w:t>Supplemental information:</w:t>
            </w: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9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6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69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Interest paid, net of amounts capitalized</w:t>
            </w:r>
          </w:p>
        </w:tc>
        <w:tc>
          <w:tcPr>
            <w:tcW w:w="2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62,165</w:t>
            </w:r>
          </w:p>
        </w:tc>
        <w:tc>
          <w:tcPr>
            <w:tcW w:w="120" w:type="dxa"/>
            <w:vAlign w:val="bottom"/>
            <w:shd w:val="clear" w:color="auto" w:fill="CCEEFF"/>
          </w:tcPr>
          <w:p>
            <w:pPr>
              <w:spacing w:after="0"/>
              <w:rPr>
                <w:sz w:val="16"/>
                <w:szCs w:val="16"/>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49,568</w:t>
            </w:r>
          </w:p>
        </w:tc>
        <w:tc>
          <w:tcPr>
            <w:tcW w:w="120" w:type="dxa"/>
            <w:vAlign w:val="bottom"/>
            <w:shd w:val="clear" w:color="auto" w:fill="CCEEFF"/>
          </w:tcPr>
          <w:p>
            <w:pPr>
              <w:spacing w:after="0"/>
              <w:rPr>
                <w:sz w:val="16"/>
                <w:szCs w:val="16"/>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99,159</w:t>
            </w:r>
          </w:p>
        </w:tc>
        <w:tc>
          <w:tcPr>
            <w:tcW w:w="120" w:type="dxa"/>
            <w:vAlign w:val="bottom"/>
            <w:shd w:val="clear" w:color="auto" w:fill="CCEEFF"/>
          </w:tcPr>
          <w:p>
            <w:pPr>
              <w:spacing w:after="0"/>
              <w:rPr>
                <w:sz w:val="16"/>
                <w:szCs w:val="16"/>
                <w:color w:val="auto"/>
              </w:rPr>
            </w:pP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75,740</w:t>
            </w:r>
          </w:p>
        </w:tc>
        <w:tc>
          <w:tcPr>
            <w:tcW w:w="0" w:type="dxa"/>
            <w:vAlign w:val="bottom"/>
          </w:tcPr>
          <w:p>
            <w:pPr>
              <w:spacing w:after="0"/>
              <w:rPr>
                <w:sz w:val="1"/>
                <w:szCs w:val="1"/>
                <w:color w:val="auto"/>
              </w:rPr>
            </w:pPr>
          </w:p>
        </w:tc>
      </w:tr>
      <w:tr>
        <w:trPr>
          <w:trHeight w:val="60"/>
        </w:trPr>
        <w:tc>
          <w:tcPr>
            <w:tcW w:w="696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auto"/>
            </w:tcBorders>
            <w:vMerge w:val="continue"/>
            <w:shd w:val="clear" w:color="auto" w:fill="CCEEFF"/>
          </w:tcPr>
          <w:p>
            <w:pPr>
              <w:spacing w:after="0"/>
              <w:rPr>
                <w:sz w:val="5"/>
                <w:szCs w:val="5"/>
                <w:color w:val="auto"/>
              </w:rPr>
            </w:pPr>
          </w:p>
        </w:tc>
        <w:tc>
          <w:tcPr>
            <w:tcW w:w="7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7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7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260" w:type="dxa"/>
            <w:vAlign w:val="bottom"/>
            <w:tcBorders>
              <w:bottom w:val="single" w:sz="8" w:color="auto"/>
            </w:tcBorders>
            <w:vMerge w:val="continue"/>
            <w:shd w:val="clear" w:color="auto" w:fill="CCEEFF"/>
          </w:tcPr>
          <w:p>
            <w:pPr>
              <w:spacing w:after="0"/>
              <w:rPr>
                <w:sz w:val="5"/>
                <w:szCs w:val="5"/>
                <w:color w:val="auto"/>
              </w:rPr>
            </w:pPr>
          </w:p>
        </w:tc>
        <w:tc>
          <w:tcPr>
            <w:tcW w:w="74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960" w:type="dxa"/>
            <w:vAlign w:val="bottom"/>
            <w:vMerge w:val="restart"/>
          </w:tcPr>
          <w:p>
            <w:pPr>
              <w:ind w:left="380"/>
              <w:spacing w:after="0"/>
              <w:rPr>
                <w:sz w:val="20"/>
                <w:szCs w:val="20"/>
                <w:color w:val="auto"/>
              </w:rPr>
            </w:pPr>
            <w:r>
              <w:rPr>
                <w:rFonts w:ascii="Arial" w:cs="Arial" w:eastAsia="Arial" w:hAnsi="Arial"/>
                <w:sz w:val="14"/>
                <w:szCs w:val="14"/>
                <w:color w:val="auto"/>
              </w:rPr>
              <w:t>Income taxes paid (received)</w:t>
            </w: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960" w:type="dxa"/>
            <w:vAlign w:val="bottom"/>
            <w:vMerge w:val="continue"/>
          </w:tcPr>
          <w:p>
            <w:pPr>
              <w:spacing w:after="0"/>
              <w:rPr>
                <w:sz w:val="13"/>
                <w:szCs w:val="13"/>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color w:val="auto"/>
              </w:rPr>
              <w:t>371</w:t>
            </w:r>
          </w:p>
        </w:tc>
        <w:tc>
          <w:tcPr>
            <w:tcW w:w="120" w:type="dxa"/>
            <w:vAlign w:val="bottom"/>
          </w:tcPr>
          <w:p>
            <w:pPr>
              <w:spacing w:after="0"/>
              <w:rPr>
                <w:sz w:val="13"/>
                <w:szCs w:val="13"/>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18,261</w:t>
            </w:r>
          </w:p>
        </w:tc>
        <w:tc>
          <w:tcPr>
            <w:tcW w:w="120" w:type="dxa"/>
            <w:vAlign w:val="bottom"/>
          </w:tcPr>
          <w:p>
            <w:pPr>
              <w:spacing w:after="0"/>
              <w:rPr>
                <w:sz w:val="13"/>
                <w:szCs w:val="13"/>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(16,669)</w:t>
            </w:r>
          </w:p>
        </w:tc>
        <w:tc>
          <w:tcPr>
            <w:tcW w:w="120" w:type="dxa"/>
            <w:vAlign w:val="bottom"/>
          </w:tcPr>
          <w:p>
            <w:pPr>
              <w:spacing w:after="0"/>
              <w:rPr>
                <w:sz w:val="13"/>
                <w:szCs w:val="13"/>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20,247</w:t>
            </w:r>
          </w:p>
        </w:tc>
        <w:tc>
          <w:tcPr>
            <w:tcW w:w="0" w:type="dxa"/>
            <w:vAlign w:val="bottom"/>
          </w:tcPr>
          <w:p>
            <w:pPr>
              <w:spacing w:after="0"/>
              <w:rPr>
                <w:sz w:val="1"/>
                <w:szCs w:val="1"/>
                <w:color w:val="auto"/>
              </w:rPr>
            </w:pPr>
          </w:p>
        </w:tc>
      </w:tr>
      <w:tr>
        <w:trPr>
          <w:trHeight w:val="65"/>
        </w:trPr>
        <w:tc>
          <w:tcPr>
            <w:tcW w:w="6960" w:type="dxa"/>
            <w:vAlign w:val="bottom"/>
          </w:tcPr>
          <w:p>
            <w:pPr>
              <w:spacing w:after="0"/>
              <w:rPr>
                <w:sz w:val="5"/>
                <w:szCs w:val="5"/>
                <w:color w:val="auto"/>
              </w:rPr>
            </w:pPr>
          </w:p>
        </w:tc>
        <w:tc>
          <w:tcPr>
            <w:tcW w:w="280" w:type="dxa"/>
            <w:vAlign w:val="bottom"/>
            <w:tcBorders>
              <w:bottom w:val="single" w:sz="8" w:color="auto"/>
            </w:tcBorders>
            <w:vMerge w:val="continue"/>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bottom w:val="single" w:sz="8" w:color="auto"/>
            </w:tcBorders>
            <w:vMerge w:val="continue"/>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bottom w:val="single" w:sz="8" w:color="auto"/>
            </w:tcBorders>
            <w:vMerge w:val="continue"/>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bottom w:val="single" w:sz="8" w:color="auto"/>
            </w:tcBorders>
            <w:vMerge w:val="continue"/>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ectPr>
          <w:pgSz w:w="11900" w:h="16838" w:orient="portrait"/>
          <w:cols w:equalWidth="0" w:num="1">
            <w:col w:w="11380"/>
          </w:cols>
          <w:pgMar w:left="260" w:top="270" w:right="259" w:bottom="144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380"/>
          </w:cols>
          <w:pgMar w:left="260" w:top="270" w:right="25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41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2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1"/>
              </w:rPr>
              <w:t>Form 10-Q</w:t>
            </w:r>
          </w:p>
        </w:tc>
      </w:tr>
      <w:tr>
        <w:trPr>
          <w:trHeight w:val="250"/>
        </w:trPr>
        <w:tc>
          <w:tcPr>
            <w:tcW w:w="60" w:type="dxa"/>
            <w:vAlign w:val="bottom"/>
          </w:tcPr>
          <w:p>
            <w:pPr>
              <w:spacing w:after="0"/>
              <w:rPr>
                <w:sz w:val="21"/>
                <w:szCs w:val="21"/>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124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60" w:type="dxa"/>
            <w:vAlign w:val="bottom"/>
            <w:gridSpan w:val="4"/>
          </w:tcPr>
          <w:p>
            <w:pPr>
              <w:jc w:val="right"/>
              <w:spacing w:after="0"/>
              <w:rPr>
                <w:sz w:val="20"/>
                <w:szCs w:val="20"/>
                <w:color w:val="auto"/>
              </w:rPr>
            </w:pPr>
            <w:r>
              <w:rPr>
                <w:rFonts w:ascii="Arial" w:cs="Arial" w:eastAsia="Arial" w:hAnsi="Arial"/>
                <w:sz w:val="18"/>
                <w:szCs w:val="18"/>
                <w:color w:val="auto"/>
              </w:rPr>
              <w:t>September 30, 2019</w:t>
            </w:r>
          </w:p>
        </w:tc>
      </w:tr>
      <w:tr>
        <w:trPr>
          <w:trHeight w:val="816"/>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0" w:type="dxa"/>
            <w:vAlign w:val="bottom"/>
            <w:gridSpan w:val="5"/>
          </w:tcPr>
          <w:p>
            <w:pPr>
              <w:jc w:val="center"/>
              <w:ind w:left="230"/>
              <w:spacing w:after="0"/>
              <w:rPr>
                <w:sz w:val="20"/>
                <w:szCs w:val="20"/>
                <w:color w:val="auto"/>
              </w:rPr>
            </w:pPr>
            <w:r>
              <w:rPr>
                <w:rFonts w:ascii="Arial" w:cs="Arial" w:eastAsia="Arial" w:hAnsi="Arial"/>
                <w:sz w:val="18"/>
                <w:szCs w:val="18"/>
                <w:color w:val="auto"/>
                <w:w w:val="96"/>
              </w:rPr>
              <w:t>SOUTHWEST GAS HOLDINGS, INC. AND SUBSIDIARIES</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0" w:type="dxa"/>
            <w:vAlign w:val="bottom"/>
            <w:gridSpan w:val="5"/>
          </w:tcPr>
          <w:p>
            <w:pPr>
              <w:jc w:val="center"/>
              <w:ind w:left="230"/>
              <w:spacing w:after="0"/>
              <w:rPr>
                <w:sz w:val="20"/>
                <w:szCs w:val="20"/>
                <w:color w:val="auto"/>
              </w:rPr>
            </w:pPr>
            <w:r>
              <w:rPr>
                <w:rFonts w:ascii="Arial" w:cs="Arial" w:eastAsia="Arial" w:hAnsi="Arial"/>
                <w:sz w:val="18"/>
                <w:szCs w:val="18"/>
                <w:color w:val="auto"/>
                <w:w w:val="95"/>
              </w:rPr>
              <w:t>CONDENSED CONSOLIDATED STATEMENTS OF EQUITY</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40" w:type="dxa"/>
            <w:vAlign w:val="bottom"/>
            <w:gridSpan w:val="2"/>
          </w:tcPr>
          <w:p>
            <w:pPr>
              <w:jc w:val="center"/>
              <w:spacing w:after="0"/>
              <w:rPr>
                <w:sz w:val="20"/>
                <w:szCs w:val="20"/>
                <w:color w:val="auto"/>
              </w:rPr>
            </w:pPr>
            <w:r>
              <w:rPr>
                <w:rFonts w:ascii="Arial" w:cs="Arial" w:eastAsia="Arial" w:hAnsi="Arial"/>
                <w:sz w:val="18"/>
                <w:szCs w:val="18"/>
                <w:color w:val="auto"/>
                <w:w w:val="88"/>
              </w:rPr>
              <w:t>(In thousands, except per share amounts)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40" w:type="dxa"/>
            <w:vAlign w:val="bottom"/>
            <w:gridSpan w:val="2"/>
          </w:tcPr>
          <w:p>
            <w:pPr>
              <w:jc w:val="center"/>
              <w:spacing w:after="0"/>
              <w:rPr>
                <w:sz w:val="20"/>
                <w:szCs w:val="20"/>
                <w:color w:val="auto"/>
              </w:rPr>
            </w:pPr>
            <w:r>
              <w:rPr>
                <w:rFonts w:ascii="Arial" w:cs="Arial" w:eastAsia="Arial" w:hAnsi="Arial"/>
                <w:sz w:val="18"/>
                <w:szCs w:val="18"/>
                <w:color w:val="auto"/>
                <w:w w:val="91"/>
              </w:rPr>
              <w:t>(Unaudited)</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55"/>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gridSpan w:val="5"/>
          </w:tcPr>
          <w:p>
            <w:pPr>
              <w:jc w:val="center"/>
              <w:ind w:right="320"/>
              <w:spacing w:after="0"/>
              <w:rPr>
                <w:sz w:val="20"/>
                <w:szCs w:val="20"/>
                <w:color w:val="auto"/>
              </w:rPr>
            </w:pPr>
            <w:r>
              <w:rPr>
                <w:rFonts w:ascii="Arial" w:cs="Arial" w:eastAsia="Arial" w:hAnsi="Arial"/>
                <w:sz w:val="16"/>
                <w:szCs w:val="16"/>
                <w:color w:val="auto"/>
                <w:w w:val="90"/>
              </w:rPr>
              <w:t>Three Months Ended</w:t>
            </w:r>
          </w:p>
        </w:tc>
        <w:tc>
          <w:tcPr>
            <w:tcW w:w="180" w:type="dxa"/>
            <w:vAlign w:val="bottom"/>
          </w:tcPr>
          <w:p>
            <w:pPr>
              <w:spacing w:after="0"/>
              <w:rPr>
                <w:sz w:val="24"/>
                <w:szCs w:val="24"/>
                <w:color w:val="auto"/>
              </w:rPr>
            </w:pPr>
          </w:p>
        </w:tc>
        <w:tc>
          <w:tcPr>
            <w:tcW w:w="1960" w:type="dxa"/>
            <w:vAlign w:val="bottom"/>
            <w:gridSpan w:val="4"/>
          </w:tcPr>
          <w:p>
            <w:pPr>
              <w:jc w:val="right"/>
              <w:ind w:right="319"/>
              <w:spacing w:after="0"/>
              <w:rPr>
                <w:sz w:val="20"/>
                <w:szCs w:val="20"/>
                <w:color w:val="auto"/>
              </w:rPr>
            </w:pPr>
            <w:r>
              <w:rPr>
                <w:rFonts w:ascii="Arial" w:cs="Arial" w:eastAsia="Arial" w:hAnsi="Arial"/>
                <w:sz w:val="16"/>
                <w:szCs w:val="16"/>
                <w:color w:val="auto"/>
              </w:rPr>
              <w:t>Nine Months Ended</w:t>
            </w:r>
          </w:p>
        </w:tc>
      </w:tr>
      <w:tr>
        <w:trPr>
          <w:trHeight w:val="206"/>
        </w:trPr>
        <w:tc>
          <w:tcPr>
            <w:tcW w:w="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gridSpan w:val="5"/>
          </w:tcPr>
          <w:p>
            <w:pPr>
              <w:jc w:val="center"/>
              <w:ind w:right="340"/>
              <w:spacing w:after="0"/>
              <w:rPr>
                <w:sz w:val="20"/>
                <w:szCs w:val="20"/>
                <w:color w:val="auto"/>
              </w:rPr>
            </w:pPr>
            <w:r>
              <w:rPr>
                <w:rFonts w:ascii="Arial" w:cs="Arial" w:eastAsia="Arial" w:hAnsi="Arial"/>
                <w:sz w:val="16"/>
                <w:szCs w:val="16"/>
                <w:color w:val="auto"/>
                <w:w w:val="89"/>
              </w:rPr>
              <w:t>September 30,</w:t>
            </w:r>
          </w:p>
        </w:tc>
        <w:tc>
          <w:tcPr>
            <w:tcW w:w="180" w:type="dxa"/>
            <w:vAlign w:val="bottom"/>
          </w:tcPr>
          <w:p>
            <w:pPr>
              <w:spacing w:after="0"/>
              <w:rPr>
                <w:sz w:val="17"/>
                <w:szCs w:val="17"/>
                <w:color w:val="auto"/>
              </w:rPr>
            </w:pPr>
          </w:p>
        </w:tc>
        <w:tc>
          <w:tcPr>
            <w:tcW w:w="1960" w:type="dxa"/>
            <w:vAlign w:val="bottom"/>
            <w:gridSpan w:val="4"/>
          </w:tcPr>
          <w:p>
            <w:pPr>
              <w:jc w:val="right"/>
              <w:ind w:right="499"/>
              <w:spacing w:after="0"/>
              <w:rPr>
                <w:sz w:val="20"/>
                <w:szCs w:val="20"/>
                <w:color w:val="auto"/>
              </w:rPr>
            </w:pPr>
            <w:r>
              <w:rPr>
                <w:rFonts w:ascii="Arial" w:cs="Arial" w:eastAsia="Arial" w:hAnsi="Arial"/>
                <w:sz w:val="16"/>
                <w:szCs w:val="16"/>
                <w:color w:val="auto"/>
              </w:rPr>
              <w:t>September 30,</w:t>
            </w:r>
          </w:p>
        </w:tc>
      </w:tr>
      <w:tr>
        <w:trPr>
          <w:trHeight w:val="33"/>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279"/>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59"/>
              <w:spacing w:after="0"/>
              <w:rPr>
                <w:sz w:val="20"/>
                <w:szCs w:val="20"/>
                <w:color w:val="auto"/>
              </w:rPr>
            </w:pPr>
            <w:r>
              <w:rPr>
                <w:rFonts w:ascii="Arial" w:cs="Arial" w:eastAsia="Arial" w:hAnsi="Arial"/>
                <w:sz w:val="16"/>
                <w:szCs w:val="16"/>
                <w:color w:val="auto"/>
              </w:rPr>
              <w:t>2018</w:t>
            </w:r>
          </w:p>
        </w:tc>
      </w:tr>
      <w:tr>
        <w:trPr>
          <w:trHeight w:val="33"/>
        </w:trPr>
        <w:tc>
          <w:tcPr>
            <w:tcW w:w="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Common stock shares</w:t>
            </w:r>
          </w:p>
        </w:tc>
        <w:tc>
          <w:tcPr>
            <w:tcW w:w="28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60" w:type="dxa"/>
            <w:vAlign w:val="bottom"/>
          </w:tcPr>
          <w:p>
            <w:pPr>
              <w:spacing w:after="0"/>
              <w:rPr>
                <w:sz w:val="20"/>
                <w:szCs w:val="20"/>
                <w:color w:val="auto"/>
              </w:rPr>
            </w:pPr>
          </w:p>
        </w:tc>
        <w:tc>
          <w:tcPr>
            <w:tcW w:w="4140" w:type="dxa"/>
            <w:vAlign w:val="bottom"/>
            <w:gridSpan w:val="3"/>
          </w:tcPr>
          <w:p>
            <w:pPr>
              <w:ind w:left="320"/>
              <w:spacing w:after="0"/>
              <w:rPr>
                <w:sz w:val="20"/>
                <w:szCs w:val="20"/>
                <w:color w:val="auto"/>
              </w:rPr>
            </w:pPr>
            <w:r>
              <w:rPr>
                <w:rFonts w:ascii="Arial" w:cs="Arial" w:eastAsia="Arial" w:hAnsi="Arial"/>
                <w:sz w:val="16"/>
                <w:szCs w:val="16"/>
                <w:color w:val="auto"/>
              </w:rPr>
              <w:t>Beginning balances</w:t>
            </w:r>
          </w:p>
        </w:tc>
        <w:tc>
          <w:tcPr>
            <w:tcW w:w="2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54,321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49,126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53,026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48,090</w:t>
            </w:r>
          </w:p>
        </w:tc>
      </w:tr>
      <w:tr>
        <w:trPr>
          <w:trHeight w:val="33"/>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0" w:type="dxa"/>
            <w:vAlign w:val="bottom"/>
            <w:tcBorders>
              <w:bottom w:val="single" w:sz="8" w:color="CCEEFF"/>
            </w:tcBorders>
            <w:shd w:val="clear" w:color="auto" w:fill="CCEEFF"/>
          </w:tcPr>
          <w:p>
            <w:pPr>
              <w:spacing w:after="0"/>
              <w:rPr>
                <w:sz w:val="23"/>
                <w:szCs w:val="23"/>
                <w:color w:val="auto"/>
              </w:rPr>
            </w:pPr>
          </w:p>
        </w:tc>
        <w:tc>
          <w:tcPr>
            <w:tcW w:w="414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6"/>
                <w:szCs w:val="16"/>
                <w:color w:val="auto"/>
              </w:rPr>
              <w:t>Common stock issuances</w:t>
            </w:r>
          </w:p>
        </w:tc>
        <w:tc>
          <w:tcPr>
            <w:tcW w:w="28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1,333</w:t>
            </w:r>
          </w:p>
        </w:tc>
      </w:tr>
      <w:tr>
        <w:trPr>
          <w:trHeight w:val="284"/>
        </w:trPr>
        <w:tc>
          <w:tcPr>
            <w:tcW w:w="60" w:type="dxa"/>
            <w:vAlign w:val="bottom"/>
            <w:tcBorders>
              <w:bottom w:val="single" w:sz="8" w:color="CCEEFF"/>
            </w:tcBorders>
          </w:tcPr>
          <w:p>
            <w:pPr>
              <w:spacing w:after="0"/>
              <w:rPr>
                <w:sz w:val="24"/>
                <w:szCs w:val="24"/>
                <w:color w:val="auto"/>
              </w:rPr>
            </w:pPr>
          </w:p>
        </w:tc>
        <w:tc>
          <w:tcPr>
            <w:tcW w:w="4140" w:type="dxa"/>
            <w:vAlign w:val="bottom"/>
            <w:tcBorders>
              <w:bottom w:val="single" w:sz="8" w:color="CCEEFF"/>
            </w:tcBorders>
            <w:gridSpan w:val="3"/>
          </w:tcPr>
          <w:p>
            <w:pPr>
              <w:ind w:left="320"/>
              <w:spacing w:after="0"/>
              <w:rPr>
                <w:sz w:val="20"/>
                <w:szCs w:val="20"/>
                <w:color w:val="auto"/>
              </w:rPr>
            </w:pPr>
            <w:r>
              <w:rPr>
                <w:rFonts w:ascii="Arial" w:cs="Arial" w:eastAsia="Arial" w:hAnsi="Arial"/>
                <w:sz w:val="16"/>
                <w:szCs w:val="16"/>
                <w:color w:val="auto"/>
              </w:rPr>
              <w:t>Ending balances</w:t>
            </w:r>
          </w:p>
        </w:tc>
        <w:tc>
          <w:tcPr>
            <w:tcW w:w="28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54,624</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49,423</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54,624</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49,423</w:t>
            </w:r>
          </w:p>
        </w:tc>
      </w:tr>
      <w:tr>
        <w:trPr>
          <w:trHeight w:val="237"/>
        </w:trPr>
        <w:tc>
          <w:tcPr>
            <w:tcW w:w="42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Common stock amount</w:t>
            </w:r>
          </w:p>
        </w:tc>
        <w:tc>
          <w:tcPr>
            <w:tcW w:w="28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37"/>
        </w:trPr>
        <w:tc>
          <w:tcPr>
            <w:tcW w:w="60" w:type="dxa"/>
            <w:vAlign w:val="bottom"/>
          </w:tcPr>
          <w:p>
            <w:pPr>
              <w:spacing w:after="0"/>
              <w:rPr>
                <w:sz w:val="20"/>
                <w:szCs w:val="20"/>
                <w:color w:val="auto"/>
              </w:rPr>
            </w:pPr>
          </w:p>
        </w:tc>
        <w:tc>
          <w:tcPr>
            <w:tcW w:w="4140" w:type="dxa"/>
            <w:vAlign w:val="bottom"/>
            <w:gridSpan w:val="3"/>
          </w:tcPr>
          <w:p>
            <w:pPr>
              <w:ind w:left="320"/>
              <w:spacing w:after="0"/>
              <w:rPr>
                <w:sz w:val="20"/>
                <w:szCs w:val="20"/>
                <w:color w:val="auto"/>
              </w:rPr>
            </w:pPr>
            <w:r>
              <w:rPr>
                <w:rFonts w:ascii="Arial" w:cs="Arial" w:eastAsia="Arial" w:hAnsi="Arial"/>
                <w:sz w:val="16"/>
                <w:szCs w:val="16"/>
                <w:color w:val="auto"/>
              </w:rPr>
              <w:t>Beginning balances</w:t>
            </w:r>
          </w:p>
        </w:tc>
        <w:tc>
          <w:tcPr>
            <w:tcW w:w="30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55,951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50,756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54,656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49,720</w:t>
            </w:r>
          </w:p>
        </w:tc>
      </w:tr>
      <w:tr>
        <w:trPr>
          <w:trHeight w:val="33"/>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0" w:type="dxa"/>
            <w:vAlign w:val="bottom"/>
            <w:tcBorders>
              <w:bottom w:val="single" w:sz="8" w:color="CCEEFF"/>
            </w:tcBorders>
            <w:shd w:val="clear" w:color="auto" w:fill="CCEEFF"/>
          </w:tcPr>
          <w:p>
            <w:pPr>
              <w:spacing w:after="0"/>
              <w:rPr>
                <w:sz w:val="23"/>
                <w:szCs w:val="23"/>
                <w:color w:val="auto"/>
              </w:rPr>
            </w:pPr>
          </w:p>
        </w:tc>
        <w:tc>
          <w:tcPr>
            <w:tcW w:w="414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6"/>
                <w:szCs w:val="16"/>
                <w:color w:val="auto"/>
              </w:rPr>
              <w:t>Common stock issuances</w:t>
            </w:r>
          </w:p>
        </w:tc>
        <w:tc>
          <w:tcPr>
            <w:tcW w:w="28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1,333</w:t>
            </w:r>
          </w:p>
        </w:tc>
      </w:tr>
      <w:tr>
        <w:trPr>
          <w:trHeight w:val="217"/>
        </w:trPr>
        <w:tc>
          <w:tcPr>
            <w:tcW w:w="60" w:type="dxa"/>
            <w:vAlign w:val="bottom"/>
          </w:tcPr>
          <w:p>
            <w:pPr>
              <w:spacing w:after="0"/>
              <w:rPr>
                <w:sz w:val="18"/>
                <w:szCs w:val="18"/>
                <w:color w:val="auto"/>
              </w:rPr>
            </w:pPr>
          </w:p>
        </w:tc>
        <w:tc>
          <w:tcPr>
            <w:tcW w:w="4140" w:type="dxa"/>
            <w:vAlign w:val="bottom"/>
            <w:gridSpan w:val="3"/>
          </w:tcPr>
          <w:p>
            <w:pPr>
              <w:ind w:left="320"/>
              <w:spacing w:after="0"/>
              <w:rPr>
                <w:sz w:val="20"/>
                <w:szCs w:val="20"/>
                <w:color w:val="auto"/>
              </w:rPr>
            </w:pPr>
            <w:r>
              <w:rPr>
                <w:rFonts w:ascii="Arial" w:cs="Arial" w:eastAsia="Arial" w:hAnsi="Arial"/>
                <w:sz w:val="16"/>
                <w:szCs w:val="16"/>
                <w:color w:val="auto"/>
              </w:rPr>
              <w:t>Ending balances</w:t>
            </w:r>
          </w:p>
        </w:tc>
        <w:tc>
          <w:tcPr>
            <w:tcW w:w="28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56,254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51,053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56,254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51,053</w:t>
            </w:r>
          </w:p>
        </w:tc>
      </w:tr>
      <w:tr>
        <w:trPr>
          <w:trHeight w:val="33"/>
        </w:trPr>
        <w:tc>
          <w:tcPr>
            <w:tcW w:w="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Additional paid-in capital</w:t>
            </w:r>
          </w:p>
        </w:tc>
        <w:tc>
          <w:tcPr>
            <w:tcW w:w="28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60" w:type="dxa"/>
            <w:vAlign w:val="bottom"/>
          </w:tcPr>
          <w:p>
            <w:pPr>
              <w:spacing w:after="0"/>
              <w:rPr>
                <w:sz w:val="20"/>
                <w:szCs w:val="20"/>
                <w:color w:val="auto"/>
              </w:rPr>
            </w:pPr>
          </w:p>
        </w:tc>
        <w:tc>
          <w:tcPr>
            <w:tcW w:w="4140" w:type="dxa"/>
            <w:vAlign w:val="bottom"/>
            <w:gridSpan w:val="3"/>
          </w:tcPr>
          <w:p>
            <w:pPr>
              <w:ind w:left="320"/>
              <w:spacing w:after="0"/>
              <w:rPr>
                <w:sz w:val="20"/>
                <w:szCs w:val="20"/>
                <w:color w:val="auto"/>
              </w:rPr>
            </w:pPr>
            <w:r>
              <w:rPr>
                <w:rFonts w:ascii="Arial" w:cs="Arial" w:eastAsia="Arial" w:hAnsi="Arial"/>
                <w:sz w:val="16"/>
                <w:szCs w:val="16"/>
                <w:color w:val="auto"/>
              </w:rPr>
              <w:t>Beginning balances</w:t>
            </w:r>
          </w:p>
        </w:tc>
        <w:tc>
          <w:tcPr>
            <w:tcW w:w="2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w w:val="92"/>
              </w:rPr>
              <w:t>1,409,923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1,021,508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1,305,769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955,332</w:t>
            </w:r>
          </w:p>
        </w:tc>
      </w:tr>
      <w:tr>
        <w:trPr>
          <w:trHeight w:val="33"/>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414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6"/>
                <w:szCs w:val="16"/>
                <w:color w:val="auto"/>
              </w:rPr>
              <w:t>Common stock issuances</w:t>
            </w:r>
          </w:p>
        </w:tc>
        <w:tc>
          <w:tcPr>
            <w:tcW w:w="28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27,810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132,416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93,218</w:t>
            </w:r>
          </w:p>
        </w:tc>
      </w:tr>
      <w:tr>
        <w:trPr>
          <w:trHeight w:val="237"/>
        </w:trPr>
        <w:tc>
          <w:tcPr>
            <w:tcW w:w="60" w:type="dxa"/>
            <w:vAlign w:val="bottom"/>
          </w:tcPr>
          <w:p>
            <w:pPr>
              <w:spacing w:after="0"/>
              <w:rPr>
                <w:sz w:val="20"/>
                <w:szCs w:val="20"/>
                <w:color w:val="auto"/>
              </w:rPr>
            </w:pPr>
          </w:p>
        </w:tc>
        <w:tc>
          <w:tcPr>
            <w:tcW w:w="4140" w:type="dxa"/>
            <w:vAlign w:val="bottom"/>
            <w:gridSpan w:val="3"/>
          </w:tcPr>
          <w:p>
            <w:pPr>
              <w:ind w:left="680"/>
              <w:spacing w:after="0"/>
              <w:rPr>
                <w:sz w:val="20"/>
                <w:szCs w:val="20"/>
                <w:color w:val="auto"/>
              </w:rPr>
            </w:pPr>
            <w:r>
              <w:rPr>
                <w:rFonts w:ascii="Arial" w:cs="Arial" w:eastAsia="Arial" w:hAnsi="Arial"/>
                <w:sz w:val="16"/>
                <w:szCs w:val="16"/>
                <w:color w:val="auto"/>
              </w:rPr>
              <w:t>Change in ownership of noncontrolling interest</w:t>
            </w:r>
          </w:p>
        </w:tc>
        <w:tc>
          <w:tcPr>
            <w:tcW w:w="2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(452)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(2,710)</w:t>
            </w:r>
          </w:p>
        </w:tc>
      </w:tr>
      <w:tr>
        <w:trPr>
          <w:trHeight w:val="33"/>
        </w:trPr>
        <w:tc>
          <w:tcPr>
            <w:tcW w:w="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414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6"/>
                <w:szCs w:val="16"/>
                <w:color w:val="auto"/>
              </w:rPr>
              <w:t>Ending balances</w:t>
            </w:r>
          </w:p>
        </w:tc>
        <w:tc>
          <w:tcPr>
            <w:tcW w:w="28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2"/>
              </w:rPr>
              <w:t>1,437,733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1,045,840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1,437,733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1,045,840</w:t>
            </w:r>
          </w:p>
        </w:tc>
      </w:tr>
      <w:tr>
        <w:trPr>
          <w:trHeight w:val="231"/>
        </w:trPr>
        <w:tc>
          <w:tcPr>
            <w:tcW w:w="4200" w:type="dxa"/>
            <w:vAlign w:val="bottom"/>
            <w:gridSpan w:val="4"/>
          </w:tcPr>
          <w:p>
            <w:pPr>
              <w:ind w:left="40"/>
              <w:spacing w:after="0"/>
              <w:rPr>
                <w:sz w:val="20"/>
                <w:szCs w:val="20"/>
                <w:color w:val="auto"/>
              </w:rPr>
            </w:pPr>
            <w:r>
              <w:rPr>
                <w:rFonts w:ascii="Arial" w:cs="Arial" w:eastAsia="Arial" w:hAnsi="Arial"/>
                <w:sz w:val="16"/>
                <w:szCs w:val="16"/>
                <w:color w:val="auto"/>
              </w:rPr>
              <w:t>Accumulated other comprehensive income (loss)</w:t>
            </w:r>
          </w:p>
        </w:tc>
        <w:tc>
          <w:tcPr>
            <w:tcW w:w="28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33"/>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414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6"/>
                <w:szCs w:val="16"/>
                <w:color w:val="auto"/>
              </w:rPr>
              <w:t>Beginning balances</w:t>
            </w:r>
          </w:p>
        </w:tc>
        <w:tc>
          <w:tcPr>
            <w:tcW w:w="28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(48,581)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(55,520)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(52,668)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(47,682)</w:t>
            </w:r>
          </w:p>
        </w:tc>
      </w:tr>
      <w:tr>
        <w:trPr>
          <w:trHeight w:val="237"/>
        </w:trPr>
        <w:tc>
          <w:tcPr>
            <w:tcW w:w="60" w:type="dxa"/>
            <w:vAlign w:val="bottom"/>
          </w:tcPr>
          <w:p>
            <w:pPr>
              <w:spacing w:after="0"/>
              <w:rPr>
                <w:sz w:val="20"/>
                <w:szCs w:val="20"/>
                <w:color w:val="auto"/>
              </w:rPr>
            </w:pPr>
          </w:p>
        </w:tc>
        <w:tc>
          <w:tcPr>
            <w:tcW w:w="4140" w:type="dxa"/>
            <w:vAlign w:val="bottom"/>
            <w:gridSpan w:val="3"/>
          </w:tcPr>
          <w:p>
            <w:pPr>
              <w:ind w:left="680"/>
              <w:spacing w:after="0"/>
              <w:rPr>
                <w:sz w:val="20"/>
                <w:szCs w:val="20"/>
                <w:color w:val="auto"/>
              </w:rPr>
            </w:pPr>
            <w:r>
              <w:rPr>
                <w:rFonts w:ascii="Arial" w:cs="Arial" w:eastAsia="Arial" w:hAnsi="Arial"/>
                <w:sz w:val="16"/>
                <w:szCs w:val="16"/>
                <w:color w:val="auto"/>
                <w:w w:val="96"/>
              </w:rPr>
              <w:t>Foreign currency exchange translation adjustment</w:t>
            </w:r>
          </w:p>
        </w:tc>
        <w:tc>
          <w:tcPr>
            <w:tcW w:w="2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(447)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599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1,131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(1,002)</w:t>
            </w:r>
          </w:p>
        </w:tc>
      </w:tr>
      <w:tr>
        <w:trPr>
          <w:trHeight w:val="33"/>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0"/>
        </w:trPr>
        <w:tc>
          <w:tcPr>
            <w:tcW w:w="60" w:type="dxa"/>
            <w:vAlign w:val="bottom"/>
            <w:shd w:val="clear" w:color="auto" w:fill="CCEEFF"/>
          </w:tcPr>
          <w:p>
            <w:pPr>
              <w:spacing w:after="0"/>
              <w:rPr>
                <w:sz w:val="19"/>
                <w:szCs w:val="19"/>
                <w:color w:val="auto"/>
              </w:rPr>
            </w:pPr>
          </w:p>
        </w:tc>
        <w:tc>
          <w:tcPr>
            <w:tcW w:w="7180" w:type="dxa"/>
            <w:vAlign w:val="bottom"/>
            <w:gridSpan w:val="5"/>
            <w:shd w:val="clear" w:color="auto" w:fill="CCEEFF"/>
          </w:tcPr>
          <w:p>
            <w:pPr>
              <w:ind w:left="680"/>
              <w:spacing w:after="0"/>
              <w:rPr>
                <w:sz w:val="20"/>
                <w:szCs w:val="20"/>
                <w:color w:val="auto"/>
              </w:rPr>
            </w:pPr>
            <w:r>
              <w:rPr>
                <w:rFonts w:ascii="Arial" w:cs="Arial" w:eastAsia="Arial" w:hAnsi="Arial"/>
                <w:sz w:val="16"/>
                <w:szCs w:val="16"/>
                <w:color w:val="auto"/>
              </w:rPr>
              <w:t>Net actuarial gain (loss) arising during period, less amortization of unamortized benefit plan</w:t>
            </w: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9"/>
        </w:trPr>
        <w:tc>
          <w:tcPr>
            <w:tcW w:w="60" w:type="dxa"/>
            <w:vAlign w:val="bottom"/>
            <w:tcBorders>
              <w:bottom w:val="single" w:sz="8" w:color="CCEEFF"/>
            </w:tcBorders>
            <w:shd w:val="clear" w:color="auto" w:fill="CCEEFF"/>
          </w:tcPr>
          <w:p>
            <w:pPr>
              <w:spacing w:after="0"/>
              <w:rPr>
                <w:sz w:val="19"/>
                <w:szCs w:val="19"/>
                <w:color w:val="auto"/>
              </w:rPr>
            </w:pPr>
          </w:p>
        </w:tc>
        <w:tc>
          <w:tcPr>
            <w:tcW w:w="4140" w:type="dxa"/>
            <w:vAlign w:val="bottom"/>
            <w:tcBorders>
              <w:bottom w:val="single" w:sz="8" w:color="CCEEFF"/>
            </w:tcBorders>
            <w:gridSpan w:val="3"/>
            <w:shd w:val="clear" w:color="auto" w:fill="CCEEFF"/>
          </w:tcPr>
          <w:p>
            <w:pPr>
              <w:ind w:left="840"/>
              <w:spacing w:after="0"/>
              <w:rPr>
                <w:sz w:val="20"/>
                <w:szCs w:val="20"/>
                <w:color w:val="auto"/>
              </w:rPr>
            </w:pPr>
            <w:r>
              <w:rPr>
                <w:rFonts w:ascii="Arial" w:cs="Arial" w:eastAsia="Arial" w:hAnsi="Arial"/>
                <w:sz w:val="16"/>
                <w:szCs w:val="16"/>
                <w:color w:val="auto"/>
              </w:rPr>
              <w:t>cost, net of tax</w:t>
            </w:r>
          </w:p>
        </w:tc>
        <w:tc>
          <w:tcPr>
            <w:tcW w:w="28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2,687</w:t>
            </w:r>
          </w:p>
        </w:tc>
      </w:tr>
      <w:tr>
        <w:trPr>
          <w:trHeight w:val="237"/>
        </w:trPr>
        <w:tc>
          <w:tcPr>
            <w:tcW w:w="60" w:type="dxa"/>
            <w:vAlign w:val="bottom"/>
          </w:tcPr>
          <w:p>
            <w:pPr>
              <w:spacing w:after="0"/>
              <w:rPr>
                <w:sz w:val="20"/>
                <w:szCs w:val="20"/>
                <w:color w:val="auto"/>
              </w:rPr>
            </w:pPr>
          </w:p>
        </w:tc>
        <w:tc>
          <w:tcPr>
            <w:tcW w:w="4140" w:type="dxa"/>
            <w:vAlign w:val="bottom"/>
            <w:gridSpan w:val="3"/>
          </w:tcPr>
          <w:p>
            <w:pPr>
              <w:ind w:left="680"/>
              <w:spacing w:after="0"/>
              <w:rPr>
                <w:sz w:val="20"/>
                <w:szCs w:val="20"/>
                <w:color w:val="auto"/>
              </w:rPr>
            </w:pPr>
            <w:r>
              <w:rPr>
                <w:rFonts w:ascii="Arial" w:cs="Arial" w:eastAsia="Arial" w:hAnsi="Arial"/>
                <w:sz w:val="16"/>
                <w:szCs w:val="16"/>
                <w:color w:val="auto"/>
                <w:w w:val="92"/>
              </w:rPr>
              <w:t>FSIRS amounts reclassified to net income, net of tax</w:t>
            </w:r>
          </w:p>
        </w:tc>
        <w:tc>
          <w:tcPr>
            <w:tcW w:w="2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635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1,906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1,907</w:t>
            </w:r>
          </w:p>
        </w:tc>
      </w:tr>
      <w:tr>
        <w:trPr>
          <w:trHeight w:val="33"/>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0" w:type="dxa"/>
            <w:vAlign w:val="bottom"/>
            <w:tcBorders>
              <w:bottom w:val="single" w:sz="8" w:color="CCEEFF"/>
            </w:tcBorders>
            <w:shd w:val="clear" w:color="auto" w:fill="CCEEFF"/>
          </w:tcPr>
          <w:p>
            <w:pPr>
              <w:spacing w:after="0"/>
              <w:rPr>
                <w:sz w:val="23"/>
                <w:szCs w:val="23"/>
                <w:color w:val="auto"/>
              </w:rPr>
            </w:pPr>
          </w:p>
        </w:tc>
        <w:tc>
          <w:tcPr>
            <w:tcW w:w="414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6"/>
                <w:szCs w:val="16"/>
                <w:color w:val="auto"/>
              </w:rPr>
              <w:t>Reclassification of excess deferred taxes</w:t>
            </w:r>
          </w:p>
        </w:tc>
        <w:tc>
          <w:tcPr>
            <w:tcW w:w="28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(9,300)</w:t>
            </w:r>
          </w:p>
        </w:tc>
      </w:tr>
      <w:tr>
        <w:trPr>
          <w:trHeight w:val="217"/>
        </w:trPr>
        <w:tc>
          <w:tcPr>
            <w:tcW w:w="60" w:type="dxa"/>
            <w:vAlign w:val="bottom"/>
          </w:tcPr>
          <w:p>
            <w:pPr>
              <w:spacing w:after="0"/>
              <w:rPr>
                <w:sz w:val="18"/>
                <w:szCs w:val="18"/>
                <w:color w:val="auto"/>
              </w:rPr>
            </w:pPr>
          </w:p>
        </w:tc>
        <w:tc>
          <w:tcPr>
            <w:tcW w:w="4140" w:type="dxa"/>
            <w:vAlign w:val="bottom"/>
            <w:gridSpan w:val="3"/>
          </w:tcPr>
          <w:p>
            <w:pPr>
              <w:ind w:left="320"/>
              <w:spacing w:after="0"/>
              <w:rPr>
                <w:sz w:val="20"/>
                <w:szCs w:val="20"/>
                <w:color w:val="auto"/>
              </w:rPr>
            </w:pPr>
            <w:r>
              <w:rPr>
                <w:rFonts w:ascii="Arial" w:cs="Arial" w:eastAsia="Arial" w:hAnsi="Arial"/>
                <w:sz w:val="16"/>
                <w:szCs w:val="16"/>
                <w:color w:val="auto"/>
              </w:rPr>
              <w:t>Ending balances</w:t>
            </w:r>
          </w:p>
        </w:tc>
        <w:tc>
          <w:tcPr>
            <w:tcW w:w="28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(47,775)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(53,390)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(47,775)</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(53,390)</w:t>
            </w:r>
          </w:p>
        </w:tc>
      </w:tr>
      <w:tr>
        <w:trPr>
          <w:trHeight w:val="33"/>
        </w:trPr>
        <w:tc>
          <w:tcPr>
            <w:tcW w:w="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Retained earnings</w:t>
            </w:r>
          </w:p>
        </w:tc>
        <w:tc>
          <w:tcPr>
            <w:tcW w:w="28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60" w:type="dxa"/>
            <w:vAlign w:val="bottom"/>
          </w:tcPr>
          <w:p>
            <w:pPr>
              <w:spacing w:after="0"/>
              <w:rPr>
                <w:sz w:val="20"/>
                <w:szCs w:val="20"/>
                <w:color w:val="auto"/>
              </w:rPr>
            </w:pPr>
          </w:p>
        </w:tc>
        <w:tc>
          <w:tcPr>
            <w:tcW w:w="4140" w:type="dxa"/>
            <w:vAlign w:val="bottom"/>
            <w:gridSpan w:val="3"/>
          </w:tcPr>
          <w:p>
            <w:pPr>
              <w:ind w:left="320"/>
              <w:spacing w:after="0"/>
              <w:rPr>
                <w:sz w:val="20"/>
                <w:szCs w:val="20"/>
                <w:color w:val="auto"/>
              </w:rPr>
            </w:pPr>
            <w:r>
              <w:rPr>
                <w:rFonts w:ascii="Arial" w:cs="Arial" w:eastAsia="Arial" w:hAnsi="Arial"/>
                <w:sz w:val="16"/>
                <w:szCs w:val="16"/>
                <w:color w:val="auto"/>
              </w:rPr>
              <w:t>Beginning balances</w:t>
            </w:r>
          </w:p>
        </w:tc>
        <w:tc>
          <w:tcPr>
            <w:tcW w:w="2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w w:val="92"/>
              </w:rPr>
              <w:t>1,002,070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916,275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944,285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857,398</w:t>
            </w:r>
          </w:p>
        </w:tc>
      </w:tr>
      <w:tr>
        <w:trPr>
          <w:trHeight w:val="33"/>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414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6"/>
                <w:szCs w:val="16"/>
                <w:color w:val="auto"/>
              </w:rPr>
              <w:t>Net income</w:t>
            </w:r>
          </w:p>
        </w:tc>
        <w:tc>
          <w:tcPr>
            <w:tcW w:w="28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122,218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112,973</w:t>
            </w:r>
          </w:p>
        </w:tc>
      </w:tr>
      <w:tr>
        <w:trPr>
          <w:trHeight w:val="237"/>
        </w:trPr>
        <w:tc>
          <w:tcPr>
            <w:tcW w:w="60" w:type="dxa"/>
            <w:vAlign w:val="bottom"/>
          </w:tcPr>
          <w:p>
            <w:pPr>
              <w:spacing w:after="0"/>
              <w:rPr>
                <w:sz w:val="20"/>
                <w:szCs w:val="20"/>
                <w:color w:val="auto"/>
              </w:rPr>
            </w:pPr>
          </w:p>
        </w:tc>
        <w:tc>
          <w:tcPr>
            <w:tcW w:w="4140" w:type="dxa"/>
            <w:vAlign w:val="bottom"/>
            <w:gridSpan w:val="3"/>
          </w:tcPr>
          <w:p>
            <w:pPr>
              <w:ind w:left="680"/>
              <w:spacing w:after="0"/>
              <w:rPr>
                <w:sz w:val="20"/>
                <w:szCs w:val="20"/>
                <w:color w:val="auto"/>
              </w:rPr>
            </w:pPr>
            <w:r>
              <w:rPr>
                <w:rFonts w:ascii="Arial" w:cs="Arial" w:eastAsia="Arial" w:hAnsi="Arial"/>
                <w:sz w:val="16"/>
                <w:szCs w:val="16"/>
                <w:color w:val="auto"/>
              </w:rPr>
              <w:t>Dividends declared</w:t>
            </w:r>
          </w:p>
        </w:tc>
        <w:tc>
          <w:tcPr>
            <w:tcW w:w="2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(29,925)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(25,876)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(89,005)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(76,941)</w:t>
            </w:r>
          </w:p>
        </w:tc>
      </w:tr>
      <w:tr>
        <w:trPr>
          <w:trHeight w:val="33"/>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0" w:type="dxa"/>
            <w:vAlign w:val="bottom"/>
            <w:tcBorders>
              <w:bottom w:val="single" w:sz="8" w:color="CCEEFF"/>
            </w:tcBorders>
            <w:shd w:val="clear" w:color="auto" w:fill="CCEEFF"/>
          </w:tcPr>
          <w:p>
            <w:pPr>
              <w:spacing w:after="0"/>
              <w:rPr>
                <w:sz w:val="23"/>
                <w:szCs w:val="23"/>
                <w:color w:val="auto"/>
              </w:rPr>
            </w:pPr>
          </w:p>
        </w:tc>
        <w:tc>
          <w:tcPr>
            <w:tcW w:w="414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6"/>
                <w:szCs w:val="16"/>
                <w:color w:val="auto"/>
              </w:rPr>
              <w:t>Reclassification of excess deferred taxes</w:t>
            </w:r>
          </w:p>
        </w:tc>
        <w:tc>
          <w:tcPr>
            <w:tcW w:w="28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9,300</w:t>
            </w:r>
          </w:p>
        </w:tc>
      </w:tr>
      <w:tr>
        <w:trPr>
          <w:trHeight w:val="217"/>
        </w:trPr>
        <w:tc>
          <w:tcPr>
            <w:tcW w:w="60" w:type="dxa"/>
            <w:vAlign w:val="bottom"/>
          </w:tcPr>
          <w:p>
            <w:pPr>
              <w:spacing w:after="0"/>
              <w:rPr>
                <w:sz w:val="18"/>
                <w:szCs w:val="18"/>
                <w:color w:val="auto"/>
              </w:rPr>
            </w:pPr>
          </w:p>
        </w:tc>
        <w:tc>
          <w:tcPr>
            <w:tcW w:w="4140" w:type="dxa"/>
            <w:vAlign w:val="bottom"/>
            <w:gridSpan w:val="3"/>
          </w:tcPr>
          <w:p>
            <w:pPr>
              <w:ind w:left="320"/>
              <w:spacing w:after="0"/>
              <w:rPr>
                <w:sz w:val="20"/>
                <w:szCs w:val="20"/>
                <w:color w:val="auto"/>
              </w:rPr>
            </w:pPr>
            <w:r>
              <w:rPr>
                <w:rFonts w:ascii="Arial" w:cs="Arial" w:eastAsia="Arial" w:hAnsi="Arial"/>
                <w:sz w:val="16"/>
                <w:szCs w:val="16"/>
                <w:color w:val="auto"/>
              </w:rPr>
              <w:t>Ending balances</w:t>
            </w:r>
          </w:p>
        </w:tc>
        <w:tc>
          <w:tcPr>
            <w:tcW w:w="28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977,498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902,730</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977,498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902,730</w:t>
            </w:r>
          </w:p>
        </w:tc>
      </w:tr>
      <w:tr>
        <w:trPr>
          <w:trHeight w:val="33"/>
        </w:trPr>
        <w:tc>
          <w:tcPr>
            <w:tcW w:w="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42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w w:val="99"/>
              </w:rPr>
              <w:t>Total Southwest Gas Holdings, Inc. equity ending balances</w:t>
            </w:r>
          </w:p>
        </w:tc>
        <w:tc>
          <w:tcPr>
            <w:tcW w:w="28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92"/>
              </w:rPr>
              <w:t>2,423,710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1,946,233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2,423,710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1,946,233</w:t>
            </w:r>
          </w:p>
        </w:tc>
      </w:tr>
      <w:tr>
        <w:trPr>
          <w:trHeight w:val="231"/>
        </w:trPr>
        <w:tc>
          <w:tcPr>
            <w:tcW w:w="4200" w:type="dxa"/>
            <w:vAlign w:val="bottom"/>
            <w:gridSpan w:val="4"/>
          </w:tcPr>
          <w:p>
            <w:pPr>
              <w:ind w:left="40"/>
              <w:spacing w:after="0"/>
              <w:rPr>
                <w:sz w:val="20"/>
                <w:szCs w:val="20"/>
                <w:color w:val="auto"/>
              </w:rPr>
            </w:pPr>
            <w:r>
              <w:rPr>
                <w:rFonts w:ascii="Arial" w:cs="Arial" w:eastAsia="Arial" w:hAnsi="Arial"/>
                <w:sz w:val="16"/>
                <w:szCs w:val="16"/>
                <w:color w:val="auto"/>
              </w:rPr>
              <w:t>Noncontrolling interest</w:t>
            </w:r>
          </w:p>
        </w:tc>
        <w:tc>
          <w:tcPr>
            <w:tcW w:w="28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33"/>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414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6"/>
                <w:szCs w:val="16"/>
                <w:color w:val="auto"/>
              </w:rPr>
              <w:t>Beginning balances</w:t>
            </w:r>
          </w:p>
        </w:tc>
        <w:tc>
          <w:tcPr>
            <w:tcW w:w="28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(2,365)</w:t>
            </w:r>
          </w:p>
        </w:tc>
      </w:tr>
      <w:tr>
        <w:trPr>
          <w:trHeight w:val="237"/>
        </w:trPr>
        <w:tc>
          <w:tcPr>
            <w:tcW w:w="60" w:type="dxa"/>
            <w:vAlign w:val="bottom"/>
          </w:tcPr>
          <w:p>
            <w:pPr>
              <w:spacing w:after="0"/>
              <w:rPr>
                <w:sz w:val="20"/>
                <w:szCs w:val="20"/>
                <w:color w:val="auto"/>
              </w:rPr>
            </w:pPr>
          </w:p>
        </w:tc>
        <w:tc>
          <w:tcPr>
            <w:tcW w:w="4140" w:type="dxa"/>
            <w:vAlign w:val="bottom"/>
            <w:gridSpan w:val="3"/>
          </w:tcPr>
          <w:p>
            <w:pPr>
              <w:ind w:left="680"/>
              <w:spacing w:after="0"/>
              <w:rPr>
                <w:sz w:val="20"/>
                <w:szCs w:val="20"/>
                <w:color w:val="auto"/>
              </w:rPr>
            </w:pPr>
            <w:r>
              <w:rPr>
                <w:rFonts w:ascii="Arial" w:cs="Arial" w:eastAsia="Arial" w:hAnsi="Arial"/>
                <w:sz w:val="16"/>
                <w:szCs w:val="16"/>
                <w:color w:val="auto"/>
              </w:rPr>
              <w:t>Net income (loss)</w:t>
            </w:r>
          </w:p>
        </w:tc>
        <w:tc>
          <w:tcPr>
            <w:tcW w:w="2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(797)</w:t>
            </w:r>
          </w:p>
        </w:tc>
      </w:tr>
      <w:tr>
        <w:trPr>
          <w:trHeight w:val="33"/>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0" w:type="dxa"/>
            <w:vAlign w:val="bottom"/>
            <w:tcBorders>
              <w:bottom w:val="single" w:sz="8" w:color="CCEEFF"/>
            </w:tcBorders>
            <w:shd w:val="clear" w:color="auto" w:fill="CCEEFF"/>
          </w:tcPr>
          <w:p>
            <w:pPr>
              <w:spacing w:after="0"/>
              <w:rPr>
                <w:sz w:val="23"/>
                <w:szCs w:val="23"/>
                <w:color w:val="auto"/>
              </w:rPr>
            </w:pPr>
          </w:p>
        </w:tc>
        <w:tc>
          <w:tcPr>
            <w:tcW w:w="414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6"/>
                <w:szCs w:val="16"/>
                <w:color w:val="auto"/>
              </w:rPr>
              <w:t>Change in ownership of noncontrolling interest</w:t>
            </w:r>
          </w:p>
        </w:tc>
        <w:tc>
          <w:tcPr>
            <w:tcW w:w="28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2,710</w:t>
            </w:r>
          </w:p>
        </w:tc>
      </w:tr>
      <w:tr>
        <w:trPr>
          <w:trHeight w:val="217"/>
        </w:trPr>
        <w:tc>
          <w:tcPr>
            <w:tcW w:w="60" w:type="dxa"/>
            <w:vAlign w:val="bottom"/>
          </w:tcPr>
          <w:p>
            <w:pPr>
              <w:spacing w:after="0"/>
              <w:rPr>
                <w:sz w:val="18"/>
                <w:szCs w:val="18"/>
                <w:color w:val="auto"/>
              </w:rPr>
            </w:pPr>
          </w:p>
        </w:tc>
        <w:tc>
          <w:tcPr>
            <w:tcW w:w="4140" w:type="dxa"/>
            <w:vAlign w:val="bottom"/>
            <w:gridSpan w:val="3"/>
          </w:tcPr>
          <w:p>
            <w:pPr>
              <w:ind w:left="320"/>
              <w:spacing w:after="0"/>
              <w:rPr>
                <w:sz w:val="20"/>
                <w:szCs w:val="20"/>
                <w:color w:val="auto"/>
              </w:rPr>
            </w:pPr>
            <w:r>
              <w:rPr>
                <w:rFonts w:ascii="Arial" w:cs="Arial" w:eastAsia="Arial" w:hAnsi="Arial"/>
                <w:sz w:val="16"/>
                <w:szCs w:val="16"/>
                <w:color w:val="auto"/>
              </w:rPr>
              <w:t>Ending balances</w:t>
            </w:r>
          </w:p>
        </w:tc>
        <w:tc>
          <w:tcPr>
            <w:tcW w:w="28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(452)</w:t>
            </w:r>
          </w:p>
        </w:tc>
      </w:tr>
      <w:tr>
        <w:trPr>
          <w:trHeight w:val="33"/>
        </w:trPr>
        <w:tc>
          <w:tcPr>
            <w:tcW w:w="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Total equity ending balances</w:t>
            </w:r>
          </w:p>
        </w:tc>
        <w:tc>
          <w:tcPr>
            <w:tcW w:w="28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92"/>
              </w:rPr>
              <w:t>2,423,710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1,945,781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2,423,710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1,945,781</w:t>
            </w: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7"/>
        </w:trPr>
        <w:tc>
          <w:tcPr>
            <w:tcW w:w="4200" w:type="dxa"/>
            <w:vAlign w:val="bottom"/>
            <w:gridSpan w:val="4"/>
          </w:tcPr>
          <w:p>
            <w:pPr>
              <w:ind w:left="40"/>
              <w:spacing w:after="0"/>
              <w:rPr>
                <w:sz w:val="20"/>
                <w:szCs w:val="20"/>
                <w:color w:val="auto"/>
              </w:rPr>
            </w:pPr>
            <w:r>
              <w:rPr>
                <w:rFonts w:ascii="Arial" w:cs="Arial" w:eastAsia="Arial" w:hAnsi="Arial"/>
                <w:sz w:val="16"/>
                <w:szCs w:val="16"/>
                <w:color w:val="auto"/>
              </w:rPr>
              <w:t>Dividends declared per common share</w:t>
            </w:r>
          </w:p>
        </w:tc>
        <w:tc>
          <w:tcPr>
            <w:tcW w:w="30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0.545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0.52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1.635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1.56</w:t>
            </w: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ectPr>
          <w:pgSz w:w="11900" w:h="16838" w:orient="portrait"/>
          <w:cols w:equalWidth="0" w:num="1">
            <w:col w:w="11420"/>
          </w:cols>
          <w:pgMar w:left="240" w:top="270"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1420"/>
          </w:cols>
          <w:pgMar w:left="240" w:top="270" w:right="2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7780" w:type="dxa"/>
            <w:vAlign w:val="bottom"/>
            <w:gridSpan w:val="4"/>
          </w:tcPr>
          <w:p>
            <w:pPr>
              <w:spacing w:after="0"/>
              <w:rPr>
                <w:sz w:val="20"/>
                <w:szCs w:val="20"/>
                <w:color w:val="auto"/>
              </w:rPr>
            </w:pPr>
            <w:r>
              <w:rPr>
                <w:rFonts w:ascii="Arial" w:cs="Arial" w:eastAsia="Arial" w:hAnsi="Arial"/>
                <w:sz w:val="18"/>
                <w:szCs w:val="18"/>
                <w:color w:val="auto"/>
              </w:rPr>
              <w:t>SOUTHWEST GAS HOLDINGS, INC.</w:t>
            </w: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Form 10-Q</w:t>
            </w:r>
          </w:p>
        </w:tc>
        <w:tc>
          <w:tcPr>
            <w:tcW w:w="0" w:type="dxa"/>
            <w:vAlign w:val="bottom"/>
          </w:tcPr>
          <w:p>
            <w:pPr>
              <w:spacing w:after="0"/>
              <w:rPr>
                <w:sz w:val="1"/>
                <w:szCs w:val="1"/>
                <w:color w:val="auto"/>
              </w:rPr>
            </w:pPr>
          </w:p>
        </w:tc>
      </w:tr>
      <w:tr>
        <w:trPr>
          <w:trHeight w:val="250"/>
        </w:trPr>
        <w:tc>
          <w:tcPr>
            <w:tcW w:w="29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6"/>
              </w:rPr>
              <w:t>SOUTHWEST GAS CORPORATION</w:t>
            </w:r>
          </w:p>
        </w:tc>
        <w:tc>
          <w:tcPr>
            <w:tcW w:w="4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w w:val="95"/>
              </w:rPr>
              <w:t>September 30, 2019</w:t>
            </w:r>
          </w:p>
        </w:tc>
        <w:tc>
          <w:tcPr>
            <w:tcW w:w="0" w:type="dxa"/>
            <w:vAlign w:val="bottom"/>
          </w:tcPr>
          <w:p>
            <w:pPr>
              <w:spacing w:after="0"/>
              <w:rPr>
                <w:sz w:val="1"/>
                <w:szCs w:val="1"/>
                <w:color w:val="auto"/>
              </w:rPr>
            </w:pPr>
          </w:p>
        </w:tc>
      </w:tr>
      <w:tr>
        <w:trPr>
          <w:trHeight w:val="816"/>
        </w:trPr>
        <w:tc>
          <w:tcPr>
            <w:tcW w:w="120" w:type="dxa"/>
            <w:vAlign w:val="bottom"/>
            <w:tcBorders>
              <w:top w:val="single" w:sz="8" w:color="auto"/>
            </w:tcBorders>
          </w:tcPr>
          <w:p>
            <w:pPr>
              <w:spacing w:after="0"/>
              <w:rPr>
                <w:sz w:val="24"/>
                <w:szCs w:val="24"/>
                <w:color w:val="auto"/>
              </w:rPr>
            </w:pPr>
          </w:p>
        </w:tc>
        <w:tc>
          <w:tcPr>
            <w:tcW w:w="2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60" w:type="dxa"/>
            <w:vAlign w:val="bottom"/>
            <w:gridSpan w:val="2"/>
          </w:tcPr>
          <w:p>
            <w:pPr>
              <w:jc w:val="center"/>
              <w:ind w:left="354"/>
              <w:spacing w:after="0"/>
              <w:rPr>
                <w:sz w:val="20"/>
                <w:szCs w:val="20"/>
                <w:color w:val="auto"/>
              </w:rPr>
            </w:pPr>
            <w:r>
              <w:rPr>
                <w:rFonts w:ascii="Arial" w:cs="Arial" w:eastAsia="Arial" w:hAnsi="Arial"/>
                <w:sz w:val="18"/>
                <w:szCs w:val="18"/>
                <w:color w:val="auto"/>
                <w:w w:val="95"/>
              </w:rPr>
              <w:t>SOUTHWEST GAS CORPORATION AND SUBSIDIARIES</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80" w:type="dxa"/>
            <w:vAlign w:val="bottom"/>
          </w:tcPr>
          <w:p>
            <w:pPr>
              <w:jc w:val="center"/>
              <w:ind w:left="534"/>
              <w:spacing w:after="0"/>
              <w:rPr>
                <w:sz w:val="20"/>
                <w:szCs w:val="20"/>
                <w:color w:val="auto"/>
              </w:rPr>
            </w:pPr>
            <w:r>
              <w:rPr>
                <w:rFonts w:ascii="Arial" w:cs="Arial" w:eastAsia="Arial" w:hAnsi="Arial"/>
                <w:sz w:val="18"/>
                <w:szCs w:val="18"/>
                <w:color w:val="auto"/>
                <w:w w:val="95"/>
              </w:rPr>
              <w:t>CONDENSED CONSOLIDATED BALANCE SHEETS</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80" w:type="dxa"/>
            <w:vAlign w:val="bottom"/>
          </w:tcPr>
          <w:p>
            <w:pPr>
              <w:jc w:val="center"/>
              <w:ind w:left="534"/>
              <w:spacing w:after="0"/>
              <w:rPr>
                <w:sz w:val="20"/>
                <w:szCs w:val="20"/>
                <w:color w:val="auto"/>
              </w:rPr>
            </w:pPr>
            <w:r>
              <w:rPr>
                <w:rFonts w:ascii="Arial" w:cs="Arial" w:eastAsia="Arial" w:hAnsi="Arial"/>
                <w:sz w:val="18"/>
                <w:szCs w:val="18"/>
                <w:color w:val="auto"/>
                <w:w w:val="90"/>
              </w:rPr>
              <w:t>(Thousands of dollars)</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80" w:type="dxa"/>
            <w:vAlign w:val="bottom"/>
          </w:tcPr>
          <w:p>
            <w:pPr>
              <w:jc w:val="center"/>
              <w:ind w:left="534"/>
              <w:spacing w:after="0"/>
              <w:rPr>
                <w:sz w:val="20"/>
                <w:szCs w:val="20"/>
                <w:color w:val="auto"/>
              </w:rPr>
            </w:pPr>
            <w:r>
              <w:rPr>
                <w:rFonts w:ascii="Arial" w:cs="Arial" w:eastAsia="Arial" w:hAnsi="Arial"/>
                <w:sz w:val="18"/>
                <w:szCs w:val="18"/>
                <w:color w:val="auto"/>
                <w:w w:val="91"/>
              </w:rPr>
              <w:t>(Unaudited)</w:t>
            </w: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1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gridSpan w:val="2"/>
          </w:tcPr>
          <w:p>
            <w:pPr>
              <w:ind w:left="60"/>
              <w:spacing w:after="0"/>
              <w:rPr>
                <w:sz w:val="20"/>
                <w:szCs w:val="20"/>
                <w:color w:val="auto"/>
              </w:rPr>
            </w:pPr>
            <w:r>
              <w:rPr>
                <w:rFonts w:ascii="Arial" w:cs="Arial" w:eastAsia="Arial" w:hAnsi="Arial"/>
                <w:sz w:val="14"/>
                <w:szCs w:val="14"/>
                <w:color w:val="auto"/>
              </w:rPr>
              <w:t>September 30, 2019</w:t>
            </w:r>
          </w:p>
        </w:tc>
        <w:tc>
          <w:tcPr>
            <w:tcW w:w="160" w:type="dxa"/>
            <w:vAlign w:val="bottom"/>
          </w:tcPr>
          <w:p>
            <w:pPr>
              <w:spacing w:after="0"/>
              <w:rPr>
                <w:sz w:val="24"/>
                <w:szCs w:val="24"/>
                <w:color w:val="auto"/>
              </w:rPr>
            </w:pPr>
          </w:p>
        </w:tc>
        <w:tc>
          <w:tcPr>
            <w:tcW w:w="1580" w:type="dxa"/>
            <w:vAlign w:val="bottom"/>
            <w:gridSpan w:val="2"/>
          </w:tcPr>
          <w:p>
            <w:pPr>
              <w:jc w:val="right"/>
              <w:ind w:right="360"/>
              <w:spacing w:after="0"/>
              <w:rPr>
                <w:sz w:val="20"/>
                <w:szCs w:val="20"/>
                <w:color w:val="auto"/>
              </w:rPr>
            </w:pPr>
            <w:r>
              <w:rPr>
                <w:rFonts w:ascii="Arial" w:cs="Arial" w:eastAsia="Arial" w:hAnsi="Arial"/>
                <w:sz w:val="14"/>
                <w:szCs w:val="14"/>
                <w:color w:val="auto"/>
                <w:w w:val="97"/>
              </w:rPr>
              <w:t>December 31, 2018</w:t>
            </w:r>
          </w:p>
        </w:tc>
        <w:tc>
          <w:tcPr>
            <w:tcW w:w="0" w:type="dxa"/>
            <w:vAlign w:val="bottom"/>
          </w:tcPr>
          <w:p>
            <w:pPr>
              <w:spacing w:after="0"/>
              <w:rPr>
                <w:sz w:val="1"/>
                <w:szCs w:val="1"/>
                <w:color w:val="auto"/>
              </w:rPr>
            </w:pPr>
          </w:p>
        </w:tc>
      </w:tr>
      <w:tr>
        <w:trPr>
          <w:trHeight w:val="177"/>
        </w:trPr>
        <w:tc>
          <w:tcPr>
            <w:tcW w:w="120" w:type="dxa"/>
            <w:vAlign w:val="bottom"/>
          </w:tcPr>
          <w:p>
            <w:pPr>
              <w:spacing w:after="0"/>
              <w:rPr>
                <w:sz w:val="15"/>
                <w:szCs w:val="15"/>
                <w:color w:val="auto"/>
              </w:rPr>
            </w:pPr>
          </w:p>
        </w:tc>
        <w:tc>
          <w:tcPr>
            <w:tcW w:w="26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880" w:type="dxa"/>
            <w:vAlign w:val="bottom"/>
            <w:tcBorders>
              <w:top w:val="single" w:sz="8" w:color="CCEEFF"/>
            </w:tcBorders>
            <w:shd w:val="clear" w:color="auto" w:fill="CCEEFF"/>
          </w:tcPr>
          <w:p>
            <w:pPr>
              <w:jc w:val="center"/>
              <w:ind w:right="2834"/>
              <w:spacing w:after="0"/>
              <w:rPr>
                <w:sz w:val="20"/>
                <w:szCs w:val="20"/>
                <w:color w:val="auto"/>
              </w:rPr>
            </w:pPr>
            <w:r>
              <w:rPr>
                <w:rFonts w:ascii="Arial" w:cs="Arial" w:eastAsia="Arial" w:hAnsi="Arial"/>
                <w:sz w:val="14"/>
                <w:szCs w:val="14"/>
                <w:color w:val="auto"/>
                <w:w w:val="94"/>
              </w:rPr>
              <w:t>ASSETS</w:t>
            </w:r>
          </w:p>
        </w:tc>
        <w:tc>
          <w:tcPr>
            <w:tcW w:w="18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120" w:type="dxa"/>
            <w:vAlign w:val="bottom"/>
          </w:tcPr>
          <w:p>
            <w:pPr>
              <w:spacing w:after="0"/>
              <w:rPr>
                <w:sz w:val="8"/>
                <w:szCs w:val="8"/>
                <w:color w:val="auto"/>
              </w:rPr>
            </w:pPr>
          </w:p>
        </w:tc>
        <w:tc>
          <w:tcPr>
            <w:tcW w:w="2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8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480" w:type="dxa"/>
            <w:vAlign w:val="bottom"/>
            <w:shd w:val="clear" w:color="auto" w:fill="CCEEFF"/>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7660" w:type="dxa"/>
            <w:vAlign w:val="bottom"/>
            <w:gridSpan w:val="3"/>
          </w:tcPr>
          <w:p>
            <w:pPr>
              <w:ind w:left="20"/>
              <w:spacing w:after="0"/>
              <w:rPr>
                <w:sz w:val="20"/>
                <w:szCs w:val="20"/>
                <w:color w:val="auto"/>
              </w:rPr>
            </w:pPr>
            <w:r>
              <w:rPr>
                <w:rFonts w:ascii="Arial" w:cs="Arial" w:eastAsia="Arial" w:hAnsi="Arial"/>
                <w:sz w:val="14"/>
                <w:szCs w:val="14"/>
                <w:color w:val="auto"/>
              </w:rPr>
              <w:t>Utility plant:</w:t>
            </w: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2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766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Gas plant</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7,550,855</w:t>
            </w:r>
          </w:p>
        </w:tc>
        <w:tc>
          <w:tcPr>
            <w:tcW w:w="12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7,134,239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20" w:type="dxa"/>
            <w:vAlign w:val="bottom"/>
          </w:tcPr>
          <w:p>
            <w:pPr>
              <w:spacing w:after="0"/>
              <w:rPr>
                <w:sz w:val="6"/>
                <w:szCs w:val="6"/>
                <w:color w:val="auto"/>
              </w:rPr>
            </w:pPr>
          </w:p>
        </w:tc>
        <w:tc>
          <w:tcPr>
            <w:tcW w:w="2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8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7660" w:type="dxa"/>
            <w:vAlign w:val="bottom"/>
            <w:gridSpan w:val="3"/>
          </w:tcPr>
          <w:p>
            <w:pPr>
              <w:ind w:left="380"/>
              <w:spacing w:after="0"/>
              <w:rPr>
                <w:sz w:val="20"/>
                <w:szCs w:val="20"/>
                <w:color w:val="auto"/>
              </w:rPr>
            </w:pPr>
            <w:r>
              <w:rPr>
                <w:rFonts w:ascii="Arial" w:cs="Arial" w:eastAsia="Arial" w:hAnsi="Arial"/>
                <w:sz w:val="14"/>
                <w:szCs w:val="14"/>
                <w:color w:val="auto"/>
              </w:rPr>
              <w:t>Less: accumulated depreciation</w:t>
            </w:r>
          </w:p>
        </w:tc>
        <w:tc>
          <w:tcPr>
            <w:tcW w:w="180" w:type="dxa"/>
            <w:vAlign w:val="bottom"/>
          </w:tcPr>
          <w:p>
            <w:pPr>
              <w:spacing w:after="0"/>
              <w:rPr>
                <w:sz w:val="16"/>
                <w:szCs w:val="16"/>
                <w:color w:val="auto"/>
              </w:rPr>
            </w:pPr>
          </w:p>
        </w:tc>
        <w:tc>
          <w:tcPr>
            <w:tcW w:w="1480" w:type="dxa"/>
            <w:vAlign w:val="bottom"/>
            <w:vMerge w:val="restart"/>
          </w:tcPr>
          <w:p>
            <w:pPr>
              <w:jc w:val="right"/>
              <w:spacing w:after="0"/>
              <w:rPr>
                <w:sz w:val="20"/>
                <w:szCs w:val="20"/>
                <w:color w:val="auto"/>
              </w:rPr>
            </w:pPr>
            <w:r>
              <w:rPr>
                <w:rFonts w:ascii="Arial" w:cs="Arial" w:eastAsia="Arial" w:hAnsi="Arial"/>
                <w:sz w:val="14"/>
                <w:szCs w:val="14"/>
                <w:color w:val="auto"/>
              </w:rPr>
              <w:t>(2,303,864)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vMerge w:val="restart"/>
          </w:tcPr>
          <w:p>
            <w:pPr>
              <w:jc w:val="right"/>
              <w:spacing w:after="0"/>
              <w:rPr>
                <w:sz w:val="20"/>
                <w:szCs w:val="20"/>
                <w:color w:val="auto"/>
              </w:rPr>
            </w:pPr>
            <w:r>
              <w:rPr>
                <w:rFonts w:ascii="Arial" w:cs="Arial" w:eastAsia="Arial" w:hAnsi="Arial"/>
                <w:sz w:val="14"/>
                <w:szCs w:val="14"/>
                <w:color w:val="auto"/>
              </w:rPr>
              <w:t>(2,234,029)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2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20" w:type="dxa"/>
            <w:vAlign w:val="bottom"/>
          </w:tcPr>
          <w:p>
            <w:pPr>
              <w:spacing w:after="0"/>
              <w:rPr>
                <w:sz w:val="17"/>
                <w:szCs w:val="17"/>
                <w:color w:val="auto"/>
              </w:rPr>
            </w:pPr>
          </w:p>
        </w:tc>
        <w:tc>
          <w:tcPr>
            <w:tcW w:w="766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Construction work in progress</w:t>
            </w:r>
          </w:p>
        </w:tc>
        <w:tc>
          <w:tcPr>
            <w:tcW w:w="18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288,573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193,028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120" w:type="dxa"/>
            <w:vAlign w:val="bottom"/>
          </w:tcPr>
          <w:p>
            <w:pPr>
              <w:spacing w:after="0"/>
              <w:rPr>
                <w:sz w:val="6"/>
                <w:szCs w:val="6"/>
                <w:color w:val="auto"/>
              </w:rPr>
            </w:pPr>
          </w:p>
        </w:tc>
        <w:tc>
          <w:tcPr>
            <w:tcW w:w="2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8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7660" w:type="dxa"/>
            <w:vAlign w:val="bottom"/>
            <w:gridSpan w:val="3"/>
          </w:tcPr>
          <w:p>
            <w:pPr>
              <w:ind w:left="700"/>
              <w:spacing w:after="0"/>
              <w:rPr>
                <w:sz w:val="20"/>
                <w:szCs w:val="20"/>
                <w:color w:val="auto"/>
              </w:rPr>
            </w:pPr>
            <w:r>
              <w:rPr>
                <w:rFonts w:ascii="Arial" w:cs="Arial" w:eastAsia="Arial" w:hAnsi="Arial"/>
                <w:sz w:val="14"/>
                <w:szCs w:val="14"/>
                <w:color w:val="auto"/>
              </w:rPr>
              <w:t>Net utility plant</w:t>
            </w:r>
          </w:p>
        </w:tc>
        <w:tc>
          <w:tcPr>
            <w:tcW w:w="180" w:type="dxa"/>
            <w:vAlign w:val="bottom"/>
          </w:tcPr>
          <w:p>
            <w:pPr>
              <w:spacing w:after="0"/>
              <w:rPr>
                <w:sz w:val="14"/>
                <w:szCs w:val="14"/>
                <w:color w:val="auto"/>
              </w:rPr>
            </w:pPr>
          </w:p>
        </w:tc>
        <w:tc>
          <w:tcPr>
            <w:tcW w:w="1480" w:type="dxa"/>
            <w:vAlign w:val="bottom"/>
            <w:vMerge w:val="restart"/>
          </w:tcPr>
          <w:p>
            <w:pPr>
              <w:jc w:val="right"/>
              <w:ind w:right="48"/>
              <w:spacing w:after="0"/>
              <w:rPr>
                <w:sz w:val="20"/>
                <w:szCs w:val="20"/>
                <w:color w:val="auto"/>
              </w:rPr>
            </w:pPr>
            <w:r>
              <w:rPr>
                <w:rFonts w:ascii="Arial" w:cs="Arial" w:eastAsia="Arial" w:hAnsi="Arial"/>
                <w:sz w:val="14"/>
                <w:szCs w:val="14"/>
                <w:color w:val="auto"/>
              </w:rPr>
              <w:t>5,535,564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vMerge w:val="restart"/>
          </w:tcPr>
          <w:p>
            <w:pPr>
              <w:jc w:val="right"/>
              <w:ind w:right="47"/>
              <w:spacing w:after="0"/>
              <w:rPr>
                <w:sz w:val="20"/>
                <w:szCs w:val="20"/>
                <w:color w:val="auto"/>
              </w:rPr>
            </w:pPr>
            <w:r>
              <w:rPr>
                <w:rFonts w:ascii="Arial" w:cs="Arial" w:eastAsia="Arial" w:hAnsi="Arial"/>
                <w:sz w:val="14"/>
                <w:szCs w:val="14"/>
                <w:color w:val="auto"/>
              </w:rPr>
              <w:t>5,093,238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120" w:type="dxa"/>
            <w:vAlign w:val="bottom"/>
          </w:tcPr>
          <w:p>
            <w:pPr>
              <w:spacing w:after="0"/>
              <w:rPr>
                <w:sz w:val="6"/>
                <w:szCs w:val="6"/>
                <w:color w:val="auto"/>
              </w:rPr>
            </w:pPr>
          </w:p>
        </w:tc>
        <w:tc>
          <w:tcPr>
            <w:tcW w:w="268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88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120" w:type="dxa"/>
            <w:vAlign w:val="bottom"/>
          </w:tcPr>
          <w:p>
            <w:pPr>
              <w:spacing w:after="0"/>
              <w:rPr>
                <w:sz w:val="15"/>
                <w:szCs w:val="15"/>
                <w:color w:val="auto"/>
              </w:rPr>
            </w:pPr>
          </w:p>
        </w:tc>
        <w:tc>
          <w:tcPr>
            <w:tcW w:w="76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 property and investments</w:t>
            </w:r>
          </w:p>
        </w:tc>
        <w:tc>
          <w:tcPr>
            <w:tcW w:w="18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127,774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116,146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20" w:type="dxa"/>
            <w:vAlign w:val="bottom"/>
          </w:tcPr>
          <w:p>
            <w:pPr>
              <w:spacing w:after="0"/>
              <w:rPr>
                <w:sz w:val="6"/>
                <w:szCs w:val="6"/>
                <w:color w:val="auto"/>
              </w:rPr>
            </w:pPr>
          </w:p>
        </w:tc>
        <w:tc>
          <w:tcPr>
            <w:tcW w:w="2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8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7660" w:type="dxa"/>
            <w:vAlign w:val="bottom"/>
            <w:gridSpan w:val="3"/>
          </w:tcPr>
          <w:p>
            <w:pPr>
              <w:ind w:left="20"/>
              <w:spacing w:after="0"/>
              <w:rPr>
                <w:sz w:val="20"/>
                <w:szCs w:val="20"/>
                <w:color w:val="auto"/>
              </w:rPr>
            </w:pPr>
            <w:r>
              <w:rPr>
                <w:rFonts w:ascii="Arial" w:cs="Arial" w:eastAsia="Arial" w:hAnsi="Arial"/>
                <w:sz w:val="14"/>
                <w:szCs w:val="14"/>
                <w:color w:val="auto"/>
              </w:rPr>
              <w:t>Current assets:</w:t>
            </w: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766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Cash and cash equivalents</w:t>
            </w:r>
          </w:p>
        </w:tc>
        <w:tc>
          <w:tcPr>
            <w:tcW w:w="180" w:type="dxa"/>
            <w:vAlign w:val="bottom"/>
            <w:shd w:val="clear" w:color="auto" w:fill="CCEEFF"/>
          </w:tcPr>
          <w:p>
            <w:pPr>
              <w:spacing w:after="0"/>
              <w:rPr>
                <w:sz w:val="16"/>
                <w:szCs w:val="16"/>
                <w:color w:val="auto"/>
              </w:rPr>
            </w:pP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16,811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31,962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20" w:type="dxa"/>
            <w:vAlign w:val="bottom"/>
          </w:tcPr>
          <w:p>
            <w:pPr>
              <w:spacing w:after="0"/>
              <w:rPr>
                <w:sz w:val="6"/>
                <w:szCs w:val="6"/>
                <w:color w:val="auto"/>
              </w:rPr>
            </w:pPr>
          </w:p>
        </w:tc>
        <w:tc>
          <w:tcPr>
            <w:tcW w:w="2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7660" w:type="dxa"/>
            <w:vAlign w:val="bottom"/>
            <w:gridSpan w:val="3"/>
          </w:tcPr>
          <w:p>
            <w:pPr>
              <w:ind w:left="380"/>
              <w:spacing w:after="0"/>
              <w:rPr>
                <w:sz w:val="20"/>
                <w:szCs w:val="20"/>
                <w:color w:val="auto"/>
              </w:rPr>
            </w:pPr>
            <w:r>
              <w:rPr>
                <w:rFonts w:ascii="Arial" w:cs="Arial" w:eastAsia="Arial" w:hAnsi="Arial"/>
                <w:sz w:val="14"/>
                <w:szCs w:val="14"/>
                <w:color w:val="auto"/>
              </w:rPr>
              <w:t>Accounts receivable, net of allowances</w:t>
            </w:r>
          </w:p>
        </w:tc>
        <w:tc>
          <w:tcPr>
            <w:tcW w:w="180" w:type="dxa"/>
            <w:vAlign w:val="bottom"/>
          </w:tcPr>
          <w:p>
            <w:pPr>
              <w:spacing w:after="0"/>
              <w:rPr>
                <w:sz w:val="16"/>
                <w:szCs w:val="16"/>
                <w:color w:val="auto"/>
              </w:rPr>
            </w:pPr>
          </w:p>
        </w:tc>
        <w:tc>
          <w:tcPr>
            <w:tcW w:w="1480" w:type="dxa"/>
            <w:vAlign w:val="bottom"/>
            <w:vMerge w:val="restart"/>
          </w:tcPr>
          <w:p>
            <w:pPr>
              <w:jc w:val="right"/>
              <w:ind w:right="48"/>
              <w:spacing w:after="0"/>
              <w:rPr>
                <w:sz w:val="20"/>
                <w:szCs w:val="20"/>
                <w:color w:val="auto"/>
              </w:rPr>
            </w:pPr>
            <w:r>
              <w:rPr>
                <w:rFonts w:ascii="Arial" w:cs="Arial" w:eastAsia="Arial" w:hAnsi="Arial"/>
                <w:sz w:val="14"/>
                <w:szCs w:val="14"/>
                <w:color w:val="auto"/>
              </w:rPr>
              <w:t>73,530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vMerge w:val="restart"/>
          </w:tcPr>
          <w:p>
            <w:pPr>
              <w:jc w:val="right"/>
              <w:ind w:right="47"/>
              <w:spacing w:after="0"/>
              <w:rPr>
                <w:sz w:val="20"/>
                <w:szCs w:val="20"/>
                <w:color w:val="auto"/>
              </w:rPr>
            </w:pPr>
            <w:r>
              <w:rPr>
                <w:rFonts w:ascii="Arial" w:cs="Arial" w:eastAsia="Arial" w:hAnsi="Arial"/>
                <w:sz w:val="14"/>
                <w:szCs w:val="14"/>
                <w:color w:val="auto"/>
              </w:rPr>
              <w:t>140,057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2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20" w:type="dxa"/>
            <w:vAlign w:val="bottom"/>
          </w:tcPr>
          <w:p>
            <w:pPr>
              <w:spacing w:after="0"/>
              <w:rPr>
                <w:sz w:val="17"/>
                <w:szCs w:val="17"/>
                <w:color w:val="auto"/>
              </w:rPr>
            </w:pPr>
          </w:p>
        </w:tc>
        <w:tc>
          <w:tcPr>
            <w:tcW w:w="766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Accrued utility revenue</w:t>
            </w:r>
          </w:p>
        </w:tc>
        <w:tc>
          <w:tcPr>
            <w:tcW w:w="18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35,800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77,200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120" w:type="dxa"/>
            <w:vAlign w:val="bottom"/>
          </w:tcPr>
          <w:p>
            <w:pPr>
              <w:spacing w:after="0"/>
              <w:rPr>
                <w:sz w:val="6"/>
                <w:szCs w:val="6"/>
                <w:color w:val="auto"/>
              </w:rPr>
            </w:pPr>
          </w:p>
        </w:tc>
        <w:tc>
          <w:tcPr>
            <w:tcW w:w="2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7660" w:type="dxa"/>
            <w:vAlign w:val="bottom"/>
            <w:gridSpan w:val="3"/>
          </w:tcPr>
          <w:p>
            <w:pPr>
              <w:ind w:left="380"/>
              <w:spacing w:after="0"/>
              <w:rPr>
                <w:sz w:val="20"/>
                <w:szCs w:val="20"/>
                <w:color w:val="auto"/>
              </w:rPr>
            </w:pPr>
            <w:r>
              <w:rPr>
                <w:rFonts w:ascii="Arial" w:cs="Arial" w:eastAsia="Arial" w:hAnsi="Arial"/>
                <w:sz w:val="14"/>
                <w:szCs w:val="14"/>
                <w:color w:val="auto"/>
              </w:rPr>
              <w:t>Income taxes receivable</w:t>
            </w:r>
          </w:p>
        </w:tc>
        <w:tc>
          <w:tcPr>
            <w:tcW w:w="180" w:type="dxa"/>
            <w:vAlign w:val="bottom"/>
          </w:tcPr>
          <w:p>
            <w:pPr>
              <w:spacing w:after="0"/>
              <w:rPr>
                <w:sz w:val="16"/>
                <w:szCs w:val="16"/>
                <w:color w:val="auto"/>
              </w:rPr>
            </w:pPr>
          </w:p>
        </w:tc>
        <w:tc>
          <w:tcPr>
            <w:tcW w:w="1480" w:type="dxa"/>
            <w:vAlign w:val="bottom"/>
            <w:vMerge w:val="restart"/>
          </w:tcPr>
          <w:p>
            <w:pPr>
              <w:jc w:val="right"/>
              <w:ind w:right="48"/>
              <w:spacing w:after="0"/>
              <w:rPr>
                <w:sz w:val="20"/>
                <w:szCs w:val="20"/>
                <w:color w:val="auto"/>
              </w:rPr>
            </w:pPr>
            <w:r>
              <w:rPr>
                <w:rFonts w:ascii="Arial" w:cs="Arial" w:eastAsia="Arial" w:hAnsi="Arial"/>
                <w:sz w:val="14"/>
                <w:szCs w:val="14"/>
                <w:color w:val="auto"/>
              </w:rPr>
              <w:t>26,663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vMerge w:val="restart"/>
          </w:tcPr>
          <w:p>
            <w:pPr>
              <w:jc w:val="right"/>
              <w:ind w:right="47"/>
              <w:spacing w:after="0"/>
              <w:rPr>
                <w:sz w:val="20"/>
                <w:szCs w:val="20"/>
                <w:color w:val="auto"/>
              </w:rPr>
            </w:pPr>
            <w:r>
              <w:rPr>
                <w:rFonts w:ascii="Arial" w:cs="Arial" w:eastAsia="Arial" w:hAnsi="Arial"/>
                <w:sz w:val="14"/>
                <w:szCs w:val="14"/>
                <w:color w:val="auto"/>
              </w:rPr>
              <w:t>13,444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2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20" w:type="dxa"/>
            <w:vAlign w:val="bottom"/>
          </w:tcPr>
          <w:p>
            <w:pPr>
              <w:spacing w:after="0"/>
              <w:rPr>
                <w:sz w:val="17"/>
                <w:szCs w:val="17"/>
                <w:color w:val="auto"/>
              </w:rPr>
            </w:pPr>
          </w:p>
        </w:tc>
        <w:tc>
          <w:tcPr>
            <w:tcW w:w="766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Deferred purchased gas costs</w:t>
            </w:r>
          </w:p>
        </w:tc>
        <w:tc>
          <w:tcPr>
            <w:tcW w:w="18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49,804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4,928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120" w:type="dxa"/>
            <w:vAlign w:val="bottom"/>
          </w:tcPr>
          <w:p>
            <w:pPr>
              <w:spacing w:after="0"/>
              <w:rPr>
                <w:sz w:val="6"/>
                <w:szCs w:val="6"/>
                <w:color w:val="auto"/>
              </w:rPr>
            </w:pPr>
          </w:p>
        </w:tc>
        <w:tc>
          <w:tcPr>
            <w:tcW w:w="2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7660" w:type="dxa"/>
            <w:vAlign w:val="bottom"/>
            <w:gridSpan w:val="3"/>
          </w:tcPr>
          <w:p>
            <w:pPr>
              <w:ind w:left="380"/>
              <w:spacing w:after="0"/>
              <w:rPr>
                <w:sz w:val="20"/>
                <w:szCs w:val="20"/>
                <w:color w:val="auto"/>
              </w:rPr>
            </w:pPr>
            <w:r>
              <w:rPr>
                <w:rFonts w:ascii="Arial" w:cs="Arial" w:eastAsia="Arial" w:hAnsi="Arial"/>
                <w:sz w:val="14"/>
                <w:szCs w:val="14"/>
                <w:color w:val="auto"/>
              </w:rPr>
              <w:t>Prepaid and other current assets</w:t>
            </w:r>
          </w:p>
        </w:tc>
        <w:tc>
          <w:tcPr>
            <w:tcW w:w="180" w:type="dxa"/>
            <w:vAlign w:val="bottom"/>
          </w:tcPr>
          <w:p>
            <w:pPr>
              <w:spacing w:after="0"/>
              <w:rPr>
                <w:sz w:val="16"/>
                <w:szCs w:val="16"/>
                <w:color w:val="auto"/>
              </w:rPr>
            </w:pPr>
          </w:p>
        </w:tc>
        <w:tc>
          <w:tcPr>
            <w:tcW w:w="1480" w:type="dxa"/>
            <w:vAlign w:val="bottom"/>
            <w:vMerge w:val="restart"/>
          </w:tcPr>
          <w:p>
            <w:pPr>
              <w:jc w:val="right"/>
              <w:ind w:right="48"/>
              <w:spacing w:after="0"/>
              <w:rPr>
                <w:sz w:val="20"/>
                <w:szCs w:val="20"/>
                <w:color w:val="auto"/>
              </w:rPr>
            </w:pPr>
            <w:r>
              <w:rPr>
                <w:rFonts w:ascii="Arial" w:cs="Arial" w:eastAsia="Arial" w:hAnsi="Arial"/>
                <w:sz w:val="14"/>
                <w:szCs w:val="14"/>
                <w:color w:val="auto"/>
              </w:rPr>
              <w:t>171,402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vMerge w:val="restart"/>
          </w:tcPr>
          <w:p>
            <w:pPr>
              <w:jc w:val="right"/>
              <w:ind w:right="47"/>
              <w:spacing w:after="0"/>
              <w:rPr>
                <w:sz w:val="20"/>
                <w:szCs w:val="20"/>
                <w:color w:val="auto"/>
              </w:rPr>
            </w:pPr>
            <w:r>
              <w:rPr>
                <w:rFonts w:ascii="Arial" w:cs="Arial" w:eastAsia="Arial" w:hAnsi="Arial"/>
                <w:sz w:val="14"/>
                <w:szCs w:val="14"/>
                <w:color w:val="auto"/>
              </w:rPr>
              <w:t>229,562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20" w:type="dxa"/>
            <w:vAlign w:val="bottom"/>
          </w:tcPr>
          <w:p>
            <w:pPr>
              <w:spacing w:after="0"/>
              <w:rPr>
                <w:sz w:val="6"/>
                <w:szCs w:val="6"/>
                <w:color w:val="auto"/>
              </w:rPr>
            </w:pPr>
          </w:p>
        </w:tc>
        <w:tc>
          <w:tcPr>
            <w:tcW w:w="268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88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120" w:type="dxa"/>
            <w:vAlign w:val="bottom"/>
          </w:tcPr>
          <w:p>
            <w:pPr>
              <w:spacing w:after="0"/>
              <w:rPr>
                <w:sz w:val="15"/>
                <w:szCs w:val="15"/>
                <w:color w:val="auto"/>
              </w:rPr>
            </w:pPr>
          </w:p>
        </w:tc>
        <w:tc>
          <w:tcPr>
            <w:tcW w:w="7660" w:type="dxa"/>
            <w:vAlign w:val="bottom"/>
            <w:gridSpan w:val="3"/>
            <w:shd w:val="clear" w:color="auto" w:fill="CCEEFF"/>
          </w:tcPr>
          <w:p>
            <w:pPr>
              <w:ind w:left="700"/>
              <w:spacing w:after="0"/>
              <w:rPr>
                <w:sz w:val="20"/>
                <w:szCs w:val="20"/>
                <w:color w:val="auto"/>
              </w:rPr>
            </w:pPr>
            <w:r>
              <w:rPr>
                <w:rFonts w:ascii="Arial" w:cs="Arial" w:eastAsia="Arial" w:hAnsi="Arial"/>
                <w:sz w:val="14"/>
                <w:szCs w:val="14"/>
                <w:color w:val="auto"/>
              </w:rPr>
              <w:t>Total current assets</w:t>
            </w:r>
          </w:p>
        </w:tc>
        <w:tc>
          <w:tcPr>
            <w:tcW w:w="18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374,010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497,153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20" w:type="dxa"/>
            <w:vAlign w:val="bottom"/>
          </w:tcPr>
          <w:p>
            <w:pPr>
              <w:spacing w:after="0"/>
              <w:rPr>
                <w:sz w:val="6"/>
                <w:szCs w:val="6"/>
                <w:color w:val="auto"/>
              </w:rPr>
            </w:pPr>
          </w:p>
        </w:tc>
        <w:tc>
          <w:tcPr>
            <w:tcW w:w="2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8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7660" w:type="dxa"/>
            <w:vAlign w:val="bottom"/>
            <w:gridSpan w:val="3"/>
          </w:tcPr>
          <w:p>
            <w:pPr>
              <w:ind w:left="20"/>
              <w:spacing w:after="0"/>
              <w:rPr>
                <w:sz w:val="20"/>
                <w:szCs w:val="20"/>
                <w:color w:val="auto"/>
              </w:rPr>
            </w:pPr>
            <w:r>
              <w:rPr>
                <w:rFonts w:ascii="Arial" w:cs="Arial" w:eastAsia="Arial" w:hAnsi="Arial"/>
                <w:sz w:val="14"/>
                <w:szCs w:val="14"/>
                <w:color w:val="auto"/>
              </w:rPr>
              <w:t>Noncurrent assets:</w:t>
            </w: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766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Goodwill</w:t>
            </w:r>
          </w:p>
        </w:tc>
        <w:tc>
          <w:tcPr>
            <w:tcW w:w="180" w:type="dxa"/>
            <w:vAlign w:val="bottom"/>
            <w:shd w:val="clear" w:color="auto" w:fill="CCEEFF"/>
          </w:tcPr>
          <w:p>
            <w:pPr>
              <w:spacing w:after="0"/>
              <w:rPr>
                <w:sz w:val="16"/>
                <w:szCs w:val="16"/>
                <w:color w:val="auto"/>
              </w:rPr>
            </w:pP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10,095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10,095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20" w:type="dxa"/>
            <w:vAlign w:val="bottom"/>
          </w:tcPr>
          <w:p>
            <w:pPr>
              <w:spacing w:after="0"/>
              <w:rPr>
                <w:sz w:val="6"/>
                <w:szCs w:val="6"/>
                <w:color w:val="auto"/>
              </w:rPr>
            </w:pPr>
          </w:p>
        </w:tc>
        <w:tc>
          <w:tcPr>
            <w:tcW w:w="2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7660" w:type="dxa"/>
            <w:vAlign w:val="bottom"/>
            <w:gridSpan w:val="3"/>
          </w:tcPr>
          <w:p>
            <w:pPr>
              <w:ind w:left="380"/>
              <w:spacing w:after="0"/>
              <w:rPr>
                <w:sz w:val="20"/>
                <w:szCs w:val="20"/>
                <w:color w:val="auto"/>
              </w:rPr>
            </w:pPr>
            <w:r>
              <w:rPr>
                <w:rFonts w:ascii="Arial" w:cs="Arial" w:eastAsia="Arial" w:hAnsi="Arial"/>
                <w:sz w:val="14"/>
                <w:szCs w:val="14"/>
                <w:color w:val="auto"/>
              </w:rPr>
              <w:t>Deferred charges and other assets</w:t>
            </w:r>
          </w:p>
        </w:tc>
        <w:tc>
          <w:tcPr>
            <w:tcW w:w="180" w:type="dxa"/>
            <w:vAlign w:val="bottom"/>
          </w:tcPr>
          <w:p>
            <w:pPr>
              <w:spacing w:after="0"/>
              <w:rPr>
                <w:sz w:val="16"/>
                <w:szCs w:val="16"/>
                <w:color w:val="auto"/>
              </w:rPr>
            </w:pPr>
          </w:p>
        </w:tc>
        <w:tc>
          <w:tcPr>
            <w:tcW w:w="1480" w:type="dxa"/>
            <w:vAlign w:val="bottom"/>
            <w:vMerge w:val="restart"/>
          </w:tcPr>
          <w:p>
            <w:pPr>
              <w:jc w:val="right"/>
              <w:ind w:right="48"/>
              <w:spacing w:after="0"/>
              <w:rPr>
                <w:sz w:val="20"/>
                <w:szCs w:val="20"/>
                <w:color w:val="auto"/>
              </w:rPr>
            </w:pPr>
            <w:r>
              <w:rPr>
                <w:rFonts w:ascii="Arial" w:cs="Arial" w:eastAsia="Arial" w:hAnsi="Arial"/>
                <w:sz w:val="14"/>
                <w:szCs w:val="14"/>
                <w:color w:val="auto"/>
              </w:rPr>
              <w:t>410,512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vMerge w:val="restart"/>
          </w:tcPr>
          <w:p>
            <w:pPr>
              <w:jc w:val="right"/>
              <w:ind w:right="47"/>
              <w:spacing w:after="0"/>
              <w:rPr>
                <w:sz w:val="20"/>
                <w:szCs w:val="20"/>
                <w:color w:val="auto"/>
              </w:rPr>
            </w:pPr>
            <w:r>
              <w:rPr>
                <w:rFonts w:ascii="Arial" w:cs="Arial" w:eastAsia="Arial" w:hAnsi="Arial"/>
                <w:sz w:val="14"/>
                <w:szCs w:val="14"/>
                <w:color w:val="auto"/>
              </w:rPr>
              <w:t>424,952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20" w:type="dxa"/>
            <w:vAlign w:val="bottom"/>
          </w:tcPr>
          <w:p>
            <w:pPr>
              <w:spacing w:after="0"/>
              <w:rPr>
                <w:sz w:val="6"/>
                <w:szCs w:val="6"/>
                <w:color w:val="auto"/>
              </w:rPr>
            </w:pPr>
          </w:p>
        </w:tc>
        <w:tc>
          <w:tcPr>
            <w:tcW w:w="268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88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120" w:type="dxa"/>
            <w:vAlign w:val="bottom"/>
          </w:tcPr>
          <w:p>
            <w:pPr>
              <w:spacing w:after="0"/>
              <w:rPr>
                <w:sz w:val="15"/>
                <w:szCs w:val="15"/>
                <w:color w:val="auto"/>
              </w:rPr>
            </w:pPr>
          </w:p>
        </w:tc>
        <w:tc>
          <w:tcPr>
            <w:tcW w:w="7660" w:type="dxa"/>
            <w:vAlign w:val="bottom"/>
            <w:gridSpan w:val="3"/>
            <w:shd w:val="clear" w:color="auto" w:fill="CCEEFF"/>
          </w:tcPr>
          <w:p>
            <w:pPr>
              <w:ind w:left="700"/>
              <w:spacing w:after="0"/>
              <w:rPr>
                <w:sz w:val="20"/>
                <w:szCs w:val="20"/>
                <w:color w:val="auto"/>
              </w:rPr>
            </w:pPr>
            <w:r>
              <w:rPr>
                <w:rFonts w:ascii="Arial" w:cs="Arial" w:eastAsia="Arial" w:hAnsi="Arial"/>
                <w:sz w:val="14"/>
                <w:szCs w:val="14"/>
                <w:color w:val="auto"/>
              </w:rPr>
              <w:t>Total noncurrent assets</w:t>
            </w:r>
          </w:p>
        </w:tc>
        <w:tc>
          <w:tcPr>
            <w:tcW w:w="18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420,607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435,047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20" w:type="dxa"/>
            <w:vAlign w:val="bottom"/>
          </w:tcPr>
          <w:p>
            <w:pPr>
              <w:spacing w:after="0"/>
              <w:rPr>
                <w:sz w:val="6"/>
                <w:szCs w:val="6"/>
                <w:color w:val="auto"/>
              </w:rPr>
            </w:pPr>
          </w:p>
        </w:tc>
        <w:tc>
          <w:tcPr>
            <w:tcW w:w="2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8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7660" w:type="dxa"/>
            <w:vAlign w:val="bottom"/>
            <w:gridSpan w:val="3"/>
          </w:tcPr>
          <w:p>
            <w:pPr>
              <w:ind w:left="20"/>
              <w:spacing w:after="0"/>
              <w:rPr>
                <w:sz w:val="20"/>
                <w:szCs w:val="20"/>
                <w:color w:val="auto"/>
              </w:rPr>
            </w:pPr>
            <w:r>
              <w:rPr>
                <w:rFonts w:ascii="Arial" w:cs="Arial" w:eastAsia="Arial" w:hAnsi="Arial"/>
                <w:sz w:val="14"/>
                <w:szCs w:val="14"/>
                <w:color w:val="auto"/>
              </w:rPr>
              <w:t>Total assets</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480" w:type="dxa"/>
            <w:vAlign w:val="bottom"/>
            <w:vMerge w:val="restart"/>
          </w:tcPr>
          <w:p>
            <w:pPr>
              <w:jc w:val="right"/>
              <w:ind w:right="48"/>
              <w:spacing w:after="0"/>
              <w:rPr>
                <w:sz w:val="20"/>
                <w:szCs w:val="20"/>
                <w:color w:val="auto"/>
              </w:rPr>
            </w:pPr>
            <w:r>
              <w:rPr>
                <w:rFonts w:ascii="Arial" w:cs="Arial" w:eastAsia="Arial" w:hAnsi="Arial"/>
                <w:sz w:val="14"/>
                <w:szCs w:val="14"/>
                <w:color w:val="auto"/>
              </w:rPr>
              <w:t>6,457,955</w:t>
            </w:r>
          </w:p>
        </w:tc>
        <w:tc>
          <w:tcPr>
            <w:tcW w:w="120" w:type="dxa"/>
            <w:vAlign w:val="bottom"/>
          </w:tcPr>
          <w:p>
            <w:pPr>
              <w:spacing w:after="0"/>
              <w:rPr>
                <w:sz w:val="14"/>
                <w:szCs w:val="14"/>
                <w:color w:val="auto"/>
              </w:rPr>
            </w:pP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vMerge w:val="restart"/>
          </w:tcPr>
          <w:p>
            <w:pPr>
              <w:jc w:val="right"/>
              <w:ind w:right="47"/>
              <w:spacing w:after="0"/>
              <w:rPr>
                <w:sz w:val="20"/>
                <w:szCs w:val="20"/>
                <w:color w:val="auto"/>
              </w:rPr>
            </w:pPr>
            <w:r>
              <w:rPr>
                <w:rFonts w:ascii="Arial" w:cs="Arial" w:eastAsia="Arial" w:hAnsi="Arial"/>
                <w:sz w:val="14"/>
                <w:szCs w:val="14"/>
                <w:color w:val="auto"/>
              </w:rPr>
              <w:t>6,141,584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120" w:type="dxa"/>
            <w:vAlign w:val="bottom"/>
          </w:tcPr>
          <w:p>
            <w:pPr>
              <w:spacing w:after="0"/>
              <w:rPr>
                <w:sz w:val="8"/>
                <w:szCs w:val="8"/>
                <w:color w:val="auto"/>
              </w:rPr>
            </w:pPr>
          </w:p>
        </w:tc>
        <w:tc>
          <w:tcPr>
            <w:tcW w:w="268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488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vMerge w:val="continue"/>
          </w:tcPr>
          <w:p>
            <w:pPr>
              <w:spacing w:after="0"/>
              <w:rPr>
                <w:sz w:val="8"/>
                <w:szCs w:val="8"/>
                <w:color w:val="auto"/>
              </w:rPr>
            </w:pPr>
          </w:p>
        </w:tc>
        <w:tc>
          <w:tcPr>
            <w:tcW w:w="148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vMerge w:val="continue"/>
          </w:tcPr>
          <w:p>
            <w:pPr>
              <w:spacing w:after="0"/>
              <w:rPr>
                <w:sz w:val="8"/>
                <w:szCs w:val="8"/>
                <w:color w:val="auto"/>
              </w:rPr>
            </w:pPr>
          </w:p>
        </w:tc>
        <w:tc>
          <w:tcPr>
            <w:tcW w:w="1480" w:type="dxa"/>
            <w:vAlign w:val="bottom"/>
            <w:tcBorders>
              <w:bottom w:val="single" w:sz="8" w:color="auto"/>
            </w:tcBorders>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7660" w:type="dxa"/>
            <w:vAlign w:val="bottom"/>
            <w:gridSpan w:val="3"/>
            <w:shd w:val="clear" w:color="auto" w:fill="CCEEFF"/>
          </w:tcPr>
          <w:p>
            <w:pPr>
              <w:jc w:val="center"/>
              <w:ind w:right="34"/>
              <w:spacing w:after="0"/>
              <w:rPr>
                <w:sz w:val="20"/>
                <w:szCs w:val="20"/>
                <w:color w:val="auto"/>
              </w:rPr>
            </w:pPr>
            <w:r>
              <w:rPr>
                <w:rFonts w:ascii="Arial" w:cs="Arial" w:eastAsia="Arial" w:hAnsi="Arial"/>
                <w:sz w:val="14"/>
                <w:szCs w:val="14"/>
                <w:color w:val="auto"/>
              </w:rPr>
              <w:t>CAPITALIZATION AND LIABILITIES</w:t>
            </w:r>
          </w:p>
        </w:tc>
        <w:tc>
          <w:tcPr>
            <w:tcW w:w="1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7660" w:type="dxa"/>
            <w:vAlign w:val="bottom"/>
            <w:gridSpan w:val="3"/>
          </w:tcPr>
          <w:p>
            <w:pPr>
              <w:ind w:left="20"/>
              <w:spacing w:after="0"/>
              <w:rPr>
                <w:sz w:val="20"/>
                <w:szCs w:val="20"/>
                <w:color w:val="auto"/>
              </w:rPr>
            </w:pPr>
            <w:r>
              <w:rPr>
                <w:rFonts w:ascii="Arial" w:cs="Arial" w:eastAsia="Arial" w:hAnsi="Arial"/>
                <w:sz w:val="14"/>
                <w:szCs w:val="14"/>
                <w:color w:val="auto"/>
              </w:rPr>
              <w:t>Capitalization:</w:t>
            </w: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2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766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Common stock</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49,112</w:t>
            </w:r>
          </w:p>
        </w:tc>
        <w:tc>
          <w:tcPr>
            <w:tcW w:w="12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49,112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20" w:type="dxa"/>
            <w:vAlign w:val="bottom"/>
          </w:tcPr>
          <w:p>
            <w:pPr>
              <w:spacing w:after="0"/>
              <w:rPr>
                <w:sz w:val="6"/>
                <w:szCs w:val="6"/>
                <w:color w:val="auto"/>
              </w:rPr>
            </w:pPr>
          </w:p>
        </w:tc>
        <w:tc>
          <w:tcPr>
            <w:tcW w:w="2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8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120" w:type="dxa"/>
            <w:vAlign w:val="bottom"/>
          </w:tcPr>
          <w:p>
            <w:pPr>
              <w:spacing w:after="0"/>
              <w:rPr>
                <w:sz w:val="22"/>
                <w:szCs w:val="22"/>
                <w:color w:val="auto"/>
              </w:rPr>
            </w:pPr>
          </w:p>
        </w:tc>
        <w:tc>
          <w:tcPr>
            <w:tcW w:w="7660" w:type="dxa"/>
            <w:vAlign w:val="bottom"/>
            <w:gridSpan w:val="3"/>
          </w:tcPr>
          <w:p>
            <w:pPr>
              <w:ind w:left="340"/>
              <w:spacing w:after="0"/>
              <w:rPr>
                <w:sz w:val="20"/>
                <w:szCs w:val="20"/>
                <w:color w:val="auto"/>
              </w:rPr>
            </w:pPr>
            <w:r>
              <w:rPr>
                <w:rFonts w:ascii="Arial" w:cs="Arial" w:eastAsia="Arial" w:hAnsi="Arial"/>
                <w:sz w:val="14"/>
                <w:szCs w:val="14"/>
                <w:color w:val="auto"/>
              </w:rPr>
              <w:t>Additional paid-in capital</w:t>
            </w:r>
          </w:p>
        </w:tc>
        <w:tc>
          <w:tcPr>
            <w:tcW w:w="180" w:type="dxa"/>
            <w:vAlign w:val="bottom"/>
          </w:tcPr>
          <w:p>
            <w:pPr>
              <w:spacing w:after="0"/>
              <w:rPr>
                <w:sz w:val="22"/>
                <w:szCs w:val="22"/>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1,194,745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jc w:val="right"/>
              <w:ind w:right="47"/>
              <w:spacing w:after="0"/>
              <w:rPr>
                <w:sz w:val="20"/>
                <w:szCs w:val="20"/>
                <w:color w:val="auto"/>
              </w:rPr>
            </w:pPr>
            <w:r>
              <w:rPr>
                <w:rFonts w:ascii="Arial" w:cs="Arial" w:eastAsia="Arial" w:hAnsi="Arial"/>
                <w:sz w:val="14"/>
                <w:szCs w:val="14"/>
                <w:color w:val="auto"/>
              </w:rPr>
              <w:t>1,065,242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20" w:type="dxa"/>
            <w:vAlign w:val="bottom"/>
          </w:tcPr>
          <w:p>
            <w:pPr>
              <w:spacing w:after="0"/>
              <w:rPr>
                <w:sz w:val="17"/>
                <w:szCs w:val="17"/>
                <w:color w:val="auto"/>
              </w:rPr>
            </w:pPr>
          </w:p>
        </w:tc>
        <w:tc>
          <w:tcPr>
            <w:tcW w:w="766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Accumulated other comprehensive income (loss), net</w:t>
            </w:r>
          </w:p>
        </w:tc>
        <w:tc>
          <w:tcPr>
            <w:tcW w:w="18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(45,287)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(49,049)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120" w:type="dxa"/>
            <w:vAlign w:val="bottom"/>
          </w:tcPr>
          <w:p>
            <w:pPr>
              <w:spacing w:after="0"/>
              <w:rPr>
                <w:sz w:val="6"/>
                <w:szCs w:val="6"/>
                <w:color w:val="auto"/>
              </w:rPr>
            </w:pPr>
          </w:p>
        </w:tc>
        <w:tc>
          <w:tcPr>
            <w:tcW w:w="2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7660" w:type="dxa"/>
            <w:vAlign w:val="bottom"/>
            <w:gridSpan w:val="3"/>
          </w:tcPr>
          <w:p>
            <w:pPr>
              <w:ind w:left="380"/>
              <w:spacing w:after="0"/>
              <w:rPr>
                <w:sz w:val="20"/>
                <w:szCs w:val="20"/>
                <w:color w:val="auto"/>
              </w:rPr>
            </w:pPr>
            <w:r>
              <w:rPr>
                <w:rFonts w:ascii="Arial" w:cs="Arial" w:eastAsia="Arial" w:hAnsi="Arial"/>
                <w:sz w:val="14"/>
                <w:szCs w:val="14"/>
                <w:color w:val="auto"/>
              </w:rPr>
              <w:t>Retained earnings</w:t>
            </w:r>
          </w:p>
        </w:tc>
        <w:tc>
          <w:tcPr>
            <w:tcW w:w="180" w:type="dxa"/>
            <w:vAlign w:val="bottom"/>
          </w:tcPr>
          <w:p>
            <w:pPr>
              <w:spacing w:after="0"/>
              <w:rPr>
                <w:sz w:val="16"/>
                <w:szCs w:val="16"/>
                <w:color w:val="auto"/>
              </w:rPr>
            </w:pPr>
          </w:p>
        </w:tc>
        <w:tc>
          <w:tcPr>
            <w:tcW w:w="1480" w:type="dxa"/>
            <w:vAlign w:val="bottom"/>
            <w:vMerge w:val="restart"/>
          </w:tcPr>
          <w:p>
            <w:pPr>
              <w:jc w:val="right"/>
              <w:ind w:right="48"/>
              <w:spacing w:after="0"/>
              <w:rPr>
                <w:sz w:val="20"/>
                <w:szCs w:val="20"/>
                <w:color w:val="auto"/>
              </w:rPr>
            </w:pPr>
            <w:r>
              <w:rPr>
                <w:rFonts w:ascii="Arial" w:cs="Arial" w:eastAsia="Arial" w:hAnsi="Arial"/>
                <w:sz w:val="14"/>
                <w:szCs w:val="14"/>
                <w:color w:val="auto"/>
              </w:rPr>
              <w:t>731,036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vMerge w:val="restart"/>
          </w:tcPr>
          <w:p>
            <w:pPr>
              <w:jc w:val="right"/>
              <w:ind w:right="47"/>
              <w:spacing w:after="0"/>
              <w:rPr>
                <w:sz w:val="20"/>
                <w:szCs w:val="20"/>
                <w:color w:val="auto"/>
              </w:rPr>
            </w:pPr>
            <w:r>
              <w:rPr>
                <w:rFonts w:ascii="Arial" w:cs="Arial" w:eastAsia="Arial" w:hAnsi="Arial"/>
                <w:sz w:val="14"/>
                <w:szCs w:val="14"/>
                <w:color w:val="auto"/>
              </w:rPr>
              <w:t>717,155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20" w:type="dxa"/>
            <w:vAlign w:val="bottom"/>
          </w:tcPr>
          <w:p>
            <w:pPr>
              <w:spacing w:after="0"/>
              <w:rPr>
                <w:sz w:val="6"/>
                <w:szCs w:val="6"/>
                <w:color w:val="auto"/>
              </w:rPr>
            </w:pPr>
          </w:p>
        </w:tc>
        <w:tc>
          <w:tcPr>
            <w:tcW w:w="268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88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120" w:type="dxa"/>
            <w:vAlign w:val="bottom"/>
          </w:tcPr>
          <w:p>
            <w:pPr>
              <w:spacing w:after="0"/>
              <w:rPr>
                <w:sz w:val="15"/>
                <w:szCs w:val="15"/>
                <w:color w:val="auto"/>
              </w:rPr>
            </w:pPr>
          </w:p>
        </w:tc>
        <w:tc>
          <w:tcPr>
            <w:tcW w:w="7660" w:type="dxa"/>
            <w:vAlign w:val="bottom"/>
            <w:gridSpan w:val="3"/>
            <w:shd w:val="clear" w:color="auto" w:fill="CCEEFF"/>
          </w:tcPr>
          <w:p>
            <w:pPr>
              <w:ind w:left="700"/>
              <w:spacing w:after="0"/>
              <w:rPr>
                <w:sz w:val="20"/>
                <w:szCs w:val="20"/>
                <w:color w:val="auto"/>
              </w:rPr>
            </w:pPr>
            <w:r>
              <w:rPr>
                <w:rFonts w:ascii="Arial" w:cs="Arial" w:eastAsia="Arial" w:hAnsi="Arial"/>
                <w:sz w:val="14"/>
                <w:szCs w:val="14"/>
                <w:color w:val="auto"/>
              </w:rPr>
              <w:t>Total equity</w:t>
            </w:r>
          </w:p>
        </w:tc>
        <w:tc>
          <w:tcPr>
            <w:tcW w:w="18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1,929,606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1,782,460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20" w:type="dxa"/>
            <w:vAlign w:val="bottom"/>
          </w:tcPr>
          <w:p>
            <w:pPr>
              <w:spacing w:after="0"/>
              <w:rPr>
                <w:sz w:val="6"/>
                <w:szCs w:val="6"/>
                <w:color w:val="auto"/>
              </w:rPr>
            </w:pPr>
          </w:p>
        </w:tc>
        <w:tc>
          <w:tcPr>
            <w:tcW w:w="2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7660" w:type="dxa"/>
            <w:vAlign w:val="bottom"/>
            <w:gridSpan w:val="3"/>
          </w:tcPr>
          <w:p>
            <w:pPr>
              <w:ind w:left="380"/>
              <w:spacing w:after="0"/>
              <w:rPr>
                <w:sz w:val="20"/>
                <w:szCs w:val="20"/>
                <w:color w:val="auto"/>
              </w:rPr>
            </w:pPr>
            <w:r>
              <w:rPr>
                <w:rFonts w:ascii="Arial" w:cs="Arial" w:eastAsia="Arial" w:hAnsi="Arial"/>
                <w:sz w:val="14"/>
                <w:szCs w:val="14"/>
                <w:color w:val="auto"/>
              </w:rPr>
              <w:t>Long-term debt, less current maturities</w:t>
            </w:r>
          </w:p>
        </w:tc>
        <w:tc>
          <w:tcPr>
            <w:tcW w:w="180" w:type="dxa"/>
            <w:vAlign w:val="bottom"/>
          </w:tcPr>
          <w:p>
            <w:pPr>
              <w:spacing w:after="0"/>
              <w:rPr>
                <w:sz w:val="16"/>
                <w:szCs w:val="16"/>
                <w:color w:val="auto"/>
              </w:rPr>
            </w:pPr>
          </w:p>
        </w:tc>
        <w:tc>
          <w:tcPr>
            <w:tcW w:w="1480" w:type="dxa"/>
            <w:vAlign w:val="bottom"/>
            <w:vMerge w:val="restart"/>
          </w:tcPr>
          <w:p>
            <w:pPr>
              <w:jc w:val="right"/>
              <w:ind w:right="48"/>
              <w:spacing w:after="0"/>
              <w:rPr>
                <w:sz w:val="20"/>
                <w:szCs w:val="20"/>
                <w:color w:val="auto"/>
              </w:rPr>
            </w:pPr>
            <w:r>
              <w:rPr>
                <w:rFonts w:ascii="Arial" w:cs="Arial" w:eastAsia="Arial" w:hAnsi="Arial"/>
                <w:sz w:val="14"/>
                <w:szCs w:val="14"/>
                <w:color w:val="auto"/>
              </w:rPr>
              <w:t>2,115,870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vMerge w:val="restart"/>
          </w:tcPr>
          <w:p>
            <w:pPr>
              <w:jc w:val="right"/>
              <w:ind w:right="47"/>
              <w:spacing w:after="0"/>
              <w:rPr>
                <w:sz w:val="20"/>
                <w:szCs w:val="20"/>
                <w:color w:val="auto"/>
              </w:rPr>
            </w:pPr>
            <w:r>
              <w:rPr>
                <w:rFonts w:ascii="Arial" w:cs="Arial" w:eastAsia="Arial" w:hAnsi="Arial"/>
                <w:sz w:val="14"/>
                <w:szCs w:val="14"/>
                <w:color w:val="auto"/>
              </w:rPr>
              <w:t>1,818,669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20" w:type="dxa"/>
            <w:vAlign w:val="bottom"/>
          </w:tcPr>
          <w:p>
            <w:pPr>
              <w:spacing w:after="0"/>
              <w:rPr>
                <w:sz w:val="6"/>
                <w:szCs w:val="6"/>
                <w:color w:val="auto"/>
              </w:rPr>
            </w:pPr>
          </w:p>
        </w:tc>
        <w:tc>
          <w:tcPr>
            <w:tcW w:w="268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88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120" w:type="dxa"/>
            <w:vAlign w:val="bottom"/>
          </w:tcPr>
          <w:p>
            <w:pPr>
              <w:spacing w:after="0"/>
              <w:rPr>
                <w:sz w:val="15"/>
                <w:szCs w:val="15"/>
                <w:color w:val="auto"/>
              </w:rPr>
            </w:pPr>
          </w:p>
        </w:tc>
        <w:tc>
          <w:tcPr>
            <w:tcW w:w="7660" w:type="dxa"/>
            <w:vAlign w:val="bottom"/>
            <w:gridSpan w:val="3"/>
            <w:shd w:val="clear" w:color="auto" w:fill="CCEEFF"/>
          </w:tcPr>
          <w:p>
            <w:pPr>
              <w:ind w:left="700"/>
              <w:spacing w:after="0"/>
              <w:rPr>
                <w:sz w:val="20"/>
                <w:szCs w:val="20"/>
                <w:color w:val="auto"/>
              </w:rPr>
            </w:pPr>
            <w:r>
              <w:rPr>
                <w:rFonts w:ascii="Arial" w:cs="Arial" w:eastAsia="Arial" w:hAnsi="Arial"/>
                <w:sz w:val="14"/>
                <w:szCs w:val="14"/>
                <w:color w:val="auto"/>
              </w:rPr>
              <w:t>Total capitalization</w:t>
            </w:r>
          </w:p>
        </w:tc>
        <w:tc>
          <w:tcPr>
            <w:tcW w:w="18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4,045,476</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3,601,129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20" w:type="dxa"/>
            <w:vAlign w:val="bottom"/>
          </w:tcPr>
          <w:p>
            <w:pPr>
              <w:spacing w:after="0"/>
              <w:rPr>
                <w:sz w:val="6"/>
                <w:szCs w:val="6"/>
                <w:color w:val="auto"/>
              </w:rPr>
            </w:pPr>
          </w:p>
        </w:tc>
        <w:tc>
          <w:tcPr>
            <w:tcW w:w="2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8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7660" w:type="dxa"/>
            <w:vAlign w:val="bottom"/>
            <w:gridSpan w:val="3"/>
          </w:tcPr>
          <w:p>
            <w:pPr>
              <w:ind w:left="20"/>
              <w:spacing w:after="0"/>
              <w:rPr>
                <w:sz w:val="20"/>
                <w:szCs w:val="20"/>
                <w:color w:val="auto"/>
              </w:rPr>
            </w:pPr>
            <w:r>
              <w:rPr>
                <w:rFonts w:ascii="Arial" w:cs="Arial" w:eastAsia="Arial" w:hAnsi="Arial"/>
                <w:sz w:val="14"/>
                <w:szCs w:val="14"/>
                <w:color w:val="auto"/>
              </w:rPr>
              <w:t>Current liabilities:</w:t>
            </w: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766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Short-term debt</w:t>
            </w:r>
          </w:p>
        </w:tc>
        <w:tc>
          <w:tcPr>
            <w:tcW w:w="180" w:type="dxa"/>
            <w:vAlign w:val="bottom"/>
            <w:shd w:val="clear" w:color="auto" w:fill="CCEEFF"/>
          </w:tcPr>
          <w:p>
            <w:pPr>
              <w:spacing w:after="0"/>
              <w:rPr>
                <w:sz w:val="16"/>
                <w:szCs w:val="16"/>
                <w:color w:val="auto"/>
              </w:rPr>
            </w:pP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30,000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152,000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20" w:type="dxa"/>
            <w:vAlign w:val="bottom"/>
          </w:tcPr>
          <w:p>
            <w:pPr>
              <w:spacing w:after="0"/>
              <w:rPr>
                <w:sz w:val="6"/>
                <w:szCs w:val="6"/>
                <w:color w:val="auto"/>
              </w:rPr>
            </w:pPr>
          </w:p>
        </w:tc>
        <w:tc>
          <w:tcPr>
            <w:tcW w:w="2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7660" w:type="dxa"/>
            <w:vAlign w:val="bottom"/>
            <w:gridSpan w:val="3"/>
          </w:tcPr>
          <w:p>
            <w:pPr>
              <w:ind w:left="380"/>
              <w:spacing w:after="0"/>
              <w:rPr>
                <w:sz w:val="20"/>
                <w:szCs w:val="20"/>
                <w:color w:val="auto"/>
              </w:rPr>
            </w:pPr>
            <w:r>
              <w:rPr>
                <w:rFonts w:ascii="Arial" w:cs="Arial" w:eastAsia="Arial" w:hAnsi="Arial"/>
                <w:sz w:val="14"/>
                <w:szCs w:val="14"/>
                <w:color w:val="auto"/>
              </w:rPr>
              <w:t>Accounts payable</w:t>
            </w:r>
          </w:p>
        </w:tc>
        <w:tc>
          <w:tcPr>
            <w:tcW w:w="180" w:type="dxa"/>
            <w:vAlign w:val="bottom"/>
          </w:tcPr>
          <w:p>
            <w:pPr>
              <w:spacing w:after="0"/>
              <w:rPr>
                <w:sz w:val="16"/>
                <w:szCs w:val="16"/>
                <w:color w:val="auto"/>
              </w:rPr>
            </w:pPr>
          </w:p>
        </w:tc>
        <w:tc>
          <w:tcPr>
            <w:tcW w:w="1480" w:type="dxa"/>
            <w:vAlign w:val="bottom"/>
            <w:vMerge w:val="restart"/>
          </w:tcPr>
          <w:p>
            <w:pPr>
              <w:jc w:val="right"/>
              <w:ind w:right="48"/>
              <w:spacing w:after="0"/>
              <w:rPr>
                <w:sz w:val="20"/>
                <w:szCs w:val="20"/>
                <w:color w:val="auto"/>
              </w:rPr>
            </w:pPr>
            <w:r>
              <w:rPr>
                <w:rFonts w:ascii="Arial" w:cs="Arial" w:eastAsia="Arial" w:hAnsi="Arial"/>
                <w:sz w:val="14"/>
                <w:szCs w:val="14"/>
                <w:color w:val="auto"/>
              </w:rPr>
              <w:t>94,130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vMerge w:val="restart"/>
          </w:tcPr>
          <w:p>
            <w:pPr>
              <w:jc w:val="right"/>
              <w:ind w:right="47"/>
              <w:spacing w:after="0"/>
              <w:rPr>
                <w:sz w:val="20"/>
                <w:szCs w:val="20"/>
                <w:color w:val="auto"/>
              </w:rPr>
            </w:pPr>
            <w:r>
              <w:rPr>
                <w:rFonts w:ascii="Arial" w:cs="Arial" w:eastAsia="Arial" w:hAnsi="Arial"/>
                <w:sz w:val="14"/>
                <w:szCs w:val="14"/>
                <w:color w:val="auto"/>
              </w:rPr>
              <w:t>184,982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2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20" w:type="dxa"/>
            <w:vAlign w:val="bottom"/>
          </w:tcPr>
          <w:p>
            <w:pPr>
              <w:spacing w:after="0"/>
              <w:rPr>
                <w:sz w:val="17"/>
                <w:szCs w:val="17"/>
                <w:color w:val="auto"/>
              </w:rPr>
            </w:pPr>
          </w:p>
        </w:tc>
        <w:tc>
          <w:tcPr>
            <w:tcW w:w="766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Customer deposits</w:t>
            </w:r>
          </w:p>
        </w:tc>
        <w:tc>
          <w:tcPr>
            <w:tcW w:w="18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68,897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67,940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120" w:type="dxa"/>
            <w:vAlign w:val="bottom"/>
          </w:tcPr>
          <w:p>
            <w:pPr>
              <w:spacing w:after="0"/>
              <w:rPr>
                <w:sz w:val="6"/>
                <w:szCs w:val="6"/>
                <w:color w:val="auto"/>
              </w:rPr>
            </w:pPr>
          </w:p>
        </w:tc>
        <w:tc>
          <w:tcPr>
            <w:tcW w:w="2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7660" w:type="dxa"/>
            <w:vAlign w:val="bottom"/>
            <w:gridSpan w:val="3"/>
          </w:tcPr>
          <w:p>
            <w:pPr>
              <w:ind w:left="380"/>
              <w:spacing w:after="0"/>
              <w:rPr>
                <w:sz w:val="20"/>
                <w:szCs w:val="20"/>
                <w:color w:val="auto"/>
              </w:rPr>
            </w:pPr>
            <w:r>
              <w:rPr>
                <w:rFonts w:ascii="Arial" w:cs="Arial" w:eastAsia="Arial" w:hAnsi="Arial"/>
                <w:sz w:val="14"/>
                <w:szCs w:val="14"/>
                <w:color w:val="auto"/>
              </w:rPr>
              <w:t>Accrued general taxes</w:t>
            </w:r>
          </w:p>
        </w:tc>
        <w:tc>
          <w:tcPr>
            <w:tcW w:w="180" w:type="dxa"/>
            <w:vAlign w:val="bottom"/>
          </w:tcPr>
          <w:p>
            <w:pPr>
              <w:spacing w:after="0"/>
              <w:rPr>
                <w:sz w:val="16"/>
                <w:szCs w:val="16"/>
                <w:color w:val="auto"/>
              </w:rPr>
            </w:pPr>
          </w:p>
        </w:tc>
        <w:tc>
          <w:tcPr>
            <w:tcW w:w="1480" w:type="dxa"/>
            <w:vAlign w:val="bottom"/>
            <w:vMerge w:val="restart"/>
          </w:tcPr>
          <w:p>
            <w:pPr>
              <w:jc w:val="right"/>
              <w:ind w:right="48"/>
              <w:spacing w:after="0"/>
              <w:rPr>
                <w:sz w:val="20"/>
                <w:szCs w:val="20"/>
                <w:color w:val="auto"/>
              </w:rPr>
            </w:pPr>
            <w:r>
              <w:rPr>
                <w:rFonts w:ascii="Arial" w:cs="Arial" w:eastAsia="Arial" w:hAnsi="Arial"/>
                <w:sz w:val="14"/>
                <w:szCs w:val="14"/>
                <w:color w:val="auto"/>
              </w:rPr>
              <w:t>52,361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vMerge w:val="restart"/>
          </w:tcPr>
          <w:p>
            <w:pPr>
              <w:jc w:val="right"/>
              <w:ind w:right="47"/>
              <w:spacing w:after="0"/>
              <w:rPr>
                <w:sz w:val="20"/>
                <w:szCs w:val="20"/>
                <w:color w:val="auto"/>
              </w:rPr>
            </w:pPr>
            <w:r>
              <w:rPr>
                <w:rFonts w:ascii="Arial" w:cs="Arial" w:eastAsia="Arial" w:hAnsi="Arial"/>
                <w:sz w:val="14"/>
                <w:szCs w:val="14"/>
                <w:color w:val="auto"/>
              </w:rPr>
              <w:t>43,560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2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20" w:type="dxa"/>
            <w:vAlign w:val="bottom"/>
          </w:tcPr>
          <w:p>
            <w:pPr>
              <w:spacing w:after="0"/>
              <w:rPr>
                <w:sz w:val="17"/>
                <w:szCs w:val="17"/>
                <w:color w:val="auto"/>
              </w:rPr>
            </w:pPr>
          </w:p>
        </w:tc>
        <w:tc>
          <w:tcPr>
            <w:tcW w:w="766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Accrued interest</w:t>
            </w:r>
          </w:p>
        </w:tc>
        <w:tc>
          <w:tcPr>
            <w:tcW w:w="18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34,623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20,243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120" w:type="dxa"/>
            <w:vAlign w:val="bottom"/>
          </w:tcPr>
          <w:p>
            <w:pPr>
              <w:spacing w:after="0"/>
              <w:rPr>
                <w:sz w:val="6"/>
                <w:szCs w:val="6"/>
                <w:color w:val="auto"/>
              </w:rPr>
            </w:pPr>
          </w:p>
        </w:tc>
        <w:tc>
          <w:tcPr>
            <w:tcW w:w="2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7660" w:type="dxa"/>
            <w:vAlign w:val="bottom"/>
            <w:gridSpan w:val="3"/>
          </w:tcPr>
          <w:p>
            <w:pPr>
              <w:ind w:left="380"/>
              <w:spacing w:after="0"/>
              <w:rPr>
                <w:sz w:val="20"/>
                <w:szCs w:val="20"/>
                <w:color w:val="auto"/>
              </w:rPr>
            </w:pPr>
            <w:r>
              <w:rPr>
                <w:rFonts w:ascii="Arial" w:cs="Arial" w:eastAsia="Arial" w:hAnsi="Arial"/>
                <w:sz w:val="14"/>
                <w:szCs w:val="14"/>
                <w:color w:val="auto"/>
              </w:rPr>
              <w:t>Deferred purchased gas costs</w:t>
            </w:r>
          </w:p>
        </w:tc>
        <w:tc>
          <w:tcPr>
            <w:tcW w:w="180" w:type="dxa"/>
            <w:vAlign w:val="bottom"/>
          </w:tcPr>
          <w:p>
            <w:pPr>
              <w:spacing w:after="0"/>
              <w:rPr>
                <w:sz w:val="16"/>
                <w:szCs w:val="16"/>
                <w:color w:val="auto"/>
              </w:rPr>
            </w:pPr>
          </w:p>
        </w:tc>
        <w:tc>
          <w:tcPr>
            <w:tcW w:w="1480" w:type="dxa"/>
            <w:vAlign w:val="bottom"/>
            <w:vMerge w:val="restart"/>
          </w:tcPr>
          <w:p>
            <w:pPr>
              <w:jc w:val="right"/>
              <w:ind w:right="48"/>
              <w:spacing w:after="0"/>
              <w:rPr>
                <w:sz w:val="20"/>
                <w:szCs w:val="20"/>
                <w:color w:val="auto"/>
              </w:rPr>
            </w:pPr>
            <w:r>
              <w:rPr>
                <w:rFonts w:ascii="Arial" w:cs="Arial" w:eastAsia="Arial" w:hAnsi="Arial"/>
                <w:sz w:val="14"/>
                <w:szCs w:val="14"/>
                <w:color w:val="auto"/>
              </w:rPr>
              <w:t>88,030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vMerge w:val="restart"/>
          </w:tcPr>
          <w:p>
            <w:pPr>
              <w:jc w:val="right"/>
              <w:ind w:right="47"/>
              <w:spacing w:after="0"/>
              <w:rPr>
                <w:sz w:val="20"/>
                <w:szCs w:val="20"/>
                <w:color w:val="auto"/>
              </w:rPr>
            </w:pPr>
            <w:r>
              <w:rPr>
                <w:rFonts w:ascii="Arial" w:cs="Arial" w:eastAsia="Arial" w:hAnsi="Arial"/>
                <w:sz w:val="14"/>
                <w:szCs w:val="14"/>
                <w:color w:val="auto"/>
              </w:rPr>
              <w:t>79,762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2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20" w:type="dxa"/>
            <w:vAlign w:val="bottom"/>
          </w:tcPr>
          <w:p>
            <w:pPr>
              <w:spacing w:after="0"/>
              <w:rPr>
                <w:sz w:val="17"/>
                <w:szCs w:val="17"/>
                <w:color w:val="auto"/>
              </w:rPr>
            </w:pPr>
          </w:p>
        </w:tc>
        <w:tc>
          <w:tcPr>
            <w:tcW w:w="766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Payable to parent</w:t>
            </w:r>
          </w:p>
        </w:tc>
        <w:tc>
          <w:tcPr>
            <w:tcW w:w="18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270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472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120" w:type="dxa"/>
            <w:vAlign w:val="bottom"/>
          </w:tcPr>
          <w:p>
            <w:pPr>
              <w:spacing w:after="0"/>
              <w:rPr>
                <w:sz w:val="6"/>
                <w:szCs w:val="6"/>
                <w:color w:val="auto"/>
              </w:rPr>
            </w:pPr>
          </w:p>
        </w:tc>
        <w:tc>
          <w:tcPr>
            <w:tcW w:w="2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7660" w:type="dxa"/>
            <w:vAlign w:val="bottom"/>
            <w:gridSpan w:val="3"/>
          </w:tcPr>
          <w:p>
            <w:pPr>
              <w:ind w:left="380"/>
              <w:spacing w:after="0"/>
              <w:rPr>
                <w:sz w:val="20"/>
                <w:szCs w:val="20"/>
                <w:color w:val="auto"/>
              </w:rPr>
            </w:pPr>
            <w:r>
              <w:rPr>
                <w:rFonts w:ascii="Arial" w:cs="Arial" w:eastAsia="Arial" w:hAnsi="Arial"/>
                <w:sz w:val="14"/>
                <w:szCs w:val="14"/>
                <w:color w:val="auto"/>
              </w:rPr>
              <w:t>Other current liabilities</w:t>
            </w:r>
          </w:p>
        </w:tc>
        <w:tc>
          <w:tcPr>
            <w:tcW w:w="180" w:type="dxa"/>
            <w:vAlign w:val="bottom"/>
          </w:tcPr>
          <w:p>
            <w:pPr>
              <w:spacing w:after="0"/>
              <w:rPr>
                <w:sz w:val="16"/>
                <w:szCs w:val="16"/>
                <w:color w:val="auto"/>
              </w:rPr>
            </w:pPr>
          </w:p>
        </w:tc>
        <w:tc>
          <w:tcPr>
            <w:tcW w:w="1480" w:type="dxa"/>
            <w:vAlign w:val="bottom"/>
            <w:vMerge w:val="restart"/>
          </w:tcPr>
          <w:p>
            <w:pPr>
              <w:jc w:val="right"/>
              <w:ind w:right="48"/>
              <w:spacing w:after="0"/>
              <w:rPr>
                <w:sz w:val="20"/>
                <w:szCs w:val="20"/>
                <w:color w:val="auto"/>
              </w:rPr>
            </w:pPr>
            <w:r>
              <w:rPr>
                <w:rFonts w:ascii="Arial" w:cs="Arial" w:eastAsia="Arial" w:hAnsi="Arial"/>
                <w:sz w:val="14"/>
                <w:szCs w:val="14"/>
                <w:color w:val="auto"/>
              </w:rPr>
              <w:t>114,893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vMerge w:val="restart"/>
          </w:tcPr>
          <w:p>
            <w:pPr>
              <w:jc w:val="right"/>
              <w:ind w:right="47"/>
              <w:spacing w:after="0"/>
              <w:rPr>
                <w:sz w:val="20"/>
                <w:szCs w:val="20"/>
                <w:color w:val="auto"/>
              </w:rPr>
            </w:pPr>
            <w:r>
              <w:rPr>
                <w:rFonts w:ascii="Arial" w:cs="Arial" w:eastAsia="Arial" w:hAnsi="Arial"/>
                <w:sz w:val="14"/>
                <w:szCs w:val="14"/>
                <w:color w:val="auto"/>
              </w:rPr>
              <w:t>94,136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20" w:type="dxa"/>
            <w:vAlign w:val="bottom"/>
          </w:tcPr>
          <w:p>
            <w:pPr>
              <w:spacing w:after="0"/>
              <w:rPr>
                <w:sz w:val="6"/>
                <w:szCs w:val="6"/>
                <w:color w:val="auto"/>
              </w:rPr>
            </w:pPr>
          </w:p>
        </w:tc>
        <w:tc>
          <w:tcPr>
            <w:tcW w:w="268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88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120" w:type="dxa"/>
            <w:vAlign w:val="bottom"/>
          </w:tcPr>
          <w:p>
            <w:pPr>
              <w:spacing w:after="0"/>
              <w:rPr>
                <w:sz w:val="15"/>
                <w:szCs w:val="15"/>
                <w:color w:val="auto"/>
              </w:rPr>
            </w:pPr>
          </w:p>
        </w:tc>
        <w:tc>
          <w:tcPr>
            <w:tcW w:w="7660" w:type="dxa"/>
            <w:vAlign w:val="bottom"/>
            <w:gridSpan w:val="3"/>
            <w:shd w:val="clear" w:color="auto" w:fill="CCEEFF"/>
          </w:tcPr>
          <w:p>
            <w:pPr>
              <w:ind w:left="700"/>
              <w:spacing w:after="0"/>
              <w:rPr>
                <w:sz w:val="20"/>
                <w:szCs w:val="20"/>
                <w:color w:val="auto"/>
              </w:rPr>
            </w:pPr>
            <w:r>
              <w:rPr>
                <w:rFonts w:ascii="Arial" w:cs="Arial" w:eastAsia="Arial" w:hAnsi="Arial"/>
                <w:sz w:val="14"/>
                <w:szCs w:val="14"/>
                <w:color w:val="auto"/>
              </w:rPr>
              <w:t>Total current liabilities</w:t>
            </w:r>
          </w:p>
        </w:tc>
        <w:tc>
          <w:tcPr>
            <w:tcW w:w="18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483,204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643,095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20" w:type="dxa"/>
            <w:vAlign w:val="bottom"/>
          </w:tcPr>
          <w:p>
            <w:pPr>
              <w:spacing w:after="0"/>
              <w:rPr>
                <w:sz w:val="6"/>
                <w:szCs w:val="6"/>
                <w:color w:val="auto"/>
              </w:rPr>
            </w:pPr>
          </w:p>
        </w:tc>
        <w:tc>
          <w:tcPr>
            <w:tcW w:w="2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8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7660" w:type="dxa"/>
            <w:vAlign w:val="bottom"/>
            <w:gridSpan w:val="3"/>
          </w:tcPr>
          <w:p>
            <w:pPr>
              <w:ind w:left="20"/>
              <w:spacing w:after="0"/>
              <w:rPr>
                <w:sz w:val="20"/>
                <w:szCs w:val="20"/>
                <w:color w:val="auto"/>
              </w:rPr>
            </w:pPr>
            <w:r>
              <w:rPr>
                <w:rFonts w:ascii="Arial" w:cs="Arial" w:eastAsia="Arial" w:hAnsi="Arial"/>
                <w:sz w:val="14"/>
                <w:szCs w:val="14"/>
                <w:color w:val="auto"/>
              </w:rPr>
              <w:t>Deferred income taxes and other credits:</w:t>
            </w: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1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766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Deferred income taxes and investment tax credits, net</w:t>
            </w:r>
          </w:p>
        </w:tc>
        <w:tc>
          <w:tcPr>
            <w:tcW w:w="180" w:type="dxa"/>
            <w:vAlign w:val="bottom"/>
            <w:shd w:val="clear" w:color="auto" w:fill="CCEEFF"/>
          </w:tcPr>
          <w:p>
            <w:pPr>
              <w:spacing w:after="0"/>
              <w:rPr>
                <w:sz w:val="16"/>
                <w:szCs w:val="16"/>
                <w:color w:val="auto"/>
              </w:rPr>
            </w:pP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527,544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490,458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120" w:type="dxa"/>
            <w:vAlign w:val="bottom"/>
          </w:tcPr>
          <w:p>
            <w:pPr>
              <w:spacing w:after="0"/>
              <w:rPr>
                <w:sz w:val="6"/>
                <w:szCs w:val="6"/>
                <w:color w:val="auto"/>
              </w:rPr>
            </w:pPr>
          </w:p>
        </w:tc>
        <w:tc>
          <w:tcPr>
            <w:tcW w:w="2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120" w:type="dxa"/>
            <w:vAlign w:val="bottom"/>
          </w:tcPr>
          <w:p>
            <w:pPr>
              <w:spacing w:after="0"/>
              <w:rPr>
                <w:sz w:val="16"/>
                <w:szCs w:val="16"/>
                <w:color w:val="auto"/>
              </w:rPr>
            </w:pPr>
          </w:p>
        </w:tc>
        <w:tc>
          <w:tcPr>
            <w:tcW w:w="7660" w:type="dxa"/>
            <w:vAlign w:val="bottom"/>
            <w:gridSpan w:val="3"/>
          </w:tcPr>
          <w:p>
            <w:pPr>
              <w:ind w:left="380"/>
              <w:spacing w:after="0"/>
              <w:rPr>
                <w:sz w:val="20"/>
                <w:szCs w:val="20"/>
                <w:color w:val="auto"/>
              </w:rPr>
            </w:pPr>
            <w:r>
              <w:rPr>
                <w:rFonts w:ascii="Arial" w:cs="Arial" w:eastAsia="Arial" w:hAnsi="Arial"/>
                <w:sz w:val="14"/>
                <w:szCs w:val="14"/>
                <w:color w:val="auto"/>
              </w:rPr>
              <w:t>Accumulated removal costs</w:t>
            </w:r>
          </w:p>
        </w:tc>
        <w:tc>
          <w:tcPr>
            <w:tcW w:w="180" w:type="dxa"/>
            <w:vAlign w:val="bottom"/>
          </w:tcPr>
          <w:p>
            <w:pPr>
              <w:spacing w:after="0"/>
              <w:rPr>
                <w:sz w:val="16"/>
                <w:szCs w:val="16"/>
                <w:color w:val="auto"/>
              </w:rPr>
            </w:pPr>
          </w:p>
        </w:tc>
        <w:tc>
          <w:tcPr>
            <w:tcW w:w="1480" w:type="dxa"/>
            <w:vAlign w:val="bottom"/>
            <w:vMerge w:val="restart"/>
          </w:tcPr>
          <w:p>
            <w:pPr>
              <w:jc w:val="right"/>
              <w:ind w:right="48"/>
              <w:spacing w:after="0"/>
              <w:rPr>
                <w:sz w:val="20"/>
                <w:szCs w:val="20"/>
                <w:color w:val="auto"/>
              </w:rPr>
            </w:pPr>
            <w:r>
              <w:rPr>
                <w:rFonts w:ascii="Arial" w:cs="Arial" w:eastAsia="Arial" w:hAnsi="Arial"/>
                <w:sz w:val="14"/>
                <w:szCs w:val="14"/>
                <w:color w:val="auto"/>
              </w:rPr>
              <w:t>392,000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vMerge w:val="restart"/>
          </w:tcPr>
          <w:p>
            <w:pPr>
              <w:jc w:val="right"/>
              <w:ind w:right="47"/>
              <w:spacing w:after="0"/>
              <w:rPr>
                <w:sz w:val="20"/>
                <w:szCs w:val="20"/>
                <w:color w:val="auto"/>
              </w:rPr>
            </w:pPr>
            <w:r>
              <w:rPr>
                <w:rFonts w:ascii="Arial" w:cs="Arial" w:eastAsia="Arial" w:hAnsi="Arial"/>
                <w:sz w:val="14"/>
                <w:szCs w:val="14"/>
                <w:color w:val="auto"/>
              </w:rPr>
              <w:t>383,000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4"/>
        </w:trPr>
        <w:tc>
          <w:tcPr>
            <w:tcW w:w="12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120" w:type="dxa"/>
            <w:vAlign w:val="bottom"/>
          </w:tcPr>
          <w:p>
            <w:pPr>
              <w:spacing w:after="0"/>
              <w:rPr>
                <w:sz w:val="17"/>
                <w:szCs w:val="17"/>
                <w:color w:val="auto"/>
              </w:rPr>
            </w:pPr>
          </w:p>
        </w:tc>
        <w:tc>
          <w:tcPr>
            <w:tcW w:w="766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Other deferred credits and other long-term liabilities</w:t>
            </w:r>
          </w:p>
        </w:tc>
        <w:tc>
          <w:tcPr>
            <w:tcW w:w="18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1,009,731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1,023,902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120" w:type="dxa"/>
            <w:vAlign w:val="bottom"/>
          </w:tcPr>
          <w:p>
            <w:pPr>
              <w:spacing w:after="0"/>
              <w:rPr>
                <w:sz w:val="6"/>
                <w:szCs w:val="6"/>
                <w:color w:val="auto"/>
              </w:rPr>
            </w:pPr>
          </w:p>
        </w:tc>
        <w:tc>
          <w:tcPr>
            <w:tcW w:w="2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8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4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120" w:type="dxa"/>
            <w:vAlign w:val="bottom"/>
          </w:tcPr>
          <w:p>
            <w:pPr>
              <w:spacing w:after="0"/>
              <w:rPr>
                <w:sz w:val="14"/>
                <w:szCs w:val="14"/>
                <w:color w:val="auto"/>
              </w:rPr>
            </w:pPr>
          </w:p>
        </w:tc>
        <w:tc>
          <w:tcPr>
            <w:tcW w:w="7660" w:type="dxa"/>
            <w:vAlign w:val="bottom"/>
            <w:gridSpan w:val="3"/>
          </w:tcPr>
          <w:p>
            <w:pPr>
              <w:ind w:left="700"/>
              <w:spacing w:after="0"/>
              <w:rPr>
                <w:sz w:val="20"/>
                <w:szCs w:val="20"/>
                <w:color w:val="auto"/>
              </w:rPr>
            </w:pPr>
            <w:r>
              <w:rPr>
                <w:rFonts w:ascii="Arial" w:cs="Arial" w:eastAsia="Arial" w:hAnsi="Arial"/>
                <w:sz w:val="14"/>
                <w:szCs w:val="14"/>
                <w:color w:val="auto"/>
              </w:rPr>
              <w:t>Total deferred income taxes and other credits</w:t>
            </w:r>
          </w:p>
        </w:tc>
        <w:tc>
          <w:tcPr>
            <w:tcW w:w="180" w:type="dxa"/>
            <w:vAlign w:val="bottom"/>
          </w:tcPr>
          <w:p>
            <w:pPr>
              <w:spacing w:after="0"/>
              <w:rPr>
                <w:sz w:val="14"/>
                <w:szCs w:val="14"/>
                <w:color w:val="auto"/>
              </w:rPr>
            </w:pPr>
          </w:p>
        </w:tc>
        <w:tc>
          <w:tcPr>
            <w:tcW w:w="1480" w:type="dxa"/>
            <w:vAlign w:val="bottom"/>
            <w:vMerge w:val="restart"/>
          </w:tcPr>
          <w:p>
            <w:pPr>
              <w:jc w:val="right"/>
              <w:ind w:right="48"/>
              <w:spacing w:after="0"/>
              <w:rPr>
                <w:sz w:val="20"/>
                <w:szCs w:val="20"/>
                <w:color w:val="auto"/>
              </w:rPr>
            </w:pPr>
            <w:r>
              <w:rPr>
                <w:rFonts w:ascii="Arial" w:cs="Arial" w:eastAsia="Arial" w:hAnsi="Arial"/>
                <w:sz w:val="14"/>
                <w:szCs w:val="14"/>
                <w:color w:val="auto"/>
              </w:rPr>
              <w:t>1,929,275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vMerge w:val="restart"/>
          </w:tcPr>
          <w:p>
            <w:pPr>
              <w:jc w:val="right"/>
              <w:ind w:right="47"/>
              <w:spacing w:after="0"/>
              <w:rPr>
                <w:sz w:val="20"/>
                <w:szCs w:val="20"/>
                <w:color w:val="auto"/>
              </w:rPr>
            </w:pPr>
            <w:r>
              <w:rPr>
                <w:rFonts w:ascii="Arial" w:cs="Arial" w:eastAsia="Arial" w:hAnsi="Arial"/>
                <w:sz w:val="14"/>
                <w:szCs w:val="14"/>
                <w:color w:val="auto"/>
              </w:rPr>
              <w:t>1,897,360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4"/>
        </w:trPr>
        <w:tc>
          <w:tcPr>
            <w:tcW w:w="120" w:type="dxa"/>
            <w:vAlign w:val="bottom"/>
          </w:tcPr>
          <w:p>
            <w:pPr>
              <w:spacing w:after="0"/>
              <w:rPr>
                <w:sz w:val="6"/>
                <w:szCs w:val="6"/>
                <w:color w:val="auto"/>
              </w:rPr>
            </w:pPr>
          </w:p>
        </w:tc>
        <w:tc>
          <w:tcPr>
            <w:tcW w:w="268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88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120" w:type="dxa"/>
            <w:vAlign w:val="bottom"/>
          </w:tcPr>
          <w:p>
            <w:pPr>
              <w:spacing w:after="0"/>
              <w:rPr>
                <w:sz w:val="15"/>
                <w:szCs w:val="15"/>
                <w:color w:val="auto"/>
              </w:rPr>
            </w:pPr>
          </w:p>
        </w:tc>
        <w:tc>
          <w:tcPr>
            <w:tcW w:w="766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Total capitalization and liabilities</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6,457,955</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vMerge w:val="restart"/>
            <w:shd w:val="clear" w:color="auto" w:fill="CCEEFF"/>
          </w:tcPr>
          <w:p>
            <w:pPr>
              <w:jc w:val="right"/>
              <w:ind w:right="47"/>
              <w:spacing w:after="0"/>
              <w:rPr>
                <w:sz w:val="20"/>
                <w:szCs w:val="20"/>
                <w:color w:val="auto"/>
              </w:rPr>
            </w:pPr>
            <w:r>
              <w:rPr>
                <w:rFonts w:ascii="Arial" w:cs="Arial" w:eastAsia="Arial" w:hAnsi="Arial"/>
                <w:sz w:val="14"/>
                <w:szCs w:val="14"/>
                <w:color w:val="auto"/>
              </w:rPr>
              <w:t>6,141,584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120" w:type="dxa"/>
            <w:vAlign w:val="bottom"/>
          </w:tcPr>
          <w:p>
            <w:pPr>
              <w:spacing w:after="0"/>
              <w:rPr>
                <w:sz w:val="5"/>
                <w:szCs w:val="5"/>
                <w:color w:val="auto"/>
              </w:rPr>
            </w:pPr>
          </w:p>
        </w:tc>
        <w:tc>
          <w:tcPr>
            <w:tcW w:w="2680" w:type="dxa"/>
            <w:vAlign w:val="bottom"/>
            <w:tcBorders>
              <w:bottom w:val="single" w:sz="8" w:color="CCEEFF"/>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4880" w:type="dxa"/>
            <w:vAlign w:val="bottom"/>
            <w:tcBorders>
              <w:bottom w:val="single" w:sz="8" w:color="CCEEFF"/>
            </w:tcBorders>
            <w:shd w:val="clear" w:color="auto" w:fill="CCEEFF"/>
          </w:tcPr>
          <w:p>
            <w:pPr>
              <w:spacing w:after="0"/>
              <w:rPr>
                <w:sz w:val="5"/>
                <w:szCs w:val="5"/>
                <w:color w:val="auto"/>
              </w:rPr>
            </w:pPr>
          </w:p>
        </w:tc>
        <w:tc>
          <w:tcPr>
            <w:tcW w:w="180" w:type="dxa"/>
            <w:vAlign w:val="bottom"/>
            <w:tcBorders>
              <w:bottom w:val="single" w:sz="8" w:color="auto"/>
            </w:tcBorders>
            <w:vMerge w:val="continue"/>
            <w:shd w:val="clear" w:color="auto" w:fill="CCEEFF"/>
          </w:tcPr>
          <w:p>
            <w:pPr>
              <w:spacing w:after="0"/>
              <w:rPr>
                <w:sz w:val="5"/>
                <w:szCs w:val="5"/>
                <w:color w:val="auto"/>
              </w:rPr>
            </w:pPr>
          </w:p>
        </w:tc>
        <w:tc>
          <w:tcPr>
            <w:tcW w:w="148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148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ectPr>
          <w:pgSz w:w="11900" w:h="16838" w:orient="portrait"/>
          <w:cols w:equalWidth="0" w:num="1">
            <w:col w:w="11300"/>
          </w:cols>
          <w:pgMar w:left="300" w:top="270" w:right="299" w:bottom="47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300"/>
          </w:cols>
          <w:pgMar w:left="300" w:top="270" w:right="299" w:bottom="470" w:gutter="0" w:footer="0" w:header="0"/>
          <w:type w:val="continuous"/>
        </w:sectPr>
      </w:pPr>
    </w:p>
    <w:bookmarkStart w:id="9" w:name="page10"/>
    <w:bookmarkEnd w:id="9"/>
    <w:p>
      <w:pPr>
        <w:ind w:left="20"/>
        <w:spacing w:after="0" w:line="374" w:lineRule="auto"/>
        <w:rPr>
          <w:sz w:val="20"/>
          <w:szCs w:val="20"/>
          <w:color w:val="auto"/>
        </w:rPr>
      </w:pPr>
      <w:r>
        <w:rPr>
          <w:rFonts w:ascii="Arial" w:cs="Arial" w:eastAsia="Arial" w:hAnsi="Arial"/>
          <w:sz w:val="17"/>
          <w:szCs w:val="17"/>
          <w:u w:val="single" w:color="auto"/>
          <w:color w:val="auto"/>
        </w:rPr>
        <w:t>SOUTHWEST GAS HOLDINGS, INC. SOUTHWEST GAS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color w:val="auto"/>
        </w:rPr>
        <w:t>Gas operating revenues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Operating expenses: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Net cost of gas sold</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Operations and maintenance</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Depreciation and amortization</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Taxes other than income taxes</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Total operating expenses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Operating income (loss)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Other income and (expenses):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Net interest deductions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Other income (deductions)</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Total other income and (expenses)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Income (loss) before income taxes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Income tax expense (benefit)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Net income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1"/>
              </w:rPr>
              <w:t>Form 10-Q</w:t>
            </w:r>
          </w:p>
        </w:tc>
      </w:tr>
      <w:tr>
        <w:trPr>
          <w:trHeight w:val="270"/>
        </w:trPr>
        <w:tc>
          <w:tcPr>
            <w:tcW w:w="1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20" w:type="dxa"/>
            <w:vAlign w:val="bottom"/>
            <w:gridSpan w:val="4"/>
          </w:tcPr>
          <w:p>
            <w:pPr>
              <w:jc w:val="right"/>
              <w:spacing w:after="0"/>
              <w:rPr>
                <w:sz w:val="20"/>
                <w:szCs w:val="20"/>
                <w:color w:val="auto"/>
              </w:rPr>
            </w:pPr>
            <w:r>
              <w:rPr>
                <w:rFonts w:ascii="Arial" w:cs="Arial" w:eastAsia="Arial" w:hAnsi="Arial"/>
                <w:sz w:val="18"/>
                <w:szCs w:val="18"/>
                <w:color w:val="auto"/>
              </w:rPr>
              <w:t>September 30, 2019</w:t>
            </w:r>
          </w:p>
        </w:tc>
      </w:tr>
      <w:tr>
        <w:trPr>
          <w:trHeight w:val="796"/>
        </w:trPr>
        <w:tc>
          <w:tcPr>
            <w:tcW w:w="4800" w:type="dxa"/>
            <w:vAlign w:val="bottom"/>
            <w:gridSpan w:val="10"/>
          </w:tcPr>
          <w:p>
            <w:pPr>
              <w:jc w:val="center"/>
              <w:ind w:right="100"/>
              <w:spacing w:after="0"/>
              <w:rPr>
                <w:sz w:val="20"/>
                <w:szCs w:val="20"/>
                <w:color w:val="auto"/>
              </w:rPr>
            </w:pPr>
            <w:r>
              <w:rPr>
                <w:rFonts w:ascii="Arial" w:cs="Arial" w:eastAsia="Arial" w:hAnsi="Arial"/>
                <w:sz w:val="18"/>
                <w:szCs w:val="18"/>
                <w:color w:val="auto"/>
                <w:w w:val="95"/>
              </w:rPr>
              <w:t>SOUTHWEST GAS CORPORATION AND SUBSIDIARIES</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4800" w:type="dxa"/>
            <w:vAlign w:val="bottom"/>
            <w:gridSpan w:val="10"/>
          </w:tcPr>
          <w:p>
            <w:pPr>
              <w:jc w:val="center"/>
              <w:ind w:right="80"/>
              <w:spacing w:after="0"/>
              <w:rPr>
                <w:sz w:val="20"/>
                <w:szCs w:val="20"/>
                <w:color w:val="auto"/>
              </w:rPr>
            </w:pPr>
            <w:r>
              <w:rPr>
                <w:rFonts w:ascii="Arial" w:cs="Arial" w:eastAsia="Arial" w:hAnsi="Arial"/>
                <w:sz w:val="18"/>
                <w:szCs w:val="18"/>
                <w:color w:val="auto"/>
                <w:w w:val="95"/>
              </w:rPr>
              <w:t>CONDENSED CONSOLIDATED STATEMENTS OF INCOME</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80" w:type="dxa"/>
            <w:vAlign w:val="bottom"/>
            <w:gridSpan w:val="5"/>
          </w:tcPr>
          <w:p>
            <w:pPr>
              <w:jc w:val="center"/>
              <w:ind w:right="480"/>
              <w:spacing w:after="0"/>
              <w:rPr>
                <w:sz w:val="20"/>
                <w:szCs w:val="20"/>
                <w:color w:val="auto"/>
              </w:rPr>
            </w:pPr>
            <w:r>
              <w:rPr>
                <w:rFonts w:ascii="Arial" w:cs="Arial" w:eastAsia="Arial" w:hAnsi="Arial"/>
                <w:sz w:val="18"/>
                <w:szCs w:val="18"/>
                <w:color w:val="auto"/>
                <w:w w:val="90"/>
              </w:rPr>
              <w:t>(Thousands of dollars)</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3"/>
          </w:tcPr>
          <w:p>
            <w:pPr>
              <w:jc w:val="center"/>
              <w:ind w:left="226"/>
              <w:spacing w:after="0"/>
              <w:rPr>
                <w:sz w:val="20"/>
                <w:szCs w:val="20"/>
                <w:color w:val="auto"/>
              </w:rPr>
            </w:pPr>
            <w:r>
              <w:rPr>
                <w:rFonts w:ascii="Arial" w:cs="Arial" w:eastAsia="Arial" w:hAnsi="Arial"/>
                <w:sz w:val="18"/>
                <w:szCs w:val="18"/>
                <w:color w:val="auto"/>
                <w:w w:val="91"/>
              </w:rPr>
              <w:t>(Unaudited)</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92"/>
        </w:trPr>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80" w:type="dxa"/>
            <w:vAlign w:val="bottom"/>
            <w:gridSpan w:val="5"/>
          </w:tcPr>
          <w:p>
            <w:pPr>
              <w:ind w:left="360"/>
              <w:spacing w:after="0"/>
              <w:rPr>
                <w:sz w:val="20"/>
                <w:szCs w:val="20"/>
                <w:color w:val="auto"/>
              </w:rPr>
            </w:pPr>
            <w:r>
              <w:rPr>
                <w:rFonts w:ascii="Arial" w:cs="Arial" w:eastAsia="Arial" w:hAnsi="Arial"/>
                <w:sz w:val="14"/>
                <w:szCs w:val="14"/>
                <w:color w:val="auto"/>
              </w:rPr>
              <w:t>Three Months Ended</w:t>
            </w:r>
          </w:p>
        </w:tc>
        <w:tc>
          <w:tcPr>
            <w:tcW w:w="240" w:type="dxa"/>
            <w:vAlign w:val="bottom"/>
          </w:tcPr>
          <w:p>
            <w:pPr>
              <w:spacing w:after="0"/>
              <w:rPr>
                <w:sz w:val="24"/>
                <w:szCs w:val="24"/>
                <w:color w:val="auto"/>
              </w:rPr>
            </w:pPr>
          </w:p>
        </w:tc>
        <w:tc>
          <w:tcPr>
            <w:tcW w:w="2000" w:type="dxa"/>
            <w:vAlign w:val="bottom"/>
            <w:gridSpan w:val="5"/>
          </w:tcPr>
          <w:p>
            <w:pPr>
              <w:jc w:val="center"/>
              <w:ind w:right="320"/>
              <w:spacing w:after="0"/>
              <w:rPr>
                <w:sz w:val="20"/>
                <w:szCs w:val="20"/>
                <w:color w:val="auto"/>
              </w:rPr>
            </w:pPr>
            <w:r>
              <w:rPr>
                <w:rFonts w:ascii="Arial" w:cs="Arial" w:eastAsia="Arial" w:hAnsi="Arial"/>
                <w:sz w:val="14"/>
                <w:szCs w:val="14"/>
                <w:color w:val="auto"/>
                <w:w w:val="94"/>
              </w:rPr>
              <w:t>Nine Months Ended</w:t>
            </w:r>
          </w:p>
        </w:tc>
        <w:tc>
          <w:tcPr>
            <w:tcW w:w="220" w:type="dxa"/>
            <w:vAlign w:val="bottom"/>
          </w:tcPr>
          <w:p>
            <w:pPr>
              <w:spacing w:after="0"/>
              <w:rPr>
                <w:sz w:val="24"/>
                <w:szCs w:val="24"/>
                <w:color w:val="auto"/>
              </w:rPr>
            </w:pPr>
          </w:p>
        </w:tc>
        <w:tc>
          <w:tcPr>
            <w:tcW w:w="1920" w:type="dxa"/>
            <w:vAlign w:val="bottom"/>
            <w:gridSpan w:val="4"/>
          </w:tcPr>
          <w:p>
            <w:pPr>
              <w:jc w:val="right"/>
              <w:ind w:right="327"/>
              <w:spacing w:after="0"/>
              <w:rPr>
                <w:sz w:val="20"/>
                <w:szCs w:val="20"/>
                <w:color w:val="auto"/>
              </w:rPr>
            </w:pPr>
            <w:r>
              <w:rPr>
                <w:rFonts w:ascii="Arial" w:cs="Arial" w:eastAsia="Arial" w:hAnsi="Arial"/>
                <w:sz w:val="14"/>
                <w:szCs w:val="14"/>
                <w:color w:val="auto"/>
              </w:rPr>
              <w:t>Twelve Months Ended</w:t>
            </w:r>
          </w:p>
        </w:tc>
      </w:tr>
      <w:tr>
        <w:trPr>
          <w:trHeight w:val="188"/>
        </w:trPr>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color w:val="auto"/>
              </w:rPr>
              <w:t>September 30,</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5"/>
          </w:tcPr>
          <w:p>
            <w:pPr>
              <w:jc w:val="center"/>
              <w:ind w:right="320"/>
              <w:spacing w:after="0"/>
              <w:rPr>
                <w:sz w:val="20"/>
                <w:szCs w:val="20"/>
                <w:color w:val="auto"/>
              </w:rPr>
            </w:pPr>
            <w:r>
              <w:rPr>
                <w:rFonts w:ascii="Arial" w:cs="Arial" w:eastAsia="Arial" w:hAnsi="Arial"/>
                <w:sz w:val="14"/>
                <w:szCs w:val="14"/>
                <w:color w:val="auto"/>
                <w:w w:val="91"/>
              </w:rPr>
              <w:t>September 30,</w:t>
            </w:r>
          </w:p>
        </w:tc>
        <w:tc>
          <w:tcPr>
            <w:tcW w:w="220" w:type="dxa"/>
            <w:vAlign w:val="bottom"/>
          </w:tcPr>
          <w:p>
            <w:pPr>
              <w:spacing w:after="0"/>
              <w:rPr>
                <w:sz w:val="16"/>
                <w:szCs w:val="16"/>
                <w:color w:val="auto"/>
              </w:rPr>
            </w:pPr>
          </w:p>
        </w:tc>
        <w:tc>
          <w:tcPr>
            <w:tcW w:w="1920" w:type="dxa"/>
            <w:vAlign w:val="bottom"/>
            <w:gridSpan w:val="4"/>
          </w:tcPr>
          <w:p>
            <w:pPr>
              <w:jc w:val="right"/>
              <w:ind w:right="567"/>
              <w:spacing w:after="0"/>
              <w:rPr>
                <w:sz w:val="20"/>
                <w:szCs w:val="20"/>
                <w:color w:val="auto"/>
              </w:rPr>
            </w:pPr>
            <w:r>
              <w:rPr>
                <w:rFonts w:ascii="Arial" w:cs="Arial" w:eastAsia="Arial" w:hAnsi="Arial"/>
                <w:sz w:val="14"/>
                <w:szCs w:val="14"/>
                <w:color w:val="auto"/>
              </w:rPr>
              <w:t>September 30,</w:t>
            </w:r>
          </w:p>
        </w:tc>
      </w:tr>
      <w:tr>
        <w:trPr>
          <w:trHeight w:val="264"/>
        </w:trPr>
        <w:tc>
          <w:tcPr>
            <w:tcW w:w="134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06"/>
              <w:spacing w:after="0"/>
              <w:rPr>
                <w:sz w:val="20"/>
                <w:szCs w:val="20"/>
                <w:color w:val="auto"/>
              </w:rPr>
            </w:pPr>
            <w:r>
              <w:rPr>
                <w:rFonts w:ascii="Arial" w:cs="Arial" w:eastAsia="Arial" w:hAnsi="Arial"/>
                <w:sz w:val="14"/>
                <w:szCs w:val="14"/>
                <w:color w:val="auto"/>
              </w:rPr>
              <w:t>2019</w:t>
            </w:r>
          </w:p>
        </w:tc>
        <w:tc>
          <w:tcPr>
            <w:tcW w:w="120" w:type="dxa"/>
            <w:vAlign w:val="bottom"/>
            <w:tcBorders>
              <w:top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color w:val="auto"/>
                <w:w w:val="89"/>
              </w:rPr>
              <w:t>2018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2019</w:t>
            </w: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287"/>
              <w:spacing w:after="0"/>
              <w:rPr>
                <w:sz w:val="20"/>
                <w:szCs w:val="20"/>
                <w:color w:val="auto"/>
              </w:rPr>
            </w:pPr>
            <w:r>
              <w:rPr>
                <w:rFonts w:ascii="Arial" w:cs="Arial" w:eastAsia="Arial" w:hAnsi="Arial"/>
                <w:sz w:val="14"/>
                <w:szCs w:val="14"/>
                <w:color w:val="auto"/>
              </w:rPr>
              <w:t>2019</w:t>
            </w:r>
          </w:p>
        </w:tc>
        <w:tc>
          <w:tcPr>
            <w:tcW w:w="100" w:type="dxa"/>
            <w:vAlign w:val="bottom"/>
            <w:tcBorders>
              <w:top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87"/>
              <w:spacing w:after="0"/>
              <w:rPr>
                <w:sz w:val="20"/>
                <w:szCs w:val="20"/>
                <w:color w:val="auto"/>
              </w:rPr>
            </w:pPr>
            <w:r>
              <w:rPr>
                <w:rFonts w:ascii="Arial" w:cs="Arial" w:eastAsia="Arial" w:hAnsi="Arial"/>
                <w:sz w:val="14"/>
                <w:szCs w:val="14"/>
                <w:color w:val="auto"/>
              </w:rPr>
              <w:t>2018</w:t>
            </w:r>
          </w:p>
        </w:tc>
      </w:tr>
      <w:tr>
        <w:trPr>
          <w:trHeight w:val="250"/>
        </w:trPr>
        <w:tc>
          <w:tcPr>
            <w:tcW w:w="1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6"/>
              <w:spacing w:after="0"/>
              <w:rPr>
                <w:sz w:val="20"/>
                <w:szCs w:val="20"/>
                <w:color w:val="auto"/>
              </w:rPr>
            </w:pPr>
            <w:r>
              <w:rPr>
                <w:rFonts w:ascii="Arial" w:cs="Arial" w:eastAsia="Arial" w:hAnsi="Arial"/>
                <w:sz w:val="14"/>
                <w:szCs w:val="14"/>
                <w:color w:val="auto"/>
              </w:rPr>
              <w:t>209,980</w:t>
            </w:r>
          </w:p>
        </w:tc>
        <w:tc>
          <w:tcPr>
            <w:tcW w:w="120" w:type="dxa"/>
            <w:vAlign w:val="bottom"/>
          </w:tcPr>
          <w:p>
            <w:pPr>
              <w:spacing w:after="0"/>
              <w:rPr>
                <w:sz w:val="21"/>
                <w:szCs w:val="21"/>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217,523</w:t>
            </w:r>
          </w:p>
        </w:tc>
        <w:tc>
          <w:tcPr>
            <w:tcW w:w="10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989,368</w:t>
            </w:r>
          </w:p>
        </w:tc>
        <w:tc>
          <w:tcPr>
            <w:tcW w:w="10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987,515</w:t>
            </w:r>
          </w:p>
        </w:tc>
        <w:tc>
          <w:tcPr>
            <w:tcW w:w="10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7"/>
              <w:spacing w:after="0"/>
              <w:rPr>
                <w:sz w:val="20"/>
                <w:szCs w:val="20"/>
                <w:color w:val="auto"/>
              </w:rPr>
            </w:pPr>
            <w:r>
              <w:rPr>
                <w:rFonts w:ascii="Arial" w:cs="Arial" w:eastAsia="Arial" w:hAnsi="Arial"/>
                <w:sz w:val="14"/>
                <w:szCs w:val="14"/>
                <w:color w:val="auto"/>
              </w:rPr>
              <w:t>1,359,581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7"/>
              <w:spacing w:after="0"/>
              <w:rPr>
                <w:sz w:val="20"/>
                <w:szCs w:val="20"/>
                <w:color w:val="auto"/>
              </w:rPr>
            </w:pPr>
            <w:r>
              <w:rPr>
                <w:rFonts w:ascii="Arial" w:cs="Arial" w:eastAsia="Arial" w:hAnsi="Arial"/>
                <w:sz w:val="14"/>
                <w:szCs w:val="14"/>
                <w:color w:val="auto"/>
              </w:rPr>
              <w:t>1,354,000</w:t>
            </w:r>
          </w:p>
        </w:tc>
      </w:tr>
      <w:tr>
        <w:trPr>
          <w:trHeight w:val="528"/>
        </w:trPr>
        <w:tc>
          <w:tcPr>
            <w:tcW w:w="13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ind w:right="46"/>
              <w:spacing w:after="0"/>
              <w:rPr>
                <w:sz w:val="20"/>
                <w:szCs w:val="20"/>
                <w:color w:val="auto"/>
              </w:rPr>
            </w:pPr>
            <w:r>
              <w:rPr>
                <w:rFonts w:ascii="Arial" w:cs="Arial" w:eastAsia="Arial" w:hAnsi="Arial"/>
                <w:sz w:val="14"/>
                <w:szCs w:val="14"/>
                <w:color w:val="auto"/>
              </w:rPr>
              <w:t>35,068</w:t>
            </w:r>
          </w:p>
        </w:tc>
        <w:tc>
          <w:tcPr>
            <w:tcW w:w="1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49,903</w:t>
            </w: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292,854</w:t>
            </w: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319,101</w:t>
            </w: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ind w:right="27"/>
              <w:spacing w:after="0"/>
              <w:rPr>
                <w:sz w:val="20"/>
                <w:szCs w:val="20"/>
                <w:color w:val="auto"/>
              </w:rPr>
            </w:pPr>
            <w:r>
              <w:rPr>
                <w:rFonts w:ascii="Arial" w:cs="Arial" w:eastAsia="Arial" w:hAnsi="Arial"/>
                <w:sz w:val="14"/>
                <w:szCs w:val="14"/>
                <w:color w:val="auto"/>
              </w:rPr>
              <w:t>393,141</w:t>
            </w: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jc w:val="right"/>
              <w:ind w:right="27"/>
              <w:spacing w:after="0"/>
              <w:rPr>
                <w:sz w:val="20"/>
                <w:szCs w:val="20"/>
                <w:color w:val="auto"/>
              </w:rPr>
            </w:pPr>
            <w:r>
              <w:rPr>
                <w:rFonts w:ascii="Arial" w:cs="Arial" w:eastAsia="Arial" w:hAnsi="Arial"/>
                <w:sz w:val="14"/>
                <w:szCs w:val="14"/>
                <w:color w:val="auto"/>
              </w:rPr>
              <w:t>412,307</w:t>
            </w:r>
          </w:p>
        </w:tc>
      </w:tr>
      <w:tr>
        <w:trPr>
          <w:trHeight w:val="270"/>
        </w:trPr>
        <w:tc>
          <w:tcPr>
            <w:tcW w:w="1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ind w:right="46"/>
              <w:spacing w:after="0"/>
              <w:rPr>
                <w:sz w:val="20"/>
                <w:szCs w:val="20"/>
                <w:color w:val="auto"/>
              </w:rPr>
            </w:pPr>
            <w:r>
              <w:rPr>
                <w:rFonts w:ascii="Arial" w:cs="Arial" w:eastAsia="Arial" w:hAnsi="Arial"/>
                <w:sz w:val="14"/>
                <w:szCs w:val="14"/>
                <w:color w:val="auto"/>
              </w:rPr>
              <w:t>109,039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104,657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319,572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312,055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7"/>
              <w:spacing w:after="0"/>
              <w:rPr>
                <w:sz w:val="20"/>
                <w:szCs w:val="20"/>
                <w:color w:val="auto"/>
              </w:rPr>
            </w:pPr>
            <w:r>
              <w:rPr>
                <w:rFonts w:ascii="Arial" w:cs="Arial" w:eastAsia="Arial" w:hAnsi="Arial"/>
                <w:sz w:val="14"/>
                <w:szCs w:val="14"/>
                <w:color w:val="auto"/>
              </w:rPr>
              <w:t>412,330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27"/>
              <w:spacing w:after="0"/>
              <w:rPr>
                <w:sz w:val="20"/>
                <w:szCs w:val="20"/>
                <w:color w:val="auto"/>
              </w:rPr>
            </w:pPr>
            <w:r>
              <w:rPr>
                <w:rFonts w:ascii="Arial" w:cs="Arial" w:eastAsia="Arial" w:hAnsi="Arial"/>
                <w:sz w:val="14"/>
                <w:szCs w:val="14"/>
                <w:color w:val="auto"/>
              </w:rPr>
              <w:t>404,549</w:t>
            </w:r>
          </w:p>
        </w:tc>
      </w:tr>
      <w:tr>
        <w:trPr>
          <w:trHeight w:val="270"/>
        </w:trPr>
        <w:tc>
          <w:tcPr>
            <w:tcW w:w="1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jc w:val="right"/>
              <w:ind w:right="46"/>
              <w:spacing w:after="0"/>
              <w:rPr>
                <w:sz w:val="20"/>
                <w:szCs w:val="20"/>
                <w:color w:val="auto"/>
              </w:rPr>
            </w:pPr>
            <w:r>
              <w:rPr>
                <w:rFonts w:ascii="Arial" w:cs="Arial" w:eastAsia="Arial" w:hAnsi="Arial"/>
                <w:sz w:val="14"/>
                <w:szCs w:val="14"/>
                <w:color w:val="auto"/>
              </w:rPr>
              <w:t>52,372</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47,924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159,327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145,549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7"/>
              <w:spacing w:after="0"/>
              <w:rPr>
                <w:sz w:val="20"/>
                <w:szCs w:val="20"/>
                <w:color w:val="auto"/>
              </w:rPr>
            </w:pPr>
            <w:r>
              <w:rPr>
                <w:rFonts w:ascii="Arial" w:cs="Arial" w:eastAsia="Arial" w:hAnsi="Arial"/>
                <w:sz w:val="14"/>
                <w:szCs w:val="14"/>
                <w:color w:val="auto"/>
              </w:rPr>
              <w:t>205,594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27"/>
              <w:spacing w:after="0"/>
              <w:rPr>
                <w:sz w:val="20"/>
                <w:szCs w:val="20"/>
                <w:color w:val="auto"/>
              </w:rPr>
            </w:pPr>
            <w:r>
              <w:rPr>
                <w:rFonts w:ascii="Arial" w:cs="Arial" w:eastAsia="Arial" w:hAnsi="Arial"/>
                <w:sz w:val="14"/>
                <w:szCs w:val="14"/>
                <w:color w:val="auto"/>
              </w:rPr>
              <w:t>193,828</w:t>
            </w:r>
          </w:p>
        </w:tc>
      </w:tr>
      <w:tr>
        <w:trPr>
          <w:trHeight w:val="276"/>
        </w:trPr>
        <w:tc>
          <w:tcPr>
            <w:tcW w:w="1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15,308</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15,036</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46,640</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44,959</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61,579</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59,580</w:t>
            </w:r>
          </w:p>
        </w:tc>
      </w:tr>
      <w:tr>
        <w:trPr>
          <w:trHeight w:val="250"/>
        </w:trPr>
        <w:tc>
          <w:tcPr>
            <w:tcW w:w="1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color w:val="auto"/>
              </w:rPr>
              <w:t>211,787</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217,520</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818,393</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821,664</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1,072,644</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1,070,264</w:t>
            </w:r>
          </w:p>
        </w:tc>
      </w:tr>
      <w:tr>
        <w:trPr>
          <w:trHeight w:val="250"/>
        </w:trPr>
        <w:tc>
          <w:tcPr>
            <w:tcW w:w="1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color w:val="auto"/>
              </w:rPr>
              <w:t>(1,807)</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170,975</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165,851</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286,937</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283,736</w:t>
            </w:r>
          </w:p>
        </w:tc>
      </w:tr>
      <w:tr>
        <w:trPr>
          <w:trHeight w:val="528"/>
        </w:trPr>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6"/>
              <w:spacing w:after="0"/>
              <w:rPr>
                <w:sz w:val="20"/>
                <w:szCs w:val="20"/>
                <w:color w:val="auto"/>
              </w:rPr>
            </w:pPr>
            <w:r>
              <w:rPr>
                <w:rFonts w:ascii="Arial" w:cs="Arial" w:eastAsia="Arial" w:hAnsi="Arial"/>
                <w:sz w:val="14"/>
                <w:szCs w:val="14"/>
                <w:color w:val="auto"/>
              </w:rPr>
              <w:t>(23,619)</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(20,399)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(70,063)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(59,803)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(92,000)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(77,914)</w:t>
            </w:r>
          </w:p>
        </w:tc>
      </w:tr>
      <w:tr>
        <w:trPr>
          <w:trHeight w:val="276"/>
        </w:trPr>
        <w:tc>
          <w:tcPr>
            <w:tcW w:w="1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color w:val="auto"/>
              </w:rPr>
              <w:t>(1,353)</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836</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6,185</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(5,861)</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(5,194)</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(6,425)</w:t>
            </w:r>
          </w:p>
        </w:tc>
      </w:tr>
      <w:tr>
        <w:trPr>
          <w:trHeight w:val="250"/>
        </w:trPr>
        <w:tc>
          <w:tcPr>
            <w:tcW w:w="1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color w:val="auto"/>
              </w:rPr>
              <w:t>(24,972)</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(19,563)</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(63,878)</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(65,664)</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(97,194)</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(84,339)</w:t>
            </w:r>
          </w:p>
        </w:tc>
      </w:tr>
      <w:tr>
        <w:trPr>
          <w:trHeight w:val="244"/>
        </w:trPr>
        <w:tc>
          <w:tcPr>
            <w:tcW w:w="1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ind w:right="6"/>
              <w:spacing w:after="0"/>
              <w:rPr>
                <w:sz w:val="20"/>
                <w:szCs w:val="20"/>
                <w:color w:val="auto"/>
              </w:rPr>
            </w:pPr>
            <w:r>
              <w:rPr>
                <w:rFonts w:ascii="Arial" w:cs="Arial" w:eastAsia="Arial" w:hAnsi="Arial"/>
                <w:sz w:val="14"/>
                <w:szCs w:val="14"/>
                <w:color w:val="auto"/>
              </w:rPr>
              <w:t>(26,779)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(19,560)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107,097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100,187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27"/>
              <w:spacing w:after="0"/>
              <w:rPr>
                <w:sz w:val="20"/>
                <w:szCs w:val="20"/>
                <w:color w:val="auto"/>
              </w:rPr>
            </w:pPr>
            <w:r>
              <w:rPr>
                <w:rFonts w:ascii="Arial" w:cs="Arial" w:eastAsia="Arial" w:hAnsi="Arial"/>
                <w:sz w:val="14"/>
                <w:szCs w:val="14"/>
                <w:color w:val="auto"/>
              </w:rPr>
              <w:t>189,743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27"/>
              <w:spacing w:after="0"/>
              <w:rPr>
                <w:sz w:val="20"/>
                <w:szCs w:val="20"/>
                <w:color w:val="auto"/>
              </w:rPr>
            </w:pPr>
            <w:r>
              <w:rPr>
                <w:rFonts w:ascii="Arial" w:cs="Arial" w:eastAsia="Arial" w:hAnsi="Arial"/>
                <w:sz w:val="14"/>
                <w:szCs w:val="14"/>
                <w:color w:val="auto"/>
              </w:rPr>
              <w:t>199,397</w:t>
            </w:r>
          </w:p>
        </w:tc>
      </w:tr>
      <w:tr>
        <w:trPr>
          <w:trHeight w:val="276"/>
        </w:trPr>
        <w:tc>
          <w:tcPr>
            <w:tcW w:w="1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color w:val="auto"/>
              </w:rPr>
              <w:t>(6,767)</w:t>
            </w: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(5,890)</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20,351</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20,886</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43,456</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45,714</w:t>
            </w:r>
          </w:p>
        </w:tc>
      </w:tr>
      <w:tr>
        <w:trPr>
          <w:trHeight w:val="237"/>
        </w:trPr>
        <w:tc>
          <w:tcPr>
            <w:tcW w:w="1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
              <w:spacing w:after="0"/>
              <w:rPr>
                <w:sz w:val="20"/>
                <w:szCs w:val="20"/>
                <w:color w:val="auto"/>
              </w:rPr>
            </w:pPr>
            <w:r>
              <w:rPr>
                <w:rFonts w:ascii="Arial" w:cs="Arial" w:eastAsia="Arial" w:hAnsi="Arial"/>
                <w:sz w:val="14"/>
                <w:szCs w:val="14"/>
                <w:color w:val="auto"/>
              </w:rPr>
              <w:t>(20,012)</w:t>
            </w:r>
          </w:p>
        </w:tc>
        <w:tc>
          <w:tcPr>
            <w:tcW w:w="120" w:type="dxa"/>
            <w:vAlign w:val="bottom"/>
          </w:tcPr>
          <w:p>
            <w:pPr>
              <w:spacing w:after="0"/>
              <w:rPr>
                <w:sz w:val="20"/>
                <w:szCs w:val="20"/>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(13,670)</w:t>
            </w:r>
          </w:p>
        </w:tc>
        <w:tc>
          <w:tcPr>
            <w:tcW w:w="100" w:type="dxa"/>
            <w:vAlign w:val="bottom"/>
          </w:tcPr>
          <w:p>
            <w:pPr>
              <w:spacing w:after="0"/>
              <w:rPr>
                <w:sz w:val="20"/>
                <w:szCs w:val="20"/>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86,746</w:t>
            </w:r>
          </w:p>
        </w:tc>
        <w:tc>
          <w:tcPr>
            <w:tcW w:w="100" w:type="dxa"/>
            <w:vAlign w:val="bottom"/>
          </w:tcPr>
          <w:p>
            <w:pPr>
              <w:spacing w:after="0"/>
              <w:rPr>
                <w:sz w:val="20"/>
                <w:szCs w:val="20"/>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79,301</w:t>
            </w:r>
          </w:p>
        </w:tc>
        <w:tc>
          <w:tcPr>
            <w:tcW w:w="100" w:type="dxa"/>
            <w:vAlign w:val="bottom"/>
          </w:tcPr>
          <w:p>
            <w:pPr>
              <w:spacing w:after="0"/>
              <w:rPr>
                <w:sz w:val="20"/>
                <w:szCs w:val="20"/>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7"/>
              <w:spacing w:after="0"/>
              <w:rPr>
                <w:sz w:val="20"/>
                <w:szCs w:val="20"/>
                <w:color w:val="auto"/>
              </w:rPr>
            </w:pPr>
            <w:r>
              <w:rPr>
                <w:rFonts w:ascii="Arial" w:cs="Arial" w:eastAsia="Arial" w:hAnsi="Arial"/>
                <w:sz w:val="14"/>
                <w:szCs w:val="14"/>
                <w:color w:val="auto"/>
              </w:rPr>
              <w:t>146,287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7"/>
              <w:spacing w:after="0"/>
              <w:rPr>
                <w:sz w:val="20"/>
                <w:szCs w:val="20"/>
                <w:color w:val="auto"/>
              </w:rPr>
            </w:pPr>
            <w:r>
              <w:rPr>
                <w:rFonts w:ascii="Arial" w:cs="Arial" w:eastAsia="Arial" w:hAnsi="Arial"/>
                <w:sz w:val="14"/>
                <w:szCs w:val="14"/>
                <w:color w:val="auto"/>
              </w:rPr>
              <w:t>153,683</w:t>
            </w:r>
          </w:p>
        </w:tc>
      </w:tr>
      <w:tr>
        <w:trPr>
          <w:trHeight w:val="20"/>
        </w:trPr>
        <w:tc>
          <w:tcPr>
            <w:tcW w:w="1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-2127885</wp:posOffset>
            </wp:positionH>
            <wp:positionV relativeFrom="paragraph">
              <wp:posOffset>-2786380</wp:posOffset>
            </wp:positionV>
            <wp:extent cx="7246620"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-2127885</wp:posOffset>
            </wp:positionH>
            <wp:positionV relativeFrom="paragraph">
              <wp:posOffset>-2434590</wp:posOffset>
            </wp:positionV>
            <wp:extent cx="7246620"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-2127885</wp:posOffset>
            </wp:positionH>
            <wp:positionV relativeFrom="paragraph">
              <wp:posOffset>-2083435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-2127885</wp:posOffset>
            </wp:positionH>
            <wp:positionV relativeFrom="paragraph">
              <wp:posOffset>-1740535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-2127885</wp:posOffset>
            </wp:positionH>
            <wp:positionV relativeFrom="paragraph">
              <wp:posOffset>-1397000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-2127885</wp:posOffset>
            </wp:positionH>
            <wp:positionV relativeFrom="paragraph">
              <wp:posOffset>-1045845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-2127885</wp:posOffset>
            </wp:positionH>
            <wp:positionV relativeFrom="paragraph">
              <wp:posOffset>-702310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-2127885</wp:posOffset>
            </wp:positionH>
            <wp:positionV relativeFrom="paragraph">
              <wp:posOffset>-359410</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9</w:t>
      </w:r>
    </w:p>
    <w:p>
      <w:pPr>
        <w:sectPr>
          <w:pgSz w:w="11900" w:h="16838" w:orient="portrait"/>
          <w:cols w:equalWidth="0" w:num="2">
            <w:col w:w="2920" w:space="400"/>
            <w:col w:w="8060"/>
          </w:cols>
          <w:pgMar w:left="280" w:top="287"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2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color w:val="auto"/>
                <w:w w:val="96"/>
              </w:rPr>
              <w:t>Form 10-Q</w:t>
            </w:r>
          </w:p>
        </w:tc>
      </w:tr>
      <w:tr>
        <w:trPr>
          <w:trHeight w:val="250"/>
        </w:trPr>
        <w:tc>
          <w:tcPr>
            <w:tcW w:w="60" w:type="dxa"/>
            <w:vAlign w:val="bottom"/>
          </w:tcPr>
          <w:p>
            <w:pPr>
              <w:spacing w:after="0"/>
              <w:rPr>
                <w:sz w:val="21"/>
                <w:szCs w:val="21"/>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28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gridSpan w:val="4"/>
          </w:tcPr>
          <w:p>
            <w:pPr>
              <w:jc w:val="right"/>
              <w:spacing w:after="0"/>
              <w:rPr>
                <w:sz w:val="20"/>
                <w:szCs w:val="20"/>
                <w:color w:val="auto"/>
              </w:rPr>
            </w:pPr>
            <w:r>
              <w:rPr>
                <w:rFonts w:ascii="Arial" w:cs="Arial" w:eastAsia="Arial" w:hAnsi="Arial"/>
                <w:sz w:val="18"/>
                <w:szCs w:val="18"/>
                <w:color w:val="auto"/>
                <w:w w:val="99"/>
              </w:rPr>
              <w:t>September 30, 2019</w:t>
            </w:r>
          </w:p>
        </w:tc>
      </w:tr>
      <w:tr>
        <w:trPr>
          <w:trHeight w:val="816"/>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80" w:type="dxa"/>
            <w:vAlign w:val="bottom"/>
            <w:gridSpan w:val="10"/>
          </w:tcPr>
          <w:p>
            <w:pPr>
              <w:jc w:val="center"/>
              <w:ind w:right="340"/>
              <w:spacing w:after="0"/>
              <w:rPr>
                <w:sz w:val="20"/>
                <w:szCs w:val="20"/>
                <w:color w:val="auto"/>
              </w:rPr>
            </w:pPr>
            <w:r>
              <w:rPr>
                <w:rFonts w:ascii="Arial" w:cs="Arial" w:eastAsia="Arial" w:hAnsi="Arial"/>
                <w:sz w:val="18"/>
                <w:szCs w:val="18"/>
                <w:color w:val="auto"/>
                <w:w w:val="95"/>
              </w:rPr>
              <w:t>SOUTHWEST GAS CORPORATION AND SUBSIDIARIES</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9460" w:type="dxa"/>
            <w:vAlign w:val="bottom"/>
            <w:gridSpan w:val="16"/>
          </w:tcPr>
          <w:p>
            <w:pPr>
              <w:jc w:val="center"/>
              <w:ind w:left="1764"/>
              <w:spacing w:after="0"/>
              <w:rPr>
                <w:sz w:val="20"/>
                <w:szCs w:val="20"/>
                <w:color w:val="auto"/>
              </w:rPr>
            </w:pPr>
            <w:r>
              <w:rPr>
                <w:rFonts w:ascii="Arial" w:cs="Arial" w:eastAsia="Arial" w:hAnsi="Arial"/>
                <w:sz w:val="18"/>
                <w:szCs w:val="18"/>
                <w:color w:val="auto"/>
                <w:w w:val="95"/>
              </w:rPr>
              <w:t>CONDENSED CONSOLIDATED STATEMENTS OF COMPREHENSIVE INCOME</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0" w:type="dxa"/>
            <w:vAlign w:val="bottom"/>
            <w:gridSpan w:val="5"/>
          </w:tcPr>
          <w:p>
            <w:pPr>
              <w:jc w:val="center"/>
              <w:ind w:left="1457"/>
              <w:spacing w:after="0"/>
              <w:rPr>
                <w:sz w:val="20"/>
                <w:szCs w:val="20"/>
                <w:color w:val="auto"/>
              </w:rPr>
            </w:pPr>
            <w:r>
              <w:rPr>
                <w:rFonts w:ascii="Arial" w:cs="Arial" w:eastAsia="Arial" w:hAnsi="Arial"/>
                <w:sz w:val="18"/>
                <w:szCs w:val="18"/>
                <w:color w:val="auto"/>
                <w:w w:val="90"/>
              </w:rPr>
              <w:t>(Thousands of dollars)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0"/>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0" w:type="dxa"/>
            <w:vAlign w:val="bottom"/>
            <w:gridSpan w:val="4"/>
          </w:tcPr>
          <w:p>
            <w:pPr>
              <w:jc w:val="center"/>
              <w:ind w:left="1657"/>
              <w:spacing w:after="0"/>
              <w:rPr>
                <w:sz w:val="20"/>
                <w:szCs w:val="20"/>
                <w:color w:val="auto"/>
              </w:rPr>
            </w:pPr>
            <w:r>
              <w:rPr>
                <w:rFonts w:ascii="Arial" w:cs="Arial" w:eastAsia="Arial" w:hAnsi="Arial"/>
                <w:sz w:val="18"/>
                <w:szCs w:val="18"/>
                <w:color w:val="auto"/>
                <w:w w:val="91"/>
              </w:rPr>
              <w:t>(Unaudited)</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92"/>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gridSpan w:val="5"/>
          </w:tcPr>
          <w:p>
            <w:pPr>
              <w:jc w:val="center"/>
              <w:ind w:right="300"/>
              <w:spacing w:after="0"/>
              <w:rPr>
                <w:sz w:val="20"/>
                <w:szCs w:val="20"/>
                <w:color w:val="auto"/>
              </w:rPr>
            </w:pPr>
            <w:r>
              <w:rPr>
                <w:rFonts w:ascii="Arial" w:cs="Arial" w:eastAsia="Arial" w:hAnsi="Arial"/>
                <w:sz w:val="14"/>
                <w:szCs w:val="14"/>
                <w:color w:val="auto"/>
                <w:w w:val="93"/>
              </w:rPr>
              <w:t>Three Months Ended</w:t>
            </w:r>
          </w:p>
        </w:tc>
        <w:tc>
          <w:tcPr>
            <w:tcW w:w="220" w:type="dxa"/>
            <w:vAlign w:val="bottom"/>
          </w:tcPr>
          <w:p>
            <w:pPr>
              <w:spacing w:after="0"/>
              <w:rPr>
                <w:sz w:val="24"/>
                <w:szCs w:val="24"/>
                <w:color w:val="auto"/>
              </w:rPr>
            </w:pPr>
          </w:p>
        </w:tc>
        <w:tc>
          <w:tcPr>
            <w:tcW w:w="1820" w:type="dxa"/>
            <w:vAlign w:val="bottom"/>
            <w:gridSpan w:val="5"/>
          </w:tcPr>
          <w:p>
            <w:pPr>
              <w:jc w:val="center"/>
              <w:ind w:right="300"/>
              <w:spacing w:after="0"/>
              <w:rPr>
                <w:sz w:val="20"/>
                <w:szCs w:val="20"/>
                <w:color w:val="auto"/>
              </w:rPr>
            </w:pPr>
            <w:r>
              <w:rPr>
                <w:rFonts w:ascii="Arial" w:cs="Arial" w:eastAsia="Arial" w:hAnsi="Arial"/>
                <w:sz w:val="14"/>
                <w:szCs w:val="14"/>
                <w:color w:val="auto"/>
                <w:w w:val="94"/>
              </w:rPr>
              <w:t>Nine Months Ended</w:t>
            </w:r>
          </w:p>
        </w:tc>
        <w:tc>
          <w:tcPr>
            <w:tcW w:w="200" w:type="dxa"/>
            <w:vAlign w:val="bottom"/>
          </w:tcPr>
          <w:p>
            <w:pPr>
              <w:spacing w:after="0"/>
              <w:rPr>
                <w:sz w:val="24"/>
                <w:szCs w:val="24"/>
                <w:color w:val="auto"/>
              </w:rPr>
            </w:pPr>
          </w:p>
        </w:tc>
        <w:tc>
          <w:tcPr>
            <w:tcW w:w="1700" w:type="dxa"/>
            <w:vAlign w:val="bottom"/>
            <w:gridSpan w:val="4"/>
          </w:tcPr>
          <w:p>
            <w:pPr>
              <w:ind w:left="120"/>
              <w:spacing w:after="0"/>
              <w:rPr>
                <w:sz w:val="20"/>
                <w:szCs w:val="20"/>
                <w:color w:val="auto"/>
              </w:rPr>
            </w:pPr>
            <w:r>
              <w:rPr>
                <w:rFonts w:ascii="Arial" w:cs="Arial" w:eastAsia="Arial" w:hAnsi="Arial"/>
                <w:sz w:val="14"/>
                <w:szCs w:val="14"/>
                <w:color w:val="auto"/>
              </w:rPr>
              <w:t>Twelve Months Ended</w:t>
            </w:r>
          </w:p>
        </w:tc>
      </w:tr>
      <w:tr>
        <w:trPr>
          <w:trHeight w:val="188"/>
        </w:trPr>
        <w:tc>
          <w:tcPr>
            <w:tcW w:w="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gridSpan w:val="5"/>
          </w:tcPr>
          <w:p>
            <w:pPr>
              <w:jc w:val="center"/>
              <w:ind w:right="300"/>
              <w:spacing w:after="0"/>
              <w:rPr>
                <w:sz w:val="20"/>
                <w:szCs w:val="20"/>
                <w:color w:val="auto"/>
              </w:rPr>
            </w:pPr>
            <w:r>
              <w:rPr>
                <w:rFonts w:ascii="Arial" w:cs="Arial" w:eastAsia="Arial" w:hAnsi="Arial"/>
                <w:sz w:val="14"/>
                <w:szCs w:val="14"/>
                <w:color w:val="auto"/>
                <w:w w:val="89"/>
              </w:rPr>
              <w:t>September 30,</w:t>
            </w:r>
          </w:p>
        </w:tc>
        <w:tc>
          <w:tcPr>
            <w:tcW w:w="220" w:type="dxa"/>
            <w:vAlign w:val="bottom"/>
          </w:tcPr>
          <w:p>
            <w:pPr>
              <w:spacing w:after="0"/>
              <w:rPr>
                <w:sz w:val="16"/>
                <w:szCs w:val="16"/>
                <w:color w:val="auto"/>
              </w:rPr>
            </w:pPr>
          </w:p>
        </w:tc>
        <w:tc>
          <w:tcPr>
            <w:tcW w:w="1820" w:type="dxa"/>
            <w:vAlign w:val="bottom"/>
            <w:gridSpan w:val="5"/>
          </w:tcPr>
          <w:p>
            <w:pPr>
              <w:jc w:val="center"/>
              <w:ind w:right="280"/>
              <w:spacing w:after="0"/>
              <w:rPr>
                <w:sz w:val="20"/>
                <w:szCs w:val="20"/>
                <w:color w:val="auto"/>
              </w:rPr>
            </w:pPr>
            <w:r>
              <w:rPr>
                <w:rFonts w:ascii="Arial" w:cs="Arial" w:eastAsia="Arial" w:hAnsi="Arial"/>
                <w:sz w:val="14"/>
                <w:szCs w:val="14"/>
                <w:color w:val="auto"/>
                <w:w w:val="89"/>
              </w:rPr>
              <w:t>September 30,</w:t>
            </w:r>
          </w:p>
        </w:tc>
        <w:tc>
          <w:tcPr>
            <w:tcW w:w="200" w:type="dxa"/>
            <w:vAlign w:val="bottom"/>
          </w:tcPr>
          <w:p>
            <w:pPr>
              <w:spacing w:after="0"/>
              <w:rPr>
                <w:sz w:val="16"/>
                <w:szCs w:val="16"/>
                <w:color w:val="auto"/>
              </w:rPr>
            </w:pPr>
          </w:p>
        </w:tc>
        <w:tc>
          <w:tcPr>
            <w:tcW w:w="1700" w:type="dxa"/>
            <w:vAlign w:val="bottom"/>
            <w:gridSpan w:val="4"/>
          </w:tcPr>
          <w:p>
            <w:pPr>
              <w:jc w:val="right"/>
              <w:ind w:right="448"/>
              <w:spacing w:after="0"/>
              <w:rPr>
                <w:sz w:val="20"/>
                <w:szCs w:val="20"/>
                <w:color w:val="auto"/>
              </w:rPr>
            </w:pPr>
            <w:r>
              <w:rPr>
                <w:rFonts w:ascii="Arial" w:cs="Arial" w:eastAsia="Arial" w:hAnsi="Arial"/>
                <w:sz w:val="14"/>
                <w:szCs w:val="14"/>
                <w:color w:val="auto"/>
              </w:rPr>
              <w:t>September 30,</w:t>
            </w:r>
          </w:p>
        </w:tc>
      </w:tr>
      <w:tr>
        <w:trPr>
          <w:trHeight w:val="264"/>
        </w:trPr>
        <w:tc>
          <w:tcPr>
            <w:tcW w:w="60" w:type="dxa"/>
            <w:vAlign w:val="bottom"/>
            <w:tcBorders>
              <w:top w:val="single" w:sz="8" w:color="CCEEFF"/>
            </w:tcBorders>
            <w:shd w:val="clear" w:color="auto" w:fill="CCEEFF"/>
          </w:tcPr>
          <w:p>
            <w:pPr>
              <w:spacing w:after="0"/>
              <w:rPr>
                <w:sz w:val="22"/>
                <w:szCs w:val="22"/>
                <w:color w:val="auto"/>
              </w:rPr>
            </w:pPr>
          </w:p>
        </w:tc>
        <w:tc>
          <w:tcPr>
            <w:tcW w:w="28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CCEEFF"/>
            </w:tcBorders>
            <w:shd w:val="clear" w:color="auto" w:fill="CCEEFF"/>
          </w:tcPr>
          <w:p>
            <w:pPr>
              <w:spacing w:after="0"/>
              <w:rPr>
                <w:sz w:val="22"/>
                <w:szCs w:val="22"/>
                <w:color w:val="auto"/>
              </w:rPr>
            </w:pPr>
          </w:p>
        </w:tc>
        <w:tc>
          <w:tcPr>
            <w:tcW w:w="214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720" w:type="dxa"/>
            <w:vAlign w:val="bottom"/>
            <w:tcBorders>
              <w:top w:val="single" w:sz="8" w:color="auto"/>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2019</w:t>
            </w:r>
          </w:p>
        </w:tc>
        <w:tc>
          <w:tcPr>
            <w:tcW w:w="120" w:type="dxa"/>
            <w:vAlign w:val="bottom"/>
            <w:tcBorders>
              <w:top w:val="single" w:sz="8" w:color="auto"/>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720" w:type="dxa"/>
            <w:vAlign w:val="bottom"/>
            <w:tcBorders>
              <w:top w:val="single" w:sz="8" w:color="auto"/>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2018</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720" w:type="dxa"/>
            <w:vAlign w:val="bottom"/>
            <w:tcBorders>
              <w:top w:val="single" w:sz="8" w:color="auto"/>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2019</w:t>
            </w:r>
          </w:p>
        </w:tc>
        <w:tc>
          <w:tcPr>
            <w:tcW w:w="100" w:type="dxa"/>
            <w:vAlign w:val="bottom"/>
            <w:tcBorders>
              <w:top w:val="single" w:sz="8" w:color="auto"/>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68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2018</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70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2019</w:t>
            </w:r>
          </w:p>
        </w:tc>
        <w:tc>
          <w:tcPr>
            <w:tcW w:w="100" w:type="dxa"/>
            <w:vAlign w:val="bottom"/>
            <w:tcBorders>
              <w:top w:val="single" w:sz="8" w:color="auto"/>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700" w:type="dxa"/>
            <w:vAlign w:val="bottom"/>
            <w:tcBorders>
              <w:top w:val="single" w:sz="8" w:color="auto"/>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2018</w:t>
            </w:r>
          </w:p>
        </w:tc>
      </w:tr>
      <w:tr>
        <w:trPr>
          <w:trHeight w:val="250"/>
        </w:trPr>
        <w:tc>
          <w:tcPr>
            <w:tcW w:w="3240" w:type="dxa"/>
            <w:vAlign w:val="bottom"/>
            <w:gridSpan w:val="4"/>
          </w:tcPr>
          <w:p>
            <w:pPr>
              <w:ind w:left="40"/>
              <w:spacing w:after="0"/>
              <w:rPr>
                <w:sz w:val="20"/>
                <w:szCs w:val="20"/>
                <w:color w:val="auto"/>
              </w:rPr>
            </w:pPr>
            <w:r>
              <w:rPr>
                <w:rFonts w:ascii="Arial" w:cs="Arial" w:eastAsia="Arial" w:hAnsi="Arial"/>
                <w:sz w:val="14"/>
                <w:szCs w:val="14"/>
                <w:color w:val="auto"/>
              </w:rPr>
              <w:t>Net income (loss)</w:t>
            </w:r>
          </w:p>
        </w:tc>
        <w:tc>
          <w:tcPr>
            <w:tcW w:w="2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(20,012)</w:t>
            </w:r>
          </w:p>
        </w:tc>
        <w:tc>
          <w:tcPr>
            <w:tcW w:w="12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(13,670)</w:t>
            </w:r>
          </w:p>
        </w:tc>
        <w:tc>
          <w:tcPr>
            <w:tcW w:w="12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86,746</w:t>
            </w:r>
          </w:p>
        </w:tc>
        <w:tc>
          <w:tcPr>
            <w:tcW w:w="10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79,301</w:t>
            </w:r>
          </w:p>
        </w:tc>
        <w:tc>
          <w:tcPr>
            <w:tcW w:w="10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7"/>
              <w:spacing w:after="0"/>
              <w:rPr>
                <w:sz w:val="20"/>
                <w:szCs w:val="20"/>
                <w:color w:val="auto"/>
              </w:rPr>
            </w:pPr>
            <w:r>
              <w:rPr>
                <w:rFonts w:ascii="Arial" w:cs="Arial" w:eastAsia="Arial" w:hAnsi="Arial"/>
                <w:sz w:val="14"/>
                <w:szCs w:val="14"/>
                <w:color w:val="auto"/>
              </w:rPr>
              <w:t>146,287</w:t>
            </w:r>
          </w:p>
        </w:tc>
        <w:tc>
          <w:tcPr>
            <w:tcW w:w="100" w:type="dxa"/>
            <w:vAlign w:val="bottom"/>
          </w:tcPr>
          <w:p>
            <w:pPr>
              <w:spacing w:after="0"/>
              <w:rPr>
                <w:sz w:val="21"/>
                <w:szCs w:val="21"/>
                <w:color w:val="auto"/>
              </w:rPr>
            </w:pPr>
          </w:p>
        </w:tc>
        <w:tc>
          <w:tcPr>
            <w:tcW w:w="200" w:type="dxa"/>
            <w:vAlign w:val="bottom"/>
          </w:tcPr>
          <w:p>
            <w:pPr>
              <w:ind w:left="4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153,683</w:t>
            </w:r>
          </w:p>
        </w:tc>
      </w:tr>
      <w:tr>
        <w:trPr>
          <w:trHeight w:val="270"/>
        </w:trPr>
        <w:tc>
          <w:tcPr>
            <w:tcW w:w="3240" w:type="dxa"/>
            <w:vAlign w:val="bottom"/>
            <w:tcBorders>
              <w:top w:val="single" w:sz="8" w:color="CCEEFF"/>
            </w:tcBorders>
            <w:gridSpan w:val="4"/>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 net of tax</w:t>
            </w:r>
          </w:p>
        </w:tc>
        <w:tc>
          <w:tcPr>
            <w:tcW w:w="214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r>
      <w:tr>
        <w:trPr>
          <w:trHeight w:val="264"/>
        </w:trPr>
        <w:tc>
          <w:tcPr>
            <w:tcW w:w="60" w:type="dxa"/>
            <w:vAlign w:val="bottom"/>
          </w:tcPr>
          <w:p>
            <w:pPr>
              <w:spacing w:after="0"/>
              <w:rPr>
                <w:sz w:val="22"/>
                <w:szCs w:val="22"/>
                <w:color w:val="auto"/>
              </w:rPr>
            </w:pPr>
          </w:p>
        </w:tc>
        <w:tc>
          <w:tcPr>
            <w:tcW w:w="3180" w:type="dxa"/>
            <w:vAlign w:val="bottom"/>
            <w:gridSpan w:val="3"/>
          </w:tcPr>
          <w:p>
            <w:pPr>
              <w:ind w:left="120"/>
              <w:spacing w:after="0"/>
              <w:rPr>
                <w:sz w:val="20"/>
                <w:szCs w:val="20"/>
                <w:color w:val="auto"/>
              </w:rPr>
            </w:pPr>
            <w:r>
              <w:rPr>
                <w:rFonts w:ascii="Arial" w:cs="Arial" w:eastAsia="Arial" w:hAnsi="Arial"/>
                <w:sz w:val="14"/>
                <w:szCs w:val="14"/>
                <w:color w:val="auto"/>
              </w:rPr>
              <w:t>Defined benefit pension plans:</w:t>
            </w:r>
          </w:p>
        </w:tc>
        <w:tc>
          <w:tcPr>
            <w:tcW w:w="2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76"/>
        </w:trPr>
        <w:tc>
          <w:tcPr>
            <w:tcW w:w="60" w:type="dxa"/>
            <w:vAlign w:val="bottom"/>
            <w:shd w:val="clear" w:color="auto" w:fill="CCEEFF"/>
          </w:tcPr>
          <w:p>
            <w:pPr>
              <w:spacing w:after="0"/>
              <w:rPr>
                <w:sz w:val="24"/>
                <w:szCs w:val="24"/>
                <w:color w:val="auto"/>
              </w:rPr>
            </w:pPr>
          </w:p>
        </w:tc>
        <w:tc>
          <w:tcPr>
            <w:tcW w:w="318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Net actuarial gain (loss)</w:t>
            </w:r>
          </w:p>
        </w:tc>
        <w:tc>
          <w:tcPr>
            <w:tcW w:w="2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(15,524)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(32,701)</w:t>
            </w:r>
          </w:p>
        </w:tc>
      </w:tr>
      <w:tr>
        <w:trPr>
          <w:trHeight w:val="264"/>
        </w:trPr>
        <w:tc>
          <w:tcPr>
            <w:tcW w:w="60" w:type="dxa"/>
            <w:vAlign w:val="bottom"/>
          </w:tcPr>
          <w:p>
            <w:pPr>
              <w:spacing w:after="0"/>
              <w:rPr>
                <w:sz w:val="22"/>
                <w:szCs w:val="22"/>
                <w:color w:val="auto"/>
              </w:rPr>
            </w:pPr>
          </w:p>
        </w:tc>
        <w:tc>
          <w:tcPr>
            <w:tcW w:w="3180" w:type="dxa"/>
            <w:vAlign w:val="bottom"/>
            <w:gridSpan w:val="3"/>
          </w:tcPr>
          <w:p>
            <w:pPr>
              <w:ind w:left="220"/>
              <w:spacing w:after="0"/>
              <w:rPr>
                <w:sz w:val="20"/>
                <w:szCs w:val="20"/>
                <w:color w:val="auto"/>
              </w:rPr>
            </w:pPr>
            <w:r>
              <w:rPr>
                <w:rFonts w:ascii="Arial" w:cs="Arial" w:eastAsia="Arial" w:hAnsi="Arial"/>
                <w:sz w:val="14"/>
                <w:szCs w:val="14"/>
                <w:color w:val="auto"/>
              </w:rPr>
              <w:t>Amortization of prior service cost</w:t>
            </w:r>
          </w:p>
        </w:tc>
        <w:tc>
          <w:tcPr>
            <w:tcW w:w="2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241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254</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724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762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7"/>
              <w:spacing w:after="0"/>
              <w:rPr>
                <w:sz w:val="20"/>
                <w:szCs w:val="20"/>
                <w:color w:val="auto"/>
              </w:rPr>
            </w:pPr>
            <w:r>
              <w:rPr>
                <w:rFonts w:ascii="Arial" w:cs="Arial" w:eastAsia="Arial" w:hAnsi="Arial"/>
                <w:sz w:val="14"/>
                <w:szCs w:val="14"/>
                <w:color w:val="auto"/>
              </w:rPr>
              <w:t>977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969</w:t>
            </w:r>
          </w:p>
        </w:tc>
      </w:tr>
      <w:tr>
        <w:trPr>
          <w:trHeight w:val="276"/>
        </w:trPr>
        <w:tc>
          <w:tcPr>
            <w:tcW w:w="60" w:type="dxa"/>
            <w:vAlign w:val="bottom"/>
            <w:shd w:val="clear" w:color="auto" w:fill="CCEEFF"/>
          </w:tcPr>
          <w:p>
            <w:pPr>
              <w:spacing w:after="0"/>
              <w:rPr>
                <w:sz w:val="24"/>
                <w:szCs w:val="24"/>
                <w:color w:val="auto"/>
              </w:rPr>
            </w:pPr>
          </w:p>
        </w:tc>
        <w:tc>
          <w:tcPr>
            <w:tcW w:w="318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Amortization of net actuarial loss</w:t>
            </w:r>
          </w:p>
        </w:tc>
        <w:tc>
          <w:tcPr>
            <w:tcW w:w="21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4,442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6,387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13,325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19,161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19,713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23,105</w:t>
            </w:r>
          </w:p>
        </w:tc>
      </w:tr>
      <w:tr>
        <w:trPr>
          <w:trHeight w:val="264"/>
        </w:trPr>
        <w:tc>
          <w:tcPr>
            <w:tcW w:w="60" w:type="dxa"/>
            <w:vAlign w:val="bottom"/>
            <w:tcBorders>
              <w:bottom w:val="single" w:sz="8" w:color="CCEEFF"/>
            </w:tcBorders>
          </w:tcPr>
          <w:p>
            <w:pPr>
              <w:spacing w:after="0"/>
              <w:rPr>
                <w:sz w:val="22"/>
                <w:szCs w:val="22"/>
                <w:color w:val="auto"/>
              </w:rPr>
            </w:pPr>
          </w:p>
        </w:tc>
        <w:tc>
          <w:tcPr>
            <w:tcW w:w="3180" w:type="dxa"/>
            <w:vAlign w:val="bottom"/>
            <w:tcBorders>
              <w:bottom w:val="single" w:sz="8" w:color="CCEEFF"/>
            </w:tcBorders>
            <w:gridSpan w:val="3"/>
          </w:tcPr>
          <w:p>
            <w:pPr>
              <w:ind w:left="220"/>
              <w:spacing w:after="0"/>
              <w:rPr>
                <w:sz w:val="20"/>
                <w:szCs w:val="20"/>
                <w:color w:val="auto"/>
              </w:rPr>
            </w:pPr>
            <w:r>
              <w:rPr>
                <w:rFonts w:ascii="Arial" w:cs="Arial" w:eastAsia="Arial" w:hAnsi="Arial"/>
                <w:sz w:val="14"/>
                <w:szCs w:val="14"/>
                <w:color w:val="auto"/>
              </w:rPr>
              <w:t>Regulatory adjustment</w:t>
            </w:r>
          </w:p>
        </w:tc>
        <w:tc>
          <w:tcPr>
            <w:tcW w:w="21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(4,065)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(5,746)</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(12,193)</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(17,236)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6,021</w:t>
            </w:r>
          </w:p>
        </w:tc>
      </w:tr>
      <w:tr>
        <w:trPr>
          <w:trHeight w:val="256"/>
        </w:trPr>
        <w:tc>
          <w:tcPr>
            <w:tcW w:w="60" w:type="dxa"/>
            <w:vAlign w:val="bottom"/>
            <w:shd w:val="clear" w:color="auto" w:fill="CCEEFF"/>
          </w:tcPr>
          <w:p>
            <w:pPr>
              <w:spacing w:after="0"/>
              <w:rPr>
                <w:sz w:val="22"/>
                <w:szCs w:val="22"/>
                <w:color w:val="auto"/>
              </w:rPr>
            </w:pPr>
          </w:p>
        </w:tc>
        <w:tc>
          <w:tcPr>
            <w:tcW w:w="31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Net defined benefit pension plans</w:t>
            </w:r>
          </w:p>
        </w:tc>
        <w:tc>
          <w:tcPr>
            <w:tcW w:w="214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618</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895</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1,856</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2,687</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3,952</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(2,606)</w:t>
            </w:r>
          </w:p>
        </w:tc>
      </w:tr>
      <w:tr>
        <w:trPr>
          <w:trHeight w:val="258"/>
        </w:trPr>
        <w:tc>
          <w:tcPr>
            <w:tcW w:w="60" w:type="dxa"/>
            <w:vAlign w:val="bottom"/>
          </w:tcPr>
          <w:p>
            <w:pPr>
              <w:spacing w:after="0"/>
              <w:rPr>
                <w:sz w:val="22"/>
                <w:szCs w:val="22"/>
                <w:color w:val="auto"/>
              </w:rPr>
            </w:pPr>
          </w:p>
        </w:tc>
        <w:tc>
          <w:tcPr>
            <w:tcW w:w="3180" w:type="dxa"/>
            <w:vAlign w:val="bottom"/>
            <w:gridSpan w:val="3"/>
          </w:tcPr>
          <w:p>
            <w:pPr>
              <w:ind w:left="120"/>
              <w:spacing w:after="0"/>
              <w:rPr>
                <w:sz w:val="20"/>
                <w:szCs w:val="20"/>
                <w:color w:val="auto"/>
              </w:rPr>
            </w:pPr>
            <w:r>
              <w:rPr>
                <w:rFonts w:ascii="Arial" w:cs="Arial" w:eastAsia="Arial" w:hAnsi="Arial"/>
                <w:sz w:val="14"/>
                <w:szCs w:val="14"/>
                <w:color w:val="auto"/>
              </w:rPr>
              <w:t>Forward-starting interest rate swaps (“FSIRS”):</w:t>
            </w:r>
          </w:p>
        </w:tc>
        <w:tc>
          <w:tcPr>
            <w:tcW w:w="2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70"/>
        </w:trPr>
        <w:tc>
          <w:tcPr>
            <w:tcW w:w="60" w:type="dxa"/>
            <w:vAlign w:val="bottom"/>
            <w:shd w:val="clear" w:color="auto" w:fill="CCEEFF"/>
          </w:tcPr>
          <w:p>
            <w:pPr>
              <w:spacing w:after="0"/>
              <w:rPr>
                <w:sz w:val="23"/>
                <w:szCs w:val="23"/>
                <w:color w:val="auto"/>
              </w:rPr>
            </w:pPr>
          </w:p>
        </w:tc>
        <w:tc>
          <w:tcPr>
            <w:tcW w:w="318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Amounts reclassified into net income</w:t>
            </w:r>
          </w:p>
        </w:tc>
        <w:tc>
          <w:tcPr>
            <w:tcW w:w="214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635</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636</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1,906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1,907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2,540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2,426</w:t>
            </w:r>
          </w:p>
        </w:tc>
      </w:tr>
      <w:tr>
        <w:trPr>
          <w:trHeight w:val="250"/>
        </w:trPr>
        <w:tc>
          <w:tcPr>
            <w:tcW w:w="60" w:type="dxa"/>
            <w:vAlign w:val="bottom"/>
            <w:tcBorders>
              <w:bottom w:val="single" w:sz="8" w:color="CCEEFF"/>
            </w:tcBorders>
          </w:tcPr>
          <w:p>
            <w:pPr>
              <w:spacing w:after="0"/>
              <w:rPr>
                <w:sz w:val="21"/>
                <w:szCs w:val="21"/>
                <w:color w:val="auto"/>
              </w:rPr>
            </w:pPr>
          </w:p>
        </w:tc>
        <w:tc>
          <w:tcPr>
            <w:tcW w:w="3180" w:type="dxa"/>
            <w:vAlign w:val="bottom"/>
            <w:tcBorders>
              <w:bottom w:val="single" w:sz="8" w:color="CCEEFF"/>
            </w:tcBorders>
            <w:gridSpan w:val="3"/>
          </w:tcPr>
          <w:p>
            <w:pPr>
              <w:ind w:left="320"/>
              <w:spacing w:after="0"/>
              <w:rPr>
                <w:sz w:val="20"/>
                <w:szCs w:val="20"/>
                <w:color w:val="auto"/>
              </w:rPr>
            </w:pPr>
            <w:r>
              <w:rPr>
                <w:rFonts w:ascii="Arial" w:cs="Arial" w:eastAsia="Arial" w:hAnsi="Arial"/>
                <w:sz w:val="14"/>
                <w:szCs w:val="14"/>
                <w:color w:val="auto"/>
              </w:rPr>
              <w:t>Net forward-starting interest rate swaps</w:t>
            </w:r>
          </w:p>
        </w:tc>
        <w:tc>
          <w:tcPr>
            <w:tcW w:w="21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635</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636</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1,906</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1,907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2,540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2,426</w:t>
            </w:r>
          </w:p>
        </w:tc>
      </w:tr>
      <w:tr>
        <w:trPr>
          <w:trHeight w:val="250"/>
        </w:trPr>
        <w:tc>
          <w:tcPr>
            <w:tcW w:w="3240" w:type="dxa"/>
            <w:vAlign w:val="bottom"/>
            <w:gridSpan w:val="4"/>
            <w:shd w:val="clear" w:color="auto" w:fill="CCEEFF"/>
          </w:tcPr>
          <w:p>
            <w:pPr>
              <w:ind w:left="40"/>
              <w:spacing w:after="0"/>
              <w:rPr>
                <w:sz w:val="20"/>
                <w:szCs w:val="20"/>
                <w:color w:val="auto"/>
              </w:rPr>
            </w:pPr>
            <w:r>
              <w:rPr>
                <w:rFonts w:ascii="Arial" w:cs="Arial" w:eastAsia="Arial" w:hAnsi="Arial"/>
                <w:sz w:val="14"/>
                <w:szCs w:val="14"/>
                <w:color w:val="auto"/>
                <w:w w:val="99"/>
              </w:rPr>
              <w:t>Total other comprehensive income (loss), net of tax</w:t>
            </w:r>
          </w:p>
        </w:tc>
        <w:tc>
          <w:tcPr>
            <w:tcW w:w="214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1,253</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1,531</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3,762</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4,594</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6,492</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w:t>
            </w:r>
          </w:p>
        </w:tc>
      </w:tr>
      <w:tr>
        <w:trPr>
          <w:trHeight w:val="243"/>
        </w:trPr>
        <w:tc>
          <w:tcPr>
            <w:tcW w:w="3240" w:type="dxa"/>
            <w:vAlign w:val="bottom"/>
            <w:gridSpan w:val="4"/>
          </w:tcPr>
          <w:p>
            <w:pPr>
              <w:ind w:left="40"/>
              <w:spacing w:after="0"/>
              <w:rPr>
                <w:sz w:val="20"/>
                <w:szCs w:val="20"/>
                <w:color w:val="auto"/>
              </w:rPr>
            </w:pPr>
            <w:r>
              <w:rPr>
                <w:rFonts w:ascii="Arial" w:cs="Arial" w:eastAsia="Arial" w:hAnsi="Arial"/>
                <w:sz w:val="14"/>
                <w:szCs w:val="14"/>
                <w:color w:val="auto"/>
              </w:rPr>
              <w:t>Comprehensive income (loss)</w:t>
            </w:r>
          </w:p>
        </w:tc>
        <w:tc>
          <w:tcPr>
            <w:tcW w:w="23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(18,759)</w:t>
            </w:r>
          </w:p>
        </w:tc>
        <w:tc>
          <w:tcPr>
            <w:tcW w:w="12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(12,139)</w:t>
            </w:r>
          </w:p>
        </w:tc>
        <w:tc>
          <w:tcPr>
            <w:tcW w:w="12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90,508</w:t>
            </w:r>
          </w:p>
        </w:tc>
        <w:tc>
          <w:tcPr>
            <w:tcW w:w="10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83,895</w:t>
            </w:r>
          </w:p>
        </w:tc>
        <w:tc>
          <w:tcPr>
            <w:tcW w:w="10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7"/>
              <w:spacing w:after="0"/>
              <w:rPr>
                <w:sz w:val="20"/>
                <w:szCs w:val="20"/>
                <w:color w:val="auto"/>
              </w:rPr>
            </w:pPr>
            <w:r>
              <w:rPr>
                <w:rFonts w:ascii="Arial" w:cs="Arial" w:eastAsia="Arial" w:hAnsi="Arial"/>
                <w:sz w:val="14"/>
                <w:szCs w:val="14"/>
                <w:color w:val="auto"/>
              </w:rPr>
              <w:t>152,779</w:t>
            </w:r>
          </w:p>
        </w:tc>
        <w:tc>
          <w:tcPr>
            <w:tcW w:w="100" w:type="dxa"/>
            <w:vAlign w:val="bottom"/>
          </w:tcPr>
          <w:p>
            <w:pPr>
              <w:spacing w:after="0"/>
              <w:rPr>
                <w:sz w:val="21"/>
                <w:szCs w:val="21"/>
                <w:color w:val="auto"/>
              </w:rPr>
            </w:pPr>
          </w:p>
        </w:tc>
        <w:tc>
          <w:tcPr>
            <w:tcW w:w="200" w:type="dxa"/>
            <w:vAlign w:val="bottom"/>
          </w:tcPr>
          <w:p>
            <w:pPr>
              <w:ind w:left="4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color w:val="auto"/>
              </w:rPr>
              <w:t>153,503</w:t>
            </w: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0" w:right="239" w:bottom="1440" w:gutter="0" w:footer="0" w:header="0"/>
        </w:sectPr>
      </w:pPr>
    </w:p>
    <w:bookmarkStart w:id="11" w:name="page12"/>
    <w:bookmarkEnd w:id="11"/>
    <w:tbl>
      <w:tblPr>
        <w:tblLayout w:type="fixed"/>
        <w:tblInd w:w="2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SOUTHWEST GAS CORPORATION AND SUBSIDIARIES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(Thousands of dollars)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ectPr>
          <w:pgSz w:w="11900" w:h="16838" w:orient="portrait"/>
          <w:cols w:equalWidth="0" w:num="1">
            <w:col w:w="11380"/>
          </w:cols>
          <w:pgMar w:left="280" w:top="27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color w:val="auto"/>
        </w:rPr>
        <w:t>CASH FLOW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-287020</wp:posOffset>
            </wp:positionV>
            <wp:extent cx="7246620" cy="180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72390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Adjustments to reconcile net income to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71120</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Depreciation and amortization</w:t>
      </w:r>
    </w:p>
    <w:p>
      <w:pPr>
        <w:spacing w:after="0" w:line="109"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Changes in current assets and liabilities:</w:t>
      </w:r>
    </w:p>
    <w:p>
      <w:pPr>
        <w:spacing w:after="0" w:line="109"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Accounts receivable, net of allowances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Accrued utility revenue</w:t>
      </w:r>
    </w:p>
    <w:p>
      <w:pPr>
        <w:spacing w:after="0" w:line="109"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Deferred purchased gas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Accounts payable</w:t>
      </w:r>
    </w:p>
    <w:p>
      <w:pPr>
        <w:spacing w:after="0" w:line="109"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Accrued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320"/>
        <w:spacing w:after="0"/>
        <w:rPr>
          <w:sz w:val="20"/>
          <w:szCs w:val="20"/>
          <w:color w:val="auto"/>
        </w:rPr>
      </w:pPr>
      <w:r>
        <w:rPr>
          <w:rFonts w:ascii="Arial" w:cs="Arial" w:eastAsia="Arial" w:hAnsi="Arial"/>
          <w:sz w:val="14"/>
          <w:szCs w:val="14"/>
          <w:color w:val="auto"/>
        </w:rPr>
        <w:t>Other current assets and liabilities</w:t>
      </w:r>
    </w:p>
    <w:p>
      <w:pPr>
        <w:spacing w:after="0" w:line="109"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Changes in undistributed stock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Equity AFUDC</w:t>
      </w:r>
    </w:p>
    <w:p>
      <w:pPr>
        <w:spacing w:after="0" w:line="109"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Changes in other assets and deferred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Changes in other liabilities and deferred credits</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4"/>
          <w:szCs w:val="14"/>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803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CASH FLOW FROM INVESTING ACTIVITIES: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Construction expenditures and property 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Changes in customer advances</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Miscellaneous inflows (outflows)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Net cash used in investing activities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CASH FLOW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72390</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Contributions from parent</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Dividends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Issuance of long-term debt, net</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Change in short-term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Withholding remittance - share-based compensation</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1500"/>
        <w:spacing w:after="0"/>
        <w:rPr>
          <w:sz w:val="20"/>
          <w:szCs w:val="20"/>
          <w:color w:val="auto"/>
        </w:rPr>
      </w:pPr>
      <w:r>
        <w:rPr>
          <w:rFonts w:ascii="Arial" w:cs="Arial" w:eastAsia="Arial" w:hAnsi="Arial"/>
          <w:sz w:val="14"/>
          <w:szCs w:val="14"/>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226695</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color w:val="auto"/>
        </w:rPr>
        <w:t>Change in cash and cash equivalents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 at end of period</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Supplemental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81280</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Interest paid, net of amounts capitalized</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Income taxes paid (received)</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2040" w:type="dxa"/>
            <w:vAlign w:val="bottom"/>
            <w:gridSpan w:val="5"/>
          </w:tcPr>
          <w:p>
            <w:pPr>
              <w:ind w:left="280"/>
              <w:spacing w:after="0"/>
              <w:rPr>
                <w:sz w:val="20"/>
                <w:szCs w:val="20"/>
                <w:color w:val="auto"/>
              </w:rPr>
            </w:pPr>
            <w:r>
              <w:rPr>
                <w:rFonts w:ascii="Arial" w:cs="Arial" w:eastAsia="Arial" w:hAnsi="Arial"/>
                <w:sz w:val="14"/>
                <w:szCs w:val="14"/>
                <w:color w:val="auto"/>
              </w:rPr>
              <w:t>Nine Months Ended</w:t>
            </w:r>
          </w:p>
        </w:tc>
        <w:tc>
          <w:tcPr>
            <w:tcW w:w="240" w:type="dxa"/>
            <w:vAlign w:val="bottom"/>
          </w:tcPr>
          <w:p>
            <w:pPr>
              <w:spacing w:after="0"/>
              <w:rPr>
                <w:sz w:val="14"/>
                <w:szCs w:val="14"/>
                <w:color w:val="auto"/>
              </w:rPr>
            </w:pPr>
          </w:p>
        </w:tc>
        <w:tc>
          <w:tcPr>
            <w:tcW w:w="1900" w:type="dxa"/>
            <w:vAlign w:val="bottom"/>
            <w:gridSpan w:val="4"/>
          </w:tcPr>
          <w:p>
            <w:pPr>
              <w:jc w:val="right"/>
              <w:ind w:right="328"/>
              <w:spacing w:after="0"/>
              <w:rPr>
                <w:sz w:val="20"/>
                <w:szCs w:val="20"/>
                <w:color w:val="auto"/>
              </w:rPr>
            </w:pPr>
            <w:r>
              <w:rPr>
                <w:rFonts w:ascii="Arial" w:cs="Arial" w:eastAsia="Arial" w:hAnsi="Arial"/>
                <w:sz w:val="14"/>
                <w:szCs w:val="14"/>
                <w:color w:val="auto"/>
              </w:rPr>
              <w:t>Twelve Months Ended</w:t>
            </w:r>
          </w:p>
        </w:tc>
      </w:tr>
      <w:tr>
        <w:trPr>
          <w:trHeight w:val="188"/>
        </w:trPr>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568"/>
              <w:spacing w:after="0"/>
              <w:rPr>
                <w:sz w:val="20"/>
                <w:szCs w:val="20"/>
                <w:color w:val="auto"/>
              </w:rPr>
            </w:pPr>
            <w:r>
              <w:rPr>
                <w:rFonts w:ascii="Arial" w:cs="Arial" w:eastAsia="Arial" w:hAnsi="Arial"/>
                <w:sz w:val="14"/>
                <w:szCs w:val="14"/>
                <w:color w:val="auto"/>
              </w:rPr>
              <w:t>September 30,</w:t>
            </w:r>
          </w:p>
        </w:tc>
      </w:tr>
      <w:tr>
        <w:trPr>
          <w:trHeight w:val="264"/>
        </w:trPr>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w w:val="89"/>
              </w:rPr>
              <w:t>2018</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2018</w:t>
            </w:r>
          </w:p>
        </w:tc>
      </w:tr>
      <w:tr>
        <w:trPr>
          <w:trHeight w:val="528"/>
        </w:trPr>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86,746</w:t>
            </w:r>
          </w:p>
        </w:tc>
        <w:tc>
          <w:tcPr>
            <w:tcW w:w="120" w:type="dxa"/>
            <w:vAlign w:val="bottom"/>
          </w:tcPr>
          <w:p>
            <w:pPr>
              <w:spacing w:after="0"/>
              <w:rPr>
                <w:sz w:val="24"/>
                <w:szCs w:val="24"/>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79,301</w:t>
            </w:r>
          </w:p>
        </w:tc>
        <w:tc>
          <w:tcPr>
            <w:tcW w:w="10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146,287</w:t>
            </w:r>
          </w:p>
        </w:tc>
        <w:tc>
          <w:tcPr>
            <w:tcW w:w="10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153,683</w:t>
            </w:r>
          </w:p>
        </w:tc>
      </w:tr>
      <w:tr>
        <w:trPr>
          <w:trHeight w:val="540"/>
        </w:trPr>
        <w:tc>
          <w:tcPr>
            <w:tcW w:w="24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159,327</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145,549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205,594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193,828</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35,899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33,239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45,659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55,787</w:t>
            </w:r>
          </w:p>
        </w:tc>
      </w:tr>
      <w:tr>
        <w:trPr>
          <w:trHeight w:val="540"/>
        </w:trPr>
        <w:tc>
          <w:tcPr>
            <w:tcW w:w="24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66,527</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49,654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(3,436)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(2,066)</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41,400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43,600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(1,200)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(500)</w:t>
            </w:r>
          </w:p>
        </w:tc>
      </w:tr>
      <w:tr>
        <w:trPr>
          <w:trHeight w:val="270"/>
        </w:trPr>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(36,608)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100,763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(54,797)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84,282</w:t>
            </w:r>
          </w:p>
        </w:tc>
      </w:tr>
      <w:tr>
        <w:trPr>
          <w:trHeight w:val="270"/>
        </w:trPr>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(77,311)</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(53,217)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(686)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(2,700)</w:t>
            </w:r>
          </w:p>
        </w:tc>
      </w:tr>
      <w:tr>
        <w:trPr>
          <w:trHeight w:val="270"/>
        </w:trPr>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(4,419)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(16,026)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(7,125)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(9,735)</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87,869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(35,154)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31,579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(81,333)</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4,710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4,269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5,796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5,558</w:t>
            </w:r>
          </w:p>
        </w:tc>
      </w:tr>
      <w:tr>
        <w:trPr>
          <w:trHeight w:val="270"/>
        </w:trPr>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(3,179)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(1,034)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(5,772)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(1,253)</w:t>
            </w:r>
          </w:p>
        </w:tc>
      </w:tr>
      <w:tr>
        <w:trPr>
          <w:trHeight w:val="270"/>
        </w:trPr>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(21,098)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(11,025)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(17,122)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(19,082)</w:t>
            </w:r>
          </w:p>
        </w:tc>
      </w:tr>
      <w:tr>
        <w:trPr>
          <w:trHeight w:val="276"/>
        </w:trPr>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(10,357)</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7,550</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19,762</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8,208</w:t>
            </w:r>
          </w:p>
        </w:tc>
      </w:tr>
      <w:tr>
        <w:trPr>
          <w:trHeight w:val="250"/>
        </w:trPr>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329,506</w:t>
            </w: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347,469</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364,539</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384,677</w:t>
            </w:r>
          </w:p>
        </w:tc>
      </w:tr>
      <w:tr>
        <w:trPr>
          <w:trHeight w:val="528"/>
        </w:trPr>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(587,405)</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(486,037)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(784,237)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(651,022)</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15,049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11,051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17,461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13,325</w:t>
            </w:r>
          </w:p>
        </w:tc>
      </w:tr>
      <w:tr>
        <w:trPr>
          <w:trHeight w:val="276"/>
        </w:trPr>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1,316</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(1,353)</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1,650</w:t>
            </w:r>
          </w:p>
        </w:tc>
      </w:tr>
      <w:tr>
        <w:trPr>
          <w:trHeight w:val="250"/>
        </w:trPr>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(572,407)</w:t>
            </w: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(473,670)</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(768,129)</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(636,047)</w:t>
            </w:r>
          </w:p>
        </w:tc>
      </w:tr>
      <w:tr>
        <w:trPr>
          <w:trHeight w:val="528"/>
        </w:trPr>
        <w:tc>
          <w:tcPr>
            <w:tcW w:w="240" w:type="dxa"/>
            <w:vAlign w:val="bottom"/>
          </w:tcPr>
          <w:p>
            <w:pPr>
              <w:spacing w:after="0"/>
              <w:rPr>
                <w:sz w:val="24"/>
                <w:szCs w:val="2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126,186</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90,644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149,091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120,344</w:t>
            </w:r>
          </w:p>
        </w:tc>
      </w:tr>
      <w:tr>
        <w:trPr>
          <w:trHeight w:val="270"/>
        </w:trPr>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(71,000)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(65,000)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(93,000)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(86,000)</w:t>
            </w:r>
          </w:p>
        </w:tc>
      </w:tr>
      <w:tr>
        <w:trPr>
          <w:trHeight w:val="270"/>
        </w:trPr>
        <w:tc>
          <w:tcPr>
            <w:tcW w:w="2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297,222</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297,495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297,222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297,495</w:t>
            </w:r>
          </w:p>
        </w:tc>
      </w:tr>
      <w:tr>
        <w:trPr>
          <w:trHeight w:val="270"/>
        </w:trPr>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(122,000)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6"/>
              </w:rPr>
              <w:t>(182,000)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21,000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(74,000)</w:t>
            </w:r>
          </w:p>
        </w:tc>
      </w:tr>
      <w:tr>
        <w:trPr>
          <w:trHeight w:val="270"/>
        </w:trPr>
        <w:tc>
          <w:tcPr>
            <w:tcW w:w="2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(1,857)</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(2,880)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(2,087)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(2,880)</w:t>
            </w:r>
          </w:p>
        </w:tc>
      </w:tr>
      <w:tr>
        <w:trPr>
          <w:trHeight w:val="276"/>
        </w:trPr>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(801)</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(939)</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(890)</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(991)</w:t>
            </w:r>
          </w:p>
        </w:tc>
      </w:tr>
      <w:tr>
        <w:trPr>
          <w:trHeight w:val="250"/>
        </w:trPr>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227,750</w:t>
            </w:r>
          </w:p>
        </w:tc>
        <w:tc>
          <w:tcPr>
            <w:tcW w:w="1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137,320</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371,336</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253,968</w:t>
            </w:r>
          </w:p>
        </w:tc>
      </w:tr>
      <w:tr>
        <w:trPr>
          <w:trHeight w:val="501"/>
        </w:trPr>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(15,151)</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11,119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(32,254)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2,598</w:t>
            </w:r>
          </w:p>
        </w:tc>
      </w:tr>
      <w:tr>
        <w:trPr>
          <w:trHeight w:val="276"/>
        </w:trPr>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31,962</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37,946</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49,065</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46,467</w:t>
            </w:r>
          </w:p>
        </w:tc>
      </w:tr>
      <w:tr>
        <w:trPr>
          <w:trHeight w:val="237"/>
        </w:trPr>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16,811</w:t>
            </w:r>
          </w:p>
        </w:tc>
        <w:tc>
          <w:tcPr>
            <w:tcW w:w="120" w:type="dxa"/>
            <w:vAlign w:val="bottom"/>
          </w:tcPr>
          <w:p>
            <w:pPr>
              <w:spacing w:after="0"/>
              <w:rPr>
                <w:sz w:val="20"/>
                <w:szCs w:val="20"/>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49,065</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16,811</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49,065</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507"/>
        </w:trPr>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51,720</w:t>
            </w:r>
          </w:p>
        </w:tc>
        <w:tc>
          <w:tcPr>
            <w:tcW w:w="120" w:type="dxa"/>
            <w:vAlign w:val="bottom"/>
          </w:tcPr>
          <w:p>
            <w:pPr>
              <w:spacing w:after="0"/>
              <w:rPr>
                <w:sz w:val="24"/>
                <w:szCs w:val="24"/>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42,986</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82,539</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67,025</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10"/>
        </w:trPr>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11,286</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(17,164)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3,428</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240" w:space="720"/>
            <w:col w:w="4420"/>
          </w:cols>
          <w:pgMar w:left="280" w:top="270" w:right="239" w:bottom="1440" w:gutter="0" w:footer="0" w:header="0"/>
          <w:type w:val="continuous"/>
        </w:sectPr>
      </w:pPr>
    </w:p>
    <w:p>
      <w:pPr>
        <w:spacing w:after="0" w:line="2"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The accompanying notes are an integral part of these statements.</w:t>
      </w:r>
    </w:p>
    <w:p>
      <w:pPr>
        <w:sectPr>
          <w:pgSz w:w="11900" w:h="16838" w:orient="portrait"/>
          <w:cols w:equalWidth="0" w:num="1">
            <w:col w:w="11380"/>
          </w:cols>
          <w:pgMar w:left="280" w:top="27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380"/>
          </w:cols>
          <w:pgMar w:left="280" w:top="270" w:right="2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69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1"/>
              </w:rPr>
              <w:t>Form 10-Q</w:t>
            </w:r>
          </w:p>
        </w:tc>
      </w:tr>
      <w:tr>
        <w:trPr>
          <w:trHeight w:val="250"/>
        </w:trPr>
        <w:tc>
          <w:tcPr>
            <w:tcW w:w="60" w:type="dxa"/>
            <w:vAlign w:val="bottom"/>
          </w:tcPr>
          <w:p>
            <w:pPr>
              <w:spacing w:after="0"/>
              <w:rPr>
                <w:sz w:val="21"/>
                <w:szCs w:val="21"/>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4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60" w:type="dxa"/>
            <w:vAlign w:val="bottom"/>
            <w:gridSpan w:val="4"/>
          </w:tcPr>
          <w:p>
            <w:pPr>
              <w:jc w:val="right"/>
              <w:spacing w:after="0"/>
              <w:rPr>
                <w:sz w:val="20"/>
                <w:szCs w:val="20"/>
                <w:color w:val="auto"/>
              </w:rPr>
            </w:pPr>
            <w:r>
              <w:rPr>
                <w:rFonts w:ascii="Arial" w:cs="Arial" w:eastAsia="Arial" w:hAnsi="Arial"/>
                <w:sz w:val="18"/>
                <w:szCs w:val="18"/>
                <w:color w:val="auto"/>
              </w:rPr>
              <w:t>September 30, 2019</w:t>
            </w:r>
          </w:p>
        </w:tc>
      </w:tr>
      <w:tr>
        <w:trPr>
          <w:trHeight w:val="816"/>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200" w:type="dxa"/>
            <w:vAlign w:val="bottom"/>
            <w:gridSpan w:val="4"/>
          </w:tcPr>
          <w:p>
            <w:pPr>
              <w:jc w:val="center"/>
              <w:ind w:left="210"/>
              <w:spacing w:after="0"/>
              <w:rPr>
                <w:sz w:val="20"/>
                <w:szCs w:val="20"/>
                <w:color w:val="auto"/>
              </w:rPr>
            </w:pPr>
            <w:r>
              <w:rPr>
                <w:rFonts w:ascii="Arial" w:cs="Arial" w:eastAsia="Arial" w:hAnsi="Arial"/>
                <w:sz w:val="18"/>
                <w:szCs w:val="18"/>
                <w:color w:val="auto"/>
                <w:w w:val="95"/>
              </w:rPr>
              <w:t>SOUTHWEST GAS CORPORATION AND SUBSIDIARIES</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0" w:type="dxa"/>
            <w:vAlign w:val="bottom"/>
            <w:gridSpan w:val="4"/>
          </w:tcPr>
          <w:p>
            <w:pPr>
              <w:jc w:val="center"/>
              <w:ind w:left="230"/>
              <w:spacing w:after="0"/>
              <w:rPr>
                <w:sz w:val="20"/>
                <w:szCs w:val="20"/>
                <w:color w:val="auto"/>
              </w:rPr>
            </w:pPr>
            <w:r>
              <w:rPr>
                <w:rFonts w:ascii="Arial" w:cs="Arial" w:eastAsia="Arial" w:hAnsi="Arial"/>
                <w:sz w:val="18"/>
                <w:szCs w:val="18"/>
                <w:color w:val="auto"/>
                <w:w w:val="95"/>
              </w:rPr>
              <w:t>CONDENSED CONSOLIDATED STATEMENTS OF EQUITY</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40" w:type="dxa"/>
            <w:vAlign w:val="bottom"/>
          </w:tcPr>
          <w:p>
            <w:pPr>
              <w:jc w:val="center"/>
              <w:ind w:left="1390"/>
              <w:spacing w:after="0"/>
              <w:rPr>
                <w:sz w:val="20"/>
                <w:szCs w:val="20"/>
                <w:color w:val="auto"/>
              </w:rPr>
            </w:pPr>
            <w:r>
              <w:rPr>
                <w:rFonts w:ascii="Arial" w:cs="Arial" w:eastAsia="Arial" w:hAnsi="Arial"/>
                <w:sz w:val="18"/>
                <w:szCs w:val="18"/>
                <w:color w:val="auto"/>
                <w:w w:val="90"/>
              </w:rPr>
              <w:t>(In thousands)</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40" w:type="dxa"/>
            <w:vAlign w:val="bottom"/>
          </w:tcPr>
          <w:p>
            <w:pPr>
              <w:jc w:val="center"/>
              <w:ind w:left="1370"/>
              <w:spacing w:after="0"/>
              <w:rPr>
                <w:sz w:val="20"/>
                <w:szCs w:val="20"/>
                <w:color w:val="auto"/>
              </w:rPr>
            </w:pPr>
            <w:r>
              <w:rPr>
                <w:rFonts w:ascii="Arial" w:cs="Arial" w:eastAsia="Arial" w:hAnsi="Arial"/>
                <w:sz w:val="18"/>
                <w:szCs w:val="18"/>
                <w:color w:val="auto"/>
                <w:w w:val="91"/>
              </w:rPr>
              <w:t>(Unaudited)</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55"/>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gridSpan w:val="5"/>
          </w:tcPr>
          <w:p>
            <w:pPr>
              <w:jc w:val="center"/>
              <w:ind w:right="260"/>
              <w:spacing w:after="0"/>
              <w:rPr>
                <w:sz w:val="20"/>
                <w:szCs w:val="20"/>
                <w:color w:val="auto"/>
              </w:rPr>
            </w:pPr>
            <w:r>
              <w:rPr>
                <w:rFonts w:ascii="Arial" w:cs="Arial" w:eastAsia="Arial" w:hAnsi="Arial"/>
                <w:sz w:val="16"/>
                <w:szCs w:val="16"/>
                <w:color w:val="auto"/>
                <w:w w:val="90"/>
              </w:rPr>
              <w:t>Three Months Ended</w:t>
            </w:r>
          </w:p>
        </w:tc>
        <w:tc>
          <w:tcPr>
            <w:tcW w:w="180" w:type="dxa"/>
            <w:vAlign w:val="bottom"/>
          </w:tcPr>
          <w:p>
            <w:pPr>
              <w:spacing w:after="0"/>
              <w:rPr>
                <w:sz w:val="24"/>
                <w:szCs w:val="24"/>
                <w:color w:val="auto"/>
              </w:rPr>
            </w:pPr>
          </w:p>
        </w:tc>
        <w:tc>
          <w:tcPr>
            <w:tcW w:w="1960" w:type="dxa"/>
            <w:vAlign w:val="bottom"/>
            <w:gridSpan w:val="4"/>
          </w:tcPr>
          <w:p>
            <w:pPr>
              <w:jc w:val="right"/>
              <w:ind w:right="319"/>
              <w:spacing w:after="0"/>
              <w:rPr>
                <w:sz w:val="20"/>
                <w:szCs w:val="20"/>
                <w:color w:val="auto"/>
              </w:rPr>
            </w:pPr>
            <w:r>
              <w:rPr>
                <w:rFonts w:ascii="Arial" w:cs="Arial" w:eastAsia="Arial" w:hAnsi="Arial"/>
                <w:sz w:val="16"/>
                <w:szCs w:val="16"/>
                <w:color w:val="auto"/>
              </w:rPr>
              <w:t>Nine Months Ended</w:t>
            </w:r>
          </w:p>
        </w:tc>
      </w:tr>
      <w:tr>
        <w:trPr>
          <w:trHeight w:val="206"/>
        </w:trPr>
        <w:tc>
          <w:tcPr>
            <w:tcW w:w="6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gridSpan w:val="5"/>
          </w:tcPr>
          <w:p>
            <w:pPr>
              <w:jc w:val="center"/>
              <w:ind w:right="280"/>
              <w:spacing w:after="0"/>
              <w:rPr>
                <w:sz w:val="20"/>
                <w:szCs w:val="20"/>
                <w:color w:val="auto"/>
              </w:rPr>
            </w:pPr>
            <w:r>
              <w:rPr>
                <w:rFonts w:ascii="Arial" w:cs="Arial" w:eastAsia="Arial" w:hAnsi="Arial"/>
                <w:sz w:val="16"/>
                <w:szCs w:val="16"/>
                <w:color w:val="auto"/>
                <w:w w:val="89"/>
              </w:rPr>
              <w:t>September 30,</w:t>
            </w:r>
          </w:p>
        </w:tc>
        <w:tc>
          <w:tcPr>
            <w:tcW w:w="180" w:type="dxa"/>
            <w:vAlign w:val="bottom"/>
          </w:tcPr>
          <w:p>
            <w:pPr>
              <w:spacing w:after="0"/>
              <w:rPr>
                <w:sz w:val="17"/>
                <w:szCs w:val="17"/>
                <w:color w:val="auto"/>
              </w:rPr>
            </w:pPr>
          </w:p>
        </w:tc>
        <w:tc>
          <w:tcPr>
            <w:tcW w:w="1960" w:type="dxa"/>
            <w:vAlign w:val="bottom"/>
            <w:gridSpan w:val="4"/>
          </w:tcPr>
          <w:p>
            <w:pPr>
              <w:jc w:val="right"/>
              <w:ind w:right="499"/>
              <w:spacing w:after="0"/>
              <w:rPr>
                <w:sz w:val="20"/>
                <w:szCs w:val="20"/>
                <w:color w:val="auto"/>
              </w:rPr>
            </w:pPr>
            <w:r>
              <w:rPr>
                <w:rFonts w:ascii="Arial" w:cs="Arial" w:eastAsia="Arial" w:hAnsi="Arial"/>
                <w:sz w:val="16"/>
                <w:szCs w:val="16"/>
                <w:color w:val="auto"/>
              </w:rPr>
              <w:t>September 30,</w:t>
            </w:r>
          </w:p>
        </w:tc>
      </w:tr>
      <w:tr>
        <w:trPr>
          <w:trHeight w:val="33"/>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279"/>
              <w:spacing w:after="0"/>
              <w:rPr>
                <w:sz w:val="20"/>
                <w:szCs w:val="20"/>
                <w:color w:val="auto"/>
              </w:rPr>
            </w:pPr>
            <w:r>
              <w:rPr>
                <w:rFonts w:ascii="Arial" w:cs="Arial" w:eastAsia="Arial" w:hAnsi="Arial"/>
                <w:sz w:val="16"/>
                <w:szCs w:val="16"/>
                <w:color w:val="auto"/>
              </w:rPr>
              <w:t>2019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59"/>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59"/>
              <w:spacing w:after="0"/>
              <w:rPr>
                <w:sz w:val="20"/>
                <w:szCs w:val="20"/>
                <w:color w:val="auto"/>
              </w:rPr>
            </w:pPr>
            <w:r>
              <w:rPr>
                <w:rFonts w:ascii="Arial" w:cs="Arial" w:eastAsia="Arial" w:hAnsi="Arial"/>
                <w:sz w:val="16"/>
                <w:szCs w:val="16"/>
                <w:color w:val="auto"/>
              </w:rPr>
              <w:t>2018</w:t>
            </w:r>
          </w:p>
        </w:tc>
      </w:tr>
      <w:tr>
        <w:trPr>
          <w:trHeight w:val="33"/>
        </w:trPr>
        <w:tc>
          <w:tcPr>
            <w:tcW w:w="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70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Common stock shares</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84"/>
        </w:trPr>
        <w:tc>
          <w:tcPr>
            <w:tcW w:w="60" w:type="dxa"/>
            <w:vAlign w:val="bottom"/>
            <w:tcBorders>
              <w:bottom w:val="single" w:sz="8" w:color="CCEEFF"/>
            </w:tcBorders>
          </w:tcPr>
          <w:p>
            <w:pPr>
              <w:spacing w:after="0"/>
              <w:rPr>
                <w:sz w:val="24"/>
                <w:szCs w:val="24"/>
                <w:color w:val="auto"/>
              </w:rPr>
            </w:pPr>
          </w:p>
        </w:tc>
        <w:tc>
          <w:tcPr>
            <w:tcW w:w="6940" w:type="dxa"/>
            <w:vAlign w:val="bottom"/>
            <w:tcBorders>
              <w:bottom w:val="single" w:sz="8" w:color="CCEEFF"/>
            </w:tcBorders>
            <w:gridSpan w:val="3"/>
          </w:tcPr>
          <w:p>
            <w:pPr>
              <w:ind w:left="320"/>
              <w:spacing w:after="0"/>
              <w:rPr>
                <w:sz w:val="20"/>
                <w:szCs w:val="20"/>
                <w:color w:val="auto"/>
              </w:rPr>
            </w:pPr>
            <w:r>
              <w:rPr>
                <w:rFonts w:ascii="Arial" w:cs="Arial" w:eastAsia="Arial" w:hAnsi="Arial"/>
                <w:sz w:val="16"/>
                <w:szCs w:val="16"/>
                <w:color w:val="auto"/>
              </w:rPr>
              <w:t>Beginning and ending balances</w:t>
            </w:r>
          </w:p>
        </w:tc>
        <w:tc>
          <w:tcPr>
            <w:tcW w:w="18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47,482</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47,482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47,482</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47,482</w:t>
            </w:r>
          </w:p>
        </w:tc>
      </w:tr>
      <w:tr>
        <w:trPr>
          <w:trHeight w:val="257"/>
        </w:trPr>
        <w:tc>
          <w:tcPr>
            <w:tcW w:w="70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Common stock amount</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17"/>
        </w:trPr>
        <w:tc>
          <w:tcPr>
            <w:tcW w:w="60" w:type="dxa"/>
            <w:vAlign w:val="bottom"/>
          </w:tcPr>
          <w:p>
            <w:pPr>
              <w:spacing w:after="0"/>
              <w:rPr>
                <w:sz w:val="18"/>
                <w:szCs w:val="18"/>
                <w:color w:val="auto"/>
              </w:rPr>
            </w:pPr>
          </w:p>
        </w:tc>
        <w:tc>
          <w:tcPr>
            <w:tcW w:w="6940" w:type="dxa"/>
            <w:vAlign w:val="bottom"/>
            <w:gridSpan w:val="3"/>
          </w:tcPr>
          <w:p>
            <w:pPr>
              <w:ind w:left="320"/>
              <w:spacing w:after="0"/>
              <w:rPr>
                <w:sz w:val="20"/>
                <w:szCs w:val="20"/>
                <w:color w:val="auto"/>
              </w:rPr>
            </w:pPr>
            <w:r>
              <w:rPr>
                <w:rFonts w:ascii="Arial" w:cs="Arial" w:eastAsia="Arial" w:hAnsi="Arial"/>
                <w:sz w:val="16"/>
                <w:szCs w:val="16"/>
                <w:color w:val="auto"/>
              </w:rPr>
              <w:t>Beginning and ending balances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49,112</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49,112</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49,112</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49,112</w:t>
            </w:r>
          </w:p>
        </w:tc>
      </w:tr>
      <w:tr>
        <w:trPr>
          <w:trHeight w:val="33"/>
        </w:trPr>
        <w:tc>
          <w:tcPr>
            <w:tcW w:w="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60" w:type="dxa"/>
            <w:vAlign w:val="bottom"/>
          </w:tcPr>
          <w:p>
            <w:pPr>
              <w:spacing w:after="0"/>
              <w:rPr>
                <w:sz w:val="20"/>
                <w:szCs w:val="20"/>
                <w:color w:val="auto"/>
              </w:rPr>
            </w:pPr>
          </w:p>
        </w:tc>
        <w:tc>
          <w:tcPr>
            <w:tcW w:w="6940" w:type="dxa"/>
            <w:vAlign w:val="bottom"/>
            <w:gridSpan w:val="3"/>
          </w:tcPr>
          <w:p>
            <w:pPr>
              <w:ind w:left="320"/>
              <w:spacing w:after="0"/>
              <w:rPr>
                <w:sz w:val="20"/>
                <w:szCs w:val="20"/>
                <w:color w:val="auto"/>
              </w:rPr>
            </w:pPr>
            <w:r>
              <w:rPr>
                <w:rFonts w:ascii="Arial" w:cs="Arial" w:eastAsia="Arial" w:hAnsi="Arial"/>
                <w:sz w:val="16"/>
                <w:szCs w:val="16"/>
                <w:color w:val="auto"/>
              </w:rPr>
              <w:t>Beginning balances</w:t>
            </w:r>
          </w:p>
        </w:tc>
        <w:tc>
          <w:tcPr>
            <w:tcW w:w="18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1,169,549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1,006,065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1,065,242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948,767</w:t>
            </w:r>
          </w:p>
        </w:tc>
      </w:tr>
      <w:tr>
        <w:trPr>
          <w:trHeight w:val="33"/>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6"/>
                <w:szCs w:val="16"/>
                <w:color w:val="auto"/>
              </w:rPr>
              <w:t>Share-based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1,899</w:t>
            </w:r>
          </w:p>
        </w:tc>
      </w:tr>
      <w:tr>
        <w:trPr>
          <w:trHeight w:val="237"/>
        </w:trPr>
        <w:tc>
          <w:tcPr>
            <w:tcW w:w="60" w:type="dxa"/>
            <w:vAlign w:val="bottom"/>
          </w:tcPr>
          <w:p>
            <w:pPr>
              <w:spacing w:after="0"/>
              <w:rPr>
                <w:sz w:val="20"/>
                <w:szCs w:val="20"/>
                <w:color w:val="auto"/>
              </w:rPr>
            </w:pPr>
          </w:p>
        </w:tc>
        <w:tc>
          <w:tcPr>
            <w:tcW w:w="6940" w:type="dxa"/>
            <w:vAlign w:val="bottom"/>
            <w:gridSpan w:val="3"/>
          </w:tcPr>
          <w:p>
            <w:pPr>
              <w:ind w:left="680"/>
              <w:spacing w:after="0"/>
              <w:rPr>
                <w:sz w:val="20"/>
                <w:szCs w:val="20"/>
                <w:color w:val="auto"/>
              </w:rPr>
            </w:pPr>
            <w:r>
              <w:rPr>
                <w:rFonts w:ascii="Arial" w:cs="Arial" w:eastAsia="Arial" w:hAnsi="Arial"/>
                <w:sz w:val="16"/>
                <w:szCs w:val="16"/>
                <w:color w:val="auto"/>
              </w:rPr>
              <w:t>Contributions from Southwest Gas Holdings, Inc.</w:t>
            </w:r>
          </w:p>
        </w:tc>
        <w:tc>
          <w:tcPr>
            <w:tcW w:w="180" w:type="dxa"/>
            <w:vAlign w:val="bottom"/>
          </w:tcPr>
          <w:p>
            <w:pPr>
              <w:spacing w:after="0"/>
              <w:rPr>
                <w:sz w:val="20"/>
                <w:szCs w:val="20"/>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24,094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34,048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126,186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90,644</w:t>
            </w:r>
          </w:p>
        </w:tc>
      </w:tr>
      <w:tr>
        <w:trPr>
          <w:trHeight w:val="33"/>
        </w:trPr>
        <w:tc>
          <w:tcPr>
            <w:tcW w:w="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6"/>
                <w:szCs w:val="16"/>
                <w:color w:val="auto"/>
              </w:rPr>
              <w:t>Ending balances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1,194,745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1,041,310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1,194,745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1,041,310</w:t>
            </w:r>
          </w:p>
        </w:tc>
      </w:tr>
      <w:tr>
        <w:trPr>
          <w:trHeight w:val="231"/>
        </w:trPr>
        <w:tc>
          <w:tcPr>
            <w:tcW w:w="7000" w:type="dxa"/>
            <w:vAlign w:val="bottom"/>
            <w:gridSpan w:val="4"/>
          </w:tcPr>
          <w:p>
            <w:pPr>
              <w:ind w:left="40"/>
              <w:spacing w:after="0"/>
              <w:rPr>
                <w:sz w:val="20"/>
                <w:szCs w:val="20"/>
                <w:color w:val="auto"/>
              </w:rPr>
            </w:pPr>
            <w:r>
              <w:rPr>
                <w:rFonts w:ascii="Arial" w:cs="Arial" w:eastAsia="Arial" w:hAnsi="Arial"/>
                <w:sz w:val="16"/>
                <w:szCs w:val="16"/>
                <w:color w:val="auto"/>
              </w:rPr>
              <w:t>Accumulated other comprehensive income (loss)</w:t>
            </w: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33"/>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6"/>
                <w:szCs w:val="16"/>
                <w:color w:val="auto"/>
              </w:rPr>
              <w:t>Beginning balances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(46,540)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(53,310)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(49,049)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(47,073)</w:t>
            </w:r>
          </w:p>
        </w:tc>
      </w:tr>
      <w:tr>
        <w:trPr>
          <w:trHeight w:val="220"/>
        </w:trPr>
        <w:tc>
          <w:tcPr>
            <w:tcW w:w="60" w:type="dxa"/>
            <w:vAlign w:val="bottom"/>
          </w:tcPr>
          <w:p>
            <w:pPr>
              <w:spacing w:after="0"/>
              <w:rPr>
                <w:sz w:val="19"/>
                <w:szCs w:val="19"/>
                <w:color w:val="auto"/>
              </w:rPr>
            </w:pPr>
          </w:p>
        </w:tc>
        <w:tc>
          <w:tcPr>
            <w:tcW w:w="6940" w:type="dxa"/>
            <w:vAlign w:val="bottom"/>
            <w:gridSpan w:val="3"/>
          </w:tcPr>
          <w:p>
            <w:pPr>
              <w:ind w:left="680"/>
              <w:spacing w:after="0"/>
              <w:rPr>
                <w:sz w:val="20"/>
                <w:szCs w:val="20"/>
                <w:color w:val="auto"/>
              </w:rPr>
            </w:pPr>
            <w:r>
              <w:rPr>
                <w:rFonts w:ascii="Arial" w:cs="Arial" w:eastAsia="Arial" w:hAnsi="Arial"/>
                <w:sz w:val="16"/>
                <w:szCs w:val="16"/>
                <w:color w:val="auto"/>
                <w:w w:val="96"/>
              </w:rPr>
              <w:t>Net actuarial gain (loss) arising during period, less amortization of unamortized benefit plan</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6"/>
        </w:trPr>
        <w:tc>
          <w:tcPr>
            <w:tcW w:w="60" w:type="dxa"/>
            <w:vAlign w:val="bottom"/>
          </w:tcPr>
          <w:p>
            <w:pPr>
              <w:spacing w:after="0"/>
              <w:rPr>
                <w:sz w:val="17"/>
                <w:szCs w:val="17"/>
                <w:color w:val="auto"/>
              </w:rPr>
            </w:pPr>
          </w:p>
        </w:tc>
        <w:tc>
          <w:tcPr>
            <w:tcW w:w="6940" w:type="dxa"/>
            <w:vAlign w:val="bottom"/>
            <w:gridSpan w:val="3"/>
          </w:tcPr>
          <w:p>
            <w:pPr>
              <w:ind w:left="840"/>
              <w:spacing w:after="0"/>
              <w:rPr>
                <w:sz w:val="20"/>
                <w:szCs w:val="20"/>
                <w:color w:val="auto"/>
              </w:rPr>
            </w:pPr>
            <w:r>
              <w:rPr>
                <w:rFonts w:ascii="Arial" w:cs="Arial" w:eastAsia="Arial" w:hAnsi="Arial"/>
                <w:sz w:val="16"/>
                <w:szCs w:val="16"/>
                <w:color w:val="auto"/>
              </w:rPr>
              <w:t>cost, net of tax</w:t>
            </w:r>
          </w:p>
        </w:tc>
        <w:tc>
          <w:tcPr>
            <w:tcW w:w="18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618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895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1,856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2,687</w:t>
            </w:r>
          </w:p>
        </w:tc>
      </w:tr>
      <w:tr>
        <w:trPr>
          <w:trHeight w:val="33"/>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6"/>
                <w:szCs w:val="16"/>
                <w:color w:val="auto"/>
              </w:rPr>
              <w:t>FSIRS amounts reclassified to net income, net of tax</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1,907</w:t>
            </w:r>
          </w:p>
        </w:tc>
      </w:tr>
      <w:tr>
        <w:trPr>
          <w:trHeight w:val="237"/>
        </w:trPr>
        <w:tc>
          <w:tcPr>
            <w:tcW w:w="60" w:type="dxa"/>
            <w:vAlign w:val="bottom"/>
          </w:tcPr>
          <w:p>
            <w:pPr>
              <w:spacing w:after="0"/>
              <w:rPr>
                <w:sz w:val="20"/>
                <w:szCs w:val="20"/>
                <w:color w:val="auto"/>
              </w:rPr>
            </w:pPr>
          </w:p>
        </w:tc>
        <w:tc>
          <w:tcPr>
            <w:tcW w:w="6940" w:type="dxa"/>
            <w:vAlign w:val="bottom"/>
            <w:gridSpan w:val="3"/>
          </w:tcPr>
          <w:p>
            <w:pPr>
              <w:ind w:left="680"/>
              <w:spacing w:after="0"/>
              <w:rPr>
                <w:sz w:val="20"/>
                <w:szCs w:val="20"/>
                <w:color w:val="auto"/>
              </w:rPr>
            </w:pPr>
            <w:r>
              <w:rPr>
                <w:rFonts w:ascii="Arial" w:cs="Arial" w:eastAsia="Arial" w:hAnsi="Arial"/>
                <w:sz w:val="16"/>
                <w:szCs w:val="16"/>
                <w:color w:val="auto"/>
              </w:rPr>
              <w:t>Reclassification of excess deferred taxes</w:t>
            </w:r>
          </w:p>
        </w:tc>
        <w:tc>
          <w:tcPr>
            <w:tcW w:w="18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(9,300)</w:t>
            </w:r>
          </w:p>
        </w:tc>
      </w:tr>
      <w:tr>
        <w:trPr>
          <w:trHeight w:val="33"/>
        </w:trPr>
        <w:tc>
          <w:tcPr>
            <w:tcW w:w="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6"/>
                <w:szCs w:val="16"/>
                <w:color w:val="auto"/>
              </w:rPr>
              <w:t>Ending balances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(45,287)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(51,779)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(45,287)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(51,779)</w:t>
            </w:r>
          </w:p>
        </w:tc>
      </w:tr>
      <w:tr>
        <w:trPr>
          <w:trHeight w:val="231"/>
        </w:trPr>
        <w:tc>
          <w:tcPr>
            <w:tcW w:w="7000" w:type="dxa"/>
            <w:vAlign w:val="bottom"/>
            <w:gridSpan w:val="4"/>
          </w:tcPr>
          <w:p>
            <w:pPr>
              <w:ind w:left="40"/>
              <w:spacing w:after="0"/>
              <w:rPr>
                <w:sz w:val="20"/>
                <w:szCs w:val="20"/>
                <w:color w:val="auto"/>
              </w:rPr>
            </w:pPr>
            <w:r>
              <w:rPr>
                <w:rFonts w:ascii="Arial" w:cs="Arial" w:eastAsia="Arial" w:hAnsi="Arial"/>
                <w:sz w:val="16"/>
                <w:szCs w:val="16"/>
                <w:color w:val="auto"/>
              </w:rPr>
              <w:t>Retained earnings</w:t>
            </w: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33"/>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6"/>
                <w:szCs w:val="16"/>
                <w:color w:val="auto"/>
              </w:rPr>
              <w:t>Beginning balances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776,101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717,126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717,155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659,193</w:t>
            </w:r>
          </w:p>
        </w:tc>
      </w:tr>
      <w:tr>
        <w:trPr>
          <w:trHeight w:val="237"/>
        </w:trPr>
        <w:tc>
          <w:tcPr>
            <w:tcW w:w="60" w:type="dxa"/>
            <w:vAlign w:val="bottom"/>
          </w:tcPr>
          <w:p>
            <w:pPr>
              <w:spacing w:after="0"/>
              <w:rPr>
                <w:sz w:val="20"/>
                <w:szCs w:val="20"/>
                <w:color w:val="auto"/>
              </w:rPr>
            </w:pPr>
          </w:p>
        </w:tc>
        <w:tc>
          <w:tcPr>
            <w:tcW w:w="6940" w:type="dxa"/>
            <w:vAlign w:val="bottom"/>
            <w:gridSpan w:val="3"/>
          </w:tcPr>
          <w:p>
            <w:pPr>
              <w:ind w:left="680"/>
              <w:spacing w:after="0"/>
              <w:rPr>
                <w:sz w:val="20"/>
                <w:szCs w:val="20"/>
                <w:color w:val="auto"/>
              </w:rPr>
            </w:pPr>
            <w:r>
              <w:rPr>
                <w:rFonts w:ascii="Arial" w:cs="Arial" w:eastAsia="Arial" w:hAnsi="Arial"/>
                <w:sz w:val="16"/>
                <w:szCs w:val="16"/>
                <w:color w:val="auto"/>
              </w:rPr>
              <w:t>Net income (loss)</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(20,012)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(13,670)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86,746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79,301</w:t>
            </w:r>
          </w:p>
        </w:tc>
      </w:tr>
      <w:tr>
        <w:trPr>
          <w:trHeight w:val="33"/>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694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6"/>
                <w:szCs w:val="16"/>
                <w:color w:val="auto"/>
              </w:rPr>
              <w:t>Share-based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(510)</w:t>
            </w:r>
          </w:p>
        </w:tc>
      </w:tr>
      <w:tr>
        <w:trPr>
          <w:trHeight w:val="237"/>
        </w:trPr>
        <w:tc>
          <w:tcPr>
            <w:tcW w:w="60" w:type="dxa"/>
            <w:vAlign w:val="bottom"/>
          </w:tcPr>
          <w:p>
            <w:pPr>
              <w:spacing w:after="0"/>
              <w:rPr>
                <w:sz w:val="20"/>
                <w:szCs w:val="20"/>
                <w:color w:val="auto"/>
              </w:rPr>
            </w:pPr>
          </w:p>
        </w:tc>
        <w:tc>
          <w:tcPr>
            <w:tcW w:w="6940" w:type="dxa"/>
            <w:vAlign w:val="bottom"/>
            <w:gridSpan w:val="3"/>
          </w:tcPr>
          <w:p>
            <w:pPr>
              <w:ind w:left="680"/>
              <w:spacing w:after="0"/>
              <w:rPr>
                <w:sz w:val="20"/>
                <w:szCs w:val="20"/>
                <w:color w:val="auto"/>
              </w:rPr>
            </w:pPr>
            <w:r>
              <w:rPr>
                <w:rFonts w:ascii="Arial" w:cs="Arial" w:eastAsia="Arial" w:hAnsi="Arial"/>
                <w:sz w:val="16"/>
                <w:szCs w:val="16"/>
                <w:color w:val="auto"/>
              </w:rPr>
              <w:t>Dividends declared to Southwest Gas Holdings, Inc.</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(24,900)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(72,400)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(66,000)</w:t>
            </w:r>
          </w:p>
        </w:tc>
      </w:tr>
      <w:tr>
        <w:trPr>
          <w:trHeight w:val="33"/>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0" w:type="dxa"/>
            <w:vAlign w:val="bottom"/>
            <w:tcBorders>
              <w:bottom w:val="single" w:sz="8" w:color="CCEEFF"/>
            </w:tcBorders>
            <w:shd w:val="clear" w:color="auto" w:fill="CCEEFF"/>
          </w:tcPr>
          <w:p>
            <w:pPr>
              <w:spacing w:after="0"/>
              <w:rPr>
                <w:sz w:val="23"/>
                <w:szCs w:val="23"/>
                <w:color w:val="auto"/>
              </w:rPr>
            </w:pPr>
          </w:p>
        </w:tc>
        <w:tc>
          <w:tcPr>
            <w:tcW w:w="694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6"/>
                <w:szCs w:val="16"/>
                <w:color w:val="auto"/>
              </w:rPr>
              <w:t>Reclassification of excess deferred taxes</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9,300</w:t>
            </w:r>
          </w:p>
        </w:tc>
      </w:tr>
      <w:tr>
        <w:trPr>
          <w:trHeight w:val="217"/>
        </w:trPr>
        <w:tc>
          <w:tcPr>
            <w:tcW w:w="60" w:type="dxa"/>
            <w:vAlign w:val="bottom"/>
          </w:tcPr>
          <w:p>
            <w:pPr>
              <w:spacing w:after="0"/>
              <w:rPr>
                <w:sz w:val="18"/>
                <w:szCs w:val="18"/>
                <w:color w:val="auto"/>
              </w:rPr>
            </w:pPr>
          </w:p>
        </w:tc>
        <w:tc>
          <w:tcPr>
            <w:tcW w:w="6940" w:type="dxa"/>
            <w:vAlign w:val="bottom"/>
            <w:gridSpan w:val="3"/>
          </w:tcPr>
          <w:p>
            <w:pPr>
              <w:ind w:left="320"/>
              <w:spacing w:after="0"/>
              <w:rPr>
                <w:sz w:val="20"/>
                <w:szCs w:val="20"/>
                <w:color w:val="auto"/>
              </w:rPr>
            </w:pPr>
            <w:r>
              <w:rPr>
                <w:rFonts w:ascii="Arial" w:cs="Arial" w:eastAsia="Arial" w:hAnsi="Arial"/>
                <w:sz w:val="16"/>
                <w:szCs w:val="16"/>
                <w:color w:val="auto"/>
              </w:rPr>
              <w:t>Ending balances</w:t>
            </w: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731,036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681,284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731,036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681,284</w:t>
            </w:r>
          </w:p>
        </w:tc>
      </w:tr>
      <w:tr>
        <w:trPr>
          <w:trHeight w:val="33"/>
        </w:trPr>
        <w:tc>
          <w:tcPr>
            <w:tcW w:w="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70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Total Southwest Gas Corporation equity ending balances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1,929,606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1,719,927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1,929,606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1,719,927</w:t>
            </w: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0" w:right="239" w:bottom="1440" w:gutter="0" w:footer="0" w:header="0"/>
        </w:sectPr>
      </w:pPr>
    </w:p>
    <w:bookmarkStart w:id="13" w:name="page14"/>
    <w:bookmarkEnd w:id="13"/>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Background, Organization, and Summary of Significant Accounting Policies</w:t>
      </w:r>
    </w:p>
    <w:p>
      <w:pPr>
        <w:spacing w:after="0" w:line="1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Nature of Operations. </w:t>
      </w:r>
      <w:r>
        <w:rPr>
          <w:rFonts w:ascii="Arial" w:cs="Arial" w:eastAsia="Arial" w:hAnsi="Arial"/>
          <w:sz w:val="16"/>
          <w:szCs w:val="16"/>
          <w:color w:val="auto"/>
        </w:rPr>
        <w:t>Southwest Gas Holdings, Inc. is a holding company, owning all of the shares of common stock of Southwest Gas Corporation</w:t>
      </w:r>
      <w:r>
        <w:rPr>
          <w:rFonts w:ascii="Arial" w:cs="Arial" w:eastAsia="Arial" w:hAnsi="Arial"/>
          <w:sz w:val="16"/>
          <w:szCs w:val="16"/>
          <w:i w:val="1"/>
          <w:iCs w:val="1"/>
          <w:color w:val="auto"/>
        </w:rPr>
        <w:t xml:space="preserve"> </w:t>
      </w:r>
      <w:r>
        <w:rPr>
          <w:rFonts w:ascii="Arial" w:cs="Arial" w:eastAsia="Arial" w:hAnsi="Arial"/>
          <w:sz w:val="16"/>
          <w:szCs w:val="16"/>
          <w:color w:val="auto"/>
        </w:rPr>
        <w:t>(“Southwest” or the “natural gas operations” segment) and all of the shares of common stock of Centuri Group, Inc. (“Centuri,” or the “utility infrastructure services” segment). At the annual meeting of shareholders of Southwest Gas Holdings, Inc., held on May 2, 2019, shareholders voted to approve changing the state of incorporation for Southwest Gas Holdings, Inc. from California to Delaware. The reincorporation became effective September 20, 2019.</w:t>
      </w:r>
    </w:p>
    <w:p>
      <w:pPr>
        <w:spacing w:after="0" w:line="4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Southwest is engaged in the business of purchasing, distributing, and transporting natural gas for customers in portions of Arizona, Nevada, and California. Public utility rates, practices, facilities, and service territories of Southwest are subject to regulatory oversight. The timing and amount of rate relief can materially impact results of operations. Natural gas purchases and the timing of related recoveries can materially impact liquidity. Results for the natural gas operations segment are higher during winter periods due to the seasonality incorporated in its regulatory rate structures.</w:t>
      </w:r>
    </w:p>
    <w:p>
      <w:pPr>
        <w:spacing w:after="0" w:line="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Centuri is a comprehensive utility infrastructure services enterprise dedicated to delivering a diverse array of solutions to North America’s gas and electric providers. Centuri derives revenue from installation, replacement, repair, and maintenance of energy distribution systems, and developing industrial construction solutions. Centuri operations are generally conducted under the business names of NPL Construction Co. (“NPL”), NPL Canada Ltd. (“NPL Canada”), New England Utility Constructors, Inc. (“Neuco”), and Linetec Services, LLC (“Linetec”). Utility infrastructure services activity is seasonal in most of Centuri’s operating areas. Peak periods are the summer and fall months in colder climate areas, such as the northeastern and midwestern United States (“U.S.”) and in Canada. In warmer climate areas, such as the southwestern and southeastern U.S., utility infrastructure services activity continues year round. In November 2017, Centuri acquired Neuco, thereby expanding its core services in the northeast region of the U.S. Additionally, in November 2018, Centuri expanded its operations in the southeast region of the U.S. through the acquisition of an 80% interest in Linetec. See </w:t>
      </w:r>
      <w:r>
        <w:rPr>
          <w:rFonts w:ascii="Arial" w:cs="Arial" w:eastAsia="Arial" w:hAnsi="Arial"/>
          <w:sz w:val="18"/>
          <w:szCs w:val="18"/>
          <w:b w:val="1"/>
          <w:bCs w:val="1"/>
          <w:color w:val="auto"/>
        </w:rPr>
        <w:t>Note 12 – Business Acquisitions</w:t>
      </w:r>
      <w:r>
        <w:rPr>
          <w:rFonts w:ascii="Arial" w:cs="Arial" w:eastAsia="Arial" w:hAnsi="Arial"/>
          <w:sz w:val="18"/>
          <w:szCs w:val="18"/>
          <w:color w:val="auto"/>
        </w:rPr>
        <w:t xml:space="preserve"> for more information.</w:t>
      </w:r>
    </w:p>
    <w:p>
      <w:pPr>
        <w:spacing w:after="0" w:line="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Basis of Presentation. </w:t>
      </w:r>
      <w:r>
        <w:rPr>
          <w:rFonts w:ascii="Arial" w:cs="Arial" w:eastAsia="Arial" w:hAnsi="Arial"/>
          <w:sz w:val="18"/>
          <w:szCs w:val="18"/>
          <w:color w:val="auto"/>
        </w:rPr>
        <w:t>The condensed consolidated financial statements of Southwest Gas Holdings, Inc. and subsidiaries (the “Company”) and Southwest</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herein have been prepared pursuant to the rules and regulations of the Securities and Exchange Commission (the “SEC”). The year-end condensed balance sheet data was derived from audited financial statements. Certain information and footnote disclosures normally included in financial statements prepared in accordance with U.S. generally accepted accounting principles (“U.S. GAAP”) have been condensed or omitted pursuant to such rules and regulations. No substantive change has occurred with regard to the Company’s business segments on the whole, or in the primary businesses comprising those segments as a result of the foregoing acquisitions of Neuco and Linetec.</w:t>
      </w:r>
    </w:p>
    <w:p>
      <w:pPr>
        <w:spacing w:after="0" w:line="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preparation of the condensed consolidated financial statements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In the opinion of management, all adjustments, consisting of normal recurring items and estimates necessary for a fair depiction of results for the interim periods, have been made. It is suggested that these condensed consolidated financial statements be read in conjunction with the consolidated financial statements and the notes thereto included in the 2018 Annual Report to Shareholders, which is incorporated by reference into the 2018 Form 10-K.</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Fair Value Measurements</w:t>
      </w:r>
      <w:r>
        <w:rPr>
          <w:rFonts w:ascii="Arial" w:cs="Arial" w:eastAsia="Arial" w:hAnsi="Arial"/>
          <w:sz w:val="18"/>
          <w:szCs w:val="18"/>
          <w:color w:val="auto"/>
        </w:rPr>
        <w:t>. Certain assets and liabilities are reported at fair value, which is defined as the price that would be received to sell an asset or paid</w:t>
      </w:r>
      <w:r>
        <w:rPr>
          <w:rFonts w:ascii="Arial" w:cs="Arial" w:eastAsia="Arial" w:hAnsi="Arial"/>
          <w:sz w:val="18"/>
          <w:szCs w:val="18"/>
          <w:i w:val="1"/>
          <w:iCs w:val="1"/>
          <w:color w:val="auto"/>
        </w:rPr>
        <w:t xml:space="preserve"> </w:t>
      </w:r>
      <w:r>
        <w:rPr>
          <w:rFonts w:ascii="Arial" w:cs="Arial" w:eastAsia="Arial" w:hAnsi="Arial"/>
          <w:sz w:val="18"/>
          <w:szCs w:val="18"/>
          <w:color w:val="auto"/>
        </w:rPr>
        <w:t>to transfer a liability in an orderly transaction between market participants at the measurement date.</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U.S. GAAP states that a fair value measurement should be based on the assumptions that market participants would use in pricing the asset or liability and establishes a fair value hierarchy that ranks the inputs used to measure fair value by their reliability. The hierarchy gives the highest priority to unadjusted quoted prices in active markets for identical assets or liabilities (Level 1 measurements) and the lowest priority to fair values derived from unobservable inputs (Level 3 measurements). Financial assets and liabilities are categorized in their entirety based on the lowest level of input that is significant to the fair value measurement. The three levels of the fair value hierarchy are as follows: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Level 1 – quoted prices (unadjusted) in active markets for identical assets or liabilities that a company has the ability to access at the measurement date.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Level 2 – inputs other than quoted prices included within Level 1 that are observable for similar assets or liabilities, either directly or indirectly.</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3 – unobservable inputs for the asset or liability. Unobservable inputs are used to measure fair value to the extent that observable inputs are not available, thereby allowing for situations in which there is little, if any, market activity for the asset or liability at the measurement date.</w:t>
      </w:r>
    </w:p>
    <w:p>
      <w:pPr>
        <w:spacing w:after="0" w:line="36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0" w:right="239" w:bottom="1440" w:gutter="0" w:footer="0" w:header="0"/>
        </w:sectPr>
      </w:pPr>
    </w:p>
    <w:bookmarkStart w:id="14" w:name="page15"/>
    <w:bookmarkEnd w:id="14"/>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primarily used quoted market prices and other observable market pricing information in valuing cash and cash equivalents, derivatives, long-term debt outstanding, and assets of the qualified pension plan and postretirement benefit plans required to be recorded and/or disclosed at fair value.</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Other Property and Investments. </w:t>
      </w:r>
      <w:r>
        <w:rPr>
          <w:rFonts w:ascii="Arial" w:cs="Arial" w:eastAsia="Arial" w:hAnsi="Arial"/>
          <w:sz w:val="17"/>
          <w:szCs w:val="17"/>
          <w:color w:val="auto"/>
        </w:rPr>
        <w:t>Other property and investments on the Condensed Consolidated Balance Sheets includes (thousands of dollars):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rPr>
              <w:t>September 30, 2019</w:t>
            </w:r>
          </w:p>
        </w:tc>
        <w:tc>
          <w:tcPr>
            <w:tcW w:w="220" w:type="dxa"/>
            <w:vAlign w:val="bottom"/>
          </w:tcPr>
          <w:p>
            <w:pPr>
              <w:spacing w:after="0"/>
              <w:rPr>
                <w:sz w:val="20"/>
                <w:szCs w:val="20"/>
                <w:color w:val="auto"/>
              </w:rPr>
            </w:pPr>
          </w:p>
        </w:tc>
        <w:tc>
          <w:tcPr>
            <w:tcW w:w="1840" w:type="dxa"/>
            <w:vAlign w:val="bottom"/>
          </w:tcPr>
          <w:p>
            <w:pPr>
              <w:jc w:val="right"/>
              <w:ind w:right="230"/>
              <w:spacing w:after="0"/>
              <w:rPr>
                <w:sz w:val="20"/>
                <w:szCs w:val="20"/>
                <w:color w:val="auto"/>
              </w:rPr>
            </w:pPr>
            <w:r>
              <w:rPr>
                <w:rFonts w:ascii="Arial" w:cs="Arial" w:eastAsia="Arial" w:hAnsi="Arial"/>
                <w:sz w:val="18"/>
                <w:szCs w:val="18"/>
                <w:color w:val="auto"/>
                <w:w w:val="94"/>
              </w:rPr>
              <w:t>December 31, 2018</w:t>
            </w:r>
          </w:p>
        </w:tc>
      </w:tr>
      <w:tr>
        <w:trPr>
          <w:trHeight w:val="27"/>
        </w:trPr>
        <w:tc>
          <w:tcPr>
            <w:tcW w:w="7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Southwest Gas Corporation:</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Net cash surrender value of COLI policies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126,142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114,405</w:t>
            </w: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property</w:t>
            </w: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1,741</w:t>
            </w:r>
          </w:p>
        </w:tc>
      </w:tr>
      <w:tr>
        <w:trPr>
          <w:trHeight w:val="237"/>
        </w:trPr>
        <w:tc>
          <w:tcPr>
            <w:tcW w:w="7200" w:type="dxa"/>
            <w:vAlign w:val="bottom"/>
          </w:tcPr>
          <w:p>
            <w:pPr>
              <w:ind w:left="380"/>
              <w:spacing w:after="0"/>
              <w:rPr>
                <w:sz w:val="20"/>
                <w:szCs w:val="20"/>
                <w:color w:val="auto"/>
              </w:rPr>
            </w:pPr>
            <w:r>
              <w:rPr>
                <w:rFonts w:ascii="Arial" w:cs="Arial" w:eastAsia="Arial" w:hAnsi="Arial"/>
                <w:sz w:val="18"/>
                <w:szCs w:val="18"/>
                <w:color w:val="auto"/>
              </w:rPr>
              <w:t>Total Southwest Gas Corporation</w:t>
            </w: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127,774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116,146</w:t>
            </w: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Centuri property, equipment, and intangibles</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968,013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792,191</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Centuri accumulated depreciation/amortization</w:t>
            </w: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(345,113)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(298,939)</w:t>
            </w: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property</w:t>
            </w: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18,011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14,153</w:t>
            </w:r>
          </w:p>
        </w:tc>
      </w:tr>
      <w:tr>
        <w:trPr>
          <w:trHeight w:val="237"/>
        </w:trPr>
        <w:tc>
          <w:tcPr>
            <w:tcW w:w="7200" w:type="dxa"/>
            <w:vAlign w:val="bottom"/>
          </w:tcPr>
          <w:p>
            <w:pPr>
              <w:ind w:left="380"/>
              <w:spacing w:after="0"/>
              <w:rPr>
                <w:sz w:val="20"/>
                <w:szCs w:val="20"/>
                <w:color w:val="auto"/>
              </w:rPr>
            </w:pPr>
            <w:r>
              <w:rPr>
                <w:rFonts w:ascii="Arial" w:cs="Arial" w:eastAsia="Arial" w:hAnsi="Arial"/>
                <w:sz w:val="18"/>
                <w:szCs w:val="18"/>
                <w:color w:val="auto"/>
              </w:rPr>
              <w:t>Total Southwest Gas Holdings, Inc.</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768,685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623,551</w:t>
            </w:r>
          </w:p>
        </w:tc>
      </w:tr>
      <w:tr>
        <w:trPr>
          <w:trHeight w:val="27"/>
        </w:trPr>
        <w:tc>
          <w:tcPr>
            <w:tcW w:w="7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0"/>
        </w:trPr>
        <w:tc>
          <w:tcPr>
            <w:tcW w:w="7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Included in the table above are the net cash surrender values of company-owned life insurance (“COLI”) policies. These life insurance policies on members of management and other key employees are used by Southwest to indemnify itself against the loss of talent, expertise, and knowledge, as well as to provide indirect funding for certain nonqualified benefit plans.</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For purposes of reporting consolidated cash flows, cash and cash equivalents include cash on hand and financial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with original maturities of three months or less. Such investments are carried at cost, which approximates market value. Cash and cash equivalents for Southwest and the Company also include money market fund investments totaling approximately $1.5 million and $10.2 million, respectively, at September 30, 2019, and $18 million and $59.9 million, respectively, at December 31, 2018, which fall within Level 2 of the fair value hierarchy, due to the asset valuation methods used by money market funds.</w:t>
      </w:r>
    </w:p>
    <w:p>
      <w:pPr>
        <w:spacing w:after="0" w:line="8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Typical non-cash investing activities for Southwest include customer advances applied as contributions toward utility construction activity and capital expenditures that were not paid as of quarter end that are included in accounts payable. Amounts related to such activities were immaterial for the periods presented herein. Non-cash investing activities for the twelve months ended September 30, 2019 included $26.2 million of purchase consideration related to the Linetec acquisition by Centuri, in the form of liabilities incurred that remained unpaid as of September 30, 2019; such amounts are included in Other current liabilities on the Condensed Consolidated Balance Sheets of the Company. Also, see </w:t>
      </w:r>
      <w:r>
        <w:rPr>
          <w:rFonts w:ascii="Arial" w:cs="Arial" w:eastAsia="Arial" w:hAnsi="Arial"/>
          <w:sz w:val="16"/>
          <w:szCs w:val="16"/>
          <w:i w:val="1"/>
          <w:iCs w:val="1"/>
          <w:color w:val="auto"/>
        </w:rPr>
        <w:t>Recent Accounting Standards Updates</w:t>
      </w:r>
      <w:r>
        <w:rPr>
          <w:rFonts w:ascii="Arial" w:cs="Arial" w:eastAsia="Arial" w:hAnsi="Arial"/>
          <w:sz w:val="16"/>
          <w:szCs w:val="16"/>
          <w:color w:val="auto"/>
        </w:rPr>
        <w:t xml:space="preserve"> and </w:t>
      </w:r>
      <w:r>
        <w:rPr>
          <w:rFonts w:ascii="Arial" w:cs="Arial" w:eastAsia="Arial" w:hAnsi="Arial"/>
          <w:sz w:val="16"/>
          <w:szCs w:val="16"/>
          <w:b w:val="1"/>
          <w:bCs w:val="1"/>
          <w:color w:val="auto"/>
        </w:rPr>
        <w:t>Note 4 – Leases</w:t>
      </w:r>
      <w:r>
        <w:rPr>
          <w:rFonts w:ascii="Arial" w:cs="Arial" w:eastAsia="Arial" w:hAnsi="Arial"/>
          <w:sz w:val="16"/>
          <w:szCs w:val="16"/>
          <w:color w:val="auto"/>
        </w:rPr>
        <w:t xml:space="preserve"> for information related to right-of-use assets obtained in exchange for lease liabilities, which are non-cash investing and financing activities.</w:t>
      </w:r>
    </w:p>
    <w:p>
      <w:pPr>
        <w:spacing w:after="0" w:line="5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Intercompany Transactions</w:t>
      </w:r>
      <w:r>
        <w:rPr>
          <w:rFonts w:ascii="Arial" w:cs="Arial" w:eastAsia="Arial" w:hAnsi="Arial"/>
          <w:sz w:val="18"/>
          <w:szCs w:val="18"/>
          <w:color w:val="auto"/>
        </w:rPr>
        <w:t>. Centuri recognizes revenues generated from contracts with Southwest (see</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Note 10 – Segment Information</w:t>
      </w:r>
      <w:r>
        <w:rPr>
          <w:rFonts w:ascii="Arial" w:cs="Arial" w:eastAsia="Arial" w:hAnsi="Arial"/>
          <w:sz w:val="18"/>
          <w:szCs w:val="18"/>
          <w:color w:val="auto"/>
        </w:rPr>
        <w:t>). Centuri’s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for these services are presented in the table below (thousands of dollars):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rPr>
              <w:t>September 30, 2019</w:t>
            </w:r>
          </w:p>
        </w:tc>
        <w:tc>
          <w:tcPr>
            <w:tcW w:w="220" w:type="dxa"/>
            <w:vAlign w:val="bottom"/>
          </w:tcPr>
          <w:p>
            <w:pPr>
              <w:spacing w:after="0"/>
              <w:rPr>
                <w:sz w:val="20"/>
                <w:szCs w:val="20"/>
                <w:color w:val="auto"/>
              </w:rPr>
            </w:pPr>
          </w:p>
        </w:tc>
        <w:tc>
          <w:tcPr>
            <w:tcW w:w="1840" w:type="dxa"/>
            <w:vAlign w:val="bottom"/>
          </w:tcPr>
          <w:p>
            <w:pPr>
              <w:jc w:val="right"/>
              <w:ind w:right="230"/>
              <w:spacing w:after="0"/>
              <w:rPr>
                <w:sz w:val="20"/>
                <w:szCs w:val="20"/>
                <w:color w:val="auto"/>
              </w:rPr>
            </w:pPr>
            <w:r>
              <w:rPr>
                <w:rFonts w:ascii="Arial" w:cs="Arial" w:eastAsia="Arial" w:hAnsi="Arial"/>
                <w:sz w:val="18"/>
                <w:szCs w:val="18"/>
                <w:color w:val="auto"/>
                <w:w w:val="94"/>
              </w:rPr>
              <w:t>December 31, 2018</w:t>
            </w:r>
          </w:p>
        </w:tc>
      </w:tr>
      <w:tr>
        <w:trPr>
          <w:trHeight w:val="27"/>
        </w:trPr>
        <w:tc>
          <w:tcPr>
            <w:tcW w:w="7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Centuri accounts receivable for services provided to Southwest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16,757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18,830</w:t>
            </w:r>
          </w:p>
        </w:tc>
      </w:tr>
      <w:tr>
        <w:trPr>
          <w:trHeight w:val="20"/>
        </w:trPr>
        <w:tc>
          <w:tcPr>
            <w:tcW w:w="7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accounts receivable balance, revenues, and associated profits are included in the condensed consolidated financial statements of the Company and Southwest and were not eliminated during consolidation in accordance with accounting treatment for rate-regulated entities.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In 2017, the Tax Cuts and Jobs Act (the “TCJA”) was enacted. The TCJA had significant impacts on the taxation of business entities,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 provisions related to regulated public utilities. The more significant changes that impacted the Company and Southwest include the reduction in the corporate federal income tax rate from 35% to 21%, and limiting the utilization of net operating losses (“NOLs”) to 80% of taxable income, with the ability to indefinitely carryforward unutilized NOLs to reduce future taxable income.</w:t>
      </w:r>
    </w:p>
    <w:p>
      <w:pPr>
        <w:spacing w:after="0" w:line="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Prepaid and Other Current Assets. </w:t>
      </w:r>
      <w:r>
        <w:rPr>
          <w:rFonts w:ascii="Arial" w:cs="Arial" w:eastAsia="Arial" w:hAnsi="Arial"/>
          <w:sz w:val="17"/>
          <w:szCs w:val="17"/>
          <w:color w:val="auto"/>
        </w:rPr>
        <w:t>Prepaid and other current assets includes gas pipe materials and operating supplies of $59 million at September 30, 2019</w:t>
      </w:r>
      <w:r>
        <w:rPr>
          <w:rFonts w:ascii="Arial" w:cs="Arial" w:eastAsia="Arial" w:hAnsi="Arial"/>
          <w:sz w:val="17"/>
          <w:szCs w:val="17"/>
          <w:i w:val="1"/>
          <w:iCs w:val="1"/>
          <w:color w:val="auto"/>
        </w:rPr>
        <w:t xml:space="preserve"> </w:t>
      </w:r>
      <w:r>
        <w:rPr>
          <w:rFonts w:ascii="Arial" w:cs="Arial" w:eastAsia="Arial" w:hAnsi="Arial"/>
          <w:sz w:val="17"/>
          <w:szCs w:val="17"/>
          <w:color w:val="auto"/>
        </w:rPr>
        <w:t>and $56 million at December 31, 2018 (carried at weighted average cost), in addition to $47 million at September 30, 2019 and $74 million at December 31, 2018 related to a regulatory asset associated with the Arizona decoupling mechanism (an alternative revenue program).</w:t>
      </w:r>
    </w:p>
    <w:p>
      <w:pPr>
        <w:spacing w:after="0" w:line="35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0" w:right="239" w:bottom="1440" w:gutter="0" w:footer="0" w:header="0"/>
        </w:sectPr>
      </w:pPr>
    </w:p>
    <w:bookmarkStart w:id="15" w:name="page16"/>
    <w:bookmarkEnd w:id="15"/>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Goodwill is assessed as of October 1</w:t>
      </w:r>
      <w:r>
        <w:rPr>
          <w:rFonts w:ascii="Arial" w:cs="Arial" w:eastAsia="Arial" w:hAnsi="Arial"/>
          <w:sz w:val="16"/>
          <w:szCs w:val="16"/>
          <w:color w:val="auto"/>
        </w:rPr>
        <w:t>st</w:t>
      </w:r>
      <w:r>
        <w:rPr>
          <w:rFonts w:ascii="Arial" w:cs="Arial" w:eastAsia="Arial" w:hAnsi="Arial"/>
          <w:sz w:val="18"/>
          <w:szCs w:val="18"/>
          <w:i w:val="1"/>
          <w:iCs w:val="1"/>
          <w:color w:val="auto"/>
        </w:rPr>
        <w:t xml:space="preserve"> </w:t>
      </w:r>
      <w:r>
        <w:rPr>
          <w:rFonts w:ascii="Arial" w:cs="Arial" w:eastAsia="Arial" w:hAnsi="Arial"/>
          <w:sz w:val="18"/>
          <w:szCs w:val="18"/>
          <w:color w:val="auto"/>
        </w:rPr>
        <w:t>each year for impairment, or more frequently, if circumstances indicate an impairment to the carrying value</w:t>
      </w:r>
      <w:r>
        <w:rPr>
          <w:rFonts w:ascii="Arial" w:cs="Arial" w:eastAsia="Arial" w:hAnsi="Arial"/>
          <w:sz w:val="18"/>
          <w:szCs w:val="18"/>
          <w:i w:val="1"/>
          <w:iCs w:val="1"/>
          <w:color w:val="auto"/>
        </w:rPr>
        <w:t xml:space="preserve"> </w:t>
      </w:r>
      <w:r>
        <w:rPr>
          <w:rFonts w:ascii="Arial" w:cs="Arial" w:eastAsia="Arial" w:hAnsi="Arial"/>
          <w:sz w:val="18"/>
          <w:szCs w:val="18"/>
          <w:color w:val="auto"/>
        </w:rPr>
        <w:t>of goodwill may have occurred. Management of the Company and Southwest considered its reporting units and segments and determined that its segments and reporting units remain consistent between periods presented below, and that no change was necessary with regard to the level at which goodwill is assessed for impairment. No impairment was deemed to have occurred in the first nine months of 2019.</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Natural Gas</w:t>
            </w:r>
          </w:p>
        </w:tc>
        <w:tc>
          <w:tcPr>
            <w:tcW w:w="1820" w:type="dxa"/>
            <w:vAlign w:val="bottom"/>
            <w:gridSpan w:val="3"/>
          </w:tcPr>
          <w:p>
            <w:pPr>
              <w:jc w:val="center"/>
              <w:ind w:right="100"/>
              <w:spacing w:after="0"/>
              <w:rPr>
                <w:sz w:val="20"/>
                <w:szCs w:val="20"/>
                <w:color w:val="auto"/>
              </w:rPr>
            </w:pPr>
            <w:r>
              <w:rPr>
                <w:rFonts w:ascii="Arial" w:cs="Arial" w:eastAsia="Arial" w:hAnsi="Arial"/>
                <w:sz w:val="18"/>
                <w:szCs w:val="18"/>
                <w:color w:val="auto"/>
                <w:w w:val="95"/>
              </w:rPr>
              <w:t>Utility Infrastructure</w:t>
            </w: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51"/>
        </w:trPr>
        <w:tc>
          <w:tcPr>
            <w:tcW w:w="60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(Thousands of dollars)</w:t>
            </w:r>
          </w:p>
        </w:tc>
        <w:tc>
          <w:tcPr>
            <w:tcW w:w="2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color w:val="auto"/>
                <w:w w:val="88"/>
              </w:rPr>
              <w:t>Operations</w:t>
            </w:r>
          </w:p>
        </w:tc>
        <w:tc>
          <w:tcPr>
            <w:tcW w:w="3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8"/>
                <w:szCs w:val="18"/>
                <w:color w:val="auto"/>
                <w:w w:val="86"/>
              </w:rPr>
              <w:t>Services</w:t>
            </w: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6"/>
              </w:rPr>
              <w:t>Total Company</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2018</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348,950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359,045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Measurement-period adjustments - Linetec acquisition (a)</w:t>
            </w:r>
          </w:p>
        </w:tc>
        <w:tc>
          <w:tcPr>
            <w:tcW w:w="280" w:type="dxa"/>
            <w:vAlign w:val="bottom"/>
          </w:tcPr>
          <w:p>
            <w:pPr>
              <w:spacing w:after="0"/>
              <w:rPr>
                <w:sz w:val="21"/>
                <w:szCs w:val="21"/>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(22,179)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(22,179)</w:t>
            </w:r>
          </w:p>
        </w:tc>
      </w:tr>
      <w:tr>
        <w:trPr>
          <w:trHeight w:val="27"/>
        </w:trPr>
        <w:tc>
          <w:tcPr>
            <w:tcW w:w="6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3,082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3,082</w:t>
            </w:r>
          </w:p>
        </w:tc>
      </w:tr>
      <w:tr>
        <w:trPr>
          <w:trHeight w:val="250"/>
        </w:trPr>
        <w:tc>
          <w:tcPr>
            <w:tcW w:w="6060" w:type="dxa"/>
            <w:vAlign w:val="bottom"/>
          </w:tcPr>
          <w:p>
            <w:pPr>
              <w:ind w:left="40"/>
              <w:spacing w:after="0"/>
              <w:rPr>
                <w:sz w:val="20"/>
                <w:szCs w:val="20"/>
                <w:color w:val="auto"/>
              </w:rPr>
            </w:pPr>
            <w:r>
              <w:rPr>
                <w:rFonts w:ascii="Arial" w:cs="Arial" w:eastAsia="Arial" w:hAnsi="Arial"/>
                <w:sz w:val="18"/>
                <w:szCs w:val="18"/>
                <w:color w:val="auto"/>
              </w:rPr>
              <w:t>September 30, 2019</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10,095</w:t>
            </w:r>
          </w:p>
        </w:tc>
        <w:tc>
          <w:tcPr>
            <w:tcW w:w="100" w:type="dxa"/>
            <w:vAlign w:val="bottom"/>
          </w:tcPr>
          <w:p>
            <w:pPr>
              <w:spacing w:after="0"/>
              <w:rPr>
                <w:sz w:val="21"/>
                <w:szCs w:val="21"/>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329,853</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339,948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8890</wp:posOffset>
            </wp:positionV>
            <wp:extent cx="34048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 xml:space="preserve">(a) See </w:t>
      </w:r>
      <w:r>
        <w:rPr>
          <w:rFonts w:ascii="Arial" w:cs="Arial" w:eastAsia="Arial" w:hAnsi="Arial"/>
          <w:sz w:val="16"/>
          <w:szCs w:val="16"/>
          <w:b w:val="1"/>
          <w:bCs w:val="1"/>
          <w:color w:val="auto"/>
        </w:rPr>
        <w:t>Note 12 – Business Acquisitions</w:t>
      </w:r>
      <w:r>
        <w:rPr>
          <w:rFonts w:ascii="Arial" w:cs="Arial" w:eastAsia="Arial" w:hAnsi="Arial"/>
          <w:sz w:val="16"/>
          <w:szCs w:val="16"/>
          <w:color w:val="auto"/>
        </w:rPr>
        <w:t xml:space="preserve"> for details regarding Linetec measurement-period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-116205</wp:posOffset>
            </wp:positionV>
            <wp:extent cx="34048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Other Current Liabilities</w:t>
      </w:r>
      <w:r>
        <w:rPr>
          <w:rFonts w:ascii="Arial" w:cs="Arial" w:eastAsia="Arial" w:hAnsi="Arial"/>
          <w:sz w:val="18"/>
          <w:szCs w:val="18"/>
          <w:color w:val="auto"/>
        </w:rPr>
        <w:t>. Other current liabilities for Southwest include $24.9 million and $23.5 million of dividends declared by Southwest Gas</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Corporation, but not yet paid to Southwest Gas Holdings, Inc. at September 30, 2019 and December 31, 2018, respectively. In addition, the balances in both periods include amounts payable under regulatory mechanisms in the next twelve months and miscellaneous other accrued liabilities. Amounts included in the Condensed Consolidated Balance Sheets of Southwest Gas Holdings, Inc. for both periods reflect unremitted consideration then outstanding associated with the business acquisition of Linetec.</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Income (Deductions). </w:t>
      </w:r>
      <w:r>
        <w:rPr>
          <w:rFonts w:ascii="Arial" w:cs="Arial" w:eastAsia="Arial" w:hAnsi="Arial"/>
          <w:sz w:val="18"/>
          <w:szCs w:val="18"/>
          <w:color w:val="auto"/>
        </w:rPr>
        <w:t>The following table provides the composition of significant items included in Other income (deductions) in the Condensed</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Statements of Income (thousands of dollars):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5"/>
          </w:tcPr>
          <w:p>
            <w:pPr>
              <w:jc w:val="center"/>
              <w:ind w:right="340"/>
              <w:spacing w:after="0"/>
              <w:rPr>
                <w:sz w:val="20"/>
                <w:szCs w:val="20"/>
                <w:color w:val="auto"/>
              </w:rPr>
            </w:pPr>
            <w:r>
              <w:rPr>
                <w:rFonts w:ascii="Arial" w:cs="Arial" w:eastAsia="Arial" w:hAnsi="Arial"/>
                <w:sz w:val="16"/>
                <w:szCs w:val="16"/>
                <w:color w:val="auto"/>
                <w:w w:val="92"/>
              </w:rPr>
              <w:t>Three Months Ended</w:t>
            </w:r>
          </w:p>
        </w:tc>
        <w:tc>
          <w:tcPr>
            <w:tcW w:w="200" w:type="dxa"/>
            <w:vAlign w:val="bottom"/>
          </w:tcPr>
          <w:p>
            <w:pPr>
              <w:spacing w:after="0"/>
              <w:rPr>
                <w:sz w:val="17"/>
                <w:szCs w:val="17"/>
                <w:color w:val="auto"/>
              </w:rPr>
            </w:pPr>
          </w:p>
        </w:tc>
        <w:tc>
          <w:tcPr>
            <w:tcW w:w="1800" w:type="dxa"/>
            <w:vAlign w:val="bottom"/>
            <w:gridSpan w:val="5"/>
          </w:tcPr>
          <w:p>
            <w:pPr>
              <w:jc w:val="right"/>
              <w:ind w:right="380"/>
              <w:spacing w:after="0"/>
              <w:rPr>
                <w:sz w:val="20"/>
                <w:szCs w:val="20"/>
                <w:color w:val="auto"/>
              </w:rPr>
            </w:pPr>
            <w:r>
              <w:rPr>
                <w:rFonts w:ascii="Arial" w:cs="Arial" w:eastAsia="Arial" w:hAnsi="Arial"/>
                <w:sz w:val="16"/>
                <w:szCs w:val="16"/>
                <w:color w:val="auto"/>
                <w:w w:val="99"/>
              </w:rPr>
              <w:t>Nine Months Ended</w:t>
            </w:r>
          </w:p>
        </w:tc>
        <w:tc>
          <w:tcPr>
            <w:tcW w:w="240" w:type="dxa"/>
            <w:vAlign w:val="bottom"/>
          </w:tcPr>
          <w:p>
            <w:pPr>
              <w:spacing w:after="0"/>
              <w:rPr>
                <w:sz w:val="17"/>
                <w:szCs w:val="17"/>
                <w:color w:val="auto"/>
              </w:rPr>
            </w:pPr>
          </w:p>
        </w:tc>
        <w:tc>
          <w:tcPr>
            <w:tcW w:w="1900" w:type="dxa"/>
            <w:vAlign w:val="bottom"/>
            <w:gridSpan w:val="4"/>
          </w:tcPr>
          <w:p>
            <w:pPr>
              <w:ind w:left="120"/>
              <w:spacing w:after="0"/>
              <w:rPr>
                <w:sz w:val="20"/>
                <w:szCs w:val="20"/>
                <w:color w:val="auto"/>
              </w:rPr>
            </w:pPr>
            <w:r>
              <w:rPr>
                <w:rFonts w:ascii="Arial" w:cs="Arial" w:eastAsia="Arial" w:hAnsi="Arial"/>
                <w:sz w:val="16"/>
                <w:szCs w:val="16"/>
                <w:color w:val="auto"/>
              </w:rPr>
              <w:t>Twelve Months Ended</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20" w:type="dxa"/>
            <w:vAlign w:val="bottom"/>
            <w:gridSpan w:val="5"/>
          </w:tcPr>
          <w:p>
            <w:pPr>
              <w:jc w:val="center"/>
              <w:ind w:right="340"/>
              <w:spacing w:after="0"/>
              <w:rPr>
                <w:sz w:val="20"/>
                <w:szCs w:val="20"/>
                <w:color w:val="auto"/>
              </w:rPr>
            </w:pPr>
            <w:r>
              <w:rPr>
                <w:rFonts w:ascii="Arial" w:cs="Arial" w:eastAsia="Arial" w:hAnsi="Arial"/>
                <w:sz w:val="16"/>
                <w:szCs w:val="16"/>
                <w:color w:val="auto"/>
                <w:w w:val="89"/>
              </w:rPr>
              <w:t>September 30,</w:t>
            </w:r>
          </w:p>
        </w:tc>
        <w:tc>
          <w:tcPr>
            <w:tcW w:w="200" w:type="dxa"/>
            <w:vAlign w:val="bottom"/>
          </w:tcPr>
          <w:p>
            <w:pPr>
              <w:spacing w:after="0"/>
              <w:rPr>
                <w:sz w:val="18"/>
                <w:szCs w:val="18"/>
                <w:color w:val="auto"/>
              </w:rPr>
            </w:pPr>
          </w:p>
        </w:tc>
        <w:tc>
          <w:tcPr>
            <w:tcW w:w="1800" w:type="dxa"/>
            <w:vAlign w:val="bottom"/>
            <w:gridSpan w:val="5"/>
          </w:tcPr>
          <w:p>
            <w:pPr>
              <w:ind w:left="300"/>
              <w:spacing w:after="0"/>
              <w:rPr>
                <w:sz w:val="20"/>
                <w:szCs w:val="20"/>
                <w:color w:val="auto"/>
              </w:rPr>
            </w:pPr>
            <w:r>
              <w:rPr>
                <w:rFonts w:ascii="Arial" w:cs="Arial" w:eastAsia="Arial" w:hAnsi="Arial"/>
                <w:sz w:val="16"/>
                <w:szCs w:val="16"/>
                <w:color w:val="auto"/>
              </w:rPr>
              <w:t>September 30,</w:t>
            </w:r>
          </w:p>
        </w:tc>
        <w:tc>
          <w:tcPr>
            <w:tcW w:w="240" w:type="dxa"/>
            <w:vAlign w:val="bottom"/>
          </w:tcPr>
          <w:p>
            <w:pPr>
              <w:spacing w:after="0"/>
              <w:rPr>
                <w:sz w:val="18"/>
                <w:szCs w:val="18"/>
                <w:color w:val="auto"/>
              </w:rPr>
            </w:pPr>
          </w:p>
        </w:tc>
        <w:tc>
          <w:tcPr>
            <w:tcW w:w="1900" w:type="dxa"/>
            <w:vAlign w:val="bottom"/>
            <w:gridSpan w:val="4"/>
          </w:tcPr>
          <w:p>
            <w:pPr>
              <w:jc w:val="right"/>
              <w:ind w:right="499"/>
              <w:spacing w:after="0"/>
              <w:rPr>
                <w:sz w:val="20"/>
                <w:szCs w:val="20"/>
                <w:color w:val="auto"/>
              </w:rPr>
            </w:pPr>
            <w:r>
              <w:rPr>
                <w:rFonts w:ascii="Arial" w:cs="Arial" w:eastAsia="Arial" w:hAnsi="Arial"/>
                <w:sz w:val="16"/>
                <w:szCs w:val="16"/>
                <w:color w:val="auto"/>
              </w:rPr>
              <w:t>September 30,</w:t>
            </w:r>
          </w:p>
        </w:tc>
        <w:tc>
          <w:tcPr>
            <w:tcW w:w="0" w:type="dxa"/>
            <w:vAlign w:val="bottom"/>
          </w:tcPr>
          <w:p>
            <w:pPr>
              <w:spacing w:after="0"/>
              <w:rPr>
                <w:sz w:val="1"/>
                <w:szCs w:val="1"/>
                <w:color w:val="auto"/>
              </w:rPr>
            </w:pPr>
          </w:p>
        </w:tc>
      </w:tr>
      <w:tr>
        <w:trPr>
          <w:trHeight w:val="33"/>
        </w:trPr>
        <w:tc>
          <w:tcPr>
            <w:tcW w:w="4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2019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2018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2019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2018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2019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2018</w:t>
            </w:r>
          </w:p>
        </w:tc>
        <w:tc>
          <w:tcPr>
            <w:tcW w:w="0" w:type="dxa"/>
            <w:vAlign w:val="bottom"/>
          </w:tcPr>
          <w:p>
            <w:pPr>
              <w:spacing w:after="0"/>
              <w:rPr>
                <w:sz w:val="1"/>
                <w:szCs w:val="1"/>
                <w:color w:val="auto"/>
              </w:rPr>
            </w:pPr>
          </w:p>
        </w:tc>
      </w:tr>
      <w:tr>
        <w:trPr>
          <w:trHeight w:val="204"/>
        </w:trPr>
        <w:tc>
          <w:tcPr>
            <w:tcW w:w="4920" w:type="dxa"/>
            <w:vAlign w:val="bottom"/>
          </w:tcPr>
          <w:p>
            <w:pPr>
              <w:ind w:left="40"/>
              <w:spacing w:after="0"/>
              <w:rPr>
                <w:sz w:val="20"/>
                <w:szCs w:val="20"/>
                <w:color w:val="auto"/>
              </w:rPr>
            </w:pPr>
            <w:r>
              <w:rPr>
                <w:rFonts w:ascii="Arial" w:cs="Arial" w:eastAsia="Arial" w:hAnsi="Arial"/>
                <w:sz w:val="16"/>
                <w:szCs w:val="16"/>
                <w:color w:val="auto"/>
              </w:rPr>
              <w:t>Southwest Gas Corporation - natural gas operations segment:</w:t>
            </w: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9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 in COLI policies</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4,700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9,500</w:t>
            </w:r>
          </w:p>
        </w:tc>
        <w:tc>
          <w:tcPr>
            <w:tcW w:w="0" w:type="dxa"/>
            <w:vAlign w:val="bottom"/>
          </w:tcPr>
          <w:p>
            <w:pPr>
              <w:spacing w:after="0"/>
              <w:rPr>
                <w:sz w:val="1"/>
                <w:szCs w:val="1"/>
                <w:color w:val="auto"/>
              </w:rPr>
            </w:pPr>
          </w:p>
        </w:tc>
      </w:tr>
      <w:tr>
        <w:trPr>
          <w:trHeight w:val="237"/>
        </w:trPr>
        <w:tc>
          <w:tcPr>
            <w:tcW w:w="492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1,521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1,506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4,940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4,301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6,659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5,237</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Equity AFUDC</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1,253</w:t>
            </w:r>
          </w:p>
        </w:tc>
        <w:tc>
          <w:tcPr>
            <w:tcW w:w="0" w:type="dxa"/>
            <w:vAlign w:val="bottom"/>
          </w:tcPr>
          <w:p>
            <w:pPr>
              <w:spacing w:after="0"/>
              <w:rPr>
                <w:sz w:val="1"/>
                <w:szCs w:val="1"/>
                <w:color w:val="auto"/>
              </w:rPr>
            </w:pPr>
          </w:p>
        </w:tc>
      </w:tr>
      <w:tr>
        <w:trPr>
          <w:trHeight w:val="237"/>
        </w:trPr>
        <w:tc>
          <w:tcPr>
            <w:tcW w:w="4920" w:type="dxa"/>
            <w:vAlign w:val="bottom"/>
          </w:tcPr>
          <w:p>
            <w:pPr>
              <w:ind w:left="280"/>
              <w:spacing w:after="0"/>
              <w:rPr>
                <w:sz w:val="20"/>
                <w:szCs w:val="20"/>
                <w:color w:val="auto"/>
              </w:rPr>
            </w:pPr>
            <w:r>
              <w:rPr>
                <w:rFonts w:ascii="Arial" w:cs="Arial" w:eastAsia="Arial" w:hAnsi="Arial"/>
                <w:sz w:val="16"/>
                <w:szCs w:val="16"/>
                <w:color w:val="auto"/>
              </w:rPr>
              <w:t>Other components of net periodic benefit cost</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(3,765)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(5,265)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(11,295)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(15,794)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(16,560)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(20,650)</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Miscellaneous income and (expense)</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(3,065)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(1,765)</w:t>
            </w:r>
          </w:p>
        </w:tc>
        <w:tc>
          <w:tcPr>
            <w:tcW w:w="0" w:type="dxa"/>
            <w:vAlign w:val="bottom"/>
          </w:tcPr>
          <w:p>
            <w:pPr>
              <w:spacing w:after="0"/>
              <w:rPr>
                <w:sz w:val="1"/>
                <w:szCs w:val="1"/>
                <w:color w:val="auto"/>
              </w:rPr>
            </w:pPr>
          </w:p>
        </w:tc>
      </w:tr>
      <w:tr>
        <w:trPr>
          <w:trHeight w:val="217"/>
        </w:trPr>
        <w:tc>
          <w:tcPr>
            <w:tcW w:w="4920" w:type="dxa"/>
            <w:vAlign w:val="bottom"/>
          </w:tcPr>
          <w:p>
            <w:pPr>
              <w:ind w:left="40"/>
              <w:spacing w:after="0"/>
              <w:rPr>
                <w:sz w:val="20"/>
                <w:szCs w:val="20"/>
                <w:color w:val="auto"/>
              </w:rPr>
            </w:pPr>
            <w:r>
              <w:rPr>
                <w:rFonts w:ascii="Arial" w:cs="Arial" w:eastAsia="Arial" w:hAnsi="Arial"/>
                <w:sz w:val="16"/>
                <w:szCs w:val="16"/>
                <w:color w:val="auto"/>
              </w:rPr>
              <w:t>Southwest Gas Corporation - total other income (deductions)</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(1,353)</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836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6,185</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(5,861)</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(5,194)</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(6,425)</w:t>
            </w:r>
          </w:p>
        </w:tc>
        <w:tc>
          <w:tcPr>
            <w:tcW w:w="0" w:type="dxa"/>
            <w:vAlign w:val="bottom"/>
          </w:tcPr>
          <w:p>
            <w:pPr>
              <w:spacing w:after="0"/>
              <w:rPr>
                <w:sz w:val="1"/>
                <w:szCs w:val="1"/>
                <w:color w:val="auto"/>
              </w:rPr>
            </w:pPr>
          </w:p>
        </w:tc>
      </w:tr>
      <w:tr>
        <w:trPr>
          <w:trHeight w:val="33"/>
        </w:trPr>
        <w:tc>
          <w:tcPr>
            <w:tcW w:w="4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Utility infrastructure services segment: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49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492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4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 transaction gain (loss)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37"/>
        </w:trPr>
        <w:tc>
          <w:tcPr>
            <w:tcW w:w="4920" w:type="dxa"/>
            <w:vAlign w:val="bottom"/>
          </w:tcPr>
          <w:p>
            <w:pPr>
              <w:ind w:left="280"/>
              <w:spacing w:after="0"/>
              <w:rPr>
                <w:sz w:val="20"/>
                <w:szCs w:val="20"/>
                <w:color w:val="auto"/>
              </w:rPr>
            </w:pPr>
            <w:r>
              <w:rPr>
                <w:rFonts w:ascii="Arial" w:cs="Arial" w:eastAsia="Arial" w:hAnsi="Arial"/>
                <w:sz w:val="16"/>
                <w:szCs w:val="16"/>
                <w:color w:val="auto"/>
              </w:rPr>
              <w:t>Miscellaneous income and (expense)</w:t>
            </w: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177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(595)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33"/>
        </w:trPr>
        <w:tc>
          <w:tcPr>
            <w:tcW w:w="4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Centuri - total other income (deductions)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7"/>
        </w:trPr>
        <w:tc>
          <w:tcPr>
            <w:tcW w:w="4920" w:type="dxa"/>
            <w:vAlign w:val="bottom"/>
          </w:tcPr>
          <w:p>
            <w:pPr>
              <w:ind w:left="40"/>
              <w:spacing w:after="0"/>
              <w:rPr>
                <w:sz w:val="20"/>
                <w:szCs w:val="20"/>
                <w:color w:val="auto"/>
              </w:rPr>
            </w:pPr>
            <w:r>
              <w:rPr>
                <w:rFonts w:ascii="Arial" w:cs="Arial" w:eastAsia="Arial" w:hAnsi="Arial"/>
                <w:sz w:val="16"/>
                <w:szCs w:val="16"/>
                <w:color w:val="auto"/>
              </w:rPr>
              <w:t>Corporate and administrative</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33"/>
        </w:trPr>
        <w:tc>
          <w:tcPr>
            <w:tcW w:w="49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Consolidated Southwest Gas Holdings, Inc. - total other income</w:t>
            </w:r>
          </w:p>
        </w:tc>
        <w:tc>
          <w:tcPr>
            <w:tcW w:w="2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(1,158)</w:t>
            </w:r>
          </w:p>
        </w:tc>
        <w:tc>
          <w:tcPr>
            <w:tcW w:w="12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889</w:t>
            </w:r>
          </w:p>
        </w:tc>
        <w:tc>
          <w:tcPr>
            <w:tcW w:w="12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6,827</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(6,151)</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(4,448)</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(6,401)</w:t>
            </w:r>
          </w:p>
        </w:tc>
        <w:tc>
          <w:tcPr>
            <w:tcW w:w="0" w:type="dxa"/>
            <w:vAlign w:val="bottom"/>
          </w:tcPr>
          <w:p>
            <w:pPr>
              <w:spacing w:after="0"/>
              <w:rPr>
                <w:sz w:val="1"/>
                <w:szCs w:val="1"/>
                <w:color w:val="auto"/>
              </w:rPr>
            </w:pPr>
          </w:p>
        </w:tc>
      </w:tr>
      <w:tr>
        <w:trPr>
          <w:trHeight w:val="219"/>
        </w:trPr>
        <w:tc>
          <w:tcPr>
            <w:tcW w:w="4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(deductions)</w:t>
            </w: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vMerge w:val="continue"/>
            <w:shd w:val="clear" w:color="auto" w:fill="CCEEFF"/>
          </w:tcPr>
          <w:p>
            <w:pPr>
              <w:spacing w:after="0"/>
              <w:rPr>
                <w:sz w:val="19"/>
                <w:szCs w:val="19"/>
                <w:color w:val="auto"/>
              </w:rPr>
            </w:pPr>
          </w:p>
        </w:tc>
        <w:tc>
          <w:tcPr>
            <w:tcW w:w="7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Included in the table above is the change in cash surrender values of COLI policies (including net death benefits recognized). Current tax regulations provide for tax-free treatment of life insurance (death benefit) proceeds. Therefore, changes in the cash surrender values of COLI policies, as they progress towards the ultimate death benefits, are also recorded without tax consequences. Refer also to </w:t>
      </w:r>
      <w:r>
        <w:rPr>
          <w:rFonts w:ascii="Arial" w:cs="Arial" w:eastAsia="Arial" w:hAnsi="Arial"/>
          <w:sz w:val="16"/>
          <w:szCs w:val="16"/>
          <w:b w:val="1"/>
          <w:bCs w:val="1"/>
          <w:color w:val="auto"/>
        </w:rPr>
        <w:t>Note 2 – Components of Net Periodic Benefit Cost</w:t>
      </w:r>
      <w:r>
        <w:rPr>
          <w:rFonts w:ascii="Arial" w:cs="Arial" w:eastAsia="Arial" w:hAnsi="Arial"/>
          <w:sz w:val="16"/>
          <w:szCs w:val="16"/>
          <w:color w:val="auto"/>
        </w:rPr>
        <w:t>.</w:t>
      </w:r>
    </w:p>
    <w:p>
      <w:pPr>
        <w:spacing w:after="0" w:line="33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0" w:right="239" w:bottom="1440" w:gutter="0" w:footer="0" w:header="0"/>
        </w:sectPr>
      </w:pPr>
    </w:p>
    <w:bookmarkStart w:id="16" w:name="page17"/>
    <w:bookmarkEnd w:id="16"/>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Standards Updates.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Accounting pronouncements adopted in 2019:</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February 2016, the Financial Accounting Standards Board (“FASB”) issued the update “Leases (Topic 842).” Under the update, lessees were required to recognize a lease liability for the obligation to make lease payments, measured on a discounted basis; and a right-of-use asset for the right to use, or control the use of, a specified asset for the lease term. The Company and Southwest adopted Topic 842 in the first quarter of 2019 through an optional transition method, which was elected, permitting the application of the provisions of the standard at the adoption date, rather than to earlier comparative periods. As a result, the Company and Southwest have not recast prior periods to reflect the adoption of this standard. See </w:t>
      </w:r>
      <w:r>
        <w:rPr>
          <w:rFonts w:ascii="Arial" w:cs="Arial" w:eastAsia="Arial" w:hAnsi="Arial"/>
          <w:sz w:val="16"/>
          <w:szCs w:val="16"/>
          <w:b w:val="1"/>
          <w:bCs w:val="1"/>
          <w:color w:val="auto"/>
        </w:rPr>
        <w:t>Note 4 – Leases</w:t>
      </w:r>
      <w:r>
        <w:rPr>
          <w:rFonts w:ascii="Arial" w:cs="Arial" w:eastAsia="Arial" w:hAnsi="Arial"/>
          <w:sz w:val="16"/>
          <w:szCs w:val="16"/>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Accounting pronouncements that will be effective after 2019:</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June 2016, the FASB issued Accounting Standards Update (“ASU”) 2016-13 update “Financial Instruments — Credit Losses (Topic 326): Measurement of Credit Losses on Financial Instruments.” The update requires the measurement of all expected credit losses for financial assets held at the reporting date based on historical experience, current conditions, and reasonable and supportable forecasts. The inputs currently used to estimate credit losses will still be used; however, they may be adapted to reflect the full amount of expected losses. The update is effective for fiscal years beginning after December 15, 2019, including interim periods within those fiscal years. All entities may adopt the amendments in this update earlier as of fiscal years beginning after December 15, 2018, including interim periods within those fiscal years. Management is evaluating what impact, if any, this update might have on the Company’s and Southwest’s consolidated financial statements and disclosures.</w:t>
      </w:r>
    </w:p>
    <w:p>
      <w:pPr>
        <w:spacing w:after="0" w:line="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January 2017, the FASB issued ASU 2017-04 “Intangibles – Goodwill and Other (Topic 350): Simplifying the Test for Goodwill Impairment.” Under the update, an entity will apply a one-step quantitative test as opposed to a two-step test as currently required, and record the amount of goodwill impairment as the excess of a reporting unit's carrying amount over its fair value, not to exceed the total amount of goodwill allocated to the reporting unit. The new guidance does not amend the optional qualitative assessment. The amount of any goodwill impairment calculated under the update could vary from the calculation under existing guidance, largely due to the consideration to be given to unrecognized differences between the fair value and carrying values of the other assets and liabilities in the reporting unit under the new guidance. The amendments should be applied on a prospective basis. The update is effective for fiscal and interim periods beginning after December 15, 2019. Early adoption has been permitted for interim or annual goodwill impairment tests performed on testing dates after January 1, 2017. Management is evaluating the impacts this update might have on the Company’s and Southwest’s consolidated financial statements and disclosures.</w:t>
      </w:r>
    </w:p>
    <w:p>
      <w:pPr>
        <w:spacing w:after="0" w:line="7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August 2018, the FASB issued ASU 2018-15 “Intangibles—Goodwill and Other—Internal-Use Software (Subtopic 350-40): Customer’s Accounting for Implementation Costs Incurred in a Cloud Computing Arrangement That Is a Service Contract.” The update generally aligns the requirements for capitalizing implementation costs incurred in a hosting arrangement (that is a service contract) with the requirements for capitalizing implementation costs incurred to develop or obtain internal-use software. Once capitalized, the update requires the entity to expense the amount capitalized over the term of the hosting arrangement, including reasonably certain renewal periods. The update is effective for fiscal years beginning after December 15, 2019, including interim periods within those fiscal years. Early adoption of the amendments in this update is permitted for interim and related annual fiscal periods after December 15, 2018. Management is evaluating the impacts this update might have on the Company’s and Southwest’s consolidated financial statements and disclosures.</w:t>
      </w:r>
    </w:p>
    <w:p>
      <w:pPr>
        <w:spacing w:after="0" w:line="5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August 2018, the FASB issued ASU 2018-14 “Compensation—Retirement Benefits—Defined Benefit Plans—General (Subtopic 715-20): Disclosure Framework—Changes to the Disclosure Requirements for Defined Benefit Plans.” This update removes disclosures that are no longer considered cost-beneficial, clarifies the specific requirements of disclosures, and adds disclosure requirements identified as relevant. The update applies to all employers that sponsor defined benefit pension or other postretirement plans. The update is effective for fiscal years ending after December 15, 2020. Upon adoption, the Company and Southwest will modify their disclosures to conform to the requirements of the update.</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August 2018, the FASB issued ASU 2018-13 “Fair Value Measurement: Disclosure Framework—Changes to the Disclosure Requirements for Fair Value Measurement.” The update modifies the disclosure requirements on fair value measurements in Topic 820. The update is effective for fiscal years, and interim periods within those fiscal years, beginning after December 15, 2019. Upon adoption, the Company and Southwest will modify their disclosures to conform to the requirements of the update, as applicable.</w:t>
      </w:r>
    </w:p>
    <w:p>
      <w:pPr>
        <w:spacing w:after="0" w:line="200" w:lineRule="exact"/>
        <w:rPr>
          <w:sz w:val="20"/>
          <w:szCs w:val="20"/>
          <w:color w:val="auto"/>
        </w:rPr>
      </w:pPr>
    </w:p>
    <w:p>
      <w:pPr>
        <w:spacing w:after="0" w:line="39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0" w:right="239" w:bottom="1440" w:gutter="0" w:footer="0" w:header="0"/>
        </w:sectPr>
      </w:pPr>
    </w:p>
    <w:bookmarkStart w:id="17" w:name="page18"/>
    <w:bookmarkEnd w:id="17"/>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Components of Net Periodic Benefit Cost</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Southwest has a noncontributory qualified retirement plan with defined benefits covering substantially all employees and a separate unfunded supplemental retirement plan (“SERP”) which is limited to officers. Southwest also provides postretirement benefits other than pensions (“PBOP”) to its qualified retirees for health care, dental, and life insurance.</w:t>
      </w:r>
    </w:p>
    <w:p>
      <w:pPr>
        <w:spacing w:after="0" w:line="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service cost component of net periodic benefit costs included in the table below are components of an overhead loading process associated with the cost of labor. The overhead process ultimately results in allocation of that portion of overall net periodic benefit costs to the same accounts to which productive labor is charged. As a result, service costs become components of various accounts, primarily operations and maintenance expense, net utility plant, and deferred charges and other assets for both the Company and Southwest. The other components of net periodic benefit cost are reflected in Other income (deductions) on the Condensed Consolidated Statements of Income of each entity.</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5"/>
          </w:tcPr>
          <w:p>
            <w:pPr>
              <w:jc w:val="center"/>
              <w:ind w:right="300"/>
              <w:spacing w:after="0"/>
              <w:rPr>
                <w:sz w:val="20"/>
                <w:szCs w:val="20"/>
                <w:color w:val="auto"/>
              </w:rPr>
            </w:pPr>
            <w:r>
              <w:rPr>
                <w:rFonts w:ascii="Arial" w:cs="Arial" w:eastAsia="Arial" w:hAnsi="Arial"/>
                <w:sz w:val="18"/>
                <w:szCs w:val="18"/>
                <w:color w:val="auto"/>
                <w:w w:val="92"/>
              </w:rPr>
              <w:t>Qualified Retirement Plan</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5"/>
          </w:tcPr>
          <w:p>
            <w:pPr>
              <w:jc w:val="center"/>
              <w:ind w:right="300"/>
              <w:spacing w:after="0"/>
              <w:rPr>
                <w:sz w:val="20"/>
                <w:szCs w:val="20"/>
                <w:color w:val="auto"/>
              </w:rPr>
            </w:pPr>
            <w:r>
              <w:rPr>
                <w:rFonts w:ascii="Arial" w:cs="Arial" w:eastAsia="Arial" w:hAnsi="Arial"/>
                <w:sz w:val="18"/>
                <w:szCs w:val="18"/>
                <w:color w:val="auto"/>
                <w:w w:val="88"/>
              </w:rPr>
              <w:t>Period Ended September 30,</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gridSpan w:val="5"/>
          </w:tcPr>
          <w:p>
            <w:pPr>
              <w:ind w:left="540"/>
              <w:spacing w:after="0"/>
              <w:rPr>
                <w:sz w:val="20"/>
                <w:szCs w:val="20"/>
                <w:color w:val="auto"/>
              </w:rPr>
            </w:pPr>
            <w:r>
              <w:rPr>
                <w:rFonts w:ascii="Arial" w:cs="Arial" w:eastAsia="Arial" w:hAnsi="Arial"/>
                <w:sz w:val="18"/>
                <w:szCs w:val="18"/>
                <w:color w:val="auto"/>
              </w:rPr>
              <w:t>Three Months</w:t>
            </w:r>
          </w:p>
        </w:tc>
        <w:tc>
          <w:tcPr>
            <w:tcW w:w="200" w:type="dxa"/>
            <w:vAlign w:val="bottom"/>
          </w:tcPr>
          <w:p>
            <w:pPr>
              <w:spacing w:after="0"/>
              <w:rPr>
                <w:sz w:val="20"/>
                <w:szCs w:val="20"/>
                <w:color w:val="auto"/>
              </w:rPr>
            </w:pPr>
          </w:p>
        </w:tc>
        <w:tc>
          <w:tcPr>
            <w:tcW w:w="1600" w:type="dxa"/>
            <w:vAlign w:val="bottom"/>
            <w:gridSpan w:val="3"/>
          </w:tcPr>
          <w:p>
            <w:pPr>
              <w:jc w:val="center"/>
              <w:ind w:left="530"/>
              <w:spacing w:after="0"/>
              <w:rPr>
                <w:sz w:val="20"/>
                <w:szCs w:val="20"/>
                <w:color w:val="auto"/>
              </w:rPr>
            </w:pPr>
            <w:r>
              <w:rPr>
                <w:rFonts w:ascii="Arial" w:cs="Arial" w:eastAsia="Arial" w:hAnsi="Arial"/>
                <w:sz w:val="18"/>
                <w:szCs w:val="18"/>
                <w:color w:val="auto"/>
                <w:w w:val="92"/>
              </w:rPr>
              <w:t>Nine Months</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4"/>
          </w:tcPr>
          <w:p>
            <w:pPr>
              <w:jc w:val="right"/>
              <w:ind w:right="650"/>
              <w:spacing w:after="0"/>
              <w:rPr>
                <w:sz w:val="20"/>
                <w:szCs w:val="20"/>
                <w:color w:val="auto"/>
              </w:rPr>
            </w:pPr>
            <w:r>
              <w:rPr>
                <w:rFonts w:ascii="Arial" w:cs="Arial" w:eastAsia="Arial" w:hAnsi="Arial"/>
                <w:sz w:val="18"/>
                <w:szCs w:val="18"/>
                <w:color w:val="auto"/>
              </w:rPr>
              <w:t>Twelve Months</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370"/>
              <w:spacing w:after="0"/>
              <w:rPr>
                <w:sz w:val="20"/>
                <w:szCs w:val="20"/>
                <w:color w:val="auto"/>
              </w:rPr>
            </w:pPr>
            <w:r>
              <w:rPr>
                <w:rFonts w:ascii="Arial" w:cs="Arial" w:eastAsia="Arial" w:hAnsi="Arial"/>
                <w:sz w:val="18"/>
                <w:szCs w:val="18"/>
                <w:color w:val="auto"/>
                <w:w w:val="84"/>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7"/>
        </w:trPr>
        <w:tc>
          <w:tcPr>
            <w:tcW w:w="3340" w:type="dxa"/>
            <w:vAlign w:val="bottom"/>
            <w:vMerge w:val="restart"/>
          </w:tcPr>
          <w:p>
            <w:pPr>
              <w:ind w:left="40"/>
              <w:spacing w:after="0"/>
              <w:rPr>
                <w:sz w:val="20"/>
                <w:szCs w:val="20"/>
                <w:color w:val="auto"/>
              </w:rPr>
            </w:pPr>
            <w:r>
              <w:rPr>
                <w:rFonts w:ascii="Arial" w:cs="Arial" w:eastAsia="Arial" w:hAnsi="Arial"/>
                <w:sz w:val="14"/>
                <w:szCs w:val="14"/>
                <w:color w:val="auto"/>
              </w:rPr>
              <w:t>(Thousands of dollars)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6,466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7,139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19,398</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21,417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26,536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27,265</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12,252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11,043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36,755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33,130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47,799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44,652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(14,689)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(45,183)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(57,865)</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Amortization of net actuarial loss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5,589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8,029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16,767</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24,086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24,796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30,087</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cost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9,246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11,522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27,737</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34,567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39,259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44,139</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3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3"/>
          </w:tcPr>
          <w:p>
            <w:pPr>
              <w:jc w:val="center"/>
              <w:ind w:left="530"/>
              <w:spacing w:after="0"/>
              <w:rPr>
                <w:sz w:val="20"/>
                <w:szCs w:val="20"/>
                <w:color w:val="auto"/>
              </w:rPr>
            </w:pPr>
            <w:r>
              <w:rPr>
                <w:rFonts w:ascii="Arial" w:cs="Arial" w:eastAsia="Arial" w:hAnsi="Arial"/>
                <w:sz w:val="18"/>
                <w:szCs w:val="18"/>
                <w:color w:val="auto"/>
                <w:w w:val="85"/>
              </w:rPr>
              <w:t>SERP</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5"/>
          </w:tcPr>
          <w:p>
            <w:pPr>
              <w:jc w:val="center"/>
              <w:ind w:right="300"/>
              <w:spacing w:after="0"/>
              <w:rPr>
                <w:sz w:val="20"/>
                <w:szCs w:val="20"/>
                <w:color w:val="auto"/>
              </w:rPr>
            </w:pPr>
            <w:r>
              <w:rPr>
                <w:rFonts w:ascii="Arial" w:cs="Arial" w:eastAsia="Arial" w:hAnsi="Arial"/>
                <w:sz w:val="18"/>
                <w:szCs w:val="18"/>
                <w:color w:val="auto"/>
                <w:w w:val="88"/>
              </w:rPr>
              <w:t>Period Ended September 30,</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gridSpan w:val="5"/>
          </w:tcPr>
          <w:p>
            <w:pPr>
              <w:ind w:left="540"/>
              <w:spacing w:after="0"/>
              <w:rPr>
                <w:sz w:val="20"/>
                <w:szCs w:val="20"/>
                <w:color w:val="auto"/>
              </w:rPr>
            </w:pPr>
            <w:r>
              <w:rPr>
                <w:rFonts w:ascii="Arial" w:cs="Arial" w:eastAsia="Arial" w:hAnsi="Arial"/>
                <w:sz w:val="18"/>
                <w:szCs w:val="18"/>
                <w:color w:val="auto"/>
              </w:rPr>
              <w:t>Three Months</w:t>
            </w:r>
          </w:p>
        </w:tc>
        <w:tc>
          <w:tcPr>
            <w:tcW w:w="200" w:type="dxa"/>
            <w:vAlign w:val="bottom"/>
          </w:tcPr>
          <w:p>
            <w:pPr>
              <w:spacing w:after="0"/>
              <w:rPr>
                <w:sz w:val="20"/>
                <w:szCs w:val="20"/>
                <w:color w:val="auto"/>
              </w:rPr>
            </w:pPr>
          </w:p>
        </w:tc>
        <w:tc>
          <w:tcPr>
            <w:tcW w:w="1600" w:type="dxa"/>
            <w:vAlign w:val="bottom"/>
            <w:gridSpan w:val="3"/>
          </w:tcPr>
          <w:p>
            <w:pPr>
              <w:jc w:val="center"/>
              <w:ind w:left="530"/>
              <w:spacing w:after="0"/>
              <w:rPr>
                <w:sz w:val="20"/>
                <w:szCs w:val="20"/>
                <w:color w:val="auto"/>
              </w:rPr>
            </w:pPr>
            <w:r>
              <w:rPr>
                <w:rFonts w:ascii="Arial" w:cs="Arial" w:eastAsia="Arial" w:hAnsi="Arial"/>
                <w:sz w:val="18"/>
                <w:szCs w:val="18"/>
                <w:color w:val="auto"/>
                <w:w w:val="92"/>
              </w:rPr>
              <w:t>Nine Months</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4"/>
          </w:tcPr>
          <w:p>
            <w:pPr>
              <w:jc w:val="right"/>
              <w:ind w:right="650"/>
              <w:spacing w:after="0"/>
              <w:rPr>
                <w:sz w:val="20"/>
                <w:szCs w:val="20"/>
                <w:color w:val="auto"/>
              </w:rPr>
            </w:pPr>
            <w:r>
              <w:rPr>
                <w:rFonts w:ascii="Arial" w:cs="Arial" w:eastAsia="Arial" w:hAnsi="Arial"/>
                <w:sz w:val="18"/>
                <w:szCs w:val="18"/>
                <w:color w:val="auto"/>
              </w:rPr>
              <w:t>Twelve Months</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370"/>
              <w:spacing w:after="0"/>
              <w:rPr>
                <w:sz w:val="20"/>
                <w:szCs w:val="20"/>
                <w:color w:val="auto"/>
              </w:rPr>
            </w:pPr>
            <w:r>
              <w:rPr>
                <w:rFonts w:ascii="Arial" w:cs="Arial" w:eastAsia="Arial" w:hAnsi="Arial"/>
                <w:sz w:val="18"/>
                <w:szCs w:val="18"/>
                <w:color w:val="auto"/>
                <w:w w:val="84"/>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7"/>
        </w:trPr>
        <w:tc>
          <w:tcPr>
            <w:tcW w:w="3340" w:type="dxa"/>
            <w:vAlign w:val="bottom"/>
            <w:vMerge w:val="restart"/>
          </w:tcPr>
          <w:p>
            <w:pPr>
              <w:ind w:left="40"/>
              <w:spacing w:after="0"/>
              <w:rPr>
                <w:sz w:val="20"/>
                <w:szCs w:val="20"/>
                <w:color w:val="auto"/>
              </w:rPr>
            </w:pPr>
            <w:r>
              <w:rPr>
                <w:rFonts w:ascii="Arial" w:cs="Arial" w:eastAsia="Arial" w:hAnsi="Arial"/>
                <w:sz w:val="14"/>
                <w:szCs w:val="14"/>
                <w:color w:val="auto"/>
              </w:rPr>
              <w:t>(Thousands of dollars)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1,320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1,714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actuarial loss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1,486</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Net periodic benefit cost</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851</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2,284</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2,553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3,136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3,460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3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gridSpan w:val="3"/>
          </w:tcPr>
          <w:p>
            <w:pPr>
              <w:jc w:val="center"/>
              <w:ind w:left="530"/>
              <w:spacing w:after="0"/>
              <w:rPr>
                <w:sz w:val="20"/>
                <w:szCs w:val="20"/>
                <w:color w:val="auto"/>
              </w:rPr>
            </w:pPr>
            <w:r>
              <w:rPr>
                <w:rFonts w:ascii="Arial" w:cs="Arial" w:eastAsia="Arial" w:hAnsi="Arial"/>
                <w:sz w:val="18"/>
                <w:szCs w:val="18"/>
                <w:color w:val="auto"/>
                <w:w w:val="91"/>
              </w:rPr>
              <w:t>PBOP</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5"/>
          </w:tcPr>
          <w:p>
            <w:pPr>
              <w:jc w:val="center"/>
              <w:ind w:right="300"/>
              <w:spacing w:after="0"/>
              <w:rPr>
                <w:sz w:val="20"/>
                <w:szCs w:val="20"/>
                <w:color w:val="auto"/>
              </w:rPr>
            </w:pPr>
            <w:r>
              <w:rPr>
                <w:rFonts w:ascii="Arial" w:cs="Arial" w:eastAsia="Arial" w:hAnsi="Arial"/>
                <w:sz w:val="18"/>
                <w:szCs w:val="18"/>
                <w:color w:val="auto"/>
                <w:w w:val="88"/>
              </w:rPr>
              <w:t>Period Ended September 30,</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gridSpan w:val="5"/>
          </w:tcPr>
          <w:p>
            <w:pPr>
              <w:ind w:left="540"/>
              <w:spacing w:after="0"/>
              <w:rPr>
                <w:sz w:val="20"/>
                <w:szCs w:val="20"/>
                <w:color w:val="auto"/>
              </w:rPr>
            </w:pPr>
            <w:r>
              <w:rPr>
                <w:rFonts w:ascii="Arial" w:cs="Arial" w:eastAsia="Arial" w:hAnsi="Arial"/>
                <w:sz w:val="18"/>
                <w:szCs w:val="18"/>
                <w:color w:val="auto"/>
              </w:rPr>
              <w:t>Three Months</w:t>
            </w:r>
          </w:p>
        </w:tc>
        <w:tc>
          <w:tcPr>
            <w:tcW w:w="200" w:type="dxa"/>
            <w:vAlign w:val="bottom"/>
          </w:tcPr>
          <w:p>
            <w:pPr>
              <w:spacing w:after="0"/>
              <w:rPr>
                <w:sz w:val="20"/>
                <w:szCs w:val="20"/>
                <w:color w:val="auto"/>
              </w:rPr>
            </w:pPr>
          </w:p>
        </w:tc>
        <w:tc>
          <w:tcPr>
            <w:tcW w:w="1600" w:type="dxa"/>
            <w:vAlign w:val="bottom"/>
            <w:gridSpan w:val="3"/>
          </w:tcPr>
          <w:p>
            <w:pPr>
              <w:jc w:val="center"/>
              <w:ind w:left="530"/>
              <w:spacing w:after="0"/>
              <w:rPr>
                <w:sz w:val="20"/>
                <w:szCs w:val="20"/>
                <w:color w:val="auto"/>
              </w:rPr>
            </w:pPr>
            <w:r>
              <w:rPr>
                <w:rFonts w:ascii="Arial" w:cs="Arial" w:eastAsia="Arial" w:hAnsi="Arial"/>
                <w:sz w:val="18"/>
                <w:szCs w:val="18"/>
                <w:color w:val="auto"/>
                <w:w w:val="92"/>
              </w:rPr>
              <w:t>Nine Months</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4"/>
          </w:tcPr>
          <w:p>
            <w:pPr>
              <w:jc w:val="right"/>
              <w:ind w:right="650"/>
              <w:spacing w:after="0"/>
              <w:rPr>
                <w:sz w:val="20"/>
                <w:szCs w:val="20"/>
                <w:color w:val="auto"/>
              </w:rPr>
            </w:pPr>
            <w:r>
              <w:rPr>
                <w:rFonts w:ascii="Arial" w:cs="Arial" w:eastAsia="Arial" w:hAnsi="Arial"/>
                <w:sz w:val="18"/>
                <w:szCs w:val="18"/>
                <w:color w:val="auto"/>
              </w:rPr>
              <w:t>Twelve Months</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jc w:val="right"/>
              <w:ind w:right="370"/>
              <w:spacing w:after="0"/>
              <w:rPr>
                <w:sz w:val="20"/>
                <w:szCs w:val="20"/>
                <w:color w:val="auto"/>
              </w:rPr>
            </w:pPr>
            <w:r>
              <w:rPr>
                <w:rFonts w:ascii="Arial" w:cs="Arial" w:eastAsia="Arial" w:hAnsi="Arial"/>
                <w:sz w:val="18"/>
                <w:szCs w:val="18"/>
                <w:color w:val="auto"/>
                <w:w w:val="84"/>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7"/>
        </w:trPr>
        <w:tc>
          <w:tcPr>
            <w:tcW w:w="3340" w:type="dxa"/>
            <w:vAlign w:val="bottom"/>
            <w:vMerge w:val="restart"/>
          </w:tcPr>
          <w:p>
            <w:pPr>
              <w:ind w:left="40"/>
              <w:spacing w:after="0"/>
              <w:rPr>
                <w:sz w:val="20"/>
                <w:szCs w:val="20"/>
                <w:color w:val="auto"/>
              </w:rPr>
            </w:pPr>
            <w:r>
              <w:rPr>
                <w:rFonts w:ascii="Arial" w:cs="Arial" w:eastAsia="Arial" w:hAnsi="Arial"/>
                <w:sz w:val="14"/>
                <w:szCs w:val="14"/>
                <w:color w:val="auto"/>
              </w:rPr>
              <w:t>(Thousands of dollars)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957</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2,285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2,061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2,972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2,869</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(3,629)</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Amortization of prior service costs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953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1,002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1,336</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cost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1,828</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2,287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2,048</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0" w:right="239" w:bottom="1440" w:gutter="0" w:footer="0" w:header="0"/>
        </w:sectPr>
      </w:pPr>
    </w:p>
    <w:bookmarkStart w:id="18" w:name="page19"/>
    <w:bookmarkEnd w:id="18"/>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information about the Company’s revenues is presented by segment. Southwest encompasses one segment – natural gas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Natural Gas Operations Segment</w:t>
      </w:r>
      <w:r>
        <w:rPr>
          <w:rFonts w:ascii="Arial" w:cs="Arial" w:eastAsia="Arial" w:hAnsi="Arial"/>
          <w:sz w:val="18"/>
          <w:szCs w:val="18"/>
          <w:color w:val="auto"/>
        </w:rPr>
        <w: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Gas operating revenues on the Condensed Consolidated Statements of Income of both the Company and Southwest include revenue from contracts with customers, which is shown below, disaggregated by customer type, and various categories of revenue:</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20" w:type="dxa"/>
            <w:vAlign w:val="bottom"/>
            <w:gridSpan w:val="5"/>
          </w:tcPr>
          <w:p>
            <w:pPr>
              <w:jc w:val="center"/>
              <w:ind w:right="360"/>
              <w:spacing w:after="0"/>
              <w:rPr>
                <w:sz w:val="20"/>
                <w:szCs w:val="20"/>
                <w:color w:val="auto"/>
              </w:rPr>
            </w:pPr>
            <w:r>
              <w:rPr>
                <w:rFonts w:ascii="Arial" w:cs="Arial" w:eastAsia="Arial" w:hAnsi="Arial"/>
                <w:sz w:val="16"/>
                <w:szCs w:val="16"/>
                <w:color w:val="auto"/>
                <w:w w:val="90"/>
              </w:rPr>
              <w:t>Three Months Ended</w:t>
            </w:r>
          </w:p>
        </w:tc>
        <w:tc>
          <w:tcPr>
            <w:tcW w:w="240" w:type="dxa"/>
            <w:vAlign w:val="bottom"/>
          </w:tcPr>
          <w:p>
            <w:pPr>
              <w:spacing w:after="0"/>
              <w:rPr>
                <w:sz w:val="17"/>
                <w:szCs w:val="17"/>
                <w:color w:val="auto"/>
              </w:rPr>
            </w:pPr>
          </w:p>
        </w:tc>
        <w:tc>
          <w:tcPr>
            <w:tcW w:w="2260" w:type="dxa"/>
            <w:vAlign w:val="bottom"/>
            <w:gridSpan w:val="5"/>
          </w:tcPr>
          <w:p>
            <w:pPr>
              <w:jc w:val="center"/>
              <w:ind w:right="340"/>
              <w:spacing w:after="0"/>
              <w:rPr>
                <w:sz w:val="20"/>
                <w:szCs w:val="20"/>
                <w:color w:val="auto"/>
              </w:rPr>
            </w:pPr>
            <w:r>
              <w:rPr>
                <w:rFonts w:ascii="Arial" w:cs="Arial" w:eastAsia="Arial" w:hAnsi="Arial"/>
                <w:sz w:val="16"/>
                <w:szCs w:val="16"/>
                <w:color w:val="auto"/>
                <w:w w:val="93"/>
              </w:rPr>
              <w:t>Nine Months Ended</w:t>
            </w:r>
          </w:p>
        </w:tc>
        <w:tc>
          <w:tcPr>
            <w:tcW w:w="220" w:type="dxa"/>
            <w:vAlign w:val="bottom"/>
          </w:tcPr>
          <w:p>
            <w:pPr>
              <w:spacing w:after="0"/>
              <w:rPr>
                <w:sz w:val="17"/>
                <w:szCs w:val="17"/>
                <w:color w:val="auto"/>
              </w:rPr>
            </w:pPr>
          </w:p>
        </w:tc>
        <w:tc>
          <w:tcPr>
            <w:tcW w:w="2120" w:type="dxa"/>
            <w:vAlign w:val="bottom"/>
            <w:gridSpan w:val="4"/>
          </w:tcPr>
          <w:p>
            <w:pPr>
              <w:jc w:val="right"/>
              <w:ind w:right="339"/>
              <w:spacing w:after="0"/>
              <w:rPr>
                <w:sz w:val="20"/>
                <w:szCs w:val="20"/>
                <w:color w:val="auto"/>
              </w:rPr>
            </w:pPr>
            <w:r>
              <w:rPr>
                <w:rFonts w:ascii="Arial" w:cs="Arial" w:eastAsia="Arial" w:hAnsi="Arial"/>
                <w:sz w:val="16"/>
                <w:szCs w:val="16"/>
                <w:color w:val="auto"/>
              </w:rPr>
              <w:t>Twelve Months Ended</w:t>
            </w:r>
          </w:p>
        </w:tc>
      </w:tr>
      <w:tr>
        <w:trPr>
          <w:trHeight w:val="33"/>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4"/>
          </w:tcPr>
          <w:p>
            <w:pPr>
              <w:spacing w:after="0"/>
              <w:rPr>
                <w:sz w:val="2"/>
                <w:szCs w:val="2"/>
                <w:color w:val="auto"/>
              </w:rPr>
            </w:pPr>
          </w:p>
        </w:tc>
      </w:tr>
      <w:tr>
        <w:trPr>
          <w:trHeight w:val="217"/>
        </w:trPr>
        <w:tc>
          <w:tcPr>
            <w:tcW w:w="4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20" w:type="dxa"/>
            <w:vAlign w:val="bottom"/>
            <w:gridSpan w:val="5"/>
          </w:tcPr>
          <w:p>
            <w:pPr>
              <w:jc w:val="center"/>
              <w:ind w:right="360"/>
              <w:spacing w:after="0"/>
              <w:rPr>
                <w:sz w:val="20"/>
                <w:szCs w:val="20"/>
                <w:color w:val="auto"/>
              </w:rPr>
            </w:pPr>
            <w:r>
              <w:rPr>
                <w:rFonts w:ascii="Arial" w:cs="Arial" w:eastAsia="Arial" w:hAnsi="Arial"/>
                <w:sz w:val="16"/>
                <w:szCs w:val="16"/>
                <w:color w:val="auto"/>
                <w:w w:val="87"/>
              </w:rPr>
              <w:t>September 30,</w:t>
            </w:r>
          </w:p>
        </w:tc>
        <w:tc>
          <w:tcPr>
            <w:tcW w:w="240" w:type="dxa"/>
            <w:vAlign w:val="bottom"/>
          </w:tcPr>
          <w:p>
            <w:pPr>
              <w:spacing w:after="0"/>
              <w:rPr>
                <w:sz w:val="18"/>
                <w:szCs w:val="18"/>
                <w:color w:val="auto"/>
              </w:rPr>
            </w:pPr>
          </w:p>
        </w:tc>
        <w:tc>
          <w:tcPr>
            <w:tcW w:w="2260" w:type="dxa"/>
            <w:vAlign w:val="bottom"/>
            <w:gridSpan w:val="5"/>
          </w:tcPr>
          <w:p>
            <w:pPr>
              <w:jc w:val="center"/>
              <w:ind w:right="340"/>
              <w:spacing w:after="0"/>
              <w:rPr>
                <w:sz w:val="20"/>
                <w:szCs w:val="20"/>
                <w:color w:val="auto"/>
              </w:rPr>
            </w:pPr>
            <w:r>
              <w:rPr>
                <w:rFonts w:ascii="Arial" w:cs="Arial" w:eastAsia="Arial" w:hAnsi="Arial"/>
                <w:sz w:val="16"/>
                <w:szCs w:val="16"/>
                <w:color w:val="auto"/>
                <w:w w:val="87"/>
              </w:rPr>
              <w:t>September 30,</w:t>
            </w:r>
          </w:p>
        </w:tc>
        <w:tc>
          <w:tcPr>
            <w:tcW w:w="220" w:type="dxa"/>
            <w:vAlign w:val="bottom"/>
          </w:tcPr>
          <w:p>
            <w:pPr>
              <w:spacing w:after="0"/>
              <w:rPr>
                <w:sz w:val="18"/>
                <w:szCs w:val="18"/>
                <w:color w:val="auto"/>
              </w:rPr>
            </w:pPr>
          </w:p>
        </w:tc>
        <w:tc>
          <w:tcPr>
            <w:tcW w:w="2120" w:type="dxa"/>
            <w:vAlign w:val="bottom"/>
            <w:gridSpan w:val="4"/>
          </w:tcPr>
          <w:p>
            <w:pPr>
              <w:jc w:val="right"/>
              <w:ind w:right="619"/>
              <w:spacing w:after="0"/>
              <w:rPr>
                <w:sz w:val="20"/>
                <w:szCs w:val="20"/>
                <w:color w:val="auto"/>
              </w:rPr>
            </w:pPr>
            <w:r>
              <w:rPr>
                <w:rFonts w:ascii="Arial" w:cs="Arial" w:eastAsia="Arial" w:hAnsi="Arial"/>
                <w:sz w:val="16"/>
                <w:szCs w:val="16"/>
                <w:color w:val="auto"/>
              </w:rPr>
              <w:t>September 30,</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(Thousands of dollars)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2019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2018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2019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2018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2019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2018</w:t>
            </w:r>
          </w:p>
        </w:tc>
      </w:tr>
      <w:tr>
        <w:trPr>
          <w:trHeight w:val="217"/>
        </w:trPr>
        <w:tc>
          <w:tcPr>
            <w:tcW w:w="4000" w:type="dxa"/>
            <w:vAlign w:val="bottom"/>
          </w:tcPr>
          <w:p>
            <w:pPr>
              <w:ind w:left="40"/>
              <w:spacing w:after="0"/>
              <w:rPr>
                <w:sz w:val="20"/>
                <w:szCs w:val="20"/>
                <w:color w:val="auto"/>
              </w:rPr>
            </w:pPr>
            <w:r>
              <w:rPr>
                <w:rFonts w:ascii="Arial" w:cs="Arial" w:eastAsia="Arial" w:hAnsi="Arial"/>
                <w:sz w:val="16"/>
                <w:szCs w:val="16"/>
                <w:color w:val="auto"/>
              </w:rPr>
              <w:t>Residential</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124,169</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120,249</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706,270</w:t>
            </w:r>
          </w:p>
        </w:tc>
        <w:tc>
          <w:tcPr>
            <w:tcW w:w="100" w:type="dxa"/>
            <w:vAlign w:val="bottom"/>
          </w:tcPr>
          <w:p>
            <w:pPr>
              <w:spacing w:after="0"/>
              <w:rPr>
                <w:sz w:val="18"/>
                <w:szCs w:val="18"/>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631,562</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961,928</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864,128</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Small commercial</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39,725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40,020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179,519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183,616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250,986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253,330</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Large commercial</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10,945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11,360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36,030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39,934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49,288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54,462</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Industrial/other</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5,390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15,728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21,826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23,899</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Transportation</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21,580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19,818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68,297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64,591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90,696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88,115</w:t>
            </w:r>
          </w:p>
        </w:tc>
      </w:tr>
      <w:tr>
        <w:trPr>
          <w:trHeight w:val="33"/>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Revenue from contracts with customers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200,256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196,837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1,005,844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937,094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1,374,724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1,283,934</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Alternative revenue program revenues (deferrals)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7,957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9,094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(23,196)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46,696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(23,913)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67,017</w:t>
            </w:r>
          </w:p>
        </w:tc>
      </w:tr>
      <w:tr>
        <w:trPr>
          <w:trHeight w:val="33"/>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revenues (a)</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11,592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6,720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3,725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8,770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3,049</w:t>
            </w:r>
          </w:p>
        </w:tc>
      </w:tr>
      <w:tr>
        <w:trPr>
          <w:trHeight w:val="231"/>
        </w:trPr>
        <w:tc>
          <w:tcPr>
            <w:tcW w:w="4000" w:type="dxa"/>
            <w:vAlign w:val="bottom"/>
          </w:tcPr>
          <w:p>
            <w:pPr>
              <w:ind w:left="380"/>
              <w:spacing w:after="0"/>
              <w:rPr>
                <w:sz w:val="20"/>
                <w:szCs w:val="20"/>
                <w:color w:val="auto"/>
              </w:rPr>
            </w:pPr>
            <w:r>
              <w:rPr>
                <w:rFonts w:ascii="Arial" w:cs="Arial" w:eastAsia="Arial" w:hAnsi="Arial"/>
                <w:sz w:val="16"/>
                <w:szCs w:val="16"/>
                <w:color w:val="auto"/>
              </w:rPr>
              <w:t>Total Gas operating revenues</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209,980</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217,523</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989,368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987,515</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1,359,581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1,354,000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12700</wp:posOffset>
            </wp:positionV>
            <wp:extent cx="470789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707890" cy="26035"/>
                    </a:xfrm>
                    <a:prstGeom prst="rect">
                      <a:avLst/>
                    </a:prstGeom>
                    <a:noFill/>
                  </pic:spPr>
                </pic:pic>
              </a:graphicData>
            </a:graphic>
          </wp:anchor>
        </w:drawing>
      </w:r>
    </w:p>
    <w:p>
      <w:pPr>
        <w:spacing w:after="0" w:line="30" w:lineRule="exact"/>
        <w:rPr>
          <w:sz w:val="20"/>
          <w:szCs w:val="20"/>
          <w:color w:val="auto"/>
        </w:rPr>
      </w:pPr>
    </w:p>
    <w:p>
      <w:pPr>
        <w:jc w:val="both"/>
        <w:ind w:left="420" w:hanging="250"/>
        <w:spacing w:after="0" w:line="261" w:lineRule="auto"/>
        <w:tabs>
          <w:tab w:leader="none" w:pos="404"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Comprised of various other revenue impacts, including $(0.8) million during the three months, and $(3.7) million for the nine and twelve months ending September 30, 2019, respectively; and, $(1) million during the three months, and $(13.5) million in both the nine and twelve months ending September 30, 2018 related to tax reform savings reserves/adjustments.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Utility Infrastructure Services Segment</w:t>
      </w:r>
      <w:r>
        <w:rPr>
          <w:rFonts w:ascii="Arial" w:cs="Arial" w:eastAsia="Arial" w:hAnsi="Arial"/>
          <w:sz w:val="18"/>
          <w:szCs w:val="18"/>
          <w:color w:val="auto"/>
        </w:rPr>
        <w:t>:</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tables display Centuri’s revenue, reflected as Utility infrastructure services revenues on the Condensed Consolidated Statements of Income of the Company, representing revenue from contracts with customers disaggregated by service and contract types: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280" w:type="dxa"/>
            <w:vAlign w:val="bottom"/>
          </w:tcPr>
          <w:p>
            <w:pPr>
              <w:spacing w:after="0"/>
              <w:rPr>
                <w:sz w:val="20"/>
                <w:szCs w:val="20"/>
                <w:color w:val="auto"/>
              </w:rPr>
            </w:pPr>
          </w:p>
        </w:tc>
        <w:tc>
          <w:tcPr>
            <w:tcW w:w="2460" w:type="dxa"/>
            <w:vAlign w:val="bottom"/>
            <w:gridSpan w:val="5"/>
          </w:tcPr>
          <w:p>
            <w:pPr>
              <w:jc w:val="center"/>
              <w:ind w:right="380"/>
              <w:spacing w:after="0"/>
              <w:rPr>
                <w:sz w:val="20"/>
                <w:szCs w:val="20"/>
                <w:color w:val="auto"/>
              </w:rPr>
            </w:pPr>
            <w:r>
              <w:rPr>
                <w:rFonts w:ascii="Arial" w:cs="Arial" w:eastAsia="Arial" w:hAnsi="Arial"/>
                <w:sz w:val="18"/>
                <w:szCs w:val="18"/>
                <w:color w:val="auto"/>
                <w:w w:val="90"/>
              </w:rPr>
              <w:t>Three Months Ended</w:t>
            </w:r>
          </w:p>
        </w:tc>
        <w:tc>
          <w:tcPr>
            <w:tcW w:w="260" w:type="dxa"/>
            <w:vAlign w:val="bottom"/>
          </w:tcPr>
          <w:p>
            <w:pPr>
              <w:spacing w:after="0"/>
              <w:rPr>
                <w:sz w:val="20"/>
                <w:szCs w:val="20"/>
                <w:color w:val="auto"/>
              </w:rPr>
            </w:pPr>
          </w:p>
        </w:tc>
        <w:tc>
          <w:tcPr>
            <w:tcW w:w="2460" w:type="dxa"/>
            <w:vAlign w:val="bottom"/>
            <w:gridSpan w:val="5"/>
          </w:tcPr>
          <w:p>
            <w:pPr>
              <w:jc w:val="center"/>
              <w:ind w:right="340"/>
              <w:spacing w:after="0"/>
              <w:rPr>
                <w:sz w:val="20"/>
                <w:szCs w:val="20"/>
                <w:color w:val="auto"/>
              </w:rPr>
            </w:pPr>
            <w:r>
              <w:rPr>
                <w:rFonts w:ascii="Arial" w:cs="Arial" w:eastAsia="Arial" w:hAnsi="Arial"/>
                <w:sz w:val="18"/>
                <w:szCs w:val="18"/>
                <w:color w:val="auto"/>
                <w:w w:val="91"/>
              </w:rPr>
              <w:t>Nine Months Ended</w:t>
            </w:r>
          </w:p>
        </w:tc>
        <w:tc>
          <w:tcPr>
            <w:tcW w:w="280" w:type="dxa"/>
            <w:vAlign w:val="bottom"/>
          </w:tcPr>
          <w:p>
            <w:pPr>
              <w:spacing w:after="0"/>
              <w:rPr>
                <w:sz w:val="20"/>
                <w:szCs w:val="20"/>
                <w:color w:val="auto"/>
              </w:rPr>
            </w:pPr>
          </w:p>
        </w:tc>
        <w:tc>
          <w:tcPr>
            <w:tcW w:w="2340" w:type="dxa"/>
            <w:vAlign w:val="bottom"/>
            <w:gridSpan w:val="4"/>
          </w:tcPr>
          <w:p>
            <w:pPr>
              <w:jc w:val="center"/>
              <w:ind w:right="150"/>
              <w:spacing w:after="0"/>
              <w:rPr>
                <w:sz w:val="20"/>
                <w:szCs w:val="20"/>
                <w:color w:val="auto"/>
              </w:rPr>
            </w:pPr>
            <w:r>
              <w:rPr>
                <w:rFonts w:ascii="Arial" w:cs="Arial" w:eastAsia="Arial" w:hAnsi="Arial"/>
                <w:sz w:val="18"/>
                <w:szCs w:val="18"/>
                <w:color w:val="auto"/>
                <w:w w:val="90"/>
              </w:rPr>
              <w:t>Twelve Months Ended</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gridSpan w:val="5"/>
          </w:tcPr>
          <w:p>
            <w:pPr>
              <w:jc w:val="center"/>
              <w:ind w:right="380"/>
              <w:spacing w:after="0"/>
              <w:rPr>
                <w:sz w:val="20"/>
                <w:szCs w:val="20"/>
                <w:color w:val="auto"/>
              </w:rPr>
            </w:pPr>
            <w:r>
              <w:rPr>
                <w:rFonts w:ascii="Arial" w:cs="Arial" w:eastAsia="Arial" w:hAnsi="Arial"/>
                <w:sz w:val="18"/>
                <w:szCs w:val="18"/>
                <w:color w:val="auto"/>
                <w:w w:val="88"/>
              </w:rPr>
              <w:t>September 30,</w:t>
            </w:r>
          </w:p>
        </w:tc>
        <w:tc>
          <w:tcPr>
            <w:tcW w:w="260" w:type="dxa"/>
            <w:vAlign w:val="bottom"/>
          </w:tcPr>
          <w:p>
            <w:pPr>
              <w:spacing w:after="0"/>
              <w:rPr>
                <w:sz w:val="20"/>
                <w:szCs w:val="20"/>
                <w:color w:val="auto"/>
              </w:rPr>
            </w:pPr>
          </w:p>
        </w:tc>
        <w:tc>
          <w:tcPr>
            <w:tcW w:w="2460" w:type="dxa"/>
            <w:vAlign w:val="bottom"/>
            <w:gridSpan w:val="5"/>
          </w:tcPr>
          <w:p>
            <w:pPr>
              <w:jc w:val="center"/>
              <w:ind w:right="340"/>
              <w:spacing w:after="0"/>
              <w:rPr>
                <w:sz w:val="20"/>
                <w:szCs w:val="20"/>
                <w:color w:val="auto"/>
              </w:rPr>
            </w:pPr>
            <w:r>
              <w:rPr>
                <w:rFonts w:ascii="Arial" w:cs="Arial" w:eastAsia="Arial" w:hAnsi="Arial"/>
                <w:sz w:val="18"/>
                <w:szCs w:val="18"/>
                <w:color w:val="auto"/>
                <w:w w:val="88"/>
              </w:rPr>
              <w:t>September 30,</w:t>
            </w:r>
          </w:p>
        </w:tc>
        <w:tc>
          <w:tcPr>
            <w:tcW w:w="280" w:type="dxa"/>
            <w:vAlign w:val="bottom"/>
          </w:tcPr>
          <w:p>
            <w:pPr>
              <w:spacing w:after="0"/>
              <w:rPr>
                <w:sz w:val="20"/>
                <w:szCs w:val="20"/>
                <w:color w:val="auto"/>
              </w:rPr>
            </w:pPr>
          </w:p>
        </w:tc>
        <w:tc>
          <w:tcPr>
            <w:tcW w:w="2340" w:type="dxa"/>
            <w:vAlign w:val="bottom"/>
            <w:gridSpan w:val="4"/>
          </w:tcPr>
          <w:p>
            <w:pPr>
              <w:jc w:val="center"/>
              <w:ind w:right="17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Service Types: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Gas infrastructure services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364,241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355,721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885,950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849,615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1,160,017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1,145,629</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Electric power infrastructure services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70,610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4,666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184,277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14,062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202,844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19,304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80,399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90,236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212,185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242,167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335,992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314,859</w:t>
            </w:r>
          </w:p>
        </w:tc>
        <w:tc>
          <w:tcPr>
            <w:tcW w:w="0" w:type="dxa"/>
            <w:vAlign w:val="bottom"/>
          </w:tcPr>
          <w:p>
            <w:pPr>
              <w:spacing w:after="0"/>
              <w:rPr>
                <w:sz w:val="1"/>
                <w:szCs w:val="1"/>
                <w:color w:val="auto"/>
              </w:rPr>
            </w:pPr>
          </w:p>
        </w:tc>
      </w:tr>
      <w:tr>
        <w:trPr>
          <w:trHeight w:val="209"/>
        </w:trPr>
        <w:tc>
          <w:tcPr>
            <w:tcW w:w="3340" w:type="dxa"/>
            <w:vAlign w:val="bottom"/>
          </w:tcPr>
          <w:p>
            <w:pPr>
              <w:ind w:left="380"/>
              <w:spacing w:after="0"/>
              <w:rPr>
                <w:sz w:val="20"/>
                <w:szCs w:val="20"/>
                <w:color w:val="auto"/>
              </w:rPr>
            </w:pPr>
            <w:r>
              <w:rPr>
                <w:rFonts w:ascii="Arial" w:cs="Arial" w:eastAsia="Arial" w:hAnsi="Arial"/>
                <w:sz w:val="18"/>
                <w:szCs w:val="18"/>
                <w:color w:val="auto"/>
              </w:rPr>
              <w:t>Total Utility infrastructure services</w:t>
            </w:r>
          </w:p>
        </w:tc>
        <w:tc>
          <w:tcPr>
            <w:tcW w:w="28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515,250</w:t>
            </w:r>
          </w:p>
        </w:tc>
        <w:tc>
          <w:tcPr>
            <w:tcW w:w="100" w:type="dxa"/>
            <w:vAlign w:val="bottom"/>
          </w:tcPr>
          <w:p>
            <w:pPr>
              <w:spacing w:after="0"/>
              <w:rPr>
                <w:sz w:val="18"/>
                <w:szCs w:val="18"/>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450,623</w:t>
            </w:r>
          </w:p>
        </w:tc>
        <w:tc>
          <w:tcPr>
            <w:tcW w:w="12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1,282,412</w:t>
            </w:r>
          </w:p>
        </w:tc>
        <w:tc>
          <w:tcPr>
            <w:tcW w:w="12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1,105,844</w:t>
            </w:r>
          </w:p>
        </w:tc>
        <w:tc>
          <w:tcPr>
            <w:tcW w:w="10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1,698,853</w:t>
            </w:r>
          </w:p>
        </w:tc>
        <w:tc>
          <w:tcPr>
            <w:tcW w:w="10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1,479,792</w:t>
            </w:r>
          </w:p>
        </w:tc>
        <w:tc>
          <w:tcPr>
            <w:tcW w:w="0" w:type="dxa"/>
            <w:vAlign w:val="bottom"/>
          </w:tcPr>
          <w:p>
            <w:pPr>
              <w:spacing w:after="0"/>
              <w:rPr>
                <w:sz w:val="1"/>
                <w:szCs w:val="1"/>
                <w:color w:val="auto"/>
              </w:rPr>
            </w:pPr>
          </w:p>
        </w:tc>
      </w:tr>
      <w:tr>
        <w:trPr>
          <w:trHeight w:val="242"/>
        </w:trPr>
        <w:tc>
          <w:tcPr>
            <w:tcW w:w="3340" w:type="dxa"/>
            <w:vAlign w:val="bottom"/>
          </w:tcPr>
          <w:p>
            <w:pPr>
              <w:ind w:left="5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334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280" w:type="dxa"/>
            <w:vAlign w:val="bottom"/>
          </w:tcPr>
          <w:p>
            <w:pPr>
              <w:spacing w:after="0"/>
              <w:rPr>
                <w:sz w:val="24"/>
                <w:szCs w:val="24"/>
                <w:color w:val="auto"/>
              </w:rPr>
            </w:pPr>
          </w:p>
        </w:tc>
        <w:tc>
          <w:tcPr>
            <w:tcW w:w="2460" w:type="dxa"/>
            <w:vAlign w:val="bottom"/>
            <w:gridSpan w:val="5"/>
          </w:tcPr>
          <w:p>
            <w:pPr>
              <w:jc w:val="center"/>
              <w:ind w:right="380"/>
              <w:spacing w:after="0"/>
              <w:rPr>
                <w:sz w:val="20"/>
                <w:szCs w:val="20"/>
                <w:color w:val="auto"/>
              </w:rPr>
            </w:pPr>
            <w:r>
              <w:rPr>
                <w:rFonts w:ascii="Arial" w:cs="Arial" w:eastAsia="Arial" w:hAnsi="Arial"/>
                <w:sz w:val="18"/>
                <w:szCs w:val="18"/>
                <w:color w:val="auto"/>
                <w:w w:val="90"/>
              </w:rPr>
              <w:t>Three Months Ended</w:t>
            </w:r>
          </w:p>
        </w:tc>
        <w:tc>
          <w:tcPr>
            <w:tcW w:w="260" w:type="dxa"/>
            <w:vAlign w:val="bottom"/>
          </w:tcPr>
          <w:p>
            <w:pPr>
              <w:spacing w:after="0"/>
              <w:rPr>
                <w:sz w:val="24"/>
                <w:szCs w:val="24"/>
                <w:color w:val="auto"/>
              </w:rPr>
            </w:pPr>
          </w:p>
        </w:tc>
        <w:tc>
          <w:tcPr>
            <w:tcW w:w="2460" w:type="dxa"/>
            <w:vAlign w:val="bottom"/>
            <w:gridSpan w:val="5"/>
          </w:tcPr>
          <w:p>
            <w:pPr>
              <w:jc w:val="center"/>
              <w:ind w:right="340"/>
              <w:spacing w:after="0"/>
              <w:rPr>
                <w:sz w:val="20"/>
                <w:szCs w:val="20"/>
                <w:color w:val="auto"/>
              </w:rPr>
            </w:pPr>
            <w:r>
              <w:rPr>
                <w:rFonts w:ascii="Arial" w:cs="Arial" w:eastAsia="Arial" w:hAnsi="Arial"/>
                <w:sz w:val="18"/>
                <w:szCs w:val="18"/>
                <w:color w:val="auto"/>
                <w:w w:val="91"/>
              </w:rPr>
              <w:t>Nine Months Ended</w:t>
            </w:r>
          </w:p>
        </w:tc>
        <w:tc>
          <w:tcPr>
            <w:tcW w:w="280" w:type="dxa"/>
            <w:vAlign w:val="bottom"/>
          </w:tcPr>
          <w:p>
            <w:pPr>
              <w:spacing w:after="0"/>
              <w:rPr>
                <w:sz w:val="24"/>
                <w:szCs w:val="24"/>
                <w:color w:val="auto"/>
              </w:rPr>
            </w:pPr>
          </w:p>
        </w:tc>
        <w:tc>
          <w:tcPr>
            <w:tcW w:w="2340" w:type="dxa"/>
            <w:vAlign w:val="bottom"/>
            <w:gridSpan w:val="4"/>
          </w:tcPr>
          <w:p>
            <w:pPr>
              <w:jc w:val="center"/>
              <w:ind w:right="150"/>
              <w:spacing w:after="0"/>
              <w:rPr>
                <w:sz w:val="20"/>
                <w:szCs w:val="20"/>
                <w:color w:val="auto"/>
              </w:rPr>
            </w:pPr>
            <w:r>
              <w:rPr>
                <w:rFonts w:ascii="Arial" w:cs="Arial" w:eastAsia="Arial" w:hAnsi="Arial"/>
                <w:sz w:val="18"/>
                <w:szCs w:val="18"/>
                <w:color w:val="auto"/>
                <w:w w:val="90"/>
              </w:rPr>
              <w:t>Twelve Months Ended</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60" w:type="dxa"/>
            <w:vAlign w:val="bottom"/>
            <w:gridSpan w:val="5"/>
          </w:tcPr>
          <w:p>
            <w:pPr>
              <w:jc w:val="center"/>
              <w:ind w:right="380"/>
              <w:spacing w:after="0"/>
              <w:rPr>
                <w:sz w:val="20"/>
                <w:szCs w:val="20"/>
                <w:color w:val="auto"/>
              </w:rPr>
            </w:pPr>
            <w:r>
              <w:rPr>
                <w:rFonts w:ascii="Arial" w:cs="Arial" w:eastAsia="Arial" w:hAnsi="Arial"/>
                <w:sz w:val="18"/>
                <w:szCs w:val="18"/>
                <w:color w:val="auto"/>
                <w:w w:val="88"/>
              </w:rPr>
              <w:t>September 30,</w:t>
            </w:r>
          </w:p>
        </w:tc>
        <w:tc>
          <w:tcPr>
            <w:tcW w:w="260" w:type="dxa"/>
            <w:vAlign w:val="bottom"/>
          </w:tcPr>
          <w:p>
            <w:pPr>
              <w:spacing w:after="0"/>
              <w:rPr>
                <w:sz w:val="20"/>
                <w:szCs w:val="20"/>
                <w:color w:val="auto"/>
              </w:rPr>
            </w:pPr>
          </w:p>
        </w:tc>
        <w:tc>
          <w:tcPr>
            <w:tcW w:w="2460" w:type="dxa"/>
            <w:vAlign w:val="bottom"/>
            <w:gridSpan w:val="5"/>
          </w:tcPr>
          <w:p>
            <w:pPr>
              <w:jc w:val="center"/>
              <w:ind w:right="340"/>
              <w:spacing w:after="0"/>
              <w:rPr>
                <w:sz w:val="20"/>
                <w:szCs w:val="20"/>
                <w:color w:val="auto"/>
              </w:rPr>
            </w:pPr>
            <w:r>
              <w:rPr>
                <w:rFonts w:ascii="Arial" w:cs="Arial" w:eastAsia="Arial" w:hAnsi="Arial"/>
                <w:sz w:val="18"/>
                <w:szCs w:val="18"/>
                <w:color w:val="auto"/>
                <w:w w:val="88"/>
              </w:rPr>
              <w:t>September 30,</w:t>
            </w:r>
          </w:p>
        </w:tc>
        <w:tc>
          <w:tcPr>
            <w:tcW w:w="280" w:type="dxa"/>
            <w:vAlign w:val="bottom"/>
          </w:tcPr>
          <w:p>
            <w:pPr>
              <w:spacing w:after="0"/>
              <w:rPr>
                <w:sz w:val="20"/>
                <w:szCs w:val="20"/>
                <w:color w:val="auto"/>
              </w:rPr>
            </w:pPr>
          </w:p>
        </w:tc>
        <w:tc>
          <w:tcPr>
            <w:tcW w:w="2340" w:type="dxa"/>
            <w:vAlign w:val="bottom"/>
            <w:gridSpan w:val="4"/>
          </w:tcPr>
          <w:p>
            <w:pPr>
              <w:jc w:val="center"/>
              <w:ind w:right="17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Contract Types: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Master services agreement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410,283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348,274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1,021,798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832,813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1,291,397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1,101,216</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Bid contract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104,967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102,349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260,614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273,031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407,456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378,576</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Utility infrastructure services</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515,250</w:t>
            </w:r>
          </w:p>
        </w:tc>
        <w:tc>
          <w:tcPr>
            <w:tcW w:w="1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450,623</w:t>
            </w:r>
          </w:p>
        </w:tc>
        <w:tc>
          <w:tcPr>
            <w:tcW w:w="12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1,282,412</w:t>
            </w:r>
          </w:p>
        </w:tc>
        <w:tc>
          <w:tcPr>
            <w:tcW w:w="12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1,105,844</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1,698,853</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1,479,792</w:t>
            </w: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 price contracts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415,404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368,918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1,006,577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948,593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1,316,404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1,286,059</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Fixed price contracts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37,539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45,461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80,503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44,911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152,890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31,487</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Time and materials contracts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62,307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36,244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195,332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112,340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229,559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162,246</w:t>
            </w:r>
          </w:p>
        </w:tc>
        <w:tc>
          <w:tcPr>
            <w:tcW w:w="0" w:type="dxa"/>
            <w:vAlign w:val="bottom"/>
          </w:tcPr>
          <w:p>
            <w:pPr>
              <w:spacing w:after="0"/>
              <w:rPr>
                <w:sz w:val="1"/>
                <w:szCs w:val="1"/>
                <w:color w:val="auto"/>
              </w:rPr>
            </w:pPr>
          </w:p>
        </w:tc>
      </w:tr>
      <w:tr>
        <w:trPr>
          <w:trHeight w:val="209"/>
        </w:trPr>
        <w:tc>
          <w:tcPr>
            <w:tcW w:w="3340" w:type="dxa"/>
            <w:vAlign w:val="bottom"/>
          </w:tcPr>
          <w:p>
            <w:pPr>
              <w:ind w:left="380"/>
              <w:spacing w:after="0"/>
              <w:rPr>
                <w:sz w:val="20"/>
                <w:szCs w:val="20"/>
                <w:color w:val="auto"/>
              </w:rPr>
            </w:pPr>
            <w:r>
              <w:rPr>
                <w:rFonts w:ascii="Arial" w:cs="Arial" w:eastAsia="Arial" w:hAnsi="Arial"/>
                <w:sz w:val="18"/>
                <w:szCs w:val="18"/>
                <w:color w:val="auto"/>
              </w:rPr>
              <w:t>Total Utility infrastructure services</w:t>
            </w:r>
          </w:p>
        </w:tc>
        <w:tc>
          <w:tcPr>
            <w:tcW w:w="28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515,250</w:t>
            </w:r>
          </w:p>
        </w:tc>
        <w:tc>
          <w:tcPr>
            <w:tcW w:w="100" w:type="dxa"/>
            <w:vAlign w:val="bottom"/>
          </w:tcPr>
          <w:p>
            <w:pPr>
              <w:spacing w:after="0"/>
              <w:rPr>
                <w:sz w:val="18"/>
                <w:szCs w:val="18"/>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450,623</w:t>
            </w:r>
          </w:p>
        </w:tc>
        <w:tc>
          <w:tcPr>
            <w:tcW w:w="12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1,282,412</w:t>
            </w:r>
          </w:p>
        </w:tc>
        <w:tc>
          <w:tcPr>
            <w:tcW w:w="120" w:type="dxa"/>
            <w:vAlign w:val="bottom"/>
          </w:tcPr>
          <w:p>
            <w:pPr>
              <w:spacing w:after="0"/>
              <w:rPr>
                <w:sz w:val="18"/>
                <w:szCs w:val="18"/>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1,105,844</w:t>
            </w:r>
          </w:p>
        </w:tc>
        <w:tc>
          <w:tcPr>
            <w:tcW w:w="10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1,698,853</w:t>
            </w:r>
          </w:p>
        </w:tc>
        <w:tc>
          <w:tcPr>
            <w:tcW w:w="10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1,479,792</w:t>
            </w:r>
          </w:p>
        </w:tc>
        <w:tc>
          <w:tcPr>
            <w:tcW w:w="0" w:type="dxa"/>
            <w:vAlign w:val="bottom"/>
          </w:tcPr>
          <w:p>
            <w:pPr>
              <w:spacing w:after="0"/>
              <w:rPr>
                <w:sz w:val="1"/>
                <w:szCs w:val="1"/>
                <w:color w:val="auto"/>
              </w:rPr>
            </w:pPr>
          </w:p>
        </w:tc>
      </w:tr>
      <w:tr>
        <w:trPr>
          <w:trHeight w:val="242"/>
        </w:trPr>
        <w:tc>
          <w:tcPr>
            <w:tcW w:w="3340" w:type="dxa"/>
            <w:vAlign w:val="bottom"/>
          </w:tcPr>
          <w:p>
            <w:pPr>
              <w:ind w:left="5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70" w:right="239" w:bottom="1109"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270" w:right="239" w:bottom="1109" w:gutter="0" w:footer="0" w:header="0"/>
          <w:type w:val="continuous"/>
        </w:sectPr>
      </w:pPr>
    </w:p>
    <w:bookmarkStart w:id="19" w:name="page20"/>
    <w:bookmarkEnd w:id="19"/>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following table provides information about contracts receivable and revenue earned on contracts in progress in excess of billings (contract asset), which are both included within Accounts receivable, net of allowances, as well as amounts billed in excess of revenue earned on contracts (contract liability), which are included in Other current liabilities as of September 30, 2019 and December 31, 2018 on the Company’s Condensed Consolidated Balance Sheets: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220" w:type="dxa"/>
            <w:vAlign w:val="bottom"/>
          </w:tcPr>
          <w:p>
            <w:pPr>
              <w:spacing w:after="0"/>
              <w:rPr>
                <w:sz w:val="20"/>
                <w:szCs w:val="20"/>
                <w:color w:val="auto"/>
              </w:rPr>
            </w:pPr>
          </w:p>
        </w:tc>
        <w:tc>
          <w:tcPr>
            <w:tcW w:w="1940" w:type="dxa"/>
            <w:vAlign w:val="bottom"/>
            <w:gridSpan w:val="2"/>
          </w:tcPr>
          <w:p>
            <w:pPr>
              <w:ind w:left="100"/>
              <w:spacing w:after="0"/>
              <w:rPr>
                <w:sz w:val="20"/>
                <w:szCs w:val="20"/>
                <w:color w:val="auto"/>
              </w:rPr>
            </w:pPr>
            <w:r>
              <w:rPr>
                <w:rFonts w:ascii="Arial" w:cs="Arial" w:eastAsia="Arial" w:hAnsi="Arial"/>
                <w:sz w:val="18"/>
                <w:szCs w:val="18"/>
                <w:color w:val="auto"/>
              </w:rPr>
              <w:t>September 30, 2019</w:t>
            </w:r>
          </w:p>
        </w:tc>
        <w:tc>
          <w:tcPr>
            <w:tcW w:w="220" w:type="dxa"/>
            <w:vAlign w:val="bottom"/>
          </w:tcPr>
          <w:p>
            <w:pPr>
              <w:spacing w:after="0"/>
              <w:rPr>
                <w:sz w:val="20"/>
                <w:szCs w:val="20"/>
                <w:color w:val="auto"/>
              </w:rPr>
            </w:pPr>
          </w:p>
        </w:tc>
        <w:tc>
          <w:tcPr>
            <w:tcW w:w="1840" w:type="dxa"/>
            <w:vAlign w:val="bottom"/>
          </w:tcPr>
          <w:p>
            <w:pPr>
              <w:jc w:val="right"/>
              <w:ind w:right="230"/>
              <w:spacing w:after="0"/>
              <w:rPr>
                <w:sz w:val="20"/>
                <w:szCs w:val="20"/>
                <w:color w:val="auto"/>
              </w:rPr>
            </w:pPr>
            <w:r>
              <w:rPr>
                <w:rFonts w:ascii="Arial" w:cs="Arial" w:eastAsia="Arial" w:hAnsi="Arial"/>
                <w:sz w:val="18"/>
                <w:szCs w:val="18"/>
                <w:color w:val="auto"/>
                <w:w w:val="94"/>
              </w:rPr>
              <w:t>December 31, 2018</w:t>
            </w:r>
          </w:p>
        </w:tc>
      </w:tr>
      <w:tr>
        <w:trPr>
          <w:trHeight w:val="27"/>
        </w:trPr>
        <w:tc>
          <w:tcPr>
            <w:tcW w:w="7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Contracts receivable,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238,678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186,249</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Revenue earned on contracts in progress in excess of billings</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121,854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87,520</w:t>
            </w: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43"/>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Amounts billed in excess of revenue earned on contracts</w:t>
            </w:r>
          </w:p>
        </w:tc>
        <w:tc>
          <w:tcPr>
            <w:tcW w:w="220" w:type="dxa"/>
            <w:vAlign w:val="bottom"/>
            <w:shd w:val="clear" w:color="auto" w:fill="CCEEFF"/>
          </w:tcPr>
          <w:p>
            <w:pPr>
              <w:spacing w:after="0"/>
              <w:rPr>
                <w:sz w:val="21"/>
                <w:szCs w:val="21"/>
                <w:color w:val="auto"/>
              </w:rPr>
            </w:pP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6,136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4,211</w:t>
            </w:r>
          </w:p>
        </w:tc>
      </w:tr>
      <w:tr>
        <w:trPr>
          <w:trHeight w:val="27"/>
        </w:trPr>
        <w:tc>
          <w:tcPr>
            <w:tcW w:w="7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revenue earned on contracts in progress in excess of billings (contract asset) primarily relates to Centuri’s rights to consideration for work completed but not billed and/or approved at the reporting date. These contract assets are transferred to contracts receivable when the rights become unconditional. The amounts billed in excess of revenue earned (contract liability) primarily relates to the advance consideration received from customers for which work has not yet been completed. The change in this contract liability balance from December 31, 2018 to September 30, 2019 is due to revenue recognized of $4.2 million that was included in this item as of January 1, 2019, after which time it became earned and the balance was reduced, and to increases due to cash received, net of revenue recognized during the period related to contracts that commenced during the period.</w:t>
      </w:r>
    </w:p>
    <w:p>
      <w:pPr>
        <w:spacing w:after="0" w:line="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contracts that have an original duration of one year or less, Centuri uses the practical expedient applicable to such contracts and does not consider/compute an interest component based on the time value of money. Further, because of the short duration of these contracts, Centuri has not disclosed the transaction price for the remaining performance obligations as of the end of each reporting period or when the Company expects to recognize the revenue.</w:t>
      </w:r>
    </w:p>
    <w:p>
      <w:pPr>
        <w:spacing w:after="0" w:line="3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September 30, 2019, Centuri has 53 contracts with an original duration of more than one year. The aggregate amount of the transaction price allocated to the unsatisfied performance obligations of these contracts as of September 30, 2019 was $103.3 million. Centuri expects to recognize the remaining performance obligations over approximately the next two years; however, the timing of that recognition is largely within the control of the customer, including when the necessary equipment and materials required to complete the work are provided by the customer.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Utility infrastructure services contracts receivable consists of the following:</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300" w:type="dxa"/>
            <w:vAlign w:val="bottom"/>
          </w:tcPr>
          <w:p>
            <w:pPr>
              <w:spacing w:after="0"/>
              <w:rPr>
                <w:sz w:val="20"/>
                <w:szCs w:val="20"/>
                <w:color w:val="auto"/>
              </w:rPr>
            </w:pPr>
          </w:p>
        </w:tc>
        <w:tc>
          <w:tcPr>
            <w:tcW w:w="2140" w:type="dxa"/>
            <w:vAlign w:val="bottom"/>
          </w:tcPr>
          <w:p>
            <w:pPr>
              <w:jc w:val="right"/>
              <w:ind w:right="430"/>
              <w:spacing w:after="0"/>
              <w:rPr>
                <w:sz w:val="20"/>
                <w:szCs w:val="20"/>
                <w:color w:val="auto"/>
              </w:rPr>
            </w:pPr>
            <w:r>
              <w:rPr>
                <w:rFonts w:ascii="Arial" w:cs="Arial" w:eastAsia="Arial" w:hAnsi="Arial"/>
                <w:sz w:val="18"/>
                <w:szCs w:val="18"/>
                <w:color w:val="auto"/>
                <w:w w:val="98"/>
              </w:rPr>
              <w:t>September 30, 2019</w:t>
            </w:r>
          </w:p>
        </w:tc>
        <w:tc>
          <w:tcPr>
            <w:tcW w:w="380" w:type="dxa"/>
            <w:vAlign w:val="bottom"/>
          </w:tcPr>
          <w:p>
            <w:pPr>
              <w:spacing w:after="0"/>
              <w:rPr>
                <w:sz w:val="20"/>
                <w:szCs w:val="20"/>
                <w:color w:val="auto"/>
              </w:rPr>
            </w:pPr>
          </w:p>
        </w:tc>
        <w:tc>
          <w:tcPr>
            <w:tcW w:w="2080" w:type="dxa"/>
            <w:vAlign w:val="bottom"/>
          </w:tcPr>
          <w:p>
            <w:pPr>
              <w:jc w:val="right"/>
              <w:ind w:right="390"/>
              <w:spacing w:after="0"/>
              <w:rPr>
                <w:sz w:val="20"/>
                <w:szCs w:val="20"/>
                <w:color w:val="auto"/>
              </w:rPr>
            </w:pPr>
            <w:r>
              <w:rPr>
                <w:rFonts w:ascii="Arial" w:cs="Arial" w:eastAsia="Arial" w:hAnsi="Arial"/>
                <w:sz w:val="18"/>
                <w:szCs w:val="18"/>
                <w:color w:val="auto"/>
                <w:w w:val="99"/>
              </w:rPr>
              <w:t>December 31, 2018</w:t>
            </w:r>
          </w:p>
        </w:tc>
      </w:tr>
      <w:tr>
        <w:trPr>
          <w:trHeight w:val="27"/>
        </w:trPr>
        <w:tc>
          <w:tcPr>
            <w:tcW w:w="6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Billed on completed contracts and contracts in progress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238,117</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184,100</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Other receivables</w:t>
            </w:r>
          </w:p>
        </w:tc>
        <w:tc>
          <w:tcPr>
            <w:tcW w:w="300" w:type="dxa"/>
            <w:vAlign w:val="bottom"/>
          </w:tcPr>
          <w:p>
            <w:pPr>
              <w:spacing w:after="0"/>
              <w:rPr>
                <w:sz w:val="21"/>
                <w:szCs w:val="21"/>
                <w:color w:val="auto"/>
              </w:rPr>
            </w:pPr>
          </w:p>
        </w:tc>
        <w:tc>
          <w:tcPr>
            <w:tcW w:w="2140" w:type="dxa"/>
            <w:vAlign w:val="bottom"/>
          </w:tcPr>
          <w:p>
            <w:pPr>
              <w:jc w:val="right"/>
              <w:ind w:right="50"/>
              <w:spacing w:after="0"/>
              <w:rPr>
                <w:sz w:val="20"/>
                <w:szCs w:val="20"/>
                <w:color w:val="auto"/>
              </w:rPr>
            </w:pPr>
            <w:r>
              <w:rPr>
                <w:rFonts w:ascii="Arial" w:cs="Arial" w:eastAsia="Arial" w:hAnsi="Arial"/>
                <w:sz w:val="18"/>
                <w:szCs w:val="18"/>
                <w:color w:val="auto"/>
              </w:rPr>
              <w:t>1,156</w:t>
            </w:r>
          </w:p>
        </w:tc>
        <w:tc>
          <w:tcPr>
            <w:tcW w:w="38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2,588</w:t>
            </w:r>
          </w:p>
        </w:tc>
      </w:tr>
      <w:tr>
        <w:trPr>
          <w:trHeight w:val="27"/>
        </w:trPr>
        <w:tc>
          <w:tcPr>
            <w:tcW w:w="6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Contracts receivable, gross</w:t>
            </w:r>
          </w:p>
        </w:tc>
        <w:tc>
          <w:tcPr>
            <w:tcW w:w="30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239,273</w:t>
            </w:r>
          </w:p>
        </w:tc>
        <w:tc>
          <w:tcPr>
            <w:tcW w:w="38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186,688</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30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(595)</w:t>
            </w:r>
          </w:p>
        </w:tc>
        <w:tc>
          <w:tcPr>
            <w:tcW w:w="38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(439)</w:t>
            </w:r>
          </w:p>
        </w:tc>
      </w:tr>
      <w:tr>
        <w:trPr>
          <w:trHeight w:val="27"/>
        </w:trPr>
        <w:tc>
          <w:tcPr>
            <w:tcW w:w="6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Contracts receivable,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238,678</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186,249</w:t>
            </w:r>
          </w:p>
        </w:tc>
      </w:tr>
      <w:tr>
        <w:trPr>
          <w:trHeight w:val="20"/>
        </w:trPr>
        <w:tc>
          <w:tcPr>
            <w:tcW w:w="6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0" w:right="239" w:bottom="1440" w:gutter="0" w:footer="0" w:header="0"/>
        </w:sectPr>
      </w:pPr>
    </w:p>
    <w:bookmarkStart w:id="20" w:name="page21"/>
    <w:bookmarkEnd w:id="20"/>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Leases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Company and Southwest adopted FASB Topic 842 as of January 1, 2019. In association with the adoption, the Company recorded adjustments to its Condensed Consolidated Balance Sheet to record right-of-use (“ROU”) assets and lease liabilities of $58.4 million and $60.8 million, respectively. Included in those amounts, Southwest recorded $1.9 million related to both its ROU assets and lease liabilities. Neither the Company nor Southwest experienced a material impact to the Condensed Consolidated Statements of Income from the adoption and no cumulative-effect adjustment to the opening balance of retained earnings was recognized. Management elected to adopt the standard under the optional transition method (refer to </w:t>
      </w:r>
      <w:r>
        <w:rPr>
          <w:rFonts w:ascii="Arial" w:cs="Arial" w:eastAsia="Arial" w:hAnsi="Arial"/>
          <w:sz w:val="18"/>
          <w:szCs w:val="18"/>
          <w:i w:val="1"/>
          <w:iCs w:val="1"/>
          <w:color w:val="auto"/>
        </w:rPr>
        <w:t>Recent Accounting Standards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Updates </w:t>
      </w:r>
      <w:r>
        <w:rPr>
          <w:rFonts w:ascii="Arial" w:cs="Arial" w:eastAsia="Arial" w:hAnsi="Arial"/>
          <w:sz w:val="18"/>
          <w:szCs w:val="18"/>
          <w:color w:val="auto"/>
        </w:rPr>
        <w:t>in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Note 1 – Background, Organization, and Summary of Significant Accounting Policies</w:t>
      </w:r>
      <w:r>
        <w:rPr>
          <w:rFonts w:ascii="Arial" w:cs="Arial" w:eastAsia="Arial" w:hAnsi="Arial"/>
          <w:sz w:val="18"/>
          <w:szCs w:val="18"/>
          <w:color w:val="auto"/>
        </w:rPr>
        <w:t>), and elected the following Topic 842 practical</w:t>
      </w:r>
      <w:r>
        <w:rPr>
          <w:rFonts w:ascii="Arial" w:cs="Arial" w:eastAsia="Arial" w:hAnsi="Arial"/>
          <w:sz w:val="18"/>
          <w:szCs w:val="18"/>
          <w:i w:val="1"/>
          <w:iCs w:val="1"/>
          <w:color w:val="auto"/>
        </w:rPr>
        <w:t xml:space="preserve"> </w:t>
      </w:r>
      <w:r>
        <w:rPr>
          <w:rFonts w:ascii="Arial" w:cs="Arial" w:eastAsia="Arial" w:hAnsi="Arial"/>
          <w:sz w:val="18"/>
          <w:szCs w:val="18"/>
          <w:color w:val="auto"/>
        </w:rPr>
        <w:t>expedients and accounting policy elections:</w:t>
      </w:r>
    </w:p>
    <w:p>
      <w:pPr>
        <w:spacing w:after="0" w:line="81" w:lineRule="exact"/>
        <w:rPr>
          <w:sz w:val="20"/>
          <w:szCs w:val="20"/>
          <w:color w:val="auto"/>
        </w:rPr>
      </w:pPr>
    </w:p>
    <w:p>
      <w:pPr>
        <w:jc w:val="both"/>
        <w:ind w:left="660" w:hanging="328"/>
        <w:spacing w:after="0" w:line="286"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use the “package”, which is a set of three practical expedients that must be elected as a package and applied consistently to all of Southwest’s and Centuri’s leases. These include: not reassessing whether any expired or existing contracts are or contain leases; not reassessing the lease classification for expired or existing leases (that is, existing operating and capital leases in accordance with current lease guidance will in each case be classified as operating and finance leases, respectively, under the updated guidance); and not reassessing initial direct costs for any existing leases.</w:t>
      </w:r>
    </w:p>
    <w:p>
      <w:pPr>
        <w:spacing w:after="0" w:line="1" w:lineRule="exact"/>
        <w:rPr>
          <w:rFonts w:ascii="Arial" w:cs="Arial" w:eastAsia="Arial" w:hAnsi="Arial"/>
          <w:sz w:val="16"/>
          <w:szCs w:val="16"/>
          <w:color w:val="auto"/>
        </w:rPr>
      </w:pPr>
    </w:p>
    <w:p>
      <w:pPr>
        <w:ind w:left="660" w:hanging="328"/>
        <w:spacing w:after="0" w:line="281"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utilize the practical expedient to exclude all easements in place prior to January 1, 2019 from treatment under Topic 842. However, Southwest will evaluate new easements entered into after the effective date of the standard to determine if the arrangements should be accounted for as leases.</w:t>
      </w:r>
    </w:p>
    <w:p>
      <w:pPr>
        <w:spacing w:after="0" w:line="1"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make an accounting policy election by asset class to include both the lease and non-lease components (as defined in the guidance) as a single component.</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make an accounting policy election to not apply Topic 842 to short-term leases, as permitted.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not elect to use hindsight in determining the lease term and in assessing impairment of ROU assets.</w:t>
      </w:r>
    </w:p>
    <w:p>
      <w:pPr>
        <w:spacing w:after="0" w:line="9"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utilize a portfolio approach to effectively account for the operating lease ROU assets and liabilities with regard to certain equipment leases at Centuri.</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Southwest and Centuri determine if an arrangement is a lease at inception. ROU assets represent the right to use an underlying asset for the lease term; lease liabilities represent obligations to make lease payments arising from the lease. Operating lease ROU assets and liabilities are recognized at the commencement date based on the present value of lease payments over the lease term. As most of Southwest’s and Centuri’s leases do not provide an implicit interest rate, an incremental borrowing rate based on information available at commencement is used in determining the present value of lease payments; an implicit rate, if readily determinable, is used. Lease terms utilized in the computations may include options to extend or terminate the lease when it is reasonably certain that the option will be exercised.</w:t>
      </w:r>
    </w:p>
    <w:p>
      <w:pPr>
        <w:spacing w:after="0" w:line="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Southwest’s leases are comprised primarily of operating leases of buildings, land, and equipment. Southwest has no finance leases and no significant short-term leases. Southwest’s leases have a remaining term of 1 to 10 years, some of which include options to extend the lease up to 3 years. Southwest is currently not a lessor in any significant lease arrangements. Southwest’s ROU assets are included in Gas plant, and its lease liabilities are included in, depending upon maturity, Other current liabilities or Other deferred credits and other long-term liabilities on the Company’s and Southwest’s Condensed Consolidated Balance Sheets as of September 30, 2019.</w:t>
      </w:r>
    </w:p>
    <w:p>
      <w:pPr>
        <w:spacing w:after="0" w:line="8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Centuri has operating and finance leases for corporate and field offices, construction equipment, and transportation vehicles. Centuri is currently not a lessor in any significant lease arrangements. Centuri’s leases have remaining lease terms of up to 19 years. Some of these include options to extend the leases, generally for optional terms of up to 5 years, and some include options to terminate the leases within 1 year. Centuri’s equipment leases may include variable payment terms in addition to the fixed lease payments if machinery is used in excess of the standard work periods. These variable payments are not probable of occurring under the current operating environment and have not been included in consideration of lease payments. Short-term leases of Centuri are not accounted for under the provisions of Topic 842, as permitted. Due to the seasonality of Centuri’s business, expense for short-term leases will fluctuate throughout the year with higher expense incurred during the warmer months. As of September 30, 2019 Centuri executed lease agreements that had not yet commenced. These lease agreements primarily relate to real estate leases that have terms ranging from December 2019 through August 2032. Total future lease payments over the lease terms are approximately $13.2 million. Centuri’s ROU assets are included in Other property and investments, and its lease liabilities for operating and finance leases are included, depending upon maturity, in Other current liabilities or Other deferred credits and other long-term liabilities on the Company’s Condensed Consolidated Balance Sheet as of September 30, 2019.</w:t>
      </w:r>
    </w:p>
    <w:p>
      <w:pPr>
        <w:spacing w:after="0" w:line="36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0"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68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2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60" w:type="dxa"/>
            <w:vAlign w:val="bottom"/>
          </w:tcPr>
          <w:p>
            <w:pPr>
              <w:spacing w:after="0"/>
              <w:rPr>
                <w:sz w:val="21"/>
                <w:szCs w:val="21"/>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September 30, 2019</w:t>
            </w:r>
          </w:p>
        </w:tc>
      </w:tr>
      <w:tr>
        <w:trPr>
          <w:trHeight w:val="20"/>
        </w:trPr>
        <w:tc>
          <w:tcPr>
            <w:tcW w:w="60" w:type="dxa"/>
            <w:vAlign w:val="bottom"/>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939"/>
        </w:trPr>
        <w:tc>
          <w:tcPr>
            <w:tcW w:w="6860" w:type="dxa"/>
            <w:vAlign w:val="bottom"/>
            <w:gridSpan w:val="4"/>
          </w:tcPr>
          <w:p>
            <w:pPr>
              <w:spacing w:after="0"/>
              <w:rPr>
                <w:sz w:val="20"/>
                <w:szCs w:val="20"/>
                <w:color w:val="auto"/>
              </w:rPr>
            </w:pPr>
            <w:r>
              <w:rPr>
                <w:rFonts w:ascii="Arial" w:cs="Arial" w:eastAsia="Arial" w:hAnsi="Arial"/>
                <w:sz w:val="18"/>
                <w:szCs w:val="18"/>
                <w:color w:val="auto"/>
              </w:rPr>
              <w:t>The components of lease expense were as follows:</w:t>
            </w:r>
          </w:p>
        </w:tc>
        <w:tc>
          <w:tcPr>
            <w:tcW w:w="2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472"/>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80" w:type="dxa"/>
            <w:vAlign w:val="bottom"/>
          </w:tcPr>
          <w:p>
            <w:pPr>
              <w:jc w:val="right"/>
              <w:ind w:right="250"/>
              <w:spacing w:after="0"/>
              <w:rPr>
                <w:sz w:val="20"/>
                <w:szCs w:val="20"/>
                <w:color w:val="auto"/>
              </w:rPr>
            </w:pPr>
            <w:r>
              <w:rPr>
                <w:rFonts w:ascii="Arial" w:cs="Arial" w:eastAsia="Arial" w:hAnsi="Arial"/>
                <w:sz w:val="18"/>
                <w:szCs w:val="18"/>
                <w:color w:val="auto"/>
                <w:w w:val="96"/>
              </w:rPr>
              <w:t>Three Months Ended</w:t>
            </w:r>
          </w:p>
        </w:tc>
        <w:tc>
          <w:tcPr>
            <w:tcW w:w="300" w:type="dxa"/>
            <w:vAlign w:val="bottom"/>
          </w:tcPr>
          <w:p>
            <w:pPr>
              <w:spacing w:after="0"/>
              <w:rPr>
                <w:sz w:val="24"/>
                <w:szCs w:val="24"/>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color w:val="auto"/>
                <w:w w:val="99"/>
              </w:rPr>
              <w:t>Nine Months Ended</w:t>
            </w:r>
          </w:p>
        </w:tc>
      </w:tr>
      <w:tr>
        <w:trPr>
          <w:trHeight w:val="230"/>
        </w:trPr>
        <w:tc>
          <w:tcPr>
            <w:tcW w:w="60" w:type="dxa"/>
            <w:vAlign w:val="bottom"/>
          </w:tcPr>
          <w:p>
            <w:pPr>
              <w:spacing w:after="0"/>
              <w:rPr>
                <w:sz w:val="20"/>
                <w:szCs w:val="20"/>
                <w:color w:val="auto"/>
              </w:rPr>
            </w:pPr>
          </w:p>
        </w:tc>
        <w:tc>
          <w:tcPr>
            <w:tcW w:w="6800" w:type="dxa"/>
            <w:vAlign w:val="bottom"/>
            <w:gridSpan w:val="3"/>
          </w:tcPr>
          <w:p>
            <w:pPr>
              <w:spacing w:after="0"/>
              <w:rPr>
                <w:sz w:val="20"/>
                <w:szCs w:val="20"/>
                <w:color w:val="auto"/>
              </w:rPr>
            </w:pPr>
            <w:r>
              <w:rPr>
                <w:rFonts w:ascii="Arial" w:cs="Arial" w:eastAsia="Arial" w:hAnsi="Arial"/>
                <w:sz w:val="18"/>
                <w:szCs w:val="18"/>
                <w:color w:val="auto"/>
              </w:rPr>
              <w:t>(Thousands of dollars)</w:t>
            </w:r>
          </w:p>
        </w:tc>
        <w:tc>
          <w:tcPr>
            <w:tcW w:w="240" w:type="dxa"/>
            <w:vAlign w:val="bottom"/>
          </w:tcPr>
          <w:p>
            <w:pPr>
              <w:spacing w:after="0"/>
              <w:rPr>
                <w:sz w:val="20"/>
                <w:szCs w:val="20"/>
                <w:color w:val="auto"/>
              </w:rPr>
            </w:pPr>
          </w:p>
        </w:tc>
        <w:tc>
          <w:tcPr>
            <w:tcW w:w="1980" w:type="dxa"/>
            <w:vAlign w:val="bottom"/>
          </w:tcPr>
          <w:p>
            <w:pPr>
              <w:jc w:val="right"/>
              <w:ind w:right="290"/>
              <w:spacing w:after="0"/>
              <w:rPr>
                <w:sz w:val="20"/>
                <w:szCs w:val="20"/>
                <w:color w:val="auto"/>
              </w:rPr>
            </w:pPr>
            <w:r>
              <w:rPr>
                <w:rFonts w:ascii="Arial" w:cs="Arial" w:eastAsia="Arial" w:hAnsi="Arial"/>
                <w:sz w:val="18"/>
                <w:szCs w:val="18"/>
                <w:color w:val="auto"/>
                <w:w w:val="96"/>
              </w:rPr>
              <w:t>September 30, 2019</w:t>
            </w:r>
          </w:p>
        </w:tc>
        <w:tc>
          <w:tcPr>
            <w:tcW w:w="300" w:type="dxa"/>
            <w:vAlign w:val="bottom"/>
          </w:tcPr>
          <w:p>
            <w:pPr>
              <w:spacing w:after="0"/>
              <w:rPr>
                <w:sz w:val="20"/>
                <w:szCs w:val="20"/>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color w:val="auto"/>
                <w:w w:val="96"/>
              </w:rPr>
              <w:t>September 30, 2019</w:t>
            </w:r>
          </w:p>
        </w:tc>
      </w:tr>
      <w:tr>
        <w:trPr>
          <w:trHeight w:val="27"/>
        </w:trPr>
        <w:tc>
          <w:tcPr>
            <w:tcW w:w="6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37"/>
        </w:trPr>
        <w:tc>
          <w:tcPr>
            <w:tcW w:w="60" w:type="dxa"/>
            <w:vAlign w:val="bottom"/>
          </w:tcPr>
          <w:p>
            <w:pPr>
              <w:spacing w:after="0"/>
              <w:rPr>
                <w:sz w:val="20"/>
                <w:szCs w:val="20"/>
                <w:color w:val="auto"/>
              </w:rPr>
            </w:pPr>
          </w:p>
        </w:tc>
        <w:tc>
          <w:tcPr>
            <w:tcW w:w="6800" w:type="dxa"/>
            <w:vAlign w:val="bottom"/>
            <w:gridSpan w:val="3"/>
          </w:tcPr>
          <w:p>
            <w:pPr>
              <w:spacing w:after="0"/>
              <w:rPr>
                <w:sz w:val="20"/>
                <w:szCs w:val="20"/>
                <w:color w:val="auto"/>
              </w:rPr>
            </w:pPr>
            <w:r>
              <w:rPr>
                <w:rFonts w:ascii="Arial" w:cs="Arial" w:eastAsia="Arial" w:hAnsi="Arial"/>
                <w:sz w:val="18"/>
                <w:szCs w:val="18"/>
                <w:color w:val="auto"/>
              </w:rPr>
              <w:t>Southwest:</w:t>
            </w:r>
          </w:p>
        </w:tc>
        <w:tc>
          <w:tcPr>
            <w:tcW w:w="2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27"/>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0" w:type="dxa"/>
            <w:vAlign w:val="bottom"/>
            <w:tcBorders>
              <w:right w:val="single" w:sz="8" w:color="CCEEFF"/>
            </w:tcBorders>
          </w:tcPr>
          <w:p>
            <w:pPr>
              <w:spacing w:after="0"/>
              <w:rPr>
                <w:sz w:val="23"/>
                <w:szCs w:val="23"/>
                <w:color w:val="auto"/>
              </w:rPr>
            </w:pPr>
          </w:p>
        </w:tc>
        <w:tc>
          <w:tcPr>
            <w:tcW w:w="68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Operating lease cost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1,165</w:t>
            </w:r>
          </w:p>
        </w:tc>
      </w:tr>
      <w:tr>
        <w:trPr>
          <w:trHeight w:val="291"/>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9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020" w:type="dxa"/>
            <w:vAlign w:val="bottom"/>
            <w:tcBorders>
              <w:top w:val="single" w:sz="8" w:color="auto"/>
            </w:tcBorders>
          </w:tcPr>
          <w:p>
            <w:pPr>
              <w:spacing w:after="0"/>
              <w:rPr>
                <w:sz w:val="24"/>
                <w:szCs w:val="24"/>
                <w:color w:val="auto"/>
              </w:rPr>
            </w:pPr>
          </w:p>
        </w:tc>
      </w:tr>
      <w:tr>
        <w:trPr>
          <w:trHeight w:val="250"/>
        </w:trPr>
        <w:tc>
          <w:tcPr>
            <w:tcW w:w="60" w:type="dxa"/>
            <w:vAlign w:val="bottom"/>
            <w:tcBorders>
              <w:right w:val="single" w:sz="8" w:color="CCEEFF"/>
            </w:tcBorders>
          </w:tcPr>
          <w:p>
            <w:pPr>
              <w:spacing w:after="0"/>
              <w:rPr>
                <w:sz w:val="21"/>
                <w:szCs w:val="21"/>
                <w:color w:val="auto"/>
              </w:rPr>
            </w:pPr>
          </w:p>
        </w:tc>
        <w:tc>
          <w:tcPr>
            <w:tcW w:w="68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Centuri:</w:t>
            </w:r>
          </w:p>
        </w:tc>
        <w:tc>
          <w:tcPr>
            <w:tcW w:w="2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6800" w:type="dxa"/>
            <w:vAlign w:val="bottom"/>
            <w:gridSpan w:val="3"/>
          </w:tcPr>
          <w:p>
            <w:pPr>
              <w:ind w:left="180"/>
              <w:spacing w:after="0"/>
              <w:rPr>
                <w:sz w:val="20"/>
                <w:szCs w:val="20"/>
                <w:color w:val="auto"/>
              </w:rPr>
            </w:pPr>
            <w:r>
              <w:rPr>
                <w:rFonts w:ascii="Arial" w:cs="Arial" w:eastAsia="Arial" w:hAnsi="Arial"/>
                <w:sz w:val="18"/>
                <w:szCs w:val="18"/>
                <w:color w:val="auto"/>
              </w:rPr>
              <w:t>Operating lease cost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3,026</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30"/>
              <w:spacing w:after="0"/>
              <w:rPr>
                <w:sz w:val="20"/>
                <w:szCs w:val="20"/>
                <w:color w:val="auto"/>
              </w:rPr>
            </w:pPr>
            <w:r>
              <w:rPr>
                <w:rFonts w:ascii="Arial" w:cs="Arial" w:eastAsia="Arial" w:hAnsi="Arial"/>
                <w:sz w:val="18"/>
                <w:szCs w:val="18"/>
                <w:color w:val="auto"/>
              </w:rPr>
              <w:t>9,069</w:t>
            </w:r>
          </w:p>
        </w:tc>
      </w:tr>
      <w:tr>
        <w:trPr>
          <w:trHeight w:val="27"/>
        </w:trPr>
        <w:tc>
          <w:tcPr>
            <w:tcW w:w="60" w:type="dxa"/>
            <w:vAlign w:val="bottom"/>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91"/>
        </w:trPr>
        <w:tc>
          <w:tcPr>
            <w:tcW w:w="60" w:type="dxa"/>
            <w:vAlign w:val="bottom"/>
            <w:tcBorders>
              <w:right w:val="single" w:sz="8" w:color="CCEEFF"/>
            </w:tcBorders>
          </w:tcPr>
          <w:p>
            <w:pPr>
              <w:spacing w:after="0"/>
              <w:rPr>
                <w:sz w:val="24"/>
                <w:szCs w:val="24"/>
                <w:color w:val="auto"/>
              </w:rPr>
            </w:pPr>
          </w:p>
        </w:tc>
        <w:tc>
          <w:tcPr>
            <w:tcW w:w="2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9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r>
      <w:tr>
        <w:trPr>
          <w:trHeight w:val="243"/>
        </w:trPr>
        <w:tc>
          <w:tcPr>
            <w:tcW w:w="60" w:type="dxa"/>
            <w:vAlign w:val="bottom"/>
          </w:tcPr>
          <w:p>
            <w:pPr>
              <w:spacing w:after="0"/>
              <w:rPr>
                <w:sz w:val="21"/>
                <w:szCs w:val="21"/>
                <w:color w:val="auto"/>
              </w:rPr>
            </w:pPr>
          </w:p>
        </w:tc>
        <w:tc>
          <w:tcPr>
            <w:tcW w:w="6800" w:type="dxa"/>
            <w:vAlign w:val="bottom"/>
            <w:gridSpan w:val="3"/>
          </w:tcPr>
          <w:p>
            <w:pPr>
              <w:ind w:left="180"/>
              <w:spacing w:after="0"/>
              <w:rPr>
                <w:sz w:val="20"/>
                <w:szCs w:val="20"/>
                <w:color w:val="auto"/>
              </w:rPr>
            </w:pPr>
            <w:r>
              <w:rPr>
                <w:rFonts w:ascii="Arial" w:cs="Arial" w:eastAsia="Arial" w:hAnsi="Arial"/>
                <w:sz w:val="18"/>
                <w:szCs w:val="18"/>
                <w:color w:val="auto"/>
              </w:rPr>
              <w:t>Finance lease cost:</w:t>
            </w:r>
          </w:p>
        </w:tc>
        <w:tc>
          <w:tcPr>
            <w:tcW w:w="2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0" w:type="dxa"/>
            <w:vAlign w:val="bottom"/>
            <w:tcBorders>
              <w:right w:val="single" w:sz="8" w:color="CCEEFF"/>
            </w:tcBorders>
          </w:tcPr>
          <w:p>
            <w:pPr>
              <w:spacing w:after="0"/>
              <w:rPr>
                <w:sz w:val="21"/>
                <w:szCs w:val="21"/>
                <w:color w:val="auto"/>
              </w:rPr>
            </w:pPr>
          </w:p>
        </w:tc>
        <w:tc>
          <w:tcPr>
            <w:tcW w:w="680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Amortization of ROU assets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w:t>
            </w:r>
          </w:p>
        </w:tc>
      </w:tr>
      <w:tr>
        <w:trPr>
          <w:trHeight w:val="243"/>
        </w:trPr>
        <w:tc>
          <w:tcPr>
            <w:tcW w:w="60" w:type="dxa"/>
            <w:vAlign w:val="bottom"/>
          </w:tcPr>
          <w:p>
            <w:pPr>
              <w:spacing w:after="0"/>
              <w:rPr>
                <w:sz w:val="21"/>
                <w:szCs w:val="21"/>
                <w:color w:val="auto"/>
              </w:rPr>
            </w:pPr>
          </w:p>
        </w:tc>
        <w:tc>
          <w:tcPr>
            <w:tcW w:w="6800" w:type="dxa"/>
            <w:vAlign w:val="bottom"/>
            <w:gridSpan w:val="3"/>
          </w:tcPr>
          <w:p>
            <w:pPr>
              <w:ind w:left="340"/>
              <w:spacing w:after="0"/>
              <w:rPr>
                <w:sz w:val="20"/>
                <w:szCs w:val="20"/>
                <w:color w:val="auto"/>
              </w:rPr>
            </w:pPr>
            <w:r>
              <w:rPr>
                <w:rFonts w:ascii="Arial" w:cs="Arial" w:eastAsia="Arial" w:hAnsi="Arial"/>
                <w:sz w:val="18"/>
                <w:szCs w:val="18"/>
                <w:color w:val="auto"/>
              </w:rPr>
              <w:t>Interest on lease liabilities</w:t>
            </w:r>
          </w:p>
        </w:tc>
        <w:tc>
          <w:tcPr>
            <w:tcW w:w="24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21"/>
                <w:szCs w:val="21"/>
                <w:color w:val="auto"/>
              </w:rPr>
            </w:pPr>
          </w:p>
        </w:tc>
        <w:tc>
          <w:tcPr>
            <w:tcW w:w="2020" w:type="dxa"/>
            <w:vAlign w:val="bottom"/>
          </w:tcPr>
          <w:p>
            <w:pPr>
              <w:jc w:val="right"/>
              <w:ind w:right="30"/>
              <w:spacing w:after="0"/>
              <w:rPr>
                <w:sz w:val="20"/>
                <w:szCs w:val="20"/>
                <w:color w:val="auto"/>
              </w:rPr>
            </w:pPr>
            <w:r>
              <w:rPr>
                <w:rFonts w:ascii="Arial" w:cs="Arial" w:eastAsia="Arial" w:hAnsi="Arial"/>
                <w:sz w:val="18"/>
                <w:szCs w:val="18"/>
                <w:color w:val="auto"/>
              </w:rPr>
              <w:t>24</w:t>
            </w:r>
          </w:p>
        </w:tc>
      </w:tr>
      <w:tr>
        <w:trPr>
          <w:trHeight w:val="27"/>
        </w:trPr>
        <w:tc>
          <w:tcPr>
            <w:tcW w:w="60" w:type="dxa"/>
            <w:vAlign w:val="bottom"/>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4"/>
        </w:trPr>
        <w:tc>
          <w:tcPr>
            <w:tcW w:w="60" w:type="dxa"/>
            <w:vAlign w:val="bottom"/>
            <w:tcBorders>
              <w:right w:val="single" w:sz="8" w:color="CCEEFF"/>
            </w:tcBorders>
          </w:tcPr>
          <w:p>
            <w:pPr>
              <w:spacing w:after="0"/>
              <w:rPr>
                <w:sz w:val="22"/>
                <w:szCs w:val="22"/>
                <w:color w:val="auto"/>
              </w:rPr>
            </w:pPr>
          </w:p>
        </w:tc>
        <w:tc>
          <w:tcPr>
            <w:tcW w:w="68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 finance lease cost</w:t>
            </w:r>
          </w:p>
        </w:tc>
        <w:tc>
          <w:tcPr>
            <w:tcW w:w="24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0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w:t>
            </w:r>
          </w:p>
        </w:tc>
      </w:tr>
      <w:tr>
        <w:trPr>
          <w:trHeight w:val="237"/>
        </w:trPr>
        <w:tc>
          <w:tcPr>
            <w:tcW w:w="60" w:type="dxa"/>
            <w:vAlign w:val="bottom"/>
          </w:tcPr>
          <w:p>
            <w:pPr>
              <w:spacing w:after="0"/>
              <w:rPr>
                <w:sz w:val="20"/>
                <w:szCs w:val="20"/>
                <w:color w:val="auto"/>
              </w:rPr>
            </w:pPr>
          </w:p>
        </w:tc>
        <w:tc>
          <w:tcPr>
            <w:tcW w:w="6800" w:type="dxa"/>
            <w:vAlign w:val="bottom"/>
            <w:gridSpan w:val="3"/>
          </w:tcPr>
          <w:p>
            <w:pPr>
              <w:ind w:left="180"/>
              <w:spacing w:after="0"/>
              <w:rPr>
                <w:sz w:val="20"/>
                <w:szCs w:val="20"/>
                <w:color w:val="auto"/>
              </w:rPr>
            </w:pPr>
            <w:r>
              <w:rPr>
                <w:rFonts w:ascii="Arial" w:cs="Arial" w:eastAsia="Arial" w:hAnsi="Arial"/>
                <w:sz w:val="18"/>
                <w:szCs w:val="18"/>
                <w:color w:val="auto"/>
              </w:rPr>
              <w:t>Short-term lease cost</w:t>
            </w:r>
          </w:p>
        </w:tc>
        <w:tc>
          <w:tcPr>
            <w:tcW w:w="24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5,017</w:t>
            </w:r>
          </w:p>
        </w:tc>
        <w:tc>
          <w:tcPr>
            <w:tcW w:w="30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10,949</w:t>
            </w:r>
          </w:p>
        </w:tc>
      </w:tr>
      <w:tr>
        <w:trPr>
          <w:trHeight w:val="27"/>
        </w:trPr>
        <w:tc>
          <w:tcPr>
            <w:tcW w:w="60" w:type="dxa"/>
            <w:vAlign w:val="bottom"/>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57"/>
        </w:trPr>
        <w:tc>
          <w:tcPr>
            <w:tcW w:w="60" w:type="dxa"/>
            <w:vAlign w:val="bottom"/>
            <w:tcBorders>
              <w:right w:val="single" w:sz="8" w:color="CCEEFF"/>
            </w:tcBorders>
          </w:tcPr>
          <w:p>
            <w:pPr>
              <w:spacing w:after="0"/>
              <w:rPr>
                <w:sz w:val="22"/>
                <w:szCs w:val="22"/>
                <w:color w:val="auto"/>
              </w:rPr>
            </w:pPr>
          </w:p>
        </w:tc>
        <w:tc>
          <w:tcPr>
            <w:tcW w:w="68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lease cost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8,437</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21,310</w:t>
            </w: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for the nine months ended September 30, 2019 is as follows:</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580" w:type="dxa"/>
            <w:vAlign w:val="bottom"/>
          </w:tcPr>
          <w:p>
            <w:pPr>
              <w:spacing w:after="0"/>
              <w:rPr>
                <w:sz w:val="20"/>
                <w:szCs w:val="20"/>
                <w:color w:val="auto"/>
              </w:rPr>
            </w:pPr>
          </w:p>
        </w:tc>
        <w:tc>
          <w:tcPr>
            <w:tcW w:w="1520" w:type="dxa"/>
            <w:vAlign w:val="bottom"/>
          </w:tcPr>
          <w:p>
            <w:pPr>
              <w:jc w:val="right"/>
              <w:ind w:right="470"/>
              <w:spacing w:after="0"/>
              <w:rPr>
                <w:sz w:val="20"/>
                <w:szCs w:val="20"/>
                <w:color w:val="auto"/>
              </w:rPr>
            </w:pPr>
            <w:r>
              <w:rPr>
                <w:rFonts w:ascii="Arial" w:cs="Arial" w:eastAsia="Arial" w:hAnsi="Arial"/>
                <w:sz w:val="18"/>
                <w:szCs w:val="18"/>
                <w:color w:val="auto"/>
              </w:rPr>
              <w:t>Southwest</w:t>
            </w:r>
          </w:p>
        </w:tc>
        <w:tc>
          <w:tcPr>
            <w:tcW w:w="480" w:type="dxa"/>
            <w:vAlign w:val="bottom"/>
          </w:tcPr>
          <w:p>
            <w:pPr>
              <w:spacing w:after="0"/>
              <w:rPr>
                <w:sz w:val="20"/>
                <w:szCs w:val="20"/>
                <w:color w:val="auto"/>
              </w:rPr>
            </w:pPr>
          </w:p>
        </w:tc>
        <w:tc>
          <w:tcPr>
            <w:tcW w:w="1440" w:type="dxa"/>
            <w:vAlign w:val="bottom"/>
          </w:tcPr>
          <w:p>
            <w:pPr>
              <w:jc w:val="right"/>
              <w:ind w:right="550"/>
              <w:spacing w:after="0"/>
              <w:rPr>
                <w:sz w:val="20"/>
                <w:szCs w:val="20"/>
                <w:color w:val="auto"/>
              </w:rPr>
            </w:pPr>
            <w:r>
              <w:rPr>
                <w:rFonts w:ascii="Arial" w:cs="Arial" w:eastAsia="Arial" w:hAnsi="Arial"/>
                <w:sz w:val="18"/>
                <w:szCs w:val="18"/>
                <w:color w:val="auto"/>
              </w:rPr>
              <w:t>Centuri</w:t>
            </w:r>
          </w:p>
        </w:tc>
        <w:tc>
          <w:tcPr>
            <w:tcW w:w="280" w:type="dxa"/>
            <w:vAlign w:val="bottom"/>
          </w:tcPr>
          <w:p>
            <w:pPr>
              <w:spacing w:after="0"/>
              <w:rPr>
                <w:sz w:val="20"/>
                <w:szCs w:val="20"/>
                <w:color w:val="auto"/>
              </w:rPr>
            </w:pPr>
          </w:p>
        </w:tc>
        <w:tc>
          <w:tcPr>
            <w:tcW w:w="1640" w:type="dxa"/>
            <w:vAlign w:val="bottom"/>
          </w:tcPr>
          <w:p>
            <w:pPr>
              <w:jc w:val="right"/>
              <w:ind w:right="130"/>
              <w:spacing w:after="0"/>
              <w:rPr>
                <w:sz w:val="20"/>
                <w:szCs w:val="20"/>
                <w:color w:val="auto"/>
              </w:rPr>
            </w:pPr>
            <w:r>
              <w:rPr>
                <w:rFonts w:ascii="Arial" w:cs="Arial" w:eastAsia="Arial" w:hAnsi="Arial"/>
                <w:sz w:val="18"/>
                <w:szCs w:val="18"/>
                <w:color w:val="auto"/>
                <w:w w:val="93"/>
              </w:rPr>
              <w:t>Consolidated Total</w:t>
            </w:r>
          </w:p>
        </w:tc>
      </w:tr>
      <w:tr>
        <w:trPr>
          <w:trHeight w:val="27"/>
        </w:trPr>
        <w:tc>
          <w:tcPr>
            <w:tcW w:w="54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7"/>
        </w:trPr>
        <w:tc>
          <w:tcPr>
            <w:tcW w:w="5440" w:type="dxa"/>
            <w:vAlign w:val="bottom"/>
          </w:tcPr>
          <w:p>
            <w:pPr>
              <w:ind w:left="20"/>
              <w:spacing w:after="0"/>
              <w:rPr>
                <w:sz w:val="20"/>
                <w:szCs w:val="20"/>
                <w:color w:val="auto"/>
              </w:rPr>
            </w:pPr>
            <w:r>
              <w:rPr>
                <w:rFonts w:ascii="Arial" w:cs="Arial" w:eastAsia="Arial" w:hAnsi="Arial"/>
                <w:sz w:val="18"/>
                <w:szCs w:val="18"/>
                <w:color w:val="auto"/>
                <w:w w:val="95"/>
              </w:rPr>
              <w:t>Cash paid for amounts included in the measurement of lease liabilities:</w:t>
            </w:r>
          </w:p>
        </w:tc>
        <w:tc>
          <w:tcPr>
            <w:tcW w:w="5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27"/>
        </w:trPr>
        <w:tc>
          <w:tcPr>
            <w:tcW w:w="5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cash flows from operating leases</w:t>
            </w:r>
          </w:p>
        </w:tc>
        <w:tc>
          <w:tcPr>
            <w:tcW w:w="5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976</w:t>
            </w:r>
          </w:p>
        </w:tc>
        <w:tc>
          <w:tcPr>
            <w:tcW w:w="4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8,104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9,080</w:t>
            </w: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Operating cash flows from finance leases</w:t>
            </w:r>
          </w:p>
        </w:tc>
        <w:tc>
          <w:tcPr>
            <w:tcW w:w="58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7"/>
        </w:trPr>
        <w:tc>
          <w:tcPr>
            <w:tcW w:w="5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Financing cash flows from finance leases</w:t>
            </w:r>
          </w:p>
        </w:tc>
        <w:tc>
          <w:tcPr>
            <w:tcW w:w="5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w:t>
            </w: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w:t>
            </w:r>
          </w:p>
        </w:tc>
      </w:tr>
      <w:tr>
        <w:trPr>
          <w:trHeight w:val="297"/>
        </w:trPr>
        <w:tc>
          <w:tcPr>
            <w:tcW w:w="5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ROU assets obtained in exchange for lease obligations:</w:t>
            </w:r>
          </w:p>
        </w:tc>
        <w:tc>
          <w:tcPr>
            <w:tcW w:w="5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1,143</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21,653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22,796</w:t>
            </w:r>
          </w:p>
        </w:tc>
      </w:tr>
      <w:tr>
        <w:trPr>
          <w:trHeight w:val="27"/>
        </w:trPr>
        <w:tc>
          <w:tcPr>
            <w:tcW w:w="5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leases</w:t>
            </w:r>
          </w:p>
        </w:tc>
        <w:tc>
          <w:tcPr>
            <w:tcW w:w="58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386</w:t>
            </w:r>
          </w:p>
        </w:tc>
        <w:tc>
          <w:tcPr>
            <w:tcW w:w="28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386</w:t>
            </w:r>
          </w:p>
        </w:tc>
      </w:tr>
      <w:tr>
        <w:trPr>
          <w:trHeight w:val="27"/>
        </w:trPr>
        <w:tc>
          <w:tcPr>
            <w:tcW w:w="54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0" w:right="25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91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260" w:type="dxa"/>
            <w:vAlign w:val="bottom"/>
          </w:tcPr>
          <w:p>
            <w:pPr>
              <w:spacing w:after="0"/>
              <w:rPr>
                <w:sz w:val="17"/>
                <w:szCs w:val="17"/>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60" w:type="dxa"/>
            <w:vAlign w:val="bottom"/>
          </w:tcPr>
          <w:p>
            <w:pPr>
              <w:spacing w:after="0"/>
              <w:rPr>
                <w:sz w:val="21"/>
                <w:szCs w:val="21"/>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6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September 30, 2019</w:t>
            </w:r>
          </w:p>
        </w:tc>
      </w:tr>
      <w:tr>
        <w:trPr>
          <w:trHeight w:val="20"/>
        </w:trPr>
        <w:tc>
          <w:tcPr>
            <w:tcW w:w="60" w:type="dxa"/>
            <w:vAlign w:val="bottom"/>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c>
          <w:tcPr>
            <w:tcW w:w="63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939"/>
        </w:trPr>
        <w:tc>
          <w:tcPr>
            <w:tcW w:w="9180" w:type="dxa"/>
            <w:vAlign w:val="bottom"/>
            <w:gridSpan w:val="4"/>
          </w:tcPr>
          <w:p>
            <w:pPr>
              <w:spacing w:after="0"/>
              <w:rPr>
                <w:sz w:val="20"/>
                <w:szCs w:val="20"/>
                <w:color w:val="auto"/>
              </w:rPr>
            </w:pPr>
            <w:r>
              <w:rPr>
                <w:rFonts w:ascii="Arial" w:cs="Arial" w:eastAsia="Arial" w:hAnsi="Arial"/>
                <w:sz w:val="18"/>
                <w:szCs w:val="18"/>
                <w:color w:val="auto"/>
                <w:w w:val="92"/>
              </w:rPr>
              <w:t>Supplemental information related to leases, including location in the Condensed Consolidated Balance Sheets, is as follows:</w:t>
            </w:r>
          </w:p>
        </w:tc>
        <w:tc>
          <w:tcPr>
            <w:tcW w:w="26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378"/>
        </w:trPr>
        <w:tc>
          <w:tcPr>
            <w:tcW w:w="9180" w:type="dxa"/>
            <w:vAlign w:val="bottom"/>
            <w:gridSpan w:val="4"/>
          </w:tcPr>
          <w:p>
            <w:pPr>
              <w:ind w:left="40"/>
              <w:spacing w:after="0"/>
              <w:rPr>
                <w:sz w:val="20"/>
                <w:szCs w:val="20"/>
                <w:color w:val="auto"/>
              </w:rPr>
            </w:pPr>
            <w:r>
              <w:rPr>
                <w:rFonts w:ascii="Arial" w:cs="Arial" w:eastAsia="Arial" w:hAnsi="Arial"/>
                <w:sz w:val="18"/>
                <w:szCs w:val="18"/>
                <w:color w:val="auto"/>
              </w:rPr>
              <w:t>(Thousands of dollars)</w:t>
            </w:r>
          </w:p>
        </w:tc>
        <w:tc>
          <w:tcPr>
            <w:tcW w:w="260" w:type="dxa"/>
            <w:vAlign w:val="bottom"/>
          </w:tcPr>
          <w:p>
            <w:pPr>
              <w:spacing w:after="0"/>
              <w:rPr>
                <w:sz w:val="24"/>
                <w:szCs w:val="24"/>
                <w:color w:val="auto"/>
              </w:rPr>
            </w:pPr>
          </w:p>
        </w:tc>
        <w:tc>
          <w:tcPr>
            <w:tcW w:w="1980" w:type="dxa"/>
            <w:vAlign w:val="bottom"/>
          </w:tcPr>
          <w:p>
            <w:pPr>
              <w:jc w:val="right"/>
              <w:ind w:right="310"/>
              <w:spacing w:after="0"/>
              <w:rPr>
                <w:sz w:val="20"/>
                <w:szCs w:val="20"/>
                <w:color w:val="auto"/>
              </w:rPr>
            </w:pPr>
            <w:r>
              <w:rPr>
                <w:rFonts w:ascii="Arial" w:cs="Arial" w:eastAsia="Arial" w:hAnsi="Arial"/>
                <w:sz w:val="18"/>
                <w:szCs w:val="18"/>
                <w:color w:val="auto"/>
                <w:w w:val="95"/>
              </w:rPr>
              <w:t>September 30, 2019</w:t>
            </w:r>
          </w:p>
        </w:tc>
      </w:tr>
      <w:tr>
        <w:trPr>
          <w:trHeight w:val="27"/>
        </w:trPr>
        <w:tc>
          <w:tcPr>
            <w:tcW w:w="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44"/>
        </w:trPr>
        <w:tc>
          <w:tcPr>
            <w:tcW w:w="9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Southwest:</w:t>
            </w:r>
          </w:p>
        </w:tc>
        <w:tc>
          <w:tcPr>
            <w:tcW w:w="26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r>
      <w:tr>
        <w:trPr>
          <w:trHeight w:val="243"/>
        </w:trPr>
        <w:tc>
          <w:tcPr>
            <w:tcW w:w="9180" w:type="dxa"/>
            <w:vAlign w:val="bottom"/>
            <w:gridSpan w:val="4"/>
          </w:tcPr>
          <w:p>
            <w:pPr>
              <w:ind w:left="40"/>
              <w:spacing w:after="0"/>
              <w:rPr>
                <w:sz w:val="20"/>
                <w:szCs w:val="20"/>
                <w:color w:val="auto"/>
              </w:rPr>
            </w:pPr>
            <w:r>
              <w:rPr>
                <w:rFonts w:ascii="Arial" w:cs="Arial" w:eastAsia="Arial" w:hAnsi="Arial"/>
                <w:sz w:val="18"/>
                <w:szCs w:val="18"/>
                <w:color w:val="auto"/>
              </w:rPr>
              <w:t>Operating leases:</w:t>
            </w:r>
          </w:p>
        </w:tc>
        <w:tc>
          <w:tcPr>
            <w:tcW w:w="26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64"/>
        </w:trPr>
        <w:tc>
          <w:tcPr>
            <w:tcW w:w="60" w:type="dxa"/>
            <w:vAlign w:val="bottom"/>
            <w:tcBorders>
              <w:bottom w:val="single" w:sz="8" w:color="CCEEFF"/>
            </w:tcBorders>
            <w:shd w:val="clear" w:color="auto" w:fill="CCEEFF"/>
          </w:tcPr>
          <w:p>
            <w:pPr>
              <w:spacing w:after="0"/>
              <w:rPr>
                <w:sz w:val="22"/>
                <w:szCs w:val="22"/>
                <w:color w:val="auto"/>
              </w:rPr>
            </w:pPr>
          </w:p>
        </w:tc>
        <w:tc>
          <w:tcPr>
            <w:tcW w:w="91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Net Utility Plant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2,008</w:t>
            </w: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284"/>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91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826</w:t>
            </w:r>
          </w:p>
        </w:tc>
      </w:tr>
      <w:tr>
        <w:trPr>
          <w:trHeight w:val="243"/>
        </w:trPr>
        <w:tc>
          <w:tcPr>
            <w:tcW w:w="60" w:type="dxa"/>
            <w:vAlign w:val="bottom"/>
          </w:tcPr>
          <w:p>
            <w:pPr>
              <w:spacing w:after="0"/>
              <w:rPr>
                <w:sz w:val="21"/>
                <w:szCs w:val="21"/>
                <w:color w:val="auto"/>
              </w:rPr>
            </w:pPr>
          </w:p>
        </w:tc>
        <w:tc>
          <w:tcPr>
            <w:tcW w:w="9120" w:type="dxa"/>
            <w:vAlign w:val="bottom"/>
            <w:gridSpan w:val="3"/>
          </w:tcPr>
          <w:p>
            <w:pPr>
              <w:ind w:left="140"/>
              <w:spacing w:after="0"/>
              <w:rPr>
                <w:sz w:val="20"/>
                <w:szCs w:val="20"/>
                <w:color w:val="auto"/>
              </w:rPr>
            </w:pPr>
            <w:r>
              <w:rPr>
                <w:rFonts w:ascii="Arial" w:cs="Arial" w:eastAsia="Arial" w:hAnsi="Arial"/>
                <w:sz w:val="18"/>
                <w:szCs w:val="18"/>
                <w:color w:val="auto"/>
              </w:rPr>
              <w:t>Other deferred credits and other long-term liabilities</w:t>
            </w:r>
          </w:p>
        </w:tc>
        <w:tc>
          <w:tcPr>
            <w:tcW w:w="260" w:type="dxa"/>
            <w:vAlign w:val="bottom"/>
          </w:tcPr>
          <w:p>
            <w:pPr>
              <w:spacing w:after="0"/>
              <w:rPr>
                <w:sz w:val="21"/>
                <w:szCs w:val="21"/>
                <w:color w:val="auto"/>
              </w:rPr>
            </w:pPr>
          </w:p>
        </w:tc>
        <w:tc>
          <w:tcPr>
            <w:tcW w:w="1980" w:type="dxa"/>
            <w:vAlign w:val="bottom"/>
          </w:tcPr>
          <w:p>
            <w:pPr>
              <w:jc w:val="right"/>
              <w:ind w:right="90"/>
              <w:spacing w:after="0"/>
              <w:rPr>
                <w:sz w:val="20"/>
                <w:szCs w:val="20"/>
                <w:color w:val="auto"/>
              </w:rPr>
            </w:pPr>
            <w:r>
              <w:rPr>
                <w:rFonts w:ascii="Arial" w:cs="Arial" w:eastAsia="Arial" w:hAnsi="Arial"/>
                <w:sz w:val="18"/>
                <w:szCs w:val="18"/>
                <w:color w:val="auto"/>
              </w:rPr>
              <w:t>1,209</w:t>
            </w:r>
          </w:p>
        </w:tc>
      </w:tr>
      <w:tr>
        <w:trPr>
          <w:trHeight w:val="27"/>
        </w:trPr>
        <w:tc>
          <w:tcPr>
            <w:tcW w:w="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57"/>
        </w:trPr>
        <w:tc>
          <w:tcPr>
            <w:tcW w:w="9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operating lease liabilities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2,035</w:t>
            </w: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284"/>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50"/>
        </w:trPr>
        <w:tc>
          <w:tcPr>
            <w:tcW w:w="9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Weighted average remaining lease term (in years)</w:t>
            </w:r>
          </w:p>
        </w:tc>
        <w:tc>
          <w:tcPr>
            <w:tcW w:w="26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3.77</w:t>
            </w:r>
          </w:p>
        </w:tc>
      </w:tr>
      <w:tr>
        <w:trPr>
          <w:trHeight w:val="243"/>
        </w:trPr>
        <w:tc>
          <w:tcPr>
            <w:tcW w:w="9180" w:type="dxa"/>
            <w:vAlign w:val="bottom"/>
            <w:gridSpan w:val="4"/>
          </w:tcPr>
          <w:p>
            <w:pPr>
              <w:ind w:left="40"/>
              <w:spacing w:after="0"/>
              <w:rPr>
                <w:sz w:val="20"/>
                <w:szCs w:val="20"/>
                <w:color w:val="auto"/>
              </w:rPr>
            </w:pPr>
            <w:r>
              <w:rPr>
                <w:rFonts w:ascii="Arial" w:cs="Arial" w:eastAsia="Arial" w:hAnsi="Arial"/>
                <w:sz w:val="18"/>
                <w:szCs w:val="18"/>
                <w:color w:val="auto"/>
              </w:rPr>
              <w:t>Weighted average discount rate</w:t>
            </w:r>
          </w:p>
        </w:tc>
        <w:tc>
          <w:tcPr>
            <w:tcW w:w="26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3.35%</w:t>
            </w:r>
          </w:p>
        </w:tc>
      </w:tr>
      <w:tr>
        <w:trPr>
          <w:trHeight w:val="27"/>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97"/>
        </w:trPr>
        <w:tc>
          <w:tcPr>
            <w:tcW w:w="60" w:type="dxa"/>
            <w:vAlign w:val="bottom"/>
            <w:shd w:val="clear" w:color="auto" w:fill="CCEEFF"/>
          </w:tcPr>
          <w:p>
            <w:pPr>
              <w:spacing w:after="0"/>
              <w:rPr>
                <w:sz w:val="24"/>
                <w:szCs w:val="24"/>
                <w:color w:val="auto"/>
              </w:rPr>
            </w:pPr>
          </w:p>
        </w:tc>
        <w:tc>
          <w:tcPr>
            <w:tcW w:w="2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r>
      <w:tr>
        <w:trPr>
          <w:trHeight w:val="243"/>
        </w:trPr>
        <w:tc>
          <w:tcPr>
            <w:tcW w:w="9180" w:type="dxa"/>
            <w:vAlign w:val="bottom"/>
            <w:gridSpan w:val="4"/>
          </w:tcPr>
          <w:p>
            <w:pPr>
              <w:ind w:left="40"/>
              <w:spacing w:after="0"/>
              <w:rPr>
                <w:sz w:val="20"/>
                <w:szCs w:val="20"/>
                <w:color w:val="auto"/>
              </w:rPr>
            </w:pPr>
            <w:r>
              <w:rPr>
                <w:rFonts w:ascii="Arial" w:cs="Arial" w:eastAsia="Arial" w:hAnsi="Arial"/>
                <w:sz w:val="18"/>
                <w:szCs w:val="18"/>
                <w:color w:val="auto"/>
              </w:rPr>
              <w:t>Centuri:</w:t>
            </w:r>
          </w:p>
        </w:tc>
        <w:tc>
          <w:tcPr>
            <w:tcW w:w="26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9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26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r>
      <w:tr>
        <w:trPr>
          <w:trHeight w:val="304"/>
        </w:trPr>
        <w:tc>
          <w:tcPr>
            <w:tcW w:w="60" w:type="dxa"/>
            <w:vAlign w:val="bottom"/>
            <w:tcBorders>
              <w:bottom w:val="single" w:sz="8" w:color="CCEEFF"/>
            </w:tcBorders>
          </w:tcPr>
          <w:p>
            <w:pPr>
              <w:spacing w:after="0"/>
              <w:rPr>
                <w:sz w:val="24"/>
                <w:szCs w:val="24"/>
                <w:color w:val="auto"/>
              </w:rPr>
            </w:pPr>
          </w:p>
        </w:tc>
        <w:tc>
          <w:tcPr>
            <w:tcW w:w="9120" w:type="dxa"/>
            <w:vAlign w:val="bottom"/>
            <w:tcBorders>
              <w:bottom w:val="single" w:sz="8" w:color="CCEEFF"/>
            </w:tcBorders>
            <w:gridSpan w:val="3"/>
          </w:tcPr>
          <w:p>
            <w:pPr>
              <w:ind w:left="140"/>
              <w:spacing w:after="0"/>
              <w:rPr>
                <w:sz w:val="20"/>
                <w:szCs w:val="20"/>
                <w:color w:val="auto"/>
              </w:rPr>
            </w:pPr>
            <w:r>
              <w:rPr>
                <w:rFonts w:ascii="Arial" w:cs="Arial" w:eastAsia="Arial" w:hAnsi="Arial"/>
                <w:sz w:val="18"/>
                <w:szCs w:val="18"/>
                <w:color w:val="auto"/>
              </w:rPr>
              <w:t>Other property and investments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71,377</w:t>
            </w:r>
          </w:p>
        </w:tc>
      </w:tr>
      <w:tr>
        <w:trPr>
          <w:trHeight w:val="284"/>
        </w:trPr>
        <w:tc>
          <w:tcPr>
            <w:tcW w:w="60" w:type="dxa"/>
            <w:vAlign w:val="bottom"/>
            <w:shd w:val="clear" w:color="auto" w:fill="CCEEFF"/>
          </w:tcPr>
          <w:p>
            <w:pPr>
              <w:spacing w:after="0"/>
              <w:rPr>
                <w:sz w:val="24"/>
                <w:szCs w:val="24"/>
                <w:color w:val="auto"/>
              </w:rPr>
            </w:pPr>
          </w:p>
        </w:tc>
        <w:tc>
          <w:tcPr>
            <w:tcW w:w="2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r>
      <w:tr>
        <w:trPr>
          <w:trHeight w:val="243"/>
        </w:trPr>
        <w:tc>
          <w:tcPr>
            <w:tcW w:w="60" w:type="dxa"/>
            <w:vAlign w:val="bottom"/>
          </w:tcPr>
          <w:p>
            <w:pPr>
              <w:spacing w:after="0"/>
              <w:rPr>
                <w:sz w:val="21"/>
                <w:szCs w:val="21"/>
                <w:color w:val="auto"/>
              </w:rPr>
            </w:pPr>
          </w:p>
        </w:tc>
        <w:tc>
          <w:tcPr>
            <w:tcW w:w="9120" w:type="dxa"/>
            <w:vAlign w:val="bottom"/>
            <w:gridSpan w:val="3"/>
          </w:tcPr>
          <w:p>
            <w:pPr>
              <w:ind w:left="140"/>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spacing w:after="0"/>
              <w:rPr>
                <w:sz w:val="21"/>
                <w:szCs w:val="21"/>
                <w:color w:val="auto"/>
              </w:rPr>
            </w:pPr>
          </w:p>
        </w:tc>
        <w:tc>
          <w:tcPr>
            <w:tcW w:w="1980" w:type="dxa"/>
            <w:vAlign w:val="bottom"/>
          </w:tcPr>
          <w:p>
            <w:pPr>
              <w:jc w:val="right"/>
              <w:ind w:right="90"/>
              <w:spacing w:after="0"/>
              <w:rPr>
                <w:sz w:val="20"/>
                <w:szCs w:val="20"/>
                <w:color w:val="auto"/>
              </w:rPr>
            </w:pPr>
            <w:r>
              <w:rPr>
                <w:rFonts w:ascii="Arial" w:cs="Arial" w:eastAsia="Arial" w:hAnsi="Arial"/>
                <w:sz w:val="18"/>
                <w:szCs w:val="18"/>
                <w:color w:val="auto"/>
              </w:rPr>
              <w:t>8,183</w:t>
            </w:r>
          </w:p>
        </w:tc>
      </w:tr>
      <w:tr>
        <w:trPr>
          <w:trHeight w:val="27"/>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70"/>
        </w:trPr>
        <w:tc>
          <w:tcPr>
            <w:tcW w:w="60" w:type="dxa"/>
            <w:vAlign w:val="bottom"/>
            <w:tcBorders>
              <w:bottom w:val="single" w:sz="8" w:color="CCEEFF"/>
            </w:tcBorders>
            <w:shd w:val="clear" w:color="auto" w:fill="CCEEFF"/>
          </w:tcPr>
          <w:p>
            <w:pPr>
              <w:spacing w:after="0"/>
              <w:rPr>
                <w:sz w:val="23"/>
                <w:szCs w:val="23"/>
                <w:color w:val="auto"/>
              </w:rPr>
            </w:pPr>
          </w:p>
        </w:tc>
        <w:tc>
          <w:tcPr>
            <w:tcW w:w="91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Other deferred credits and other long-term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65,791</w:t>
            </w:r>
          </w:p>
        </w:tc>
      </w:tr>
      <w:tr>
        <w:trPr>
          <w:trHeight w:val="297"/>
        </w:trPr>
        <w:tc>
          <w:tcPr>
            <w:tcW w:w="9180" w:type="dxa"/>
            <w:vAlign w:val="bottom"/>
            <w:tcBorders>
              <w:bottom w:val="single" w:sz="8" w:color="CCEEFF"/>
            </w:tcBorders>
            <w:gridSpan w:val="4"/>
          </w:tcPr>
          <w:p>
            <w:pPr>
              <w:ind w:left="40"/>
              <w:spacing w:after="0"/>
              <w:rPr>
                <w:sz w:val="20"/>
                <w:szCs w:val="20"/>
                <w:color w:val="auto"/>
              </w:rPr>
            </w:pPr>
            <w:r>
              <w:rPr>
                <w:rFonts w:ascii="Arial" w:cs="Arial" w:eastAsia="Arial" w:hAnsi="Arial"/>
                <w:sz w:val="18"/>
                <w:szCs w:val="18"/>
                <w:color w:val="auto"/>
              </w:rPr>
              <w:t>Total operating lease liabilities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73,974</w:t>
            </w:r>
          </w:p>
        </w:tc>
      </w:tr>
      <w:tr>
        <w:trPr>
          <w:trHeight w:val="284"/>
        </w:trPr>
        <w:tc>
          <w:tcPr>
            <w:tcW w:w="60" w:type="dxa"/>
            <w:vAlign w:val="bottom"/>
            <w:shd w:val="clear" w:color="auto" w:fill="CCEEFF"/>
          </w:tcPr>
          <w:p>
            <w:pPr>
              <w:spacing w:after="0"/>
              <w:rPr>
                <w:sz w:val="24"/>
                <w:szCs w:val="24"/>
                <w:color w:val="auto"/>
              </w:rPr>
            </w:pPr>
          </w:p>
        </w:tc>
        <w:tc>
          <w:tcPr>
            <w:tcW w:w="2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r>
      <w:tr>
        <w:trPr>
          <w:trHeight w:val="243"/>
        </w:trPr>
        <w:tc>
          <w:tcPr>
            <w:tcW w:w="9180" w:type="dxa"/>
            <w:vAlign w:val="bottom"/>
            <w:gridSpan w:val="4"/>
          </w:tcPr>
          <w:p>
            <w:pPr>
              <w:ind w:left="40"/>
              <w:spacing w:after="0"/>
              <w:rPr>
                <w:sz w:val="20"/>
                <w:szCs w:val="20"/>
                <w:color w:val="auto"/>
              </w:rPr>
            </w:pPr>
            <w:r>
              <w:rPr>
                <w:rFonts w:ascii="Arial" w:cs="Arial" w:eastAsia="Arial" w:hAnsi="Arial"/>
                <w:sz w:val="18"/>
                <w:szCs w:val="18"/>
                <w:color w:val="auto"/>
              </w:rPr>
              <w:t>Finance leases:</w:t>
            </w:r>
          </w:p>
        </w:tc>
        <w:tc>
          <w:tcPr>
            <w:tcW w:w="260" w:type="dxa"/>
            <w:vAlign w:val="bottom"/>
          </w:tcPr>
          <w:p>
            <w:pPr>
              <w:spacing w:after="0"/>
              <w:rPr>
                <w:sz w:val="21"/>
                <w:szCs w:val="21"/>
                <w:color w:val="auto"/>
              </w:rPr>
            </w:pPr>
          </w:p>
        </w:tc>
        <w:tc>
          <w:tcPr>
            <w:tcW w:w="198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64"/>
        </w:trPr>
        <w:tc>
          <w:tcPr>
            <w:tcW w:w="60" w:type="dxa"/>
            <w:vAlign w:val="bottom"/>
            <w:tcBorders>
              <w:bottom w:val="single" w:sz="8" w:color="CCEEFF"/>
            </w:tcBorders>
            <w:shd w:val="clear" w:color="auto" w:fill="CCEEFF"/>
          </w:tcPr>
          <w:p>
            <w:pPr>
              <w:spacing w:after="0"/>
              <w:rPr>
                <w:sz w:val="22"/>
                <w:szCs w:val="22"/>
                <w:color w:val="auto"/>
              </w:rPr>
            </w:pPr>
          </w:p>
        </w:tc>
        <w:tc>
          <w:tcPr>
            <w:tcW w:w="91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Other property and investments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788</w:t>
            </w: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284"/>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91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256</w:t>
            </w:r>
          </w:p>
        </w:tc>
      </w:tr>
      <w:tr>
        <w:trPr>
          <w:trHeight w:val="243"/>
        </w:trPr>
        <w:tc>
          <w:tcPr>
            <w:tcW w:w="60" w:type="dxa"/>
            <w:vAlign w:val="bottom"/>
          </w:tcPr>
          <w:p>
            <w:pPr>
              <w:spacing w:after="0"/>
              <w:rPr>
                <w:sz w:val="21"/>
                <w:szCs w:val="21"/>
                <w:color w:val="auto"/>
              </w:rPr>
            </w:pPr>
          </w:p>
        </w:tc>
        <w:tc>
          <w:tcPr>
            <w:tcW w:w="9120" w:type="dxa"/>
            <w:vAlign w:val="bottom"/>
            <w:gridSpan w:val="3"/>
          </w:tcPr>
          <w:p>
            <w:pPr>
              <w:ind w:left="140"/>
              <w:spacing w:after="0"/>
              <w:rPr>
                <w:sz w:val="20"/>
                <w:szCs w:val="20"/>
                <w:color w:val="auto"/>
              </w:rPr>
            </w:pPr>
            <w:r>
              <w:rPr>
                <w:rFonts w:ascii="Arial" w:cs="Arial" w:eastAsia="Arial" w:hAnsi="Arial"/>
                <w:sz w:val="18"/>
                <w:szCs w:val="18"/>
                <w:color w:val="auto"/>
              </w:rPr>
              <w:t>Other deferred credits and other long-term liabilities</w:t>
            </w:r>
          </w:p>
        </w:tc>
        <w:tc>
          <w:tcPr>
            <w:tcW w:w="260" w:type="dxa"/>
            <w:vAlign w:val="bottom"/>
          </w:tcPr>
          <w:p>
            <w:pPr>
              <w:spacing w:after="0"/>
              <w:rPr>
                <w:sz w:val="21"/>
                <w:szCs w:val="21"/>
                <w:color w:val="auto"/>
              </w:rPr>
            </w:pPr>
          </w:p>
        </w:tc>
        <w:tc>
          <w:tcPr>
            <w:tcW w:w="1980" w:type="dxa"/>
            <w:vAlign w:val="bottom"/>
          </w:tcPr>
          <w:p>
            <w:pPr>
              <w:jc w:val="right"/>
              <w:ind w:right="90"/>
              <w:spacing w:after="0"/>
              <w:rPr>
                <w:sz w:val="20"/>
                <w:szCs w:val="20"/>
                <w:color w:val="auto"/>
              </w:rPr>
            </w:pPr>
            <w:r>
              <w:rPr>
                <w:rFonts w:ascii="Arial" w:cs="Arial" w:eastAsia="Arial" w:hAnsi="Arial"/>
                <w:sz w:val="18"/>
                <w:szCs w:val="18"/>
                <w:color w:val="auto"/>
              </w:rPr>
              <w:t>400</w:t>
            </w:r>
          </w:p>
        </w:tc>
      </w:tr>
      <w:tr>
        <w:trPr>
          <w:trHeight w:val="27"/>
        </w:trPr>
        <w:tc>
          <w:tcPr>
            <w:tcW w:w="60" w:type="dxa"/>
            <w:vAlign w:val="bottom"/>
            <w:tcBorders>
              <w:bottom w:val="single" w:sz="8" w:color="CCEEFF"/>
            </w:tcBorders>
          </w:tcPr>
          <w:p>
            <w:pPr>
              <w:spacing w:after="0"/>
              <w:rPr>
                <w:sz w:val="2"/>
                <w:szCs w:val="2"/>
                <w:color w:val="auto"/>
              </w:rPr>
            </w:pPr>
          </w:p>
        </w:tc>
        <w:tc>
          <w:tcPr>
            <w:tcW w:w="28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57"/>
        </w:trPr>
        <w:tc>
          <w:tcPr>
            <w:tcW w:w="9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finance lease liabilities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656</w:t>
            </w: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284"/>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50"/>
        </w:trPr>
        <w:tc>
          <w:tcPr>
            <w:tcW w:w="9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Weighted average remaining lease term (in years)</w:t>
            </w:r>
          </w:p>
        </w:tc>
        <w:tc>
          <w:tcPr>
            <w:tcW w:w="26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9120" w:type="dxa"/>
            <w:vAlign w:val="bottom"/>
            <w:gridSpan w:val="3"/>
          </w:tcPr>
          <w:p>
            <w:pPr>
              <w:ind w:left="140"/>
              <w:spacing w:after="0"/>
              <w:rPr>
                <w:sz w:val="20"/>
                <w:szCs w:val="20"/>
                <w:color w:val="auto"/>
              </w:rPr>
            </w:pPr>
            <w:r>
              <w:rPr>
                <w:rFonts w:ascii="Arial" w:cs="Arial" w:eastAsia="Arial" w:hAnsi="Arial"/>
                <w:sz w:val="18"/>
                <w:szCs w:val="18"/>
                <w:color w:val="auto"/>
              </w:rPr>
              <w:t>Operating leases</w:t>
            </w:r>
          </w:p>
        </w:tc>
        <w:tc>
          <w:tcPr>
            <w:tcW w:w="260" w:type="dxa"/>
            <w:vAlign w:val="bottom"/>
          </w:tcPr>
          <w:p>
            <w:pPr>
              <w:spacing w:after="0"/>
              <w:rPr>
                <w:sz w:val="21"/>
                <w:szCs w:val="21"/>
                <w:color w:val="auto"/>
              </w:rPr>
            </w:pPr>
          </w:p>
        </w:tc>
        <w:tc>
          <w:tcPr>
            <w:tcW w:w="1980" w:type="dxa"/>
            <w:vAlign w:val="bottom"/>
          </w:tcPr>
          <w:p>
            <w:pPr>
              <w:jc w:val="right"/>
              <w:ind w:right="90"/>
              <w:spacing w:after="0"/>
              <w:rPr>
                <w:sz w:val="20"/>
                <w:szCs w:val="20"/>
                <w:color w:val="auto"/>
              </w:rPr>
            </w:pPr>
            <w:r>
              <w:rPr>
                <w:rFonts w:ascii="Arial" w:cs="Arial" w:eastAsia="Arial" w:hAnsi="Arial"/>
                <w:sz w:val="18"/>
                <w:szCs w:val="18"/>
                <w:color w:val="auto"/>
              </w:rPr>
              <w:t>9.43</w:t>
            </w:r>
          </w:p>
        </w:tc>
      </w:tr>
      <w:tr>
        <w:trPr>
          <w:trHeight w:val="27"/>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91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26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1.79</w:t>
            </w:r>
          </w:p>
        </w:tc>
      </w:tr>
      <w:tr>
        <w:trPr>
          <w:trHeight w:val="297"/>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50"/>
        </w:trPr>
        <w:tc>
          <w:tcPr>
            <w:tcW w:w="91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Weighted average discount rate</w:t>
            </w:r>
          </w:p>
        </w:tc>
        <w:tc>
          <w:tcPr>
            <w:tcW w:w="26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9120" w:type="dxa"/>
            <w:vAlign w:val="bottom"/>
            <w:gridSpan w:val="3"/>
          </w:tcPr>
          <w:p>
            <w:pPr>
              <w:ind w:left="140"/>
              <w:spacing w:after="0"/>
              <w:rPr>
                <w:sz w:val="20"/>
                <w:szCs w:val="20"/>
                <w:color w:val="auto"/>
              </w:rPr>
            </w:pPr>
            <w:r>
              <w:rPr>
                <w:rFonts w:ascii="Arial" w:cs="Arial" w:eastAsia="Arial" w:hAnsi="Arial"/>
                <w:sz w:val="18"/>
                <w:szCs w:val="18"/>
                <w:color w:val="auto"/>
              </w:rPr>
              <w:t>Operating leases</w:t>
            </w:r>
          </w:p>
        </w:tc>
        <w:tc>
          <w:tcPr>
            <w:tcW w:w="26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4.08%</w:t>
            </w:r>
          </w:p>
        </w:tc>
      </w:tr>
      <w:tr>
        <w:trPr>
          <w:trHeight w:val="27"/>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91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26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r>
      <w:tr>
        <w:trPr>
          <w:trHeight w:val="945"/>
        </w:trPr>
        <w:tc>
          <w:tcPr>
            <w:tcW w:w="9180" w:type="dxa"/>
            <w:vAlign w:val="bottom"/>
            <w:gridSpan w:val="4"/>
          </w:tcPr>
          <w:p>
            <w:pPr>
              <w:ind w:left="5700"/>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24"/>
                <w:szCs w:val="24"/>
                <w:color w:val="auto"/>
              </w:rPr>
            </w:pPr>
          </w:p>
        </w:tc>
        <w:tc>
          <w:tcPr>
            <w:tcW w:w="198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69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3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60" w:type="dxa"/>
            <w:vAlign w:val="bottom"/>
          </w:tcPr>
          <w:p>
            <w:pPr>
              <w:spacing w:after="0"/>
              <w:rPr>
                <w:sz w:val="21"/>
                <w:szCs w:val="21"/>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4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September 30, 2019</w:t>
            </w:r>
          </w:p>
        </w:tc>
      </w:tr>
      <w:tr>
        <w:trPr>
          <w:trHeight w:val="20"/>
        </w:trPr>
        <w:tc>
          <w:tcPr>
            <w:tcW w:w="60" w:type="dxa"/>
            <w:vAlign w:val="bottom"/>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c>
          <w:tcPr>
            <w:tcW w:w="4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r>
        <w:trPr>
          <w:trHeight w:val="939"/>
        </w:trPr>
        <w:tc>
          <w:tcPr>
            <w:tcW w:w="6980" w:type="dxa"/>
            <w:vAlign w:val="bottom"/>
            <w:gridSpan w:val="4"/>
          </w:tcPr>
          <w:p>
            <w:pPr>
              <w:spacing w:after="0"/>
              <w:rPr>
                <w:sz w:val="20"/>
                <w:szCs w:val="20"/>
                <w:color w:val="auto"/>
              </w:rPr>
            </w:pPr>
            <w:r>
              <w:rPr>
                <w:rFonts w:ascii="Arial" w:cs="Arial" w:eastAsia="Arial" w:hAnsi="Arial"/>
                <w:sz w:val="18"/>
                <w:szCs w:val="18"/>
                <w:color w:val="auto"/>
              </w:rPr>
              <w:t>The following are schedules of maturities of lease liabilities as of September 30, 2019:</w:t>
            </w: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486"/>
        </w:trPr>
        <w:tc>
          <w:tcPr>
            <w:tcW w:w="6980" w:type="dxa"/>
            <w:vAlign w:val="bottom"/>
            <w:gridSpan w:val="4"/>
          </w:tcPr>
          <w:p>
            <w:pPr>
              <w:ind w:left="40"/>
              <w:spacing w:after="0"/>
              <w:rPr>
                <w:sz w:val="20"/>
                <w:szCs w:val="20"/>
                <w:color w:val="auto"/>
              </w:rPr>
            </w:pPr>
            <w:r>
              <w:rPr>
                <w:rFonts w:ascii="Arial" w:cs="Arial" w:eastAsia="Arial" w:hAnsi="Arial"/>
                <w:sz w:val="18"/>
                <w:szCs w:val="18"/>
                <w:color w:val="auto"/>
              </w:rPr>
              <w:t>(Thousands of dollars)</w:t>
            </w: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Pr>
          <w:p>
            <w:pPr>
              <w:jc w:val="right"/>
              <w:ind w:right="390"/>
              <w:spacing w:after="0"/>
              <w:rPr>
                <w:sz w:val="20"/>
                <w:szCs w:val="20"/>
                <w:color w:val="auto"/>
              </w:rPr>
            </w:pPr>
            <w:r>
              <w:rPr>
                <w:rFonts w:ascii="Arial" w:cs="Arial" w:eastAsia="Arial" w:hAnsi="Arial"/>
                <w:sz w:val="18"/>
                <w:szCs w:val="18"/>
                <w:color w:val="auto"/>
                <w:w w:val="99"/>
              </w:rPr>
              <w:t>Operating leases</w:t>
            </w:r>
          </w:p>
        </w:tc>
      </w:tr>
      <w:tr>
        <w:trPr>
          <w:trHeight w:val="27"/>
        </w:trPr>
        <w:tc>
          <w:tcPr>
            <w:tcW w:w="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Southwest:</w:t>
            </w:r>
          </w:p>
        </w:tc>
        <w:tc>
          <w:tcPr>
            <w:tcW w:w="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43"/>
        </w:trPr>
        <w:tc>
          <w:tcPr>
            <w:tcW w:w="286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946</w:t>
            </w:r>
          </w:p>
        </w:tc>
      </w:tr>
      <w:tr>
        <w:trPr>
          <w:trHeight w:val="27"/>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4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548</w:t>
            </w:r>
          </w:p>
        </w:tc>
      </w:tr>
      <w:tr>
        <w:trPr>
          <w:trHeight w:val="243"/>
        </w:trPr>
        <w:tc>
          <w:tcPr>
            <w:tcW w:w="2860" w:type="dxa"/>
            <w:vAlign w:val="bottom"/>
            <w:gridSpan w:val="2"/>
          </w:tcPr>
          <w:p>
            <w:pPr>
              <w:ind w:left="4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244</w:t>
            </w:r>
          </w:p>
        </w:tc>
      </w:tr>
      <w:tr>
        <w:trPr>
          <w:trHeight w:val="27"/>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4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r>
      <w:tr>
        <w:trPr>
          <w:trHeight w:val="243"/>
        </w:trPr>
        <w:tc>
          <w:tcPr>
            <w:tcW w:w="2860" w:type="dxa"/>
            <w:vAlign w:val="bottom"/>
            <w:gridSpan w:val="2"/>
          </w:tcPr>
          <w:p>
            <w:pPr>
              <w:ind w:left="4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79</w:t>
            </w:r>
          </w:p>
        </w:tc>
      </w:tr>
      <w:tr>
        <w:trPr>
          <w:trHeight w:val="27"/>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69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w:t>
            </w:r>
          </w:p>
        </w:tc>
      </w:tr>
      <w:tr>
        <w:trPr>
          <w:trHeight w:val="237"/>
        </w:trPr>
        <w:tc>
          <w:tcPr>
            <w:tcW w:w="60" w:type="dxa"/>
            <w:vAlign w:val="bottom"/>
          </w:tcPr>
          <w:p>
            <w:pPr>
              <w:spacing w:after="0"/>
              <w:rPr>
                <w:sz w:val="20"/>
                <w:szCs w:val="20"/>
                <w:color w:val="auto"/>
              </w:rPr>
            </w:pPr>
          </w:p>
        </w:tc>
        <w:tc>
          <w:tcPr>
            <w:tcW w:w="6920" w:type="dxa"/>
            <w:vAlign w:val="bottom"/>
            <w:gridSpan w:val="3"/>
          </w:tcPr>
          <w:p>
            <w:pPr>
              <w:ind w:left="140"/>
              <w:spacing w:after="0"/>
              <w:rPr>
                <w:sz w:val="20"/>
                <w:szCs w:val="20"/>
                <w:color w:val="auto"/>
              </w:rPr>
            </w:pPr>
            <w:r>
              <w:rPr>
                <w:rFonts w:ascii="Arial" w:cs="Arial" w:eastAsia="Arial" w:hAnsi="Arial"/>
                <w:sz w:val="18"/>
                <w:szCs w:val="18"/>
                <w:color w:val="auto"/>
              </w:rPr>
              <w:t>Total lease payments</w:t>
            </w:r>
          </w:p>
        </w:tc>
        <w:tc>
          <w:tcPr>
            <w:tcW w:w="3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2,163</w:t>
            </w:r>
          </w:p>
        </w:tc>
      </w:tr>
      <w:tr>
        <w:trPr>
          <w:trHeight w:val="27"/>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69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Less imputed interest</w:t>
            </w:r>
          </w:p>
        </w:tc>
        <w:tc>
          <w:tcPr>
            <w:tcW w:w="3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w:t>
            </w:r>
          </w:p>
        </w:tc>
      </w:tr>
      <w:tr>
        <w:trPr>
          <w:trHeight w:val="257"/>
        </w:trPr>
        <w:tc>
          <w:tcPr>
            <w:tcW w:w="60" w:type="dxa"/>
            <w:vAlign w:val="bottom"/>
          </w:tcPr>
          <w:p>
            <w:pPr>
              <w:spacing w:after="0"/>
              <w:rPr>
                <w:sz w:val="22"/>
                <w:szCs w:val="22"/>
                <w:color w:val="auto"/>
              </w:rPr>
            </w:pPr>
          </w:p>
        </w:tc>
        <w:tc>
          <w:tcPr>
            <w:tcW w:w="6920" w:type="dxa"/>
            <w:vAlign w:val="bottom"/>
            <w:gridSpan w:val="3"/>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2,035</w:t>
            </w: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608"/>
        </w:trPr>
        <w:tc>
          <w:tcPr>
            <w:tcW w:w="6980" w:type="dxa"/>
            <w:vAlign w:val="bottom"/>
            <w:gridSpan w:val="4"/>
          </w:tcPr>
          <w:p>
            <w:pPr>
              <w:ind w:left="40"/>
              <w:spacing w:after="0"/>
              <w:rPr>
                <w:sz w:val="20"/>
                <w:szCs w:val="20"/>
                <w:color w:val="auto"/>
              </w:rPr>
            </w:pPr>
            <w:r>
              <w:rPr>
                <w:rFonts w:ascii="Arial" w:cs="Arial" w:eastAsia="Arial" w:hAnsi="Arial"/>
                <w:sz w:val="18"/>
                <w:szCs w:val="18"/>
                <w:color w:val="auto"/>
              </w:rPr>
              <w:t>(Thousands of dollars)</w:t>
            </w:r>
          </w:p>
        </w:tc>
        <w:tc>
          <w:tcPr>
            <w:tcW w:w="300" w:type="dxa"/>
            <w:vAlign w:val="bottom"/>
          </w:tcPr>
          <w:p>
            <w:pPr>
              <w:spacing w:after="0"/>
              <w:rPr>
                <w:sz w:val="24"/>
                <w:szCs w:val="24"/>
                <w:color w:val="auto"/>
              </w:rPr>
            </w:pPr>
          </w:p>
        </w:tc>
        <w:tc>
          <w:tcPr>
            <w:tcW w:w="1980" w:type="dxa"/>
            <w:vAlign w:val="bottom"/>
            <w:gridSpan w:val="2"/>
          </w:tcPr>
          <w:p>
            <w:pPr>
              <w:ind w:left="180"/>
              <w:spacing w:after="0"/>
              <w:rPr>
                <w:sz w:val="20"/>
                <w:szCs w:val="20"/>
                <w:color w:val="auto"/>
              </w:rPr>
            </w:pPr>
            <w:r>
              <w:rPr>
                <w:rFonts w:ascii="Arial" w:cs="Arial" w:eastAsia="Arial" w:hAnsi="Arial"/>
                <w:sz w:val="18"/>
                <w:szCs w:val="18"/>
                <w:color w:val="auto"/>
              </w:rPr>
              <w:t>Operating leases</w:t>
            </w:r>
          </w:p>
        </w:tc>
        <w:tc>
          <w:tcPr>
            <w:tcW w:w="300" w:type="dxa"/>
            <w:vAlign w:val="bottom"/>
          </w:tcPr>
          <w:p>
            <w:pPr>
              <w:spacing w:after="0"/>
              <w:rPr>
                <w:sz w:val="24"/>
                <w:szCs w:val="24"/>
                <w:color w:val="auto"/>
              </w:rPr>
            </w:pPr>
          </w:p>
        </w:tc>
        <w:tc>
          <w:tcPr>
            <w:tcW w:w="1860" w:type="dxa"/>
            <w:vAlign w:val="bottom"/>
          </w:tcPr>
          <w:p>
            <w:pPr>
              <w:jc w:val="right"/>
              <w:ind w:right="470"/>
              <w:spacing w:after="0"/>
              <w:rPr>
                <w:sz w:val="20"/>
                <w:szCs w:val="20"/>
                <w:color w:val="auto"/>
              </w:rPr>
            </w:pPr>
            <w:r>
              <w:rPr>
                <w:rFonts w:ascii="Arial" w:cs="Arial" w:eastAsia="Arial" w:hAnsi="Arial"/>
                <w:sz w:val="18"/>
                <w:szCs w:val="18"/>
                <w:color w:val="auto"/>
              </w:rPr>
              <w:t>Finance leases</w:t>
            </w:r>
          </w:p>
        </w:tc>
      </w:tr>
      <w:tr>
        <w:trPr>
          <w:trHeight w:val="27"/>
        </w:trPr>
        <w:tc>
          <w:tcPr>
            <w:tcW w:w="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Centuri:</w:t>
            </w:r>
          </w:p>
        </w:tc>
        <w:tc>
          <w:tcPr>
            <w:tcW w:w="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43"/>
        </w:trPr>
        <w:tc>
          <w:tcPr>
            <w:tcW w:w="286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11,336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289</w:t>
            </w:r>
          </w:p>
        </w:tc>
      </w:tr>
      <w:tr>
        <w:trPr>
          <w:trHeight w:val="27"/>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4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w:t>
            </w:r>
          </w:p>
        </w:tc>
      </w:tr>
      <w:tr>
        <w:trPr>
          <w:trHeight w:val="243"/>
        </w:trPr>
        <w:tc>
          <w:tcPr>
            <w:tcW w:w="2860" w:type="dxa"/>
            <w:vAlign w:val="bottom"/>
            <w:gridSpan w:val="2"/>
          </w:tcPr>
          <w:p>
            <w:pPr>
              <w:ind w:left="4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9,675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165</w:t>
            </w:r>
          </w:p>
        </w:tc>
      </w:tr>
      <w:tr>
        <w:trPr>
          <w:trHeight w:val="27"/>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2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40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r>
      <w:tr>
        <w:trPr>
          <w:trHeight w:val="243"/>
        </w:trPr>
        <w:tc>
          <w:tcPr>
            <w:tcW w:w="2860" w:type="dxa"/>
            <w:vAlign w:val="bottom"/>
            <w:gridSpan w:val="2"/>
          </w:tcPr>
          <w:p>
            <w:pPr>
              <w:ind w:left="4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6,973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69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45,564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0" w:type="dxa"/>
            <w:vAlign w:val="bottom"/>
          </w:tcPr>
          <w:p>
            <w:pPr>
              <w:spacing w:after="0"/>
              <w:rPr>
                <w:sz w:val="20"/>
                <w:szCs w:val="20"/>
                <w:color w:val="auto"/>
              </w:rPr>
            </w:pPr>
          </w:p>
        </w:tc>
        <w:tc>
          <w:tcPr>
            <w:tcW w:w="6920" w:type="dxa"/>
            <w:vAlign w:val="bottom"/>
            <w:gridSpan w:val="3"/>
          </w:tcPr>
          <w:p>
            <w:pPr>
              <w:ind w:left="140"/>
              <w:spacing w:after="0"/>
              <w:rPr>
                <w:sz w:val="20"/>
                <w:szCs w:val="20"/>
                <w:color w:val="auto"/>
              </w:rPr>
            </w:pPr>
            <w:r>
              <w:rPr>
                <w:rFonts w:ascii="Arial" w:cs="Arial" w:eastAsia="Arial" w:hAnsi="Arial"/>
                <w:sz w:val="18"/>
                <w:szCs w:val="18"/>
                <w:color w:val="auto"/>
              </w:rPr>
              <w:t>Total lease payments</w:t>
            </w:r>
          </w:p>
        </w:tc>
        <w:tc>
          <w:tcPr>
            <w:tcW w:w="30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92,156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726</w:t>
            </w:r>
          </w:p>
        </w:tc>
      </w:tr>
      <w:tr>
        <w:trPr>
          <w:trHeight w:val="27"/>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70"/>
        </w:trPr>
        <w:tc>
          <w:tcPr>
            <w:tcW w:w="698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Less imputed interest</w:t>
            </w:r>
          </w:p>
        </w:tc>
        <w:tc>
          <w:tcPr>
            <w:tcW w:w="3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18,182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r>
      <w:tr>
        <w:trPr>
          <w:trHeight w:val="257"/>
        </w:trPr>
        <w:tc>
          <w:tcPr>
            <w:tcW w:w="60" w:type="dxa"/>
            <w:vAlign w:val="bottom"/>
          </w:tcPr>
          <w:p>
            <w:pPr>
              <w:spacing w:after="0"/>
              <w:rPr>
                <w:sz w:val="22"/>
                <w:szCs w:val="22"/>
                <w:color w:val="auto"/>
              </w:rPr>
            </w:pPr>
          </w:p>
        </w:tc>
        <w:tc>
          <w:tcPr>
            <w:tcW w:w="6920" w:type="dxa"/>
            <w:vAlign w:val="bottom"/>
            <w:gridSpan w:val="3"/>
          </w:tcPr>
          <w:p>
            <w:pPr>
              <w:ind w:left="14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73,974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656</w:t>
            </w: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As the Company and Southwest adopted Topic 842 using the optional transition method referred to in </w:t>
      </w:r>
      <w:r>
        <w:rPr>
          <w:rFonts w:ascii="Arial" w:cs="Arial" w:eastAsia="Arial" w:hAnsi="Arial"/>
          <w:sz w:val="18"/>
          <w:szCs w:val="18"/>
          <w:b w:val="1"/>
          <w:bCs w:val="1"/>
          <w:color w:val="auto"/>
        </w:rPr>
        <w:t>Note 1 – Background, Organization, and Summary</w:t>
      </w:r>
      <w:r>
        <w:rPr>
          <w:rFonts w:ascii="Arial" w:cs="Arial" w:eastAsia="Arial" w:hAnsi="Arial"/>
          <w:sz w:val="18"/>
          <w:szCs w:val="18"/>
          <w:color w:val="auto"/>
        </w:rPr>
        <w:t xml:space="preserve"> </w:t>
      </w:r>
      <w:r>
        <w:rPr>
          <w:rFonts w:ascii="Arial" w:cs="Arial" w:eastAsia="Arial" w:hAnsi="Arial"/>
          <w:sz w:val="18"/>
          <w:szCs w:val="18"/>
          <w:b w:val="1"/>
          <w:bCs w:val="1"/>
          <w:color w:val="auto"/>
        </w:rPr>
        <w:t>of Significant Accounting Policies</w:t>
      </w:r>
      <w:r>
        <w:rPr>
          <w:rFonts w:ascii="Arial" w:cs="Arial" w:eastAsia="Arial" w:hAnsi="Arial"/>
          <w:sz w:val="18"/>
          <w:szCs w:val="18"/>
          <w:color w:val="auto"/>
        </w:rPr>
        <w:t>, the recent annual disclosure of rental and lease payments as of December 31, 2018 in accordance with Topic 840 is</w:t>
      </w:r>
      <w:r>
        <w:rPr>
          <w:rFonts w:ascii="Arial" w:cs="Arial" w:eastAsia="Arial" w:hAnsi="Arial"/>
          <w:sz w:val="18"/>
          <w:szCs w:val="18"/>
          <w:b w:val="1"/>
          <w:bCs w:val="1"/>
          <w:color w:val="auto"/>
        </w:rPr>
        <w:t xml:space="preserve"> </w:t>
      </w:r>
      <w:r>
        <w:rPr>
          <w:rFonts w:ascii="Arial" w:cs="Arial" w:eastAsia="Arial" w:hAnsi="Arial"/>
          <w:sz w:val="18"/>
          <w:szCs w:val="18"/>
          <w:color w:val="auto"/>
        </w:rPr>
        <w:t>presented in the table below (thousands of dollars):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2018</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2017</w:t>
            </w:r>
          </w:p>
        </w:tc>
      </w:tr>
      <w:tr>
        <w:trPr>
          <w:trHeight w:val="27"/>
        </w:trPr>
        <w:tc>
          <w:tcPr>
            <w:tcW w:w="8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Southwest Gas Corporation</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Centuri</w:t>
            </w: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59,491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62,310</w:t>
            </w:r>
          </w:p>
        </w:tc>
      </w:tr>
      <w:tr>
        <w:trPr>
          <w:trHeight w:val="27"/>
        </w:trPr>
        <w:tc>
          <w:tcPr>
            <w:tcW w:w="8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rental payments/lease expense</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64,047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67,236</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is a schedule of future minimum lease payments for operating leases (with initial or remaining terms in excess of one year) as of December 31, 2018 (thousands of dollars):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Southwest</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Centuri</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190"/>
              <w:spacing w:after="0"/>
              <w:rPr>
                <w:sz w:val="20"/>
                <w:szCs w:val="20"/>
                <w:color w:val="auto"/>
              </w:rPr>
            </w:pPr>
            <w:r>
              <w:rPr>
                <w:rFonts w:ascii="Arial" w:cs="Arial" w:eastAsia="Arial" w:hAnsi="Arial"/>
                <w:sz w:val="18"/>
                <w:szCs w:val="18"/>
                <w:color w:val="auto"/>
                <w:w w:val="95"/>
              </w:rPr>
              <w:t>Consolidated Total</w:t>
            </w:r>
          </w:p>
        </w:tc>
      </w:tr>
      <w:tr>
        <w:trPr>
          <w:trHeight w:val="27"/>
        </w:trPr>
        <w:tc>
          <w:tcPr>
            <w:tcW w:w="5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2019</w:t>
            </w:r>
          </w:p>
        </w:tc>
        <w:tc>
          <w:tcPr>
            <w:tcW w:w="1400" w:type="dxa"/>
            <w:vAlign w:val="bottom"/>
            <w:tcBorders>
              <w:bottom w:val="single" w:sz="8" w:color="CCEEFF"/>
            </w:tcBorders>
            <w:shd w:val="clear" w:color="auto" w:fill="CCEEFF"/>
          </w:tcPr>
          <w:p>
            <w:pPr>
              <w:jc w:val="right"/>
              <w:ind w:right="119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898</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10,053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10,951</w:t>
            </w:r>
          </w:p>
        </w:tc>
      </w:tr>
      <w:tr>
        <w:trPr>
          <w:trHeight w:val="243"/>
        </w:trPr>
        <w:tc>
          <w:tcPr>
            <w:tcW w:w="5380" w:type="dxa"/>
            <w:vAlign w:val="bottom"/>
          </w:tcPr>
          <w:p>
            <w:pPr>
              <w:jc w:val="right"/>
              <w:ind w:right="50"/>
              <w:spacing w:after="0"/>
              <w:rPr>
                <w:sz w:val="20"/>
                <w:szCs w:val="20"/>
                <w:color w:val="auto"/>
              </w:rPr>
            </w:pPr>
            <w:r>
              <w:rPr>
                <w:rFonts w:ascii="Arial" w:cs="Arial" w:eastAsia="Arial" w:hAnsi="Arial"/>
                <w:sz w:val="18"/>
                <w:szCs w:val="18"/>
                <w:color w:val="auto"/>
              </w:rPr>
              <w:t>2020</w:t>
            </w:r>
          </w:p>
        </w:tc>
        <w:tc>
          <w:tcPr>
            <w:tcW w:w="140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7,656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8,019</w:t>
            </w:r>
          </w:p>
        </w:tc>
      </w:tr>
      <w:tr>
        <w:trPr>
          <w:trHeight w:val="27"/>
        </w:trPr>
        <w:tc>
          <w:tcPr>
            <w:tcW w:w="5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2021</w:t>
            </w:r>
          </w:p>
        </w:tc>
        <w:tc>
          <w:tcPr>
            <w:tcW w:w="14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6,059</w:t>
            </w:r>
          </w:p>
        </w:tc>
      </w:tr>
      <w:tr>
        <w:trPr>
          <w:trHeight w:val="243"/>
        </w:trPr>
        <w:tc>
          <w:tcPr>
            <w:tcW w:w="5380" w:type="dxa"/>
            <w:vAlign w:val="bottom"/>
          </w:tcPr>
          <w:p>
            <w:pPr>
              <w:jc w:val="right"/>
              <w:ind w:right="50"/>
              <w:spacing w:after="0"/>
              <w:rPr>
                <w:sz w:val="20"/>
                <w:szCs w:val="20"/>
                <w:color w:val="auto"/>
              </w:rPr>
            </w:pPr>
            <w:r>
              <w:rPr>
                <w:rFonts w:ascii="Arial" w:cs="Arial" w:eastAsia="Arial" w:hAnsi="Arial"/>
                <w:sz w:val="18"/>
                <w:szCs w:val="18"/>
                <w:color w:val="auto"/>
              </w:rPr>
              <w:t>2022</w:t>
            </w:r>
          </w:p>
        </w:tc>
        <w:tc>
          <w:tcPr>
            <w:tcW w:w="140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5,163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5,326</w:t>
            </w:r>
          </w:p>
        </w:tc>
      </w:tr>
      <w:tr>
        <w:trPr>
          <w:trHeight w:val="27"/>
        </w:trPr>
        <w:tc>
          <w:tcPr>
            <w:tcW w:w="5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2023</w:t>
            </w:r>
          </w:p>
        </w:tc>
        <w:tc>
          <w:tcPr>
            <w:tcW w:w="14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3,760</w:t>
            </w:r>
          </w:p>
        </w:tc>
      </w:tr>
      <w:tr>
        <w:trPr>
          <w:trHeight w:val="243"/>
        </w:trPr>
        <w:tc>
          <w:tcPr>
            <w:tcW w:w="5380" w:type="dxa"/>
            <w:vAlign w:val="bottom"/>
          </w:tcPr>
          <w:p>
            <w:pPr>
              <w:jc w:val="right"/>
              <w:ind w:right="4510"/>
              <w:spacing w:after="0"/>
              <w:rPr>
                <w:sz w:val="20"/>
                <w:szCs w:val="20"/>
                <w:color w:val="auto"/>
              </w:rPr>
            </w:pPr>
            <w:r>
              <w:rPr>
                <w:rFonts w:ascii="Arial" w:cs="Arial" w:eastAsia="Arial" w:hAnsi="Arial"/>
                <w:sz w:val="18"/>
                <w:szCs w:val="18"/>
                <w:color w:val="auto"/>
                <w:w w:val="91"/>
              </w:rPr>
              <w:t>Thereafter</w:t>
            </w:r>
          </w:p>
        </w:tc>
        <w:tc>
          <w:tcPr>
            <w:tcW w:w="140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w w:val="94"/>
              </w:rPr>
              <w:t>10,511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10,688</w:t>
            </w:r>
          </w:p>
        </w:tc>
      </w:tr>
      <w:tr>
        <w:trPr>
          <w:trHeight w:val="27"/>
        </w:trPr>
        <w:tc>
          <w:tcPr>
            <w:tcW w:w="538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jc w:val="right"/>
              <w:ind w:right="2850"/>
              <w:spacing w:after="0"/>
              <w:rPr>
                <w:sz w:val="20"/>
                <w:szCs w:val="20"/>
                <w:color w:val="auto"/>
              </w:rPr>
            </w:pPr>
            <w:r>
              <w:rPr>
                <w:rFonts w:ascii="Arial" w:cs="Arial" w:eastAsia="Arial" w:hAnsi="Arial"/>
                <w:sz w:val="18"/>
                <w:szCs w:val="18"/>
                <w:color w:val="auto"/>
                <w:w w:val="97"/>
              </w:rPr>
              <w:t>Total minimum lease payments</w:t>
            </w:r>
          </w:p>
        </w:tc>
        <w:tc>
          <w:tcPr>
            <w:tcW w:w="1400" w:type="dxa"/>
            <w:vAlign w:val="bottom"/>
            <w:tcBorders>
              <w:bottom w:val="single" w:sz="8" w:color="CCEEFF"/>
            </w:tcBorders>
            <w:shd w:val="clear" w:color="auto" w:fill="CCEEFF"/>
          </w:tcPr>
          <w:p>
            <w:pPr>
              <w:jc w:val="right"/>
              <w:ind w:right="119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1,979</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4"/>
              </w:rPr>
              <w:t>42,824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44,803</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Centuri leased certain construction equipment under capital leases arrangements which were not significant.</w:t>
      </w:r>
    </w:p>
    <w:p>
      <w:pPr>
        <w:sectPr>
          <w:pgSz w:w="11900" w:h="16838" w:orient="portrait"/>
          <w:cols w:equalWidth="0" w:num="1">
            <w:col w:w="11420"/>
          </w:cols>
          <w:pgMar w:left="240" w:top="270" w:right="239" w:bottom="1136"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270" w:right="239" w:bottom="1136" w:gutter="0" w:footer="0" w:header="0"/>
          <w:type w:val="continuous"/>
        </w:sectPr>
      </w:pPr>
    </w:p>
    <w:bookmarkStart w:id="24" w:name="page25"/>
    <w:bookmarkEnd w:id="24"/>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Derivatives</w:t>
      </w:r>
    </w:p>
    <w:p>
      <w:pPr>
        <w:spacing w:after="0" w:line="1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managing its natural gas supply portfolios, Southwest has historically entered into fixed- and variable-price contracts, which qualify as derivatives. Additionally, Southwest has utilized fixed-for-floating swap contracts (“Swaps”) to supplement its fixed-price contracts. The fixed-price contracts, firm commitments to purchase a fixed amount of gas in the future at a fixed price, qualify for the normal purchases and normal sales exception that is allowed for contracts that are probable of delivery in the normal course of business, and are exempt from fair value reporting. The variable-price contracts qualify as derivative instruments; however, because the contract prices are the prevailing prices at the future transaction dates, the contracts have no determinable fair value. The Swap contract prices are determined at the beginning of each month to reflect that month’s published first of month index price and are recorded at fair value. Southwest does not utilize derivative financial instruments for speculative purposes, nor does it have trading operations.</w:t>
      </w:r>
    </w:p>
    <w:p>
      <w:pPr>
        <w:spacing w:after="0" w:line="5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Southwest historically utilized fixed-price contracts and Swaps under its volatility mitigation programs to effectively fix the price on a portion of its natural gas supply portfolios. The maturities of the outstanding Swaps highly correlate to forecasted purchases of natural gas, with the longest maturity date of the Swaps being October 2020. Management does not currently anticipate entering into new Swaps in the near term. Regarding existing Swap arrangements, Southwest pays the counterparty a fixed rate and receives from the counterparty a floating rate per MMBtu (“dekatherm”) of natural gas. Only the net differential is paid or received. The differential is calculated based on the notional amounts under the contracts, which are detailed in the table below (thousands of dekatherms):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spacing w:after="0"/>
              <w:rPr>
                <w:sz w:val="20"/>
                <w:szCs w:val="20"/>
                <w:color w:val="auto"/>
              </w:rPr>
            </w:pPr>
          </w:p>
        </w:tc>
        <w:tc>
          <w:tcPr>
            <w:tcW w:w="2280" w:type="dxa"/>
            <w:vAlign w:val="bottom"/>
            <w:gridSpan w:val="2"/>
          </w:tcPr>
          <w:p>
            <w:pPr>
              <w:ind w:left="360"/>
              <w:spacing w:after="0"/>
              <w:rPr>
                <w:sz w:val="20"/>
                <w:szCs w:val="20"/>
                <w:color w:val="auto"/>
              </w:rPr>
            </w:pPr>
            <w:r>
              <w:rPr>
                <w:rFonts w:ascii="Arial" w:cs="Arial" w:eastAsia="Arial" w:hAnsi="Arial"/>
                <w:sz w:val="18"/>
                <w:szCs w:val="18"/>
                <w:color w:val="auto"/>
              </w:rPr>
              <w:t>September 30, 2019</w:t>
            </w:r>
          </w:p>
        </w:tc>
        <w:tc>
          <w:tcPr>
            <w:tcW w:w="2160" w:type="dxa"/>
            <w:vAlign w:val="bottom"/>
          </w:tcPr>
          <w:p>
            <w:pPr>
              <w:jc w:val="right"/>
              <w:ind w:right="290"/>
              <w:spacing w:after="0"/>
              <w:rPr>
                <w:sz w:val="20"/>
                <w:szCs w:val="20"/>
                <w:color w:val="auto"/>
              </w:rPr>
            </w:pPr>
            <w:r>
              <w:rPr>
                <w:rFonts w:ascii="Arial" w:cs="Arial" w:eastAsia="Arial" w:hAnsi="Arial"/>
                <w:sz w:val="18"/>
                <w:szCs w:val="18"/>
                <w:color w:val="auto"/>
              </w:rPr>
              <w:t>December 31, 2018</w:t>
            </w:r>
          </w:p>
        </w:tc>
      </w:tr>
      <w:tr>
        <w:trPr>
          <w:trHeight w:val="27"/>
        </w:trPr>
        <w:tc>
          <w:tcPr>
            <w:tcW w:w="698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notional amounts</w:t>
            </w:r>
          </w:p>
        </w:tc>
        <w:tc>
          <w:tcPr>
            <w:tcW w:w="2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16,071</w:t>
            </w: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13,387</w:t>
            </w:r>
          </w:p>
        </w:tc>
      </w:tr>
      <w:tr>
        <w:trPr>
          <w:trHeight w:val="20"/>
        </w:trPr>
        <w:tc>
          <w:tcPr>
            <w:tcW w:w="698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amounts Southwest paid to and received from counterparties for settlements of matured Swaps: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18"/>
                <w:szCs w:val="18"/>
                <w:color w:val="auto"/>
              </w:rPr>
            </w:pPr>
          </w:p>
        </w:tc>
        <w:tc>
          <w:tcPr>
            <w:tcW w:w="2040" w:type="dxa"/>
            <w:vAlign w:val="bottom"/>
            <w:gridSpan w:val="2"/>
          </w:tcPr>
          <w:p>
            <w:pPr>
              <w:ind w:left="120"/>
              <w:spacing w:after="0"/>
              <w:rPr>
                <w:sz w:val="20"/>
                <w:szCs w:val="20"/>
                <w:color w:val="auto"/>
              </w:rPr>
            </w:pPr>
            <w:r>
              <w:rPr>
                <w:rFonts w:ascii="Arial" w:cs="Arial" w:eastAsia="Arial" w:hAnsi="Arial"/>
                <w:sz w:val="18"/>
                <w:szCs w:val="18"/>
                <w:color w:val="auto"/>
              </w:rPr>
              <w:t>Nine Months Ended</w:t>
            </w:r>
          </w:p>
        </w:tc>
        <w:tc>
          <w:tcPr>
            <w:tcW w:w="200" w:type="dxa"/>
            <w:vAlign w:val="bottom"/>
          </w:tcPr>
          <w:p>
            <w:pPr>
              <w:spacing w:after="0"/>
              <w:rPr>
                <w:sz w:val="18"/>
                <w:szCs w:val="18"/>
                <w:color w:val="auto"/>
              </w:rPr>
            </w:pPr>
          </w:p>
        </w:tc>
        <w:tc>
          <w:tcPr>
            <w:tcW w:w="1960" w:type="dxa"/>
            <w:vAlign w:val="bottom"/>
          </w:tcPr>
          <w:p>
            <w:pPr>
              <w:jc w:val="right"/>
              <w:ind w:right="170"/>
              <w:spacing w:after="0"/>
              <w:rPr>
                <w:sz w:val="20"/>
                <w:szCs w:val="20"/>
                <w:color w:val="auto"/>
              </w:rPr>
            </w:pPr>
            <w:r>
              <w:rPr>
                <w:rFonts w:ascii="Arial" w:cs="Arial" w:eastAsia="Arial" w:hAnsi="Arial"/>
                <w:sz w:val="18"/>
                <w:szCs w:val="18"/>
                <w:color w:val="auto"/>
                <w:w w:val="94"/>
              </w:rPr>
              <w:t>Twelve Months Ended</w:t>
            </w: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220" w:type="dxa"/>
            <w:vAlign w:val="bottom"/>
          </w:tcPr>
          <w:p>
            <w:pPr>
              <w:spacing w:after="0"/>
              <w:rPr>
                <w:sz w:val="20"/>
                <w:szCs w:val="20"/>
                <w:color w:val="auto"/>
              </w:rPr>
            </w:pPr>
          </w:p>
        </w:tc>
        <w:tc>
          <w:tcPr>
            <w:tcW w:w="20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September 30, 2019</w:t>
            </w:r>
          </w:p>
        </w:tc>
        <w:tc>
          <w:tcPr>
            <w:tcW w:w="220" w:type="dxa"/>
            <w:vAlign w:val="bottom"/>
          </w:tcPr>
          <w:p>
            <w:pPr>
              <w:spacing w:after="0"/>
              <w:rPr>
                <w:sz w:val="20"/>
                <w:szCs w:val="20"/>
                <w:color w:val="auto"/>
              </w:rPr>
            </w:pPr>
          </w:p>
        </w:tc>
        <w:tc>
          <w:tcPr>
            <w:tcW w:w="2040" w:type="dxa"/>
            <w:vAlign w:val="bottom"/>
            <w:gridSpan w:val="2"/>
          </w:tcPr>
          <w:p>
            <w:pPr>
              <w:ind w:left="120"/>
              <w:spacing w:after="0"/>
              <w:rPr>
                <w:sz w:val="20"/>
                <w:szCs w:val="20"/>
                <w:color w:val="auto"/>
              </w:rPr>
            </w:pPr>
            <w:r>
              <w:rPr>
                <w:rFonts w:ascii="Arial" w:cs="Arial" w:eastAsia="Arial" w:hAnsi="Arial"/>
                <w:sz w:val="18"/>
                <w:szCs w:val="18"/>
                <w:color w:val="auto"/>
              </w:rPr>
              <w:t>September 30, 2019</w:t>
            </w:r>
          </w:p>
        </w:tc>
        <w:tc>
          <w:tcPr>
            <w:tcW w:w="200" w:type="dxa"/>
            <w:vAlign w:val="bottom"/>
          </w:tcPr>
          <w:p>
            <w:pPr>
              <w:spacing w:after="0"/>
              <w:rPr>
                <w:sz w:val="20"/>
                <w:szCs w:val="20"/>
                <w:color w:val="auto"/>
              </w:rPr>
            </w:pPr>
          </w:p>
        </w:tc>
        <w:tc>
          <w:tcPr>
            <w:tcW w:w="1960" w:type="dxa"/>
            <w:vAlign w:val="bottom"/>
          </w:tcPr>
          <w:p>
            <w:pPr>
              <w:jc w:val="right"/>
              <w:ind w:right="270"/>
              <w:spacing w:after="0"/>
              <w:rPr>
                <w:sz w:val="20"/>
                <w:szCs w:val="20"/>
                <w:color w:val="auto"/>
              </w:rPr>
            </w:pPr>
            <w:r>
              <w:rPr>
                <w:rFonts w:ascii="Arial" w:cs="Arial" w:eastAsia="Arial" w:hAnsi="Arial"/>
                <w:sz w:val="18"/>
                <w:szCs w:val="18"/>
                <w:color w:val="auto"/>
                <w:w w:val="96"/>
              </w:rPr>
              <w:t>September 30, 2019</w:t>
            </w:r>
          </w:p>
        </w:tc>
      </w:tr>
      <w:tr>
        <w:trPr>
          <w:trHeight w:val="27"/>
        </w:trPr>
        <w:tc>
          <w:tcPr>
            <w:tcW w:w="47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Paid to counterparties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2,191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8,338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10,322</w:t>
            </w: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51"/>
        </w:trPr>
        <w:tc>
          <w:tcPr>
            <w:tcW w:w="4700" w:type="dxa"/>
            <w:vAlign w:val="bottom"/>
          </w:tcPr>
          <w:p>
            <w:pPr>
              <w:ind w:left="40"/>
              <w:spacing w:after="0"/>
              <w:rPr>
                <w:sz w:val="20"/>
                <w:szCs w:val="20"/>
                <w:color w:val="auto"/>
              </w:rPr>
            </w:pPr>
            <w:r>
              <w:rPr>
                <w:rFonts w:ascii="Arial" w:cs="Arial" w:eastAsia="Arial" w:hAnsi="Arial"/>
                <w:sz w:val="18"/>
                <w:szCs w:val="18"/>
                <w:color w:val="auto"/>
              </w:rPr>
              <w:t>Received from counterparties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1,657</w:t>
            </w: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Pursuant to regulatory deferral accounting treatment for rate-regulated entities, unrealized gains and losses in fair value of the Swaps are recorded as a regulatory asset and/or liability. When the Swaps mature, any prior positions held are reversed and the settled position is recorded as an increase or decrease of purchased gas under the related purchase gas adjustment (“PGA”) mechanism in determining the deferred PGA balances. Neither changes in fair value nor settled amounts of Swaps have a direct effect on earnings or other comprehensive income, since following settlement, amounts are reflected in Net cost of gas sold at the same time they are included in Gas operating revenues through updates to the PGA component of rates.</w:t>
      </w:r>
    </w:p>
    <w:p>
      <w:pPr>
        <w:spacing w:after="0" w:line="5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Previously, Southwest entered into forward-starting interest rate swaps (“FSIRS”), the settled positions for which are immaterial and continue to be amortized from Accumulated other comprehensive income (loss) into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0" w:right="239" w:bottom="1440" w:gutter="0" w:footer="0" w:header="0"/>
        </w:sectPr>
      </w:pPr>
    </w:p>
    <w:bookmarkStart w:id="25" w:name="page26"/>
    <w:bookmarkEnd w:id="25"/>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estimated fair value of Southwest’s Swaps were determined at September 30, 2019 and December 31, 2018 using futures settlement prices for the delivery of natural gas at Henry Hub adjusted by the price of future settlement bases, which reflect the difference between the price of natural gas at a given delivery basin and the Henry Hub pricing points. These Level 2 inputs are observable in the marketplace throughout the full term of the Swaps and have been credit-risk adjusted with no significant impact to the overall fair value measurement. The following table sets forth the fair value of the Swaps and their location in the Condensed Consolidated Balance Sheets for both the Company and Southwest (thousands of dollars). It also sets forth the location of regulatory assets or liabilities offsetting, dollar-for-dollar, the fair value of the Swaps (pursuant to Southwest’s rate-regulation):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values of derivatives not designated as hedging instruments: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720" w:type="dxa"/>
            <w:vAlign w:val="bottom"/>
          </w:tcPr>
          <w:p>
            <w:pPr>
              <w:ind w:left="40"/>
              <w:spacing w:after="0"/>
              <w:rPr>
                <w:sz w:val="20"/>
                <w:szCs w:val="20"/>
                <w:color w:val="auto"/>
              </w:rPr>
            </w:pPr>
            <w:r>
              <w:rPr>
                <w:rFonts w:ascii="Arial" w:cs="Arial" w:eastAsia="Arial" w:hAnsi="Arial"/>
                <w:sz w:val="16"/>
                <w:szCs w:val="16"/>
                <w:color w:val="auto"/>
              </w:rPr>
              <w:t>September 30, 2019</w:t>
            </w:r>
          </w:p>
        </w:tc>
        <w:tc>
          <w:tcPr>
            <w:tcW w:w="3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720" w:type="dxa"/>
            <w:vAlign w:val="bottom"/>
          </w:tcPr>
          <w:p>
            <w:pPr>
              <w:spacing w:after="0"/>
              <w:rPr>
                <w:sz w:val="23"/>
                <w:szCs w:val="23"/>
                <w:color w:val="auto"/>
              </w:rPr>
            </w:pPr>
          </w:p>
        </w:tc>
        <w:tc>
          <w:tcPr>
            <w:tcW w:w="3340" w:type="dxa"/>
            <w:vAlign w:val="bottom"/>
          </w:tcPr>
          <w:p>
            <w:pPr>
              <w:ind w:left="2040"/>
              <w:spacing w:after="0"/>
              <w:rPr>
                <w:sz w:val="20"/>
                <w:szCs w:val="20"/>
                <w:color w:val="auto"/>
              </w:rPr>
            </w:pPr>
            <w:r>
              <w:rPr>
                <w:rFonts w:ascii="Arial" w:cs="Arial" w:eastAsia="Arial" w:hAnsi="Arial"/>
                <w:sz w:val="16"/>
                <w:szCs w:val="16"/>
                <w:color w:val="auto"/>
              </w:rPr>
              <w:t>Swap Position</w:t>
            </w: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172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17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color w:val="auto"/>
                <w:w w:val="89"/>
              </w:rPr>
              <w:t>Asset</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color w:val="auto"/>
              </w:rPr>
              <w:t>Liability</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960" w:type="dxa"/>
            <w:vAlign w:val="bottom"/>
          </w:tcPr>
          <w:p>
            <w:pPr>
              <w:jc w:val="center"/>
              <w:spacing w:after="0"/>
              <w:rPr>
                <w:sz w:val="20"/>
                <w:szCs w:val="20"/>
                <w:color w:val="auto"/>
              </w:rPr>
            </w:pPr>
            <w:r>
              <w:rPr>
                <w:rFonts w:ascii="Arial" w:cs="Arial" w:eastAsia="Arial" w:hAnsi="Arial"/>
                <w:sz w:val="16"/>
                <w:szCs w:val="16"/>
                <w:color w:val="auto"/>
                <w:w w:val="92"/>
              </w:rPr>
              <w:t>Offsetting Balance Sheet Location</w:t>
            </w:r>
          </w:p>
        </w:tc>
        <w:tc>
          <w:tcPr>
            <w:tcW w:w="0" w:type="dxa"/>
            <w:vAlign w:val="bottom"/>
          </w:tcPr>
          <w:p>
            <w:pPr>
              <w:spacing w:after="0"/>
              <w:rPr>
                <w:sz w:val="1"/>
                <w:szCs w:val="1"/>
                <w:color w:val="auto"/>
              </w:rPr>
            </w:pPr>
          </w:p>
        </w:tc>
      </w:tr>
      <w:tr>
        <w:trPr>
          <w:trHeight w:val="206"/>
        </w:trPr>
        <w:tc>
          <w:tcPr>
            <w:tcW w:w="1720" w:type="dxa"/>
            <w:vAlign w:val="bottom"/>
          </w:tcPr>
          <w:p>
            <w:pPr>
              <w:ind w:left="40"/>
              <w:spacing w:after="0"/>
              <w:rPr>
                <w:sz w:val="20"/>
                <w:szCs w:val="20"/>
                <w:color w:val="auto"/>
              </w:rPr>
            </w:pPr>
            <w:r>
              <w:rPr>
                <w:rFonts w:ascii="Arial" w:cs="Arial" w:eastAsia="Arial" w:hAnsi="Arial"/>
                <w:sz w:val="16"/>
                <w:szCs w:val="16"/>
                <w:color w:val="auto"/>
              </w:rPr>
              <w:t>Instrument</w:t>
            </w:r>
          </w:p>
        </w:tc>
        <w:tc>
          <w:tcPr>
            <w:tcW w:w="3340" w:type="dxa"/>
            <w:vAlign w:val="bottom"/>
          </w:tcPr>
          <w:p>
            <w:pPr>
              <w:ind w:left="1020"/>
              <w:spacing w:after="0"/>
              <w:rPr>
                <w:sz w:val="20"/>
                <w:szCs w:val="20"/>
                <w:color w:val="auto"/>
              </w:rPr>
            </w:pPr>
            <w:r>
              <w:rPr>
                <w:rFonts w:ascii="Arial" w:cs="Arial" w:eastAsia="Arial" w:hAnsi="Arial"/>
                <w:sz w:val="16"/>
                <w:szCs w:val="16"/>
                <w:color w:val="auto"/>
              </w:rPr>
              <w:t>Balance Sheet Location</w:t>
            </w:r>
          </w:p>
        </w:tc>
        <w:tc>
          <w:tcPr>
            <w:tcW w:w="16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color w:val="auto"/>
                <w:w w:val="95"/>
              </w:rPr>
              <w:t>Derivatives</w:t>
            </w: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color w:val="auto"/>
                <w:w w:val="95"/>
              </w:rPr>
              <w:t>Derivatives</w:t>
            </w:r>
          </w:p>
        </w:tc>
        <w:tc>
          <w:tcPr>
            <w:tcW w:w="120" w:type="dxa"/>
            <w:vAlign w:val="bottom"/>
          </w:tcPr>
          <w:p>
            <w:pPr>
              <w:spacing w:after="0"/>
              <w:rPr>
                <w:sz w:val="17"/>
                <w:szCs w:val="17"/>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w w:val="92"/>
              </w:rPr>
              <w:t>Net Total</w:t>
            </w:r>
          </w:p>
        </w:tc>
        <w:tc>
          <w:tcPr>
            <w:tcW w:w="2960" w:type="dxa"/>
            <w:vAlign w:val="bottom"/>
          </w:tcPr>
          <w:p>
            <w:pPr>
              <w:jc w:val="center"/>
              <w:spacing w:after="0"/>
              <w:rPr>
                <w:sz w:val="20"/>
                <w:szCs w:val="20"/>
                <w:color w:val="auto"/>
              </w:rPr>
            </w:pPr>
            <w:r>
              <w:rPr>
                <w:rFonts w:ascii="Arial" w:cs="Arial" w:eastAsia="Arial" w:hAnsi="Arial"/>
                <w:sz w:val="16"/>
                <w:szCs w:val="16"/>
                <w:color w:val="auto"/>
                <w:w w:val="96"/>
              </w:rPr>
              <w:t>(Regulatory Asset/(Liability))</w:t>
            </w:r>
          </w:p>
        </w:tc>
        <w:tc>
          <w:tcPr>
            <w:tcW w:w="0" w:type="dxa"/>
            <w:vAlign w:val="bottom"/>
          </w:tcPr>
          <w:p>
            <w:pPr>
              <w:spacing w:after="0"/>
              <w:rPr>
                <w:sz w:val="1"/>
                <w:szCs w:val="1"/>
                <w:color w:val="auto"/>
              </w:rPr>
            </w:pPr>
          </w:p>
        </w:tc>
      </w:tr>
      <w:tr>
        <w:trPr>
          <w:trHeight w:val="33"/>
        </w:trPr>
        <w:tc>
          <w:tcPr>
            <w:tcW w:w="172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Swaps</w:t>
            </w:r>
          </w:p>
        </w:tc>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charges and other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deferred credits</w:t>
            </w:r>
          </w:p>
        </w:tc>
        <w:tc>
          <w:tcPr>
            <w:tcW w:w="0" w:type="dxa"/>
            <w:vAlign w:val="bottom"/>
          </w:tcPr>
          <w:p>
            <w:pPr>
              <w:spacing w:after="0"/>
              <w:rPr>
                <w:sz w:val="1"/>
                <w:szCs w:val="1"/>
                <w:color w:val="auto"/>
              </w:rPr>
            </w:pPr>
          </w:p>
        </w:tc>
      </w:tr>
      <w:tr>
        <w:trPr>
          <w:trHeight w:val="237"/>
        </w:trPr>
        <w:tc>
          <w:tcPr>
            <w:tcW w:w="1720" w:type="dxa"/>
            <w:vAlign w:val="bottom"/>
          </w:tcPr>
          <w:p>
            <w:pPr>
              <w:ind w:left="40"/>
              <w:spacing w:after="0"/>
              <w:rPr>
                <w:sz w:val="20"/>
                <w:szCs w:val="20"/>
                <w:color w:val="auto"/>
              </w:rPr>
            </w:pPr>
            <w:r>
              <w:rPr>
                <w:rFonts w:ascii="Arial" w:cs="Arial" w:eastAsia="Arial" w:hAnsi="Arial"/>
                <w:sz w:val="16"/>
                <w:szCs w:val="16"/>
                <w:color w:val="auto"/>
              </w:rPr>
              <w:t>Swaps</w:t>
            </w:r>
          </w:p>
        </w:tc>
        <w:tc>
          <w:tcPr>
            <w:tcW w:w="3340" w:type="dxa"/>
            <w:vAlign w:val="bottom"/>
          </w:tcPr>
          <w:p>
            <w:pPr>
              <w:ind w:left="380"/>
              <w:spacing w:after="0"/>
              <w:rPr>
                <w:sz w:val="20"/>
                <w:szCs w:val="20"/>
                <w:color w:val="auto"/>
              </w:rPr>
            </w:pPr>
            <w:r>
              <w:rPr>
                <w:rFonts w:ascii="Arial" w:cs="Arial" w:eastAsia="Arial" w:hAnsi="Arial"/>
                <w:sz w:val="16"/>
                <w:szCs w:val="16"/>
                <w:color w:val="auto"/>
              </w:rPr>
              <w:t>Other current liabilities</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(9,837)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(9,734)</w:t>
            </w:r>
          </w:p>
        </w:tc>
        <w:tc>
          <w:tcPr>
            <w:tcW w:w="2960" w:type="dxa"/>
            <w:vAlign w:val="bottom"/>
          </w:tcPr>
          <w:p>
            <w:pPr>
              <w:ind w:left="20"/>
              <w:spacing w:after="0"/>
              <w:rPr>
                <w:sz w:val="20"/>
                <w:szCs w:val="20"/>
                <w:color w:val="auto"/>
              </w:rPr>
            </w:pPr>
            <w:r>
              <w:rPr>
                <w:rFonts w:ascii="Arial" w:cs="Arial" w:eastAsia="Arial" w:hAnsi="Arial"/>
                <w:sz w:val="16"/>
                <w:szCs w:val="16"/>
                <w:color w:val="auto"/>
              </w:rPr>
              <w:t>Prepaid and other current assets</w:t>
            </w:r>
          </w:p>
        </w:tc>
        <w:tc>
          <w:tcPr>
            <w:tcW w:w="0" w:type="dxa"/>
            <w:vAlign w:val="bottom"/>
          </w:tcPr>
          <w:p>
            <w:pPr>
              <w:spacing w:after="0"/>
              <w:rPr>
                <w:sz w:val="1"/>
                <w:szCs w:val="1"/>
                <w:color w:val="auto"/>
              </w:rPr>
            </w:pPr>
          </w:p>
        </w:tc>
      </w:tr>
      <w:tr>
        <w:trPr>
          <w:trHeight w:val="33"/>
        </w:trPr>
        <w:tc>
          <w:tcPr>
            <w:tcW w:w="17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Swaps</w:t>
            </w:r>
          </w:p>
        </w:tc>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deferred credits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(335)</w:t>
            </w:r>
          </w:p>
        </w:tc>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charges and other assets</w:t>
            </w:r>
          </w:p>
        </w:tc>
        <w:tc>
          <w:tcPr>
            <w:tcW w:w="0" w:type="dxa"/>
            <w:vAlign w:val="bottom"/>
          </w:tcPr>
          <w:p>
            <w:pPr>
              <w:spacing w:after="0"/>
              <w:rPr>
                <w:sz w:val="1"/>
                <w:szCs w:val="1"/>
                <w:color w:val="auto"/>
              </w:rPr>
            </w:pPr>
          </w:p>
        </w:tc>
      </w:tr>
      <w:tr>
        <w:trPr>
          <w:trHeight w:val="244"/>
        </w:trPr>
        <w:tc>
          <w:tcPr>
            <w:tcW w:w="1720" w:type="dxa"/>
            <w:vAlign w:val="bottom"/>
          </w:tcPr>
          <w:p>
            <w:pPr>
              <w:ind w:left="40"/>
              <w:spacing w:after="0"/>
              <w:rPr>
                <w:sz w:val="20"/>
                <w:szCs w:val="20"/>
                <w:color w:val="auto"/>
              </w:rPr>
            </w:pPr>
            <w:r>
              <w:rPr>
                <w:rFonts w:ascii="Arial" w:cs="Arial" w:eastAsia="Arial" w:hAnsi="Arial"/>
                <w:sz w:val="16"/>
                <w:szCs w:val="16"/>
                <w:color w:val="auto"/>
              </w:rPr>
              <w:t>Total</w:t>
            </w:r>
          </w:p>
        </w:tc>
        <w:tc>
          <w:tcPr>
            <w:tcW w:w="334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(10,199)</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(10,048)</w:t>
            </w:r>
          </w:p>
        </w:tc>
        <w:tc>
          <w:tcPr>
            <w:tcW w:w="2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ind w:left="40"/>
              <w:spacing w:after="0"/>
              <w:rPr>
                <w:sz w:val="20"/>
                <w:szCs w:val="20"/>
                <w:color w:val="auto"/>
              </w:rPr>
            </w:pPr>
            <w:r>
              <w:rPr>
                <w:rFonts w:ascii="Arial" w:cs="Arial" w:eastAsia="Arial" w:hAnsi="Arial"/>
                <w:sz w:val="16"/>
                <w:szCs w:val="16"/>
                <w:color w:val="auto"/>
              </w:rPr>
              <w:t>December 31, 2018</w:t>
            </w:r>
          </w:p>
        </w:tc>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1720" w:type="dxa"/>
            <w:vAlign w:val="bottom"/>
            <w:vMerge w:val="continue"/>
          </w:tcPr>
          <w:p>
            <w:pPr>
              <w:spacing w:after="0"/>
              <w:rPr>
                <w:sz w:val="24"/>
                <w:szCs w:val="24"/>
                <w:color w:val="auto"/>
              </w:rPr>
            </w:pPr>
          </w:p>
        </w:tc>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720" w:type="dxa"/>
            <w:vAlign w:val="bottom"/>
          </w:tcPr>
          <w:p>
            <w:pPr>
              <w:spacing w:after="0"/>
              <w:rPr>
                <w:sz w:val="23"/>
                <w:szCs w:val="23"/>
                <w:color w:val="auto"/>
              </w:rPr>
            </w:pPr>
          </w:p>
        </w:tc>
        <w:tc>
          <w:tcPr>
            <w:tcW w:w="3340" w:type="dxa"/>
            <w:vAlign w:val="bottom"/>
          </w:tcPr>
          <w:p>
            <w:pPr>
              <w:ind w:left="2040"/>
              <w:spacing w:after="0"/>
              <w:rPr>
                <w:sz w:val="20"/>
                <w:szCs w:val="20"/>
                <w:color w:val="auto"/>
              </w:rPr>
            </w:pPr>
            <w:r>
              <w:rPr>
                <w:rFonts w:ascii="Arial" w:cs="Arial" w:eastAsia="Arial" w:hAnsi="Arial"/>
                <w:sz w:val="16"/>
                <w:szCs w:val="16"/>
                <w:color w:val="auto"/>
              </w:rPr>
              <w:t>Swap Position</w:t>
            </w: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172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17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color w:val="auto"/>
                <w:w w:val="89"/>
              </w:rPr>
              <w:t>Asset</w:t>
            </w: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color w:val="auto"/>
              </w:rPr>
              <w:t>Liability</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960" w:type="dxa"/>
            <w:vAlign w:val="bottom"/>
          </w:tcPr>
          <w:p>
            <w:pPr>
              <w:jc w:val="center"/>
              <w:spacing w:after="0"/>
              <w:rPr>
                <w:sz w:val="20"/>
                <w:szCs w:val="20"/>
                <w:color w:val="auto"/>
              </w:rPr>
            </w:pPr>
            <w:r>
              <w:rPr>
                <w:rFonts w:ascii="Arial" w:cs="Arial" w:eastAsia="Arial" w:hAnsi="Arial"/>
                <w:sz w:val="16"/>
                <w:szCs w:val="16"/>
                <w:color w:val="auto"/>
                <w:w w:val="92"/>
              </w:rPr>
              <w:t>Offsetting Balance Sheet Location</w:t>
            </w:r>
          </w:p>
        </w:tc>
        <w:tc>
          <w:tcPr>
            <w:tcW w:w="0" w:type="dxa"/>
            <w:vAlign w:val="bottom"/>
          </w:tcPr>
          <w:p>
            <w:pPr>
              <w:spacing w:after="0"/>
              <w:rPr>
                <w:sz w:val="1"/>
                <w:szCs w:val="1"/>
                <w:color w:val="auto"/>
              </w:rPr>
            </w:pPr>
          </w:p>
        </w:tc>
      </w:tr>
      <w:tr>
        <w:trPr>
          <w:trHeight w:val="206"/>
        </w:trPr>
        <w:tc>
          <w:tcPr>
            <w:tcW w:w="1720" w:type="dxa"/>
            <w:vAlign w:val="bottom"/>
          </w:tcPr>
          <w:p>
            <w:pPr>
              <w:ind w:left="40"/>
              <w:spacing w:after="0"/>
              <w:rPr>
                <w:sz w:val="20"/>
                <w:szCs w:val="20"/>
                <w:color w:val="auto"/>
              </w:rPr>
            </w:pPr>
            <w:r>
              <w:rPr>
                <w:rFonts w:ascii="Arial" w:cs="Arial" w:eastAsia="Arial" w:hAnsi="Arial"/>
                <w:sz w:val="16"/>
                <w:szCs w:val="16"/>
                <w:color w:val="auto"/>
              </w:rPr>
              <w:t>Instrument</w:t>
            </w:r>
          </w:p>
        </w:tc>
        <w:tc>
          <w:tcPr>
            <w:tcW w:w="3340" w:type="dxa"/>
            <w:vAlign w:val="bottom"/>
          </w:tcPr>
          <w:p>
            <w:pPr>
              <w:ind w:left="1020"/>
              <w:spacing w:after="0"/>
              <w:rPr>
                <w:sz w:val="20"/>
                <w:szCs w:val="20"/>
                <w:color w:val="auto"/>
              </w:rPr>
            </w:pPr>
            <w:r>
              <w:rPr>
                <w:rFonts w:ascii="Arial" w:cs="Arial" w:eastAsia="Arial" w:hAnsi="Arial"/>
                <w:sz w:val="16"/>
                <w:szCs w:val="16"/>
                <w:color w:val="auto"/>
              </w:rPr>
              <w:t>Balance Sheet Location</w:t>
            </w:r>
          </w:p>
        </w:tc>
        <w:tc>
          <w:tcPr>
            <w:tcW w:w="16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color w:val="auto"/>
                <w:w w:val="95"/>
              </w:rPr>
              <w:t>Derivatives</w:t>
            </w: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color w:val="auto"/>
                <w:w w:val="95"/>
              </w:rPr>
              <w:t>Derivatives</w:t>
            </w:r>
          </w:p>
        </w:tc>
        <w:tc>
          <w:tcPr>
            <w:tcW w:w="120" w:type="dxa"/>
            <w:vAlign w:val="bottom"/>
          </w:tcPr>
          <w:p>
            <w:pPr>
              <w:spacing w:after="0"/>
              <w:rPr>
                <w:sz w:val="17"/>
                <w:szCs w:val="17"/>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w w:val="92"/>
              </w:rPr>
              <w:t>Net Total</w:t>
            </w:r>
          </w:p>
        </w:tc>
        <w:tc>
          <w:tcPr>
            <w:tcW w:w="2960" w:type="dxa"/>
            <w:vAlign w:val="bottom"/>
          </w:tcPr>
          <w:p>
            <w:pPr>
              <w:jc w:val="center"/>
              <w:spacing w:after="0"/>
              <w:rPr>
                <w:sz w:val="20"/>
                <w:szCs w:val="20"/>
                <w:color w:val="auto"/>
              </w:rPr>
            </w:pPr>
            <w:r>
              <w:rPr>
                <w:rFonts w:ascii="Arial" w:cs="Arial" w:eastAsia="Arial" w:hAnsi="Arial"/>
                <w:sz w:val="16"/>
                <w:szCs w:val="16"/>
                <w:color w:val="auto"/>
                <w:w w:val="96"/>
              </w:rPr>
              <w:t>(Regulatory Asset/(Liability))</w:t>
            </w:r>
          </w:p>
        </w:tc>
        <w:tc>
          <w:tcPr>
            <w:tcW w:w="0" w:type="dxa"/>
            <w:vAlign w:val="bottom"/>
          </w:tcPr>
          <w:p>
            <w:pPr>
              <w:spacing w:after="0"/>
              <w:rPr>
                <w:sz w:val="1"/>
                <w:szCs w:val="1"/>
                <w:color w:val="auto"/>
              </w:rPr>
            </w:pPr>
          </w:p>
        </w:tc>
      </w:tr>
      <w:tr>
        <w:trPr>
          <w:trHeight w:val="33"/>
        </w:trPr>
        <w:tc>
          <w:tcPr>
            <w:tcW w:w="172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Swaps</w:t>
            </w:r>
          </w:p>
        </w:tc>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and other current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w:t>
            </w:r>
          </w:p>
        </w:tc>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c>
          <w:tcPr>
            <w:tcW w:w="0" w:type="dxa"/>
            <w:vAlign w:val="bottom"/>
          </w:tcPr>
          <w:p>
            <w:pPr>
              <w:spacing w:after="0"/>
              <w:rPr>
                <w:sz w:val="1"/>
                <w:szCs w:val="1"/>
                <w:color w:val="auto"/>
              </w:rPr>
            </w:pPr>
          </w:p>
        </w:tc>
      </w:tr>
      <w:tr>
        <w:trPr>
          <w:trHeight w:val="237"/>
        </w:trPr>
        <w:tc>
          <w:tcPr>
            <w:tcW w:w="1720" w:type="dxa"/>
            <w:vAlign w:val="bottom"/>
          </w:tcPr>
          <w:p>
            <w:pPr>
              <w:ind w:left="40"/>
              <w:spacing w:after="0"/>
              <w:rPr>
                <w:sz w:val="20"/>
                <w:szCs w:val="20"/>
                <w:color w:val="auto"/>
              </w:rPr>
            </w:pPr>
            <w:r>
              <w:rPr>
                <w:rFonts w:ascii="Arial" w:cs="Arial" w:eastAsia="Arial" w:hAnsi="Arial"/>
                <w:sz w:val="16"/>
                <w:szCs w:val="16"/>
                <w:color w:val="auto"/>
              </w:rPr>
              <w:t>Swaps</w:t>
            </w:r>
          </w:p>
        </w:tc>
        <w:tc>
          <w:tcPr>
            <w:tcW w:w="3340" w:type="dxa"/>
            <w:vAlign w:val="bottom"/>
          </w:tcPr>
          <w:p>
            <w:pPr>
              <w:ind w:left="380"/>
              <w:spacing w:after="0"/>
              <w:rPr>
                <w:sz w:val="20"/>
                <w:szCs w:val="20"/>
                <w:color w:val="auto"/>
              </w:rPr>
            </w:pPr>
            <w:r>
              <w:rPr>
                <w:rFonts w:ascii="Arial" w:cs="Arial" w:eastAsia="Arial" w:hAnsi="Arial"/>
                <w:sz w:val="16"/>
                <w:szCs w:val="16"/>
                <w:color w:val="auto"/>
              </w:rPr>
              <w:t>Other current liabilities</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1,595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(3,347)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(1,752)</w:t>
            </w:r>
          </w:p>
        </w:tc>
        <w:tc>
          <w:tcPr>
            <w:tcW w:w="2960" w:type="dxa"/>
            <w:vAlign w:val="bottom"/>
          </w:tcPr>
          <w:p>
            <w:pPr>
              <w:ind w:left="20"/>
              <w:spacing w:after="0"/>
              <w:rPr>
                <w:sz w:val="20"/>
                <w:szCs w:val="20"/>
                <w:color w:val="auto"/>
              </w:rPr>
            </w:pPr>
            <w:r>
              <w:rPr>
                <w:rFonts w:ascii="Arial" w:cs="Arial" w:eastAsia="Arial" w:hAnsi="Arial"/>
                <w:sz w:val="16"/>
                <w:szCs w:val="16"/>
                <w:color w:val="auto"/>
              </w:rPr>
              <w:t>Prepaid and other current assets</w:t>
            </w:r>
          </w:p>
        </w:tc>
        <w:tc>
          <w:tcPr>
            <w:tcW w:w="0" w:type="dxa"/>
            <w:vAlign w:val="bottom"/>
          </w:tcPr>
          <w:p>
            <w:pPr>
              <w:spacing w:after="0"/>
              <w:rPr>
                <w:sz w:val="1"/>
                <w:szCs w:val="1"/>
                <w:color w:val="auto"/>
              </w:rPr>
            </w:pPr>
          </w:p>
        </w:tc>
      </w:tr>
      <w:tr>
        <w:trPr>
          <w:trHeight w:val="33"/>
        </w:trPr>
        <w:tc>
          <w:tcPr>
            <w:tcW w:w="17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Swaps</w:t>
            </w:r>
          </w:p>
        </w:tc>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deferred credits</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charges and other assets</w:t>
            </w:r>
          </w:p>
        </w:tc>
        <w:tc>
          <w:tcPr>
            <w:tcW w:w="0" w:type="dxa"/>
            <w:vAlign w:val="bottom"/>
          </w:tcPr>
          <w:p>
            <w:pPr>
              <w:spacing w:after="0"/>
              <w:rPr>
                <w:sz w:val="1"/>
                <w:szCs w:val="1"/>
                <w:color w:val="auto"/>
              </w:rPr>
            </w:pPr>
          </w:p>
        </w:tc>
      </w:tr>
      <w:tr>
        <w:trPr>
          <w:trHeight w:val="244"/>
        </w:trPr>
        <w:tc>
          <w:tcPr>
            <w:tcW w:w="1720" w:type="dxa"/>
            <w:vAlign w:val="bottom"/>
          </w:tcPr>
          <w:p>
            <w:pPr>
              <w:ind w:left="40"/>
              <w:spacing w:after="0"/>
              <w:rPr>
                <w:sz w:val="20"/>
                <w:szCs w:val="20"/>
                <w:color w:val="auto"/>
              </w:rPr>
            </w:pPr>
            <w:r>
              <w:rPr>
                <w:rFonts w:ascii="Arial" w:cs="Arial" w:eastAsia="Arial" w:hAnsi="Arial"/>
                <w:sz w:val="16"/>
                <w:szCs w:val="16"/>
                <w:color w:val="auto"/>
              </w:rPr>
              <w:t>Total</w:t>
            </w:r>
          </w:p>
        </w:tc>
        <w:tc>
          <w:tcPr>
            <w:tcW w:w="334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1,979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(3,697)</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(1,718)</w:t>
            </w:r>
          </w:p>
        </w:tc>
        <w:tc>
          <w:tcPr>
            <w:tcW w:w="2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Master netting arrangements exist with each counterparty that provide for the net settlement (in the settlement month) of all contracts through a single payment. As applicable, management has elected to reflect the net amounts in its balance sheets. There was no outstanding collateral associated with the Swaps during either period shown in the above table.</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Common Stock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Only shares of the Company’s common stock are publicly traded on the New York Stock Exchange, under the ticker symbol “SWX.” Share-based compensation related to Southwest and Centuri is based on stock awards to be issued in shares of Southwest Gas Holdings, Inc.</w:t>
      </w:r>
    </w:p>
    <w:p>
      <w:pPr>
        <w:spacing w:after="0" w:line="6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May 8, 2019, the Company filed with the SEC an automatic shelf registration statement on Form S-3 (File No. 333-231297), which became effective upon filing, for the offer and sale of up to $300 million of common stock from time to time in at-the-market offerings under the prospectus included therein and in accordance with the Sales Agency Agreement, dated May 8, 2019, between the Company and BNY Mellon Capital Markets, LLC (the “Equity Shelf Program”). The following table provides the activity under the Equity Shelf Program for the quarter and life-to-date ended September 30, 2019:</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2"/>
          </w:tcPr>
          <w:p>
            <w:pPr>
              <w:ind w:left="80"/>
              <w:spacing w:after="0"/>
              <w:rPr>
                <w:sz w:val="20"/>
                <w:szCs w:val="20"/>
                <w:color w:val="auto"/>
              </w:rPr>
            </w:pPr>
            <w:r>
              <w:rPr>
                <w:rFonts w:ascii="Arial" w:cs="Arial" w:eastAsia="Arial" w:hAnsi="Arial"/>
                <w:sz w:val="18"/>
                <w:szCs w:val="18"/>
                <w:color w:val="auto"/>
              </w:rPr>
              <w:t>Three Months Ended</w:t>
            </w:r>
          </w:p>
        </w:tc>
        <w:tc>
          <w:tcPr>
            <w:tcW w:w="22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color w:val="auto"/>
                <w:w w:val="96"/>
              </w:rPr>
              <w:t>Life-To-Date Ended</w:t>
            </w:r>
          </w:p>
        </w:tc>
      </w:tr>
      <w:tr>
        <w:trPr>
          <w:trHeight w:val="27"/>
        </w:trPr>
        <w:tc>
          <w:tcPr>
            <w:tcW w:w="7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20" w:type="dxa"/>
            <w:vAlign w:val="bottom"/>
            <w:tcBorders>
              <w:bottom w:val="single" w:sz="8" w:color="auto"/>
            </w:tcBorders>
            <w:gridSpan w:val="4"/>
          </w:tcPr>
          <w:p>
            <w:pPr>
              <w:spacing w:after="0"/>
              <w:rPr>
                <w:sz w:val="2"/>
                <w:szCs w:val="2"/>
                <w:color w:val="auto"/>
              </w:rPr>
            </w:pPr>
          </w:p>
        </w:tc>
      </w:tr>
      <w:tr>
        <w:trPr>
          <w:trHeight w:val="237"/>
        </w:trPr>
        <w:tc>
          <w:tcPr>
            <w:tcW w:w="7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20" w:type="dxa"/>
            <w:vAlign w:val="bottom"/>
            <w:gridSpan w:val="4"/>
          </w:tcPr>
          <w:p>
            <w:pPr>
              <w:jc w:val="right"/>
              <w:ind w:right="1490"/>
              <w:spacing w:after="0"/>
              <w:rPr>
                <w:sz w:val="20"/>
                <w:szCs w:val="20"/>
                <w:color w:val="auto"/>
              </w:rPr>
            </w:pPr>
            <w:r>
              <w:rPr>
                <w:rFonts w:ascii="Arial" w:cs="Arial" w:eastAsia="Arial" w:hAnsi="Arial"/>
                <w:sz w:val="18"/>
                <w:szCs w:val="18"/>
                <w:color w:val="auto"/>
              </w:rPr>
              <w:t>September 30,</w:t>
            </w:r>
          </w:p>
        </w:tc>
      </w:tr>
      <w:tr>
        <w:trPr>
          <w:trHeight w:val="27"/>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2019</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Gross proceeds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24,337,600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99,337,371</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agent commissions</w:t>
            </w:r>
          </w:p>
        </w:tc>
        <w:tc>
          <w:tcPr>
            <w:tcW w:w="20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(243,375)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(993,373)</w:t>
            </w:r>
          </w:p>
        </w:tc>
      </w:tr>
      <w:tr>
        <w:trPr>
          <w:trHeight w:val="297"/>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proceeds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24,094,225</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98,343,998</w:t>
            </w:r>
          </w:p>
        </w:tc>
      </w:tr>
      <w:tr>
        <w:trPr>
          <w:trHeight w:val="176"/>
        </w:trPr>
        <w:tc>
          <w:tcPr>
            <w:tcW w:w="7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Number of shares sold</w:t>
            </w:r>
          </w:p>
        </w:tc>
        <w:tc>
          <w:tcPr>
            <w:tcW w:w="2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273,594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1,146,955</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43"/>
        </w:trPr>
        <w:tc>
          <w:tcPr>
            <w:tcW w:w="7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price per share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88.96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86.61</w:t>
            </w:r>
          </w:p>
        </w:tc>
      </w:tr>
      <w:tr>
        <w:trPr>
          <w:trHeight w:val="27"/>
        </w:trPr>
        <w:tc>
          <w:tcPr>
            <w:tcW w:w="72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270" w:right="239" w:bottom="1440" w:gutter="0" w:footer="0" w:header="0"/>
        </w:sectPr>
      </w:pPr>
    </w:p>
    <w:p>
      <w:pPr>
        <w:spacing w:after="0" w:line="191"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270" w:right="239" w:bottom="1440" w:gutter="0" w:footer="0" w:header="0"/>
          <w:type w:val="continuous"/>
        </w:sectPr>
      </w:pPr>
    </w:p>
    <w:bookmarkStart w:id="26" w:name="page27"/>
    <w:bookmarkEnd w:id="26"/>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September 30, 2019, the Company had up to $200,662,629 of common stock available for sale under the program. Net proceeds from the sales of shares of common stock under the Equity Shelf Program are intended for general corporate purposes, including the acquisition of property for the construction, completion, extension or improvement of pipeline systems and facilities located in and around the communities served by Southwest. Net proceeds during the nine months ended September 30, 2019 were contributed to, and reflected in the records of, Southwest (as a capital contribution from Southwest Gas Holdings, Inc.).</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quarter ended March 31, 2019, the Company sold approximately 278,000 shares of common stock under a previously effective equity shelf program. Those issuances reflected the remaining shares available under that previous program.</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nine months ended September 30, 2019, the Company issued approximately 76,000 shares of common stock through the Restricted Stock/Unit Plan and Management Incentive Plan.</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Also during the nine months ended September 30, 2019, the Company issued 96,000 shares of common stock through the Dividend Reinvestment and Stock Purchase Plan (“DRSPP”), raising approximately $8.1 million.</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20, 2019, coincident with the reincorporation into Delaware, the Company increased the number of authorized shares of common stock available for issuance from 60,000,000 to 120,000,000.</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Long-Term Debt</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Long-term debt is recognized in the Company’s and Southwest’s Condensed Consolidated Balance Sheets generally at the carrying value of the obligations outstanding. However, details surrounding the fair value and individual carrying values of instruments are discussed below or provided in the table that follows.</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Southwest’s revolving credit facility (including commercial paper) and the variable-rate Industrial Development Revenue Bonds (“IDRBs”) approximate their carrying values. The revolving credit facility and IDRBs are categorized as Level 1 due to Southwest’s ability to access similar debt arrangements at measurement dates with comparable terms, including variable/market rates. Additionally, the revolving credit facility is generally repaid quickly and the IDRBs have interest rates that reset frequently.</w:t>
      </w:r>
    </w:p>
    <w:p>
      <w:pPr>
        <w:spacing w:after="0" w:line="7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fair values of Southwest’s debentures (which include senior and medium-term notes) were determined utilizing a market-based valuation approach, where fair values are determined based on evaluated pricing data, such as broker quotes and yields for similar securities adjusted for observable differences. Significant inputs used in the valuation generally include benchmark yield curves, credit ratings, and issuer spreads. The external credit rating, coupon rate, and maturity of each security are considered in the valuation, as applicable. The fair values of debentures are categorized as Level 2.</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Centuri secured revolving credit and term loan facility and Centuri’s other debt obligations (not actively traded) are categorized as Level 3. Because Centuri’s debt is not publicly traded, fair values for the secured revolving credit and term loan facility and its other debt obligations were based on a conventional discounted cash flow methodology and utilizing current market pricing yield curves, across Centuri’s debt maturity spectrum, of other industrial bonds with an assumed credit rating comparable to the Company’s.</w:t>
      </w: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0" w:right="239" w:bottom="1440" w:gutter="0" w:footer="0" w:header="0"/>
        </w:sectPr>
      </w:pPr>
    </w:p>
    <w:bookmarkStart w:id="27" w:name="page28"/>
    <w:bookmarkEnd w:id="27"/>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20" w:type="dxa"/>
            <w:vAlign w:val="bottom"/>
            <w:gridSpan w:val="5"/>
          </w:tcPr>
          <w:p>
            <w:pPr>
              <w:ind w:left="300"/>
              <w:spacing w:after="0"/>
              <w:rPr>
                <w:sz w:val="20"/>
                <w:szCs w:val="20"/>
                <w:color w:val="auto"/>
              </w:rPr>
            </w:pPr>
            <w:r>
              <w:rPr>
                <w:rFonts w:ascii="Arial" w:cs="Arial" w:eastAsia="Arial" w:hAnsi="Arial"/>
                <w:sz w:val="18"/>
                <w:szCs w:val="18"/>
                <w:color w:val="auto"/>
              </w:rPr>
              <w:t>September 30, 2019</w:t>
            </w:r>
          </w:p>
        </w:tc>
        <w:tc>
          <w:tcPr>
            <w:tcW w:w="180" w:type="dxa"/>
            <w:vAlign w:val="bottom"/>
          </w:tcPr>
          <w:p>
            <w:pPr>
              <w:spacing w:after="0"/>
              <w:rPr>
                <w:sz w:val="20"/>
                <w:szCs w:val="20"/>
                <w:color w:val="auto"/>
              </w:rPr>
            </w:pPr>
          </w:p>
        </w:tc>
        <w:tc>
          <w:tcPr>
            <w:tcW w:w="2200" w:type="dxa"/>
            <w:vAlign w:val="bottom"/>
            <w:gridSpan w:val="4"/>
          </w:tcPr>
          <w:p>
            <w:pPr>
              <w:jc w:val="right"/>
              <w:ind w:right="370"/>
              <w:spacing w:after="0"/>
              <w:rPr>
                <w:sz w:val="20"/>
                <w:szCs w:val="20"/>
                <w:color w:val="auto"/>
              </w:rPr>
            </w:pPr>
            <w:r>
              <w:rPr>
                <w:rFonts w:ascii="Arial" w:cs="Arial" w:eastAsia="Arial" w:hAnsi="Arial"/>
                <w:sz w:val="18"/>
                <w:szCs w:val="18"/>
                <w:color w:val="auto"/>
              </w:rPr>
              <w:t>December 31, 2018</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Carrying</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Market</w:t>
            </w:r>
          </w:p>
        </w:tc>
        <w:tc>
          <w:tcPr>
            <w:tcW w:w="18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Carrying</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Market</w:t>
            </w: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Value</w:t>
            </w:r>
          </w:p>
        </w:tc>
        <w:tc>
          <w:tcPr>
            <w:tcW w:w="180" w:type="dxa"/>
            <w:vAlign w:val="bottom"/>
          </w:tcPr>
          <w:p>
            <w:pPr>
              <w:spacing w:after="0"/>
              <w:rPr>
                <w:sz w:val="20"/>
                <w:szCs w:val="20"/>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6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(Thousands of dollars)</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65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Southwest Gas Corporation:</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Debentures: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Notes, 4.45%, due 2020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125,000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126,763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125,000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126,213</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Notes, 6.1%, due 2041</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167,619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150,728</w:t>
            </w:r>
          </w:p>
        </w:tc>
        <w:tc>
          <w:tcPr>
            <w:tcW w:w="0" w:type="dxa"/>
            <w:vAlign w:val="bottom"/>
          </w:tcPr>
          <w:p>
            <w:pPr>
              <w:spacing w:after="0"/>
              <w:rPr>
                <w:sz w:val="1"/>
                <w:szCs w:val="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Notes, 3.875%, due 2022</w:t>
            </w:r>
          </w:p>
        </w:tc>
        <w:tc>
          <w:tcPr>
            <w:tcW w:w="1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257,930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254,195</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Notes, 4.875%, due 2043</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303,955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268,985</w:t>
            </w:r>
          </w:p>
        </w:tc>
        <w:tc>
          <w:tcPr>
            <w:tcW w:w="0" w:type="dxa"/>
            <w:vAlign w:val="bottom"/>
          </w:tcPr>
          <w:p>
            <w:pPr>
              <w:spacing w:after="0"/>
              <w:rPr>
                <w:sz w:val="1"/>
                <w:szCs w:val="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Notes, 3.8%, due 2046</w:t>
            </w:r>
          </w:p>
        </w:tc>
        <w:tc>
          <w:tcPr>
            <w:tcW w:w="1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316,383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267,030</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Notes, 3.7%, due 2028</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323,034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298,926</w:t>
            </w:r>
          </w:p>
        </w:tc>
        <w:tc>
          <w:tcPr>
            <w:tcW w:w="0" w:type="dxa"/>
            <w:vAlign w:val="bottom"/>
          </w:tcPr>
          <w:p>
            <w:pPr>
              <w:spacing w:after="0"/>
              <w:rPr>
                <w:sz w:val="1"/>
                <w:szCs w:val="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Notes, 4.15%, due 2049</w:t>
            </w:r>
          </w:p>
        </w:tc>
        <w:tc>
          <w:tcPr>
            <w:tcW w:w="1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334,680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8% Series, due 2026</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97,769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93,827</w:t>
            </w:r>
          </w:p>
        </w:tc>
        <w:tc>
          <w:tcPr>
            <w:tcW w:w="0" w:type="dxa"/>
            <w:vAlign w:val="bottom"/>
          </w:tcPr>
          <w:p>
            <w:pPr>
              <w:spacing w:after="0"/>
              <w:rPr>
                <w:sz w:val="1"/>
                <w:szCs w:val="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Medium-term notes, 7.78% series, due 2022</w:t>
            </w:r>
          </w:p>
        </w:tc>
        <w:tc>
          <w:tcPr>
            <w:tcW w:w="1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27,655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27,497</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Medium-term notes, 7.92% series, due 2027</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32,250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30,016</w:t>
            </w:r>
          </w:p>
        </w:tc>
        <w:tc>
          <w:tcPr>
            <w:tcW w:w="0" w:type="dxa"/>
            <w:vAlign w:val="bottom"/>
          </w:tcPr>
          <w:p>
            <w:pPr>
              <w:spacing w:after="0"/>
              <w:rPr>
                <w:sz w:val="1"/>
                <w:szCs w:val="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Medium-term notes, 6.76% series, due 2027</w:t>
            </w:r>
          </w:p>
        </w:tc>
        <w:tc>
          <w:tcPr>
            <w:tcW w:w="1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9,218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8,651</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Unamortized discount and debt issuance costs</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(14,852)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(11,807)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5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1,767,648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1,470,693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facility and commercial paper</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150,000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150,000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150,000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23"/>
        </w:trPr>
        <w:tc>
          <w:tcPr>
            <w:tcW w:w="6540" w:type="dxa"/>
            <w:vAlign w:val="bottom"/>
          </w:tcPr>
          <w:p>
            <w:pPr>
              <w:ind w:left="40"/>
              <w:spacing w:after="0"/>
              <w:rPr>
                <w:sz w:val="20"/>
                <w:szCs w:val="20"/>
                <w:color w:val="auto"/>
              </w:rPr>
            </w:pPr>
            <w:r>
              <w:rPr>
                <w:rFonts w:ascii="Arial" w:cs="Arial" w:eastAsia="Arial" w:hAnsi="Arial"/>
                <w:sz w:val="18"/>
                <w:szCs w:val="18"/>
                <w:color w:val="auto"/>
              </w:rPr>
              <w:t>Industrial development revenue bonds:</w:t>
            </w: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Variable-rate bonds: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500"/>
              <w:spacing w:after="0"/>
              <w:rPr>
                <w:sz w:val="20"/>
                <w:szCs w:val="20"/>
                <w:color w:val="auto"/>
              </w:rPr>
            </w:pPr>
            <w:r>
              <w:rPr>
                <w:rFonts w:ascii="Arial" w:cs="Arial" w:eastAsia="Arial" w:hAnsi="Arial"/>
                <w:sz w:val="18"/>
                <w:szCs w:val="18"/>
                <w:color w:val="auto"/>
              </w:rPr>
              <w:t>Tax-exempt Series A, due 2028</w:t>
            </w:r>
          </w:p>
        </w:tc>
        <w:tc>
          <w:tcPr>
            <w:tcW w:w="1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2003 Series A, due 2038</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43"/>
        </w:trPr>
        <w:tc>
          <w:tcPr>
            <w:tcW w:w="6540" w:type="dxa"/>
            <w:vAlign w:val="bottom"/>
          </w:tcPr>
          <w:p>
            <w:pPr>
              <w:ind w:left="500"/>
              <w:spacing w:after="0"/>
              <w:rPr>
                <w:sz w:val="20"/>
                <w:szCs w:val="20"/>
                <w:color w:val="auto"/>
              </w:rPr>
            </w:pPr>
            <w:r>
              <w:rPr>
                <w:rFonts w:ascii="Arial" w:cs="Arial" w:eastAsia="Arial" w:hAnsi="Arial"/>
                <w:sz w:val="18"/>
                <w:szCs w:val="18"/>
                <w:color w:val="auto"/>
              </w:rPr>
              <w:t>2008 Series A, due 2038</w:t>
            </w:r>
          </w:p>
        </w:tc>
        <w:tc>
          <w:tcPr>
            <w:tcW w:w="1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2009 Series A, due 2039</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43"/>
        </w:trPr>
        <w:tc>
          <w:tcPr>
            <w:tcW w:w="6540" w:type="dxa"/>
            <w:vAlign w:val="bottom"/>
          </w:tcPr>
          <w:p>
            <w:pPr>
              <w:ind w:left="500"/>
              <w:spacing w:after="0"/>
              <w:rPr>
                <w:sz w:val="20"/>
                <w:szCs w:val="20"/>
                <w:color w:val="auto"/>
              </w:rPr>
            </w:pPr>
            <w:r>
              <w:rPr>
                <w:rFonts w:ascii="Arial" w:cs="Arial" w:eastAsia="Arial" w:hAnsi="Arial"/>
                <w:sz w:val="18"/>
                <w:szCs w:val="18"/>
                <w:color w:val="auto"/>
              </w:rPr>
              <w:t>Unamortized discount and debt issuance costs</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198,222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197,976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color w:val="auto"/>
              </w:rPr>
              <w:t>Less: current maturities</w:t>
            </w: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less current maturities - Southwest Gas Corporation</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2,115,870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1,818,669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Centuri:</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Centuri term loan facility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248,043</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257,475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255,959</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260,135</w:t>
            </w: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Unamortized debt issuance costs</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246,872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254,545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Centuri secured revolving credit facility</w:t>
            </w:r>
          </w:p>
        </w:tc>
        <w:tc>
          <w:tcPr>
            <w:tcW w:w="1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89,140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89,175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Centuri other debt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48,399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49,393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67,104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67,053</w:t>
            </w: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Less: current maturities</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(38,165)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(33,060)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less current maturities - Centuri</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346,246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288,589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Consolidated Southwest Gas Holdings, Inc.:</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Southwest Gas Corporation long-term debt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2,115,870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1,818,669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Centuri long-term debt</w:t>
            </w:r>
          </w:p>
        </w:tc>
        <w:tc>
          <w:tcPr>
            <w:tcW w:w="1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384,411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321,649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maturities</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(38,165)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(33,060)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color w:val="auto"/>
              </w:rPr>
              <w:t>Long-term debt, less current maturities - Southwest Gas Holdings, Inc.</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2,462,116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2,107,258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70" w:right="2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270" w:right="239" w:bottom="1440" w:gutter="0" w:footer="0" w:header="0"/>
          <w:type w:val="continuous"/>
        </w:sectPr>
      </w:pPr>
    </w:p>
    <w:bookmarkStart w:id="28" w:name="page29"/>
    <w:bookmarkEnd w:id="28"/>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Southwest has a $400 million credit facility that is scheduled to expire in March 2022. Southwest designates $150 million of capacity related to the facility as long-term debt and has designated the remaining $250 million for working capital purposes. Interest rates for the credit facility are calculated at either the London Interbank Offered Rate (“LIBOR”) or an “alternate base rate,” plus in each case an applicable margin that is determined based on Southwest’s senior unsecured debt rating. At September 30, 2019, the applicable margin is 1% for loans bearing interest with reference to LIBOR and 0% for loans bearing interest with reference to the alternative base rate. At September 30, 2019, $150 million was outstanding on the long-term portion (including $50 million under the commercial paper program, discussed below) and $30 million of borrowings were outstanding on the short-term portion of this credit facility (see </w:t>
      </w:r>
      <w:r>
        <w:rPr>
          <w:rFonts w:ascii="Arial" w:cs="Arial" w:eastAsia="Arial" w:hAnsi="Arial"/>
          <w:sz w:val="18"/>
          <w:szCs w:val="18"/>
          <w:b w:val="1"/>
          <w:bCs w:val="1"/>
          <w:color w:val="auto"/>
        </w:rPr>
        <w:t>Note 8 – Short-Term Debt</w:t>
      </w:r>
      <w:r>
        <w:rPr>
          <w:rFonts w:ascii="Arial" w:cs="Arial" w:eastAsia="Arial" w:hAnsi="Arial"/>
          <w:sz w:val="18"/>
          <w:szCs w:val="18"/>
          <w:color w:val="auto"/>
        </w:rPr>
        <w:t>).</w:t>
      </w:r>
    </w:p>
    <w:p>
      <w:pPr>
        <w:spacing w:after="0" w:line="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Southwest has a $50 million commercial paper program. Any issuance under the commercial paper program is supported by Southwest’s current revolving credit facility and, therefore, does not represent additional borrowing capacity under the credit facility. Borrowings under the commercial paper program are designated as long-term debt. Interest rates for the program are calculated at the then current commercial paper rate. At September 30, 2019, as noted above, $50 million of borrowings were outstanding under the commercial paper program.</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May 2019, Southwest issued $300 million in 4.15% Senior Notes at a discount of 0.051%. The notes will mature in June 2049. The net proceeds were used to repay a portion of amounts then outstanding under its credit facility and commercial paper program.</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November 2018, Centuri, in association with the acquisition of Linetec, amended and restated its senior secured revolving credit and term loan facility, increasing the capacity from $450 million to $590 million; the amended facility is scheduled to expire in November 2023. This facility includes a revolving credit facility and a term loan facility. The line of credit portion of the facility is $325 million; amounts borrowed and repaid under the revolving line of credit facility are available to be re-borrowed. The term loan facility portion has a limit of approximately $265 million. The $590 million revolving credit and term loan facility is secured by substantially all of Centuri’s assets except those explicitly excluded under the terms of the agreement (including owned real estate and certain certificated vehicles). Centuri’s assets securing the facility at September 30, 2019 totaled $1.3 billion. At September 30, 2019, $337 million in borrowings were outstanding under the Centuri facility.</w:t>
      </w:r>
    </w:p>
    <w:p>
      <w:pPr>
        <w:spacing w:after="0" w:line="8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It is currently anticipated that LIBOR may be discontinued as a benchmark or reference rate after 2021. As of September 30, 2019, no borrowings were outstanding for the holding company under its credit facility (see </w:t>
      </w:r>
      <w:r>
        <w:rPr>
          <w:rFonts w:ascii="Arial" w:cs="Arial" w:eastAsia="Arial" w:hAnsi="Arial"/>
          <w:sz w:val="16"/>
          <w:szCs w:val="16"/>
          <w:b w:val="1"/>
          <w:bCs w:val="1"/>
          <w:color w:val="auto"/>
        </w:rPr>
        <w:t>Note 8 – Short-Term Debt</w:t>
      </w:r>
      <w:r>
        <w:rPr>
          <w:rFonts w:ascii="Arial" w:cs="Arial" w:eastAsia="Arial" w:hAnsi="Arial"/>
          <w:sz w:val="16"/>
          <w:szCs w:val="16"/>
          <w:color w:val="auto"/>
        </w:rPr>
        <w:t>), and therefore, there was no related indebtedness with reference to LIBOR. However, $130 million of Southwest’s outstanding borrowings under its credit facility (other than from its commercial paper program) and $218 million of Centuri’s outstanding borrowings under its credit facility have interest rates with reference to LIBOR and maturity dates that extend beyond 2021. Southwest’s outstanding LIBOR referenced debt of $130 million is approximately 6% of Southwest’s total debt, and Southwest’s and Centuri’s combined outstanding LIBOR referenced debt of $348 million is approximately 14% of total debt (including current maturities) for the Company overall. In order to mitigate the impact of the discontinuation on the Company’s financial condition and results of operations, Southwest and Centuri will continue to monitor developments with respect to alternative rates and work with lenders to determine the appropriate alternative reference rate for variable rate indebtedness.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Short-Term Debt</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Southwest Gas Holdings, Inc. has a $100 million credit facility that is scheduled to expire in March 2022. There were no borrowings outstanding under this credit facility at September 30, 2019.</w:t>
      </w:r>
    </w:p>
    <w:p>
      <w:pPr>
        <w:spacing w:after="0" w:line="5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As discussed in </w:t>
      </w:r>
      <w:r>
        <w:rPr>
          <w:rFonts w:ascii="Arial" w:cs="Arial" w:eastAsia="Arial" w:hAnsi="Arial"/>
          <w:sz w:val="18"/>
          <w:szCs w:val="18"/>
          <w:b w:val="1"/>
          <w:bCs w:val="1"/>
          <w:color w:val="auto"/>
        </w:rPr>
        <w:t>Note 7 – Long-Term Debt,</w:t>
      </w:r>
      <w:r>
        <w:rPr>
          <w:rFonts w:ascii="Arial" w:cs="Arial" w:eastAsia="Arial" w:hAnsi="Arial"/>
          <w:sz w:val="18"/>
          <w:szCs w:val="18"/>
          <w:color w:val="auto"/>
        </w:rPr>
        <w:t xml:space="preserve"> Southwest has a $400 million credit facility that is scheduled to expire in March 2022, of which $250 million has been designated by management for working capital purposes. Southwest had $30 million of short-term borrowings outstanding at September 30, 2019 under this facility.</w:t>
      </w:r>
    </w:p>
    <w:p>
      <w:pPr>
        <w:spacing w:after="0" w:line="36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0" w:right="239" w:bottom="1440" w:gutter="0" w:footer="0" w:header="0"/>
        </w:sectPr>
      </w:pPr>
    </w:p>
    <w:bookmarkStart w:id="29" w:name="page30"/>
    <w:bookmarkEnd w:id="29"/>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Comprehensive Income and Accumulated Other Comprehensive Income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following information provides insight into amounts impacting the Company’s Other comprehensive income (loss), both before and after-tax impacts, within the Condensed Consolidated Statements of Comprehensive Income, which also impact Accumulated other comprehensive income (“AOCI”) in the Condensed Consolidated Balance Sheets and the Condensed Consolidated Statements of Equity. See </w:t>
      </w:r>
      <w:r>
        <w:rPr>
          <w:rFonts w:ascii="Arial" w:cs="Arial" w:eastAsia="Arial" w:hAnsi="Arial"/>
          <w:sz w:val="18"/>
          <w:szCs w:val="18"/>
          <w:b w:val="1"/>
          <w:bCs w:val="1"/>
          <w:color w:val="auto"/>
        </w:rPr>
        <w:t>Note 5 – Derivatives</w:t>
      </w:r>
      <w:r>
        <w:rPr>
          <w:rFonts w:ascii="Arial" w:cs="Arial" w:eastAsia="Arial" w:hAnsi="Arial"/>
          <w:sz w:val="18"/>
          <w:szCs w:val="18"/>
          <w:color w:val="auto"/>
        </w:rPr>
        <w:t xml:space="preserve"> for additional information on the FSIRS.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Related Tax Effects Allocated to Each Component of Other Comprehensive Income (Loss)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(Thousands of dollars)</w:t>
      </w:r>
    </w:p>
    <w:p>
      <w:pPr>
        <w:sectPr>
          <w:pgSz w:w="11900" w:h="16838" w:orient="portrait"/>
          <w:cols w:equalWidth="0" w:num="1">
            <w:col w:w="11420"/>
          </w:cols>
          <w:pgMar w:left="240" w:top="27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Defined benefit pension plans:</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4"/>
          <w:szCs w:val="14"/>
          <w:color w:val="auto"/>
        </w:rPr>
        <w:t>Amortization of prior service cost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Amortization of net actuarial (gain)/loss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Regulatory adjustment</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Pension plans other comprehensive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FSIRS (designated hedging activities):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Amounts reclassified into net income</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FSIRS other comprehensive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Total other comprehensive income - Southwest Gas Corporation</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Foreign currency translation adjustments:</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Translation adjustments</w:t>
      </w:r>
    </w:p>
    <w:p>
      <w:pPr>
        <w:spacing w:after="0" w:line="10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Foreign currency other comprehensive income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Total other comprehensive income - Southwest Gas Holdings, Inc.</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14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7"/>
          </w:tcPr>
          <w:p>
            <w:pPr>
              <w:jc w:val="right"/>
              <w:ind w:right="348"/>
              <w:spacing w:after="0"/>
              <w:rPr>
                <w:sz w:val="20"/>
                <w:szCs w:val="20"/>
                <w:color w:val="auto"/>
              </w:rPr>
            </w:pPr>
            <w:r>
              <w:rPr>
                <w:rFonts w:ascii="Arial" w:cs="Arial" w:eastAsia="Arial" w:hAnsi="Arial"/>
                <w:sz w:val="14"/>
                <w:szCs w:val="14"/>
                <w:color w:val="auto"/>
              </w:rPr>
              <w:t>Three Months Ended September 30, 2019</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7"/>
          </w:tcPr>
          <w:p>
            <w:pPr>
              <w:jc w:val="right"/>
              <w:ind w:right="268"/>
              <w:spacing w:after="0"/>
              <w:rPr>
                <w:sz w:val="20"/>
                <w:szCs w:val="20"/>
                <w:color w:val="auto"/>
              </w:rPr>
            </w:pPr>
            <w:r>
              <w:rPr>
                <w:rFonts w:ascii="Arial" w:cs="Arial" w:eastAsia="Arial" w:hAnsi="Arial"/>
                <w:sz w:val="14"/>
                <w:szCs w:val="14"/>
                <w:color w:val="auto"/>
              </w:rPr>
              <w:t>Three Months Ended September 30, 2018</w:t>
            </w:r>
          </w:p>
        </w:tc>
      </w:tr>
      <w:tr>
        <w:trPr>
          <w:trHeight w:val="156"/>
        </w:trPr>
        <w:tc>
          <w:tcPr>
            <w:tcW w:w="140" w:type="dxa"/>
            <w:vAlign w:val="bottom"/>
          </w:tcPr>
          <w:p>
            <w:pPr>
              <w:spacing w:after="0"/>
              <w:rPr>
                <w:sz w:val="13"/>
                <w:szCs w:val="13"/>
                <w:color w:val="auto"/>
              </w:rPr>
            </w:pPr>
          </w:p>
        </w:tc>
        <w:tc>
          <w:tcPr>
            <w:tcW w:w="800" w:type="dxa"/>
            <w:vAlign w:val="bottom"/>
            <w:gridSpan w:val="2"/>
          </w:tcPr>
          <w:p>
            <w:pPr>
              <w:jc w:val="center"/>
              <w:ind w:right="240"/>
              <w:spacing w:after="0" w:line="157" w:lineRule="exact"/>
              <w:rPr>
                <w:sz w:val="20"/>
                <w:szCs w:val="20"/>
                <w:color w:val="auto"/>
              </w:rPr>
            </w:pPr>
            <w:r>
              <w:rPr>
                <w:rFonts w:ascii="Arial" w:cs="Arial" w:eastAsia="Arial" w:hAnsi="Arial"/>
                <w:sz w:val="14"/>
                <w:szCs w:val="14"/>
                <w:color w:val="auto"/>
                <w:w w:val="95"/>
              </w:rPr>
              <w:t>Before-</w:t>
            </w:r>
          </w:p>
        </w:tc>
        <w:tc>
          <w:tcPr>
            <w:tcW w:w="160" w:type="dxa"/>
            <w:vAlign w:val="bottom"/>
          </w:tcPr>
          <w:p>
            <w:pPr>
              <w:spacing w:after="0"/>
              <w:rPr>
                <w:sz w:val="13"/>
                <w:szCs w:val="13"/>
                <w:color w:val="auto"/>
              </w:rPr>
            </w:pPr>
          </w:p>
        </w:tc>
        <w:tc>
          <w:tcPr>
            <w:tcW w:w="1140" w:type="dxa"/>
            <w:vAlign w:val="bottom"/>
            <w:gridSpan w:val="2"/>
          </w:tcPr>
          <w:p>
            <w:pPr>
              <w:jc w:val="center"/>
              <w:ind w:right="280"/>
              <w:spacing w:after="0" w:line="157" w:lineRule="exact"/>
              <w:rPr>
                <w:sz w:val="20"/>
                <w:szCs w:val="20"/>
                <w:color w:val="auto"/>
              </w:rPr>
            </w:pPr>
            <w:r>
              <w:rPr>
                <w:rFonts w:ascii="Arial" w:cs="Arial" w:eastAsia="Arial" w:hAnsi="Arial"/>
                <w:sz w:val="14"/>
                <w:szCs w:val="14"/>
                <w:color w:val="auto"/>
                <w:w w:val="94"/>
              </w:rPr>
              <w:t>Tax</w:t>
            </w:r>
          </w:p>
        </w:tc>
        <w:tc>
          <w:tcPr>
            <w:tcW w:w="180" w:type="dxa"/>
            <w:vAlign w:val="bottom"/>
          </w:tcPr>
          <w:p>
            <w:pPr>
              <w:spacing w:after="0"/>
              <w:rPr>
                <w:sz w:val="13"/>
                <w:szCs w:val="13"/>
                <w:color w:val="auto"/>
              </w:rPr>
            </w:pPr>
          </w:p>
        </w:tc>
        <w:tc>
          <w:tcPr>
            <w:tcW w:w="940" w:type="dxa"/>
            <w:vAlign w:val="bottom"/>
            <w:gridSpan w:val="2"/>
          </w:tcPr>
          <w:p>
            <w:pPr>
              <w:jc w:val="center"/>
              <w:ind w:right="280"/>
              <w:spacing w:after="0" w:line="157" w:lineRule="exact"/>
              <w:rPr>
                <w:sz w:val="20"/>
                <w:szCs w:val="20"/>
                <w:color w:val="auto"/>
              </w:rPr>
            </w:pPr>
            <w:r>
              <w:rPr>
                <w:rFonts w:ascii="Arial" w:cs="Arial" w:eastAsia="Arial" w:hAnsi="Arial"/>
                <w:sz w:val="14"/>
                <w:szCs w:val="14"/>
                <w:color w:val="auto"/>
                <w:w w:val="98"/>
              </w:rPr>
              <w:t>Net-of-</w:t>
            </w:r>
          </w:p>
        </w:tc>
        <w:tc>
          <w:tcPr>
            <w:tcW w:w="140" w:type="dxa"/>
            <w:vAlign w:val="bottom"/>
          </w:tcPr>
          <w:p>
            <w:pPr>
              <w:spacing w:after="0"/>
              <w:rPr>
                <w:sz w:val="13"/>
                <w:szCs w:val="13"/>
                <w:color w:val="auto"/>
              </w:rPr>
            </w:pPr>
          </w:p>
        </w:tc>
        <w:tc>
          <w:tcPr>
            <w:tcW w:w="760" w:type="dxa"/>
            <w:vAlign w:val="bottom"/>
            <w:gridSpan w:val="2"/>
          </w:tcPr>
          <w:p>
            <w:pPr>
              <w:jc w:val="center"/>
              <w:ind w:right="240"/>
              <w:spacing w:after="0" w:line="157" w:lineRule="exact"/>
              <w:rPr>
                <w:sz w:val="20"/>
                <w:szCs w:val="20"/>
                <w:color w:val="auto"/>
              </w:rPr>
            </w:pPr>
            <w:r>
              <w:rPr>
                <w:rFonts w:ascii="Arial" w:cs="Arial" w:eastAsia="Arial" w:hAnsi="Arial"/>
                <w:sz w:val="14"/>
                <w:szCs w:val="14"/>
                <w:color w:val="auto"/>
                <w:w w:val="95"/>
              </w:rPr>
              <w:t>Before-</w:t>
            </w:r>
          </w:p>
        </w:tc>
        <w:tc>
          <w:tcPr>
            <w:tcW w:w="140" w:type="dxa"/>
            <w:vAlign w:val="bottom"/>
          </w:tcPr>
          <w:p>
            <w:pPr>
              <w:spacing w:after="0"/>
              <w:rPr>
                <w:sz w:val="13"/>
                <w:szCs w:val="13"/>
                <w:color w:val="auto"/>
              </w:rPr>
            </w:pPr>
          </w:p>
        </w:tc>
        <w:tc>
          <w:tcPr>
            <w:tcW w:w="1080" w:type="dxa"/>
            <w:vAlign w:val="bottom"/>
            <w:gridSpan w:val="2"/>
          </w:tcPr>
          <w:p>
            <w:pPr>
              <w:jc w:val="center"/>
              <w:ind w:right="240"/>
              <w:spacing w:after="0" w:line="157" w:lineRule="exact"/>
              <w:rPr>
                <w:sz w:val="20"/>
                <w:szCs w:val="20"/>
                <w:color w:val="auto"/>
              </w:rPr>
            </w:pPr>
            <w:r>
              <w:rPr>
                <w:rFonts w:ascii="Arial" w:cs="Arial" w:eastAsia="Arial" w:hAnsi="Arial"/>
                <w:sz w:val="14"/>
                <w:szCs w:val="14"/>
                <w:color w:val="auto"/>
                <w:w w:val="85"/>
              </w:rPr>
              <w:t>Tax</w:t>
            </w:r>
          </w:p>
        </w:tc>
        <w:tc>
          <w:tcPr>
            <w:tcW w:w="200" w:type="dxa"/>
            <w:vAlign w:val="bottom"/>
          </w:tcPr>
          <w:p>
            <w:pPr>
              <w:spacing w:after="0"/>
              <w:rPr>
                <w:sz w:val="13"/>
                <w:szCs w:val="13"/>
                <w:color w:val="auto"/>
              </w:rPr>
            </w:pPr>
          </w:p>
        </w:tc>
        <w:tc>
          <w:tcPr>
            <w:tcW w:w="820" w:type="dxa"/>
            <w:vAlign w:val="bottom"/>
          </w:tcPr>
          <w:p>
            <w:pPr>
              <w:jc w:val="center"/>
              <w:ind w:right="128"/>
              <w:spacing w:after="0" w:line="157" w:lineRule="exact"/>
              <w:rPr>
                <w:sz w:val="20"/>
                <w:szCs w:val="20"/>
                <w:color w:val="auto"/>
              </w:rPr>
            </w:pPr>
            <w:r>
              <w:rPr>
                <w:rFonts w:ascii="Arial" w:cs="Arial" w:eastAsia="Arial" w:hAnsi="Arial"/>
                <w:sz w:val="14"/>
                <w:szCs w:val="14"/>
                <w:color w:val="auto"/>
                <w:w w:val="98"/>
              </w:rPr>
              <w:t>Net-of-</w:t>
            </w:r>
          </w:p>
        </w:tc>
      </w:tr>
      <w:tr>
        <w:trPr>
          <w:trHeight w:val="149"/>
        </w:trPr>
        <w:tc>
          <w:tcPr>
            <w:tcW w:w="14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Tax</w:t>
            </w:r>
          </w:p>
        </w:tc>
        <w:tc>
          <w:tcPr>
            <w:tcW w:w="16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0"/>
              </w:rPr>
              <w:t>(Expense)</w:t>
            </w:r>
          </w:p>
        </w:tc>
        <w:tc>
          <w:tcPr>
            <w:tcW w:w="18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4"/>
              </w:rPr>
              <w:t>Tax</w:t>
            </w:r>
          </w:p>
        </w:tc>
        <w:tc>
          <w:tcPr>
            <w:tcW w:w="14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5"/>
              </w:rPr>
              <w:t>Tax</w:t>
            </w:r>
          </w:p>
        </w:tc>
        <w:tc>
          <w:tcPr>
            <w:tcW w:w="14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3"/>
              </w:rPr>
              <w:t>(Expense)</w:t>
            </w:r>
          </w:p>
        </w:tc>
        <w:tc>
          <w:tcPr>
            <w:tcW w:w="200" w:type="dxa"/>
            <w:vAlign w:val="bottom"/>
          </w:tcPr>
          <w:p>
            <w:pPr>
              <w:spacing w:after="0"/>
              <w:rPr>
                <w:sz w:val="12"/>
                <w:szCs w:val="12"/>
                <w:color w:val="auto"/>
              </w:rPr>
            </w:pPr>
          </w:p>
        </w:tc>
        <w:tc>
          <w:tcPr>
            <w:tcW w:w="820" w:type="dxa"/>
            <w:vAlign w:val="bottom"/>
          </w:tcPr>
          <w:p>
            <w:pPr>
              <w:jc w:val="center"/>
              <w:ind w:right="128"/>
              <w:spacing w:after="0" w:line="149" w:lineRule="exact"/>
              <w:rPr>
                <w:sz w:val="20"/>
                <w:szCs w:val="20"/>
                <w:color w:val="auto"/>
              </w:rPr>
            </w:pPr>
            <w:r>
              <w:rPr>
                <w:rFonts w:ascii="Arial" w:cs="Arial" w:eastAsia="Arial" w:hAnsi="Arial"/>
                <w:sz w:val="14"/>
                <w:szCs w:val="14"/>
                <w:color w:val="auto"/>
                <w:w w:val="94"/>
              </w:rPr>
              <w:t>Tax</w:t>
            </w:r>
          </w:p>
        </w:tc>
      </w:tr>
      <w:tr>
        <w:trPr>
          <w:trHeight w:val="188"/>
        </w:trPr>
        <w:tc>
          <w:tcPr>
            <w:tcW w:w="140" w:type="dxa"/>
            <w:vAlign w:val="bottom"/>
          </w:tcPr>
          <w:p>
            <w:pPr>
              <w:spacing w:after="0"/>
              <w:rPr>
                <w:sz w:val="16"/>
                <w:szCs w:val="16"/>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Amount</w:t>
            </w:r>
          </w:p>
        </w:tc>
        <w:tc>
          <w:tcPr>
            <w:tcW w:w="16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or Benefit (1)</w:t>
            </w:r>
          </w:p>
        </w:tc>
        <w:tc>
          <w:tcPr>
            <w:tcW w:w="18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color w:val="auto"/>
                <w:w w:val="99"/>
              </w:rPr>
              <w:t>Amount</w:t>
            </w:r>
          </w:p>
        </w:tc>
        <w:tc>
          <w:tcPr>
            <w:tcW w:w="140" w:type="dxa"/>
            <w:vAlign w:val="bottom"/>
          </w:tcPr>
          <w:p>
            <w:pPr>
              <w:spacing w:after="0"/>
              <w:rPr>
                <w:sz w:val="16"/>
                <w:szCs w:val="16"/>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Amount</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color w:val="auto"/>
                <w:w w:val="98"/>
              </w:rPr>
              <w:t>or Benefit (1)</w:t>
            </w:r>
          </w:p>
        </w:tc>
        <w:tc>
          <w:tcPr>
            <w:tcW w:w="200" w:type="dxa"/>
            <w:vAlign w:val="bottom"/>
          </w:tcPr>
          <w:p>
            <w:pPr>
              <w:spacing w:after="0"/>
              <w:rPr>
                <w:sz w:val="16"/>
                <w:szCs w:val="16"/>
                <w:color w:val="auto"/>
              </w:rPr>
            </w:pPr>
          </w:p>
        </w:tc>
        <w:tc>
          <w:tcPr>
            <w:tcW w:w="820" w:type="dxa"/>
            <w:vAlign w:val="bottom"/>
          </w:tcPr>
          <w:p>
            <w:pPr>
              <w:jc w:val="center"/>
              <w:ind w:right="128"/>
              <w:spacing w:after="0"/>
              <w:rPr>
                <w:sz w:val="20"/>
                <w:szCs w:val="20"/>
                <w:color w:val="auto"/>
              </w:rPr>
            </w:pPr>
            <w:r>
              <w:rPr>
                <w:rFonts w:ascii="Arial" w:cs="Arial" w:eastAsia="Arial" w:hAnsi="Arial"/>
                <w:sz w:val="14"/>
                <w:szCs w:val="14"/>
                <w:color w:val="auto"/>
                <w:w w:val="95"/>
              </w:rPr>
              <w:t>Amount</w:t>
            </w:r>
          </w:p>
        </w:tc>
      </w:tr>
      <w:tr>
        <w:trPr>
          <w:trHeight w:val="528"/>
        </w:trPr>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318</w:t>
            </w:r>
          </w:p>
        </w:tc>
        <w:tc>
          <w:tcPr>
            <w:tcW w:w="12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24"/>
                <w:szCs w:val="24"/>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241</w:t>
            </w:r>
          </w:p>
        </w:tc>
        <w:tc>
          <w:tcPr>
            <w:tcW w:w="10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334</w:t>
            </w:r>
          </w:p>
        </w:tc>
        <w:tc>
          <w:tcPr>
            <w:tcW w:w="10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24"/>
                <w:szCs w:val="24"/>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254</w:t>
            </w:r>
          </w:p>
        </w:tc>
      </w:tr>
      <w:tr>
        <w:trPr>
          <w:trHeight w:val="270"/>
        </w:trPr>
        <w:tc>
          <w:tcPr>
            <w:tcW w:w="14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5,844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(1,402)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4,442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8,404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(2,017)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6,387</w:t>
            </w:r>
          </w:p>
        </w:tc>
      </w:tr>
      <w:tr>
        <w:trPr>
          <w:trHeight w:val="276"/>
        </w:trPr>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(5,348)</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1,283</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(4,065)</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(7,560)</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1,814</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(5,746)</w:t>
            </w:r>
          </w:p>
        </w:tc>
      </w:tr>
      <w:tr>
        <w:trPr>
          <w:trHeight w:val="244"/>
        </w:trPr>
        <w:tc>
          <w:tcPr>
            <w:tcW w:w="140" w:type="dxa"/>
            <w:vAlign w:val="bottom"/>
          </w:tcPr>
          <w:p>
            <w:pPr>
              <w:spacing w:after="0"/>
              <w:rPr>
                <w:sz w:val="21"/>
                <w:szCs w:val="21"/>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814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1,178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895</w:t>
            </w:r>
          </w:p>
        </w:tc>
      </w:tr>
      <w:tr>
        <w:trPr>
          <w:trHeight w:val="546"/>
        </w:trPr>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836</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(201)</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635</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836</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636</w:t>
            </w:r>
          </w:p>
        </w:tc>
      </w:tr>
      <w:tr>
        <w:trPr>
          <w:trHeight w:val="250"/>
        </w:trPr>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836</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(201)</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635</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836</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636</w:t>
            </w:r>
          </w:p>
        </w:tc>
      </w:tr>
      <w:tr>
        <w:trPr>
          <w:trHeight w:val="250"/>
        </w:trPr>
        <w:tc>
          <w:tcPr>
            <w:tcW w:w="1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1,650</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(397)</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1,253</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(483)</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1,531</w:t>
            </w:r>
          </w:p>
        </w:tc>
      </w:tr>
      <w:tr>
        <w:trPr>
          <w:trHeight w:val="534"/>
        </w:trPr>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(447)</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(447)</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599</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599</w:t>
            </w:r>
          </w:p>
        </w:tc>
      </w:tr>
      <w:tr>
        <w:trPr>
          <w:trHeight w:val="250"/>
        </w:trPr>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599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599</w:t>
            </w:r>
          </w:p>
        </w:tc>
      </w:tr>
      <w:tr>
        <w:trPr>
          <w:trHeight w:val="237"/>
        </w:trPr>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1,203</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(397)</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806</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2,613</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(483)</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2,130</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-3118485</wp:posOffset>
            </wp:positionH>
            <wp:positionV relativeFrom="paragraph">
              <wp:posOffset>-2083435</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-1740535</wp:posOffset>
            </wp:positionV>
            <wp:extent cx="72466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-1397000</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-1054100</wp:posOffset>
            </wp:positionV>
            <wp:extent cx="72466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-711200</wp:posOffset>
            </wp:positionV>
            <wp:extent cx="7246620" cy="1803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-359410</wp:posOffset>
            </wp:positionV>
            <wp:extent cx="72466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00" w:space="720"/>
            <w:col w:w="6500"/>
          </w:cols>
          <w:pgMar w:left="240" w:top="270" w:right="239" w:bottom="1440" w:gutter="0" w:footer="0" w:header="0"/>
          <w:type w:val="continuous"/>
        </w:sectPr>
      </w:pPr>
    </w:p>
    <w:p>
      <w:pPr>
        <w:spacing w:after="0" w:line="159" w:lineRule="exact"/>
        <w:rPr>
          <w:sz w:val="20"/>
          <w:szCs w:val="20"/>
          <w:color w:val="auto"/>
        </w:rPr>
      </w:pPr>
    </w:p>
    <w:tbl>
      <w:tblPr>
        <w:tblLayout w:type="fixed"/>
        <w:tblInd w:w="4920" w:type="dxa"/>
        <w:tblCellMar>
          <w:top w:w="0" w:type="dxa"/>
          <w:left w:w="0" w:type="dxa"/>
          <w:bottom w:w="0" w:type="dxa"/>
          <w:right w:w="0" w:type="dxa"/>
        </w:tblCellMar>
      </w:tblPr>
      <w:tr>
        <w:trPr>
          <w:trHeight w:val="188"/>
        </w:trPr>
        <w:tc>
          <w:tcPr>
            <w:tcW w:w="326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color w:val="auto"/>
              </w:rPr>
              <w:t>Nine Months Ended September 30, 2019</w:t>
            </w:r>
          </w:p>
        </w:tc>
        <w:tc>
          <w:tcPr>
            <w:tcW w:w="100" w:type="dxa"/>
            <w:vAlign w:val="bottom"/>
          </w:tcPr>
          <w:p>
            <w:pPr>
              <w:spacing w:after="0"/>
              <w:rPr>
                <w:sz w:val="16"/>
                <w:szCs w:val="16"/>
                <w:color w:val="auto"/>
              </w:rPr>
            </w:pPr>
          </w:p>
        </w:tc>
        <w:tc>
          <w:tcPr>
            <w:tcW w:w="314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color w:val="auto"/>
              </w:rPr>
              <w:t>Nine Months Ended September 30, 2018</w:t>
            </w:r>
          </w:p>
        </w:tc>
      </w:tr>
      <w:tr>
        <w:trPr>
          <w:trHeight w:val="156"/>
        </w:trPr>
        <w:tc>
          <w:tcPr>
            <w:tcW w:w="900" w:type="dxa"/>
            <w:vAlign w:val="bottom"/>
          </w:tcPr>
          <w:p>
            <w:pPr>
              <w:jc w:val="center"/>
              <w:spacing w:after="0" w:line="157" w:lineRule="exact"/>
              <w:rPr>
                <w:sz w:val="20"/>
                <w:szCs w:val="20"/>
                <w:color w:val="auto"/>
              </w:rPr>
            </w:pPr>
            <w:r>
              <w:rPr>
                <w:rFonts w:ascii="Arial" w:cs="Arial" w:eastAsia="Arial" w:hAnsi="Arial"/>
                <w:sz w:val="14"/>
                <w:szCs w:val="14"/>
                <w:color w:val="auto"/>
                <w:w w:val="95"/>
              </w:rPr>
              <w:t>Before-</w:t>
            </w:r>
          </w:p>
        </w:tc>
        <w:tc>
          <w:tcPr>
            <w:tcW w:w="1320" w:type="dxa"/>
            <w:vAlign w:val="bottom"/>
          </w:tcPr>
          <w:p>
            <w:pPr>
              <w:jc w:val="center"/>
              <w:spacing w:after="0" w:line="157" w:lineRule="exact"/>
              <w:rPr>
                <w:sz w:val="20"/>
                <w:szCs w:val="20"/>
                <w:color w:val="auto"/>
              </w:rPr>
            </w:pPr>
            <w:r>
              <w:rPr>
                <w:rFonts w:ascii="Arial" w:cs="Arial" w:eastAsia="Arial" w:hAnsi="Arial"/>
                <w:sz w:val="14"/>
                <w:szCs w:val="14"/>
                <w:color w:val="auto"/>
                <w:w w:val="94"/>
              </w:rPr>
              <w:t>Tax</w:t>
            </w:r>
          </w:p>
        </w:tc>
        <w:tc>
          <w:tcPr>
            <w:tcW w:w="1140" w:type="dxa"/>
            <w:vAlign w:val="bottom"/>
            <w:gridSpan w:val="2"/>
          </w:tcPr>
          <w:p>
            <w:pPr>
              <w:jc w:val="center"/>
              <w:ind w:right="80"/>
              <w:spacing w:after="0" w:line="157" w:lineRule="exact"/>
              <w:rPr>
                <w:sz w:val="20"/>
                <w:szCs w:val="20"/>
                <w:color w:val="auto"/>
              </w:rPr>
            </w:pPr>
            <w:r>
              <w:rPr>
                <w:rFonts w:ascii="Arial" w:cs="Arial" w:eastAsia="Arial" w:hAnsi="Arial"/>
                <w:sz w:val="14"/>
                <w:szCs w:val="14"/>
                <w:color w:val="auto"/>
                <w:w w:val="98"/>
              </w:rPr>
              <w:t>Net-of-</w:t>
            </w:r>
          </w:p>
        </w:tc>
        <w:tc>
          <w:tcPr>
            <w:tcW w:w="860" w:type="dxa"/>
            <w:vAlign w:val="bottom"/>
          </w:tcPr>
          <w:p>
            <w:pPr>
              <w:jc w:val="center"/>
              <w:spacing w:after="0" w:line="157" w:lineRule="exact"/>
              <w:rPr>
                <w:sz w:val="20"/>
                <w:szCs w:val="20"/>
                <w:color w:val="auto"/>
              </w:rPr>
            </w:pPr>
            <w:r>
              <w:rPr>
                <w:rFonts w:ascii="Arial" w:cs="Arial" w:eastAsia="Arial" w:hAnsi="Arial"/>
                <w:sz w:val="14"/>
                <w:szCs w:val="14"/>
                <w:color w:val="auto"/>
                <w:w w:val="95"/>
              </w:rPr>
              <w:t>Before-</w:t>
            </w:r>
          </w:p>
        </w:tc>
        <w:tc>
          <w:tcPr>
            <w:tcW w:w="1260" w:type="dxa"/>
            <w:vAlign w:val="bottom"/>
          </w:tcPr>
          <w:p>
            <w:pPr>
              <w:jc w:val="center"/>
              <w:spacing w:after="0" w:line="157" w:lineRule="exact"/>
              <w:rPr>
                <w:sz w:val="20"/>
                <w:szCs w:val="20"/>
                <w:color w:val="auto"/>
              </w:rPr>
            </w:pPr>
            <w:r>
              <w:rPr>
                <w:rFonts w:ascii="Arial" w:cs="Arial" w:eastAsia="Arial" w:hAnsi="Arial"/>
                <w:sz w:val="14"/>
                <w:szCs w:val="14"/>
                <w:color w:val="auto"/>
                <w:w w:val="85"/>
              </w:rPr>
              <w:t>Tax</w:t>
            </w:r>
          </w:p>
        </w:tc>
        <w:tc>
          <w:tcPr>
            <w:tcW w:w="1020" w:type="dxa"/>
            <w:vAlign w:val="bottom"/>
          </w:tcPr>
          <w:p>
            <w:pPr>
              <w:jc w:val="center"/>
              <w:spacing w:after="0" w:line="157" w:lineRule="exact"/>
              <w:rPr>
                <w:sz w:val="20"/>
                <w:szCs w:val="20"/>
                <w:color w:val="auto"/>
              </w:rPr>
            </w:pPr>
            <w:r>
              <w:rPr>
                <w:rFonts w:ascii="Arial" w:cs="Arial" w:eastAsia="Arial" w:hAnsi="Arial"/>
                <w:sz w:val="14"/>
                <w:szCs w:val="14"/>
                <w:color w:val="auto"/>
                <w:w w:val="98"/>
              </w:rPr>
              <w:t>Net-of-</w:t>
            </w:r>
          </w:p>
        </w:tc>
      </w:tr>
      <w:tr>
        <w:trPr>
          <w:trHeight w:val="149"/>
        </w:trPr>
        <w:tc>
          <w:tcPr>
            <w:tcW w:w="900" w:type="dxa"/>
            <w:vAlign w:val="bottom"/>
          </w:tcPr>
          <w:p>
            <w:pPr>
              <w:jc w:val="center"/>
              <w:ind w:right="8"/>
              <w:spacing w:after="0" w:line="149" w:lineRule="exact"/>
              <w:rPr>
                <w:sz w:val="20"/>
                <w:szCs w:val="20"/>
                <w:color w:val="auto"/>
              </w:rPr>
            </w:pPr>
            <w:r>
              <w:rPr>
                <w:rFonts w:ascii="Arial" w:cs="Arial" w:eastAsia="Arial" w:hAnsi="Arial"/>
                <w:sz w:val="14"/>
                <w:szCs w:val="14"/>
                <w:color w:val="auto"/>
                <w:w w:val="94"/>
              </w:rPr>
              <w:t>Tax</w:t>
            </w:r>
          </w:p>
        </w:tc>
        <w:tc>
          <w:tcPr>
            <w:tcW w:w="1320" w:type="dxa"/>
            <w:vAlign w:val="bottom"/>
          </w:tcPr>
          <w:p>
            <w:pPr>
              <w:jc w:val="center"/>
              <w:spacing w:after="0" w:line="149" w:lineRule="exact"/>
              <w:rPr>
                <w:sz w:val="20"/>
                <w:szCs w:val="20"/>
                <w:color w:val="auto"/>
              </w:rPr>
            </w:pPr>
            <w:r>
              <w:rPr>
                <w:rFonts w:ascii="Arial" w:cs="Arial" w:eastAsia="Arial" w:hAnsi="Arial"/>
                <w:sz w:val="14"/>
                <w:szCs w:val="14"/>
                <w:color w:val="auto"/>
                <w:w w:val="90"/>
              </w:rPr>
              <w:t>(Expense)</w:t>
            </w: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4"/>
              </w:rPr>
              <w:t>Tax</w:t>
            </w: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85"/>
              </w:rPr>
              <w:t>Tax</w:t>
            </w: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w w:val="93"/>
              </w:rPr>
              <w:t>(Expense)</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4"/>
              </w:rPr>
              <w:t>Tax</w:t>
            </w:r>
          </w:p>
        </w:tc>
      </w:tr>
      <w:tr>
        <w:trPr>
          <w:trHeight w:val="182"/>
        </w:trPr>
        <w:tc>
          <w:tcPr>
            <w:tcW w:w="900" w:type="dxa"/>
            <w:vAlign w:val="bottom"/>
          </w:tcPr>
          <w:p>
            <w:pPr>
              <w:jc w:val="center"/>
              <w:spacing w:after="0"/>
              <w:rPr>
                <w:sz w:val="20"/>
                <w:szCs w:val="20"/>
                <w:color w:val="auto"/>
              </w:rPr>
            </w:pPr>
            <w:r>
              <w:rPr>
                <w:rFonts w:ascii="Arial" w:cs="Arial" w:eastAsia="Arial" w:hAnsi="Arial"/>
                <w:sz w:val="14"/>
                <w:szCs w:val="14"/>
                <w:color w:val="auto"/>
                <w:w w:val="99"/>
              </w:rPr>
              <w:t>Amount</w:t>
            </w:r>
          </w:p>
        </w:tc>
        <w:tc>
          <w:tcPr>
            <w:tcW w:w="1320" w:type="dxa"/>
            <w:vAlign w:val="bottom"/>
          </w:tcPr>
          <w:p>
            <w:pPr>
              <w:jc w:val="center"/>
              <w:spacing w:after="0"/>
              <w:rPr>
                <w:sz w:val="20"/>
                <w:szCs w:val="20"/>
                <w:color w:val="auto"/>
              </w:rPr>
            </w:pPr>
            <w:r>
              <w:rPr>
                <w:rFonts w:ascii="Arial" w:cs="Arial" w:eastAsia="Arial" w:hAnsi="Arial"/>
                <w:sz w:val="14"/>
                <w:szCs w:val="14"/>
                <w:color w:val="auto"/>
                <w:w w:val="96"/>
              </w:rPr>
              <w:t>or Benefit (1)</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Amount</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Amount</w:t>
            </w:r>
          </w:p>
        </w:tc>
        <w:tc>
          <w:tcPr>
            <w:tcW w:w="1260" w:type="dxa"/>
            <w:vAlign w:val="bottom"/>
          </w:tcPr>
          <w:p>
            <w:pPr>
              <w:jc w:val="center"/>
              <w:spacing w:after="0"/>
              <w:rPr>
                <w:sz w:val="20"/>
                <w:szCs w:val="20"/>
                <w:color w:val="auto"/>
              </w:rPr>
            </w:pPr>
            <w:r>
              <w:rPr>
                <w:rFonts w:ascii="Arial" w:cs="Arial" w:eastAsia="Arial" w:hAnsi="Arial"/>
                <w:sz w:val="14"/>
                <w:szCs w:val="14"/>
                <w:color w:val="auto"/>
                <w:w w:val="98"/>
              </w:rPr>
              <w:t>or Benefit (1)</w:t>
            </w: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Amount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03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type w:val="continuous"/>
        </w:sectPr>
      </w:pPr>
    </w:p>
    <w:p>
      <w:pPr>
        <w:spacing w:after="0" w:line="20" w:lineRule="exact"/>
        <w:rPr>
          <w:sz w:val="20"/>
          <w:szCs w:val="20"/>
          <w:color w:val="auto"/>
        </w:rPr>
      </w:pPr>
    </w:p>
    <w:p>
      <w:pPr>
        <w:ind w:left="40"/>
        <w:spacing w:after="0"/>
        <w:rPr>
          <w:sz w:val="20"/>
          <w:szCs w:val="20"/>
          <w:color w:val="auto"/>
        </w:rPr>
      </w:pPr>
      <w:r>
        <w:rPr>
          <w:rFonts w:ascii="Arial" w:cs="Arial" w:eastAsia="Arial" w:hAnsi="Arial"/>
          <w:sz w:val="14"/>
          <w:szCs w:val="14"/>
          <w:color w:val="auto"/>
        </w:rPr>
        <w:t>Defined benefit pension plans:</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4"/>
          <w:szCs w:val="14"/>
          <w:color w:val="auto"/>
        </w:rPr>
        <w:t>Amortization of prior service cost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Amortization of net actuarial (gain)/loss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Regulatory adjustment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Pension plans other comprehensive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FSIRS (designated hedging activities):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Amounts reclassified into net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FSIRS other comprehensive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Total other comprehensive income - Southwest Gas Corporation</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4"/>
          <w:szCs w:val="14"/>
          <w:color w:val="auto"/>
        </w:rPr>
        <w:t>Foreign currency translation adjustments:</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4"/>
          <w:szCs w:val="14"/>
          <w:color w:val="auto"/>
        </w:rPr>
        <w:t>Translation adjustments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Foreign currency other comprehensive income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3"/>
          <w:szCs w:val="13"/>
          <w:color w:val="auto"/>
        </w:rPr>
        <w:t>Total other comprehensive income - Southwest Gas Holdings, Inc.</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953</w:t>
            </w:r>
          </w:p>
        </w:tc>
        <w:tc>
          <w:tcPr>
            <w:tcW w:w="120" w:type="dxa"/>
            <w:vAlign w:val="bottom"/>
          </w:tcPr>
          <w:p>
            <w:pPr>
              <w:spacing w:after="0"/>
              <w:rPr>
                <w:sz w:val="15"/>
                <w:szCs w:val="15"/>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(229)</w:t>
            </w:r>
          </w:p>
        </w:tc>
        <w:tc>
          <w:tcPr>
            <w:tcW w:w="12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724</w:t>
            </w:r>
          </w:p>
        </w:tc>
        <w:tc>
          <w:tcPr>
            <w:tcW w:w="10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1,002</w:t>
            </w:r>
          </w:p>
        </w:tc>
        <w:tc>
          <w:tcPr>
            <w:tcW w:w="100" w:type="dxa"/>
            <w:vAlign w:val="bottom"/>
          </w:tcPr>
          <w:p>
            <w:pPr>
              <w:spacing w:after="0"/>
              <w:rPr>
                <w:sz w:val="15"/>
                <w:szCs w:val="15"/>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(240)</w:t>
            </w:r>
          </w:p>
        </w:tc>
        <w:tc>
          <w:tcPr>
            <w:tcW w:w="10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762</w:t>
            </w:r>
          </w:p>
        </w:tc>
      </w:tr>
      <w:tr>
        <w:trPr>
          <w:trHeight w:val="270"/>
        </w:trPr>
        <w:tc>
          <w:tcPr>
            <w:tcW w:w="180" w:type="dxa"/>
            <w:vAlign w:val="bottom"/>
          </w:tcPr>
          <w:p>
            <w:pPr>
              <w:spacing w:after="0"/>
              <w:rPr>
                <w:sz w:val="23"/>
                <w:szCs w:val="23"/>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17,532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(4,207)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13,325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25,212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(6,051)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19,161</w:t>
            </w:r>
          </w:p>
        </w:tc>
      </w:tr>
      <w:tr>
        <w:trPr>
          <w:trHeight w:val="276"/>
        </w:trPr>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(16,043)</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3,850</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(12,193)</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(22,679)</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5,443</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(17,236)</w:t>
            </w:r>
          </w:p>
        </w:tc>
      </w:tr>
      <w:tr>
        <w:trPr>
          <w:trHeight w:val="244"/>
        </w:trPr>
        <w:tc>
          <w:tcPr>
            <w:tcW w:w="180" w:type="dxa"/>
            <w:vAlign w:val="bottom"/>
          </w:tcPr>
          <w:p>
            <w:pPr>
              <w:spacing w:after="0"/>
              <w:rPr>
                <w:sz w:val="21"/>
                <w:szCs w:val="21"/>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2,442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(586)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1,856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3,535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2,687</w:t>
            </w:r>
          </w:p>
        </w:tc>
      </w:tr>
      <w:tr>
        <w:trPr>
          <w:trHeight w:val="546"/>
        </w:trPr>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2,508</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(602)</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1,906</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2,509</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(602)</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1,907</w:t>
            </w:r>
          </w:p>
        </w:tc>
      </w:tr>
      <w:tr>
        <w:trPr>
          <w:trHeight w:val="250"/>
        </w:trPr>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2,508</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(602)</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1,906</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2,509</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(602)</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1,907</w:t>
            </w:r>
          </w:p>
        </w:tc>
      </w:tr>
      <w:tr>
        <w:trPr>
          <w:trHeight w:val="250"/>
        </w:trPr>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4,950</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(1,188)</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3,762</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6,044</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(1,450)</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4,594</w:t>
            </w:r>
          </w:p>
        </w:tc>
      </w:tr>
      <w:tr>
        <w:trPr>
          <w:trHeight w:val="534"/>
        </w:trPr>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1,131</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1,131</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(1,002)</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(1,002)</w:t>
            </w:r>
          </w:p>
        </w:tc>
      </w:tr>
      <w:tr>
        <w:trPr>
          <w:trHeight w:val="250"/>
        </w:trPr>
        <w:tc>
          <w:tcPr>
            <w:tcW w:w="180" w:type="dxa"/>
            <w:vAlign w:val="bottom"/>
          </w:tcPr>
          <w:p>
            <w:pPr>
              <w:spacing w:after="0"/>
              <w:rPr>
                <w:sz w:val="21"/>
                <w:szCs w:val="21"/>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1,131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1,131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(1,002)</w:t>
            </w:r>
          </w:p>
        </w:tc>
      </w:tr>
      <w:tr>
        <w:trPr>
          <w:trHeight w:val="237"/>
        </w:trPr>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6,081</w:t>
            </w:r>
          </w:p>
        </w:tc>
        <w:tc>
          <w:tcPr>
            <w:tcW w:w="12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(1,188)</w:t>
            </w:r>
          </w:p>
        </w:tc>
        <w:tc>
          <w:tcPr>
            <w:tcW w:w="12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4,893</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5,042</w:t>
            </w:r>
          </w:p>
        </w:tc>
        <w:tc>
          <w:tcPr>
            <w:tcW w:w="10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(1,450)</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3,592</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-3118485</wp:posOffset>
            </wp:positionH>
            <wp:positionV relativeFrom="paragraph">
              <wp:posOffset>-1911985</wp:posOffset>
            </wp:positionV>
            <wp:extent cx="72466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-1568450</wp:posOffset>
            </wp:positionV>
            <wp:extent cx="72466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-1225550</wp:posOffset>
            </wp:positionV>
            <wp:extent cx="72466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-882650</wp:posOffset>
            </wp:positionV>
            <wp:extent cx="72466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-530860</wp:posOffset>
            </wp:positionV>
            <wp:extent cx="72466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-187960</wp:posOffset>
            </wp:positionV>
            <wp:extent cx="72466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00" w:space="720"/>
            <w:col w:w="6500"/>
          </w:cols>
          <w:pgMar w:left="240" w:top="270" w:right="239" w:bottom="1440" w:gutter="0" w:footer="0" w:header="0"/>
          <w:type w:val="continuous"/>
        </w:sectPr>
      </w:pPr>
    </w:p>
    <w:p>
      <w:pPr>
        <w:spacing w:after="0" w:line="326"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270" w:right="239" w:bottom="1440" w:gutter="0" w:footer="0" w:header="0"/>
          <w:type w:val="continuous"/>
        </w:sectPr>
      </w:pPr>
    </w:p>
    <w:bookmarkStart w:id="30" w:name="page31"/>
    <w:bookmarkEnd w:id="30"/>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7"/>
          </w:tcPr>
          <w:p>
            <w:pPr>
              <w:jc w:val="right"/>
              <w:ind w:right="288"/>
              <w:spacing w:after="0"/>
              <w:rPr>
                <w:sz w:val="20"/>
                <w:szCs w:val="20"/>
                <w:color w:val="auto"/>
              </w:rPr>
            </w:pPr>
            <w:r>
              <w:rPr>
                <w:rFonts w:ascii="Arial" w:cs="Arial" w:eastAsia="Arial" w:hAnsi="Arial"/>
                <w:sz w:val="14"/>
                <w:szCs w:val="14"/>
                <w:color w:val="auto"/>
              </w:rPr>
              <w:t>Twelve Months Ended September 30, 2019</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7"/>
          </w:tcPr>
          <w:p>
            <w:pPr>
              <w:jc w:val="right"/>
              <w:ind w:right="228"/>
              <w:spacing w:after="0"/>
              <w:rPr>
                <w:sz w:val="20"/>
                <w:szCs w:val="20"/>
                <w:color w:val="auto"/>
              </w:rPr>
            </w:pPr>
            <w:r>
              <w:rPr>
                <w:rFonts w:ascii="Arial" w:cs="Arial" w:eastAsia="Arial" w:hAnsi="Arial"/>
                <w:sz w:val="14"/>
                <w:szCs w:val="14"/>
                <w:color w:val="auto"/>
                <w:w w:val="99"/>
              </w:rPr>
              <w:t>Twelve Months Ended September 30, 2018</w:t>
            </w:r>
          </w:p>
        </w:tc>
        <w:tc>
          <w:tcPr>
            <w:tcW w:w="0" w:type="dxa"/>
            <w:vAlign w:val="bottom"/>
          </w:tcPr>
          <w:p>
            <w:pPr>
              <w:spacing w:after="0"/>
              <w:rPr>
                <w:sz w:val="1"/>
                <w:szCs w:val="1"/>
                <w:color w:val="auto"/>
              </w:rPr>
            </w:pPr>
          </w:p>
        </w:tc>
      </w:tr>
      <w:tr>
        <w:trPr>
          <w:trHeight w:val="156"/>
        </w:trPr>
        <w:tc>
          <w:tcPr>
            <w:tcW w:w="4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center"/>
              <w:ind w:right="240"/>
              <w:spacing w:after="0" w:line="157" w:lineRule="exact"/>
              <w:rPr>
                <w:sz w:val="20"/>
                <w:szCs w:val="20"/>
                <w:color w:val="auto"/>
              </w:rPr>
            </w:pPr>
            <w:r>
              <w:rPr>
                <w:rFonts w:ascii="Arial" w:cs="Arial" w:eastAsia="Arial" w:hAnsi="Arial"/>
                <w:sz w:val="14"/>
                <w:szCs w:val="14"/>
                <w:color w:val="auto"/>
                <w:w w:val="95"/>
              </w:rPr>
              <w:t>Before-</w:t>
            </w:r>
          </w:p>
        </w:tc>
        <w:tc>
          <w:tcPr>
            <w:tcW w:w="160" w:type="dxa"/>
            <w:vAlign w:val="bottom"/>
          </w:tcPr>
          <w:p>
            <w:pPr>
              <w:spacing w:after="0"/>
              <w:rPr>
                <w:sz w:val="13"/>
                <w:szCs w:val="13"/>
                <w:color w:val="auto"/>
              </w:rPr>
            </w:pPr>
          </w:p>
        </w:tc>
        <w:tc>
          <w:tcPr>
            <w:tcW w:w="1140" w:type="dxa"/>
            <w:vAlign w:val="bottom"/>
            <w:gridSpan w:val="2"/>
          </w:tcPr>
          <w:p>
            <w:pPr>
              <w:jc w:val="center"/>
              <w:ind w:right="280"/>
              <w:spacing w:after="0" w:line="157" w:lineRule="exact"/>
              <w:rPr>
                <w:sz w:val="20"/>
                <w:szCs w:val="20"/>
                <w:color w:val="auto"/>
              </w:rPr>
            </w:pPr>
            <w:r>
              <w:rPr>
                <w:rFonts w:ascii="Arial" w:cs="Arial" w:eastAsia="Arial" w:hAnsi="Arial"/>
                <w:sz w:val="14"/>
                <w:szCs w:val="14"/>
                <w:color w:val="auto"/>
                <w:w w:val="94"/>
              </w:rPr>
              <w:t>Tax</w:t>
            </w:r>
          </w:p>
        </w:tc>
        <w:tc>
          <w:tcPr>
            <w:tcW w:w="180" w:type="dxa"/>
            <w:vAlign w:val="bottom"/>
          </w:tcPr>
          <w:p>
            <w:pPr>
              <w:spacing w:after="0"/>
              <w:rPr>
                <w:sz w:val="13"/>
                <w:szCs w:val="13"/>
                <w:color w:val="auto"/>
              </w:rPr>
            </w:pPr>
          </w:p>
        </w:tc>
        <w:tc>
          <w:tcPr>
            <w:tcW w:w="940" w:type="dxa"/>
            <w:vAlign w:val="bottom"/>
            <w:gridSpan w:val="2"/>
          </w:tcPr>
          <w:p>
            <w:pPr>
              <w:jc w:val="center"/>
              <w:ind w:right="280"/>
              <w:spacing w:after="0" w:line="157" w:lineRule="exact"/>
              <w:rPr>
                <w:sz w:val="20"/>
                <w:szCs w:val="20"/>
                <w:color w:val="auto"/>
              </w:rPr>
            </w:pPr>
            <w:r>
              <w:rPr>
                <w:rFonts w:ascii="Arial" w:cs="Arial" w:eastAsia="Arial" w:hAnsi="Arial"/>
                <w:sz w:val="14"/>
                <w:szCs w:val="14"/>
                <w:color w:val="auto"/>
                <w:w w:val="98"/>
              </w:rPr>
              <w:t>Net-of-</w:t>
            </w:r>
          </w:p>
        </w:tc>
        <w:tc>
          <w:tcPr>
            <w:tcW w:w="140" w:type="dxa"/>
            <w:vAlign w:val="bottom"/>
          </w:tcPr>
          <w:p>
            <w:pPr>
              <w:spacing w:after="0"/>
              <w:rPr>
                <w:sz w:val="13"/>
                <w:szCs w:val="13"/>
                <w:color w:val="auto"/>
              </w:rPr>
            </w:pPr>
          </w:p>
        </w:tc>
        <w:tc>
          <w:tcPr>
            <w:tcW w:w="760" w:type="dxa"/>
            <w:vAlign w:val="bottom"/>
            <w:gridSpan w:val="2"/>
          </w:tcPr>
          <w:p>
            <w:pPr>
              <w:jc w:val="center"/>
              <w:ind w:right="240"/>
              <w:spacing w:after="0" w:line="157" w:lineRule="exact"/>
              <w:rPr>
                <w:sz w:val="20"/>
                <w:szCs w:val="20"/>
                <w:color w:val="auto"/>
              </w:rPr>
            </w:pPr>
            <w:r>
              <w:rPr>
                <w:rFonts w:ascii="Arial" w:cs="Arial" w:eastAsia="Arial" w:hAnsi="Arial"/>
                <w:sz w:val="14"/>
                <w:szCs w:val="14"/>
                <w:color w:val="auto"/>
                <w:w w:val="95"/>
              </w:rPr>
              <w:t>Before-</w:t>
            </w:r>
          </w:p>
        </w:tc>
        <w:tc>
          <w:tcPr>
            <w:tcW w:w="140" w:type="dxa"/>
            <w:vAlign w:val="bottom"/>
          </w:tcPr>
          <w:p>
            <w:pPr>
              <w:spacing w:after="0"/>
              <w:rPr>
                <w:sz w:val="13"/>
                <w:szCs w:val="13"/>
                <w:color w:val="auto"/>
              </w:rPr>
            </w:pPr>
          </w:p>
        </w:tc>
        <w:tc>
          <w:tcPr>
            <w:tcW w:w="1080" w:type="dxa"/>
            <w:vAlign w:val="bottom"/>
            <w:gridSpan w:val="2"/>
          </w:tcPr>
          <w:p>
            <w:pPr>
              <w:jc w:val="center"/>
              <w:ind w:right="240"/>
              <w:spacing w:after="0" w:line="157" w:lineRule="exact"/>
              <w:rPr>
                <w:sz w:val="20"/>
                <w:szCs w:val="20"/>
                <w:color w:val="auto"/>
              </w:rPr>
            </w:pPr>
            <w:r>
              <w:rPr>
                <w:rFonts w:ascii="Arial" w:cs="Arial" w:eastAsia="Arial" w:hAnsi="Arial"/>
                <w:sz w:val="14"/>
                <w:szCs w:val="14"/>
                <w:color w:val="auto"/>
                <w:w w:val="85"/>
              </w:rPr>
              <w:t>Tax</w:t>
            </w:r>
          </w:p>
        </w:tc>
        <w:tc>
          <w:tcPr>
            <w:tcW w:w="200" w:type="dxa"/>
            <w:vAlign w:val="bottom"/>
          </w:tcPr>
          <w:p>
            <w:pPr>
              <w:spacing w:after="0"/>
              <w:rPr>
                <w:sz w:val="13"/>
                <w:szCs w:val="13"/>
                <w:color w:val="auto"/>
              </w:rPr>
            </w:pPr>
          </w:p>
        </w:tc>
        <w:tc>
          <w:tcPr>
            <w:tcW w:w="820" w:type="dxa"/>
            <w:vAlign w:val="bottom"/>
          </w:tcPr>
          <w:p>
            <w:pPr>
              <w:jc w:val="center"/>
              <w:ind w:right="128"/>
              <w:spacing w:after="0" w:line="157" w:lineRule="exact"/>
              <w:rPr>
                <w:sz w:val="20"/>
                <w:szCs w:val="20"/>
                <w:color w:val="auto"/>
              </w:rPr>
            </w:pPr>
            <w:r>
              <w:rPr>
                <w:rFonts w:ascii="Arial" w:cs="Arial" w:eastAsia="Arial" w:hAnsi="Arial"/>
                <w:sz w:val="14"/>
                <w:szCs w:val="14"/>
                <w:color w:val="auto"/>
                <w:w w:val="98"/>
              </w:rPr>
              <w:t>Net-of-</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Tax</w:t>
            </w:r>
          </w:p>
        </w:tc>
        <w:tc>
          <w:tcPr>
            <w:tcW w:w="16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0"/>
              </w:rPr>
              <w:t>(Expense)</w:t>
            </w:r>
          </w:p>
        </w:tc>
        <w:tc>
          <w:tcPr>
            <w:tcW w:w="18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4"/>
              </w:rPr>
              <w:t>Tax</w:t>
            </w:r>
          </w:p>
        </w:tc>
        <w:tc>
          <w:tcPr>
            <w:tcW w:w="14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5"/>
              </w:rPr>
              <w:t>Tax</w:t>
            </w:r>
          </w:p>
        </w:tc>
        <w:tc>
          <w:tcPr>
            <w:tcW w:w="14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3"/>
              </w:rPr>
              <w:t>(Expense)</w:t>
            </w:r>
          </w:p>
        </w:tc>
        <w:tc>
          <w:tcPr>
            <w:tcW w:w="200" w:type="dxa"/>
            <w:vAlign w:val="bottom"/>
          </w:tcPr>
          <w:p>
            <w:pPr>
              <w:spacing w:after="0"/>
              <w:rPr>
                <w:sz w:val="12"/>
                <w:szCs w:val="12"/>
                <w:color w:val="auto"/>
              </w:rPr>
            </w:pPr>
          </w:p>
        </w:tc>
        <w:tc>
          <w:tcPr>
            <w:tcW w:w="820" w:type="dxa"/>
            <w:vAlign w:val="bottom"/>
          </w:tcPr>
          <w:p>
            <w:pPr>
              <w:jc w:val="center"/>
              <w:ind w:right="128"/>
              <w:spacing w:after="0" w:line="149" w:lineRule="exact"/>
              <w:rPr>
                <w:sz w:val="20"/>
                <w:szCs w:val="20"/>
                <w:color w:val="auto"/>
              </w:rPr>
            </w:pPr>
            <w:r>
              <w:rPr>
                <w:rFonts w:ascii="Arial" w:cs="Arial" w:eastAsia="Arial" w:hAnsi="Arial"/>
                <w:sz w:val="14"/>
                <w:szCs w:val="14"/>
                <w:color w:val="auto"/>
                <w:w w:val="94"/>
              </w:rPr>
              <w:t>Tax</w:t>
            </w:r>
          </w:p>
        </w:tc>
        <w:tc>
          <w:tcPr>
            <w:tcW w:w="0" w:type="dxa"/>
            <w:vAlign w:val="bottom"/>
          </w:tcPr>
          <w:p>
            <w:pPr>
              <w:spacing w:after="0"/>
              <w:rPr>
                <w:sz w:val="1"/>
                <w:szCs w:val="1"/>
                <w:color w:val="auto"/>
              </w:rPr>
            </w:pPr>
          </w:p>
        </w:tc>
      </w:tr>
      <w:tr>
        <w:trPr>
          <w:trHeight w:val="188"/>
        </w:trPr>
        <w:tc>
          <w:tcPr>
            <w:tcW w:w="4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Amount</w:t>
            </w:r>
          </w:p>
        </w:tc>
        <w:tc>
          <w:tcPr>
            <w:tcW w:w="16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or Benefit (1)</w:t>
            </w:r>
          </w:p>
        </w:tc>
        <w:tc>
          <w:tcPr>
            <w:tcW w:w="18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color w:val="auto"/>
                <w:w w:val="99"/>
              </w:rPr>
              <w:t>Amount</w:t>
            </w:r>
          </w:p>
        </w:tc>
        <w:tc>
          <w:tcPr>
            <w:tcW w:w="140" w:type="dxa"/>
            <w:vAlign w:val="bottom"/>
          </w:tcPr>
          <w:p>
            <w:pPr>
              <w:spacing w:after="0"/>
              <w:rPr>
                <w:sz w:val="16"/>
                <w:szCs w:val="16"/>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Amount</w:t>
            </w:r>
          </w:p>
        </w:tc>
        <w:tc>
          <w:tcPr>
            <w:tcW w:w="14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color w:val="auto"/>
                <w:w w:val="98"/>
              </w:rPr>
              <w:t>or Benefit (1)</w:t>
            </w:r>
          </w:p>
        </w:tc>
        <w:tc>
          <w:tcPr>
            <w:tcW w:w="200" w:type="dxa"/>
            <w:vAlign w:val="bottom"/>
          </w:tcPr>
          <w:p>
            <w:pPr>
              <w:spacing w:after="0"/>
              <w:rPr>
                <w:sz w:val="16"/>
                <w:szCs w:val="16"/>
                <w:color w:val="auto"/>
              </w:rPr>
            </w:pPr>
          </w:p>
        </w:tc>
        <w:tc>
          <w:tcPr>
            <w:tcW w:w="820" w:type="dxa"/>
            <w:vAlign w:val="bottom"/>
          </w:tcPr>
          <w:p>
            <w:pPr>
              <w:jc w:val="center"/>
              <w:ind w:right="128"/>
              <w:spacing w:after="0"/>
              <w:rPr>
                <w:sz w:val="20"/>
                <w:szCs w:val="20"/>
                <w:color w:val="auto"/>
              </w:rPr>
            </w:pPr>
            <w:r>
              <w:rPr>
                <w:rFonts w:ascii="Arial" w:cs="Arial" w:eastAsia="Arial" w:hAnsi="Arial"/>
                <w:sz w:val="14"/>
                <w:szCs w:val="14"/>
                <w:color w:val="auto"/>
                <w:w w:val="95"/>
              </w:rPr>
              <w:t>Amount</w:t>
            </w:r>
          </w:p>
        </w:tc>
        <w:tc>
          <w:tcPr>
            <w:tcW w:w="0" w:type="dxa"/>
            <w:vAlign w:val="bottom"/>
          </w:tcPr>
          <w:p>
            <w:pPr>
              <w:spacing w:after="0"/>
              <w:rPr>
                <w:sz w:val="1"/>
                <w:szCs w:val="1"/>
                <w:color w:val="auto"/>
              </w:rPr>
            </w:pPr>
          </w:p>
        </w:tc>
      </w:tr>
      <w:tr>
        <w:trPr>
          <w:trHeight w:val="177"/>
        </w:trPr>
        <w:tc>
          <w:tcPr>
            <w:tcW w:w="4920" w:type="dxa"/>
            <w:vAlign w:val="bottom"/>
          </w:tcPr>
          <w:p>
            <w:pPr>
              <w:ind w:left="40"/>
              <w:spacing w:after="0"/>
              <w:rPr>
                <w:sz w:val="20"/>
                <w:szCs w:val="20"/>
                <w:color w:val="auto"/>
              </w:rPr>
            </w:pPr>
            <w:r>
              <w:rPr>
                <w:rFonts w:ascii="Arial" w:cs="Arial" w:eastAsia="Arial" w:hAnsi="Arial"/>
                <w:sz w:val="14"/>
                <w:szCs w:val="14"/>
                <w:color w:val="auto"/>
              </w:rPr>
              <w:t>Defined benefit pension plans:</w:t>
            </w: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4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actuarial gain/(loss)</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(20,426)</w:t>
            </w:r>
          </w:p>
        </w:tc>
        <w:tc>
          <w:tcPr>
            <w:tcW w:w="12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4,902</w:t>
            </w:r>
          </w:p>
        </w:tc>
        <w:tc>
          <w:tcPr>
            <w:tcW w:w="12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(15,524)</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(43,027)</w:t>
            </w: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10,326</w:t>
            </w:r>
          </w:p>
        </w:tc>
        <w:tc>
          <w:tcPr>
            <w:tcW w:w="10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(32,701)</w:t>
            </w:r>
          </w:p>
        </w:tc>
        <w:tc>
          <w:tcPr>
            <w:tcW w:w="0" w:type="dxa"/>
            <w:vAlign w:val="bottom"/>
          </w:tcPr>
          <w:p>
            <w:pPr>
              <w:spacing w:after="0"/>
              <w:rPr>
                <w:sz w:val="1"/>
                <w:szCs w:val="1"/>
                <w:color w:val="auto"/>
              </w:rPr>
            </w:pPr>
          </w:p>
        </w:tc>
      </w:tr>
      <w:tr>
        <w:trPr>
          <w:trHeight w:val="80"/>
        </w:trPr>
        <w:tc>
          <w:tcPr>
            <w:tcW w:w="49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920" w:type="dxa"/>
            <w:vAlign w:val="bottom"/>
          </w:tcPr>
          <w:p>
            <w:pPr>
              <w:ind w:left="40"/>
              <w:spacing w:after="0"/>
              <w:rPr>
                <w:sz w:val="20"/>
                <w:szCs w:val="20"/>
                <w:color w:val="auto"/>
              </w:rPr>
            </w:pPr>
            <w:r>
              <w:rPr>
                <w:rFonts w:ascii="Arial" w:cs="Arial" w:eastAsia="Arial" w:hAnsi="Arial"/>
                <w:sz w:val="14"/>
                <w:szCs w:val="14"/>
                <w:color w:val="auto"/>
              </w:rPr>
              <w:t>Amortization of prior service cost</w:t>
            </w:r>
          </w:p>
        </w:tc>
        <w:tc>
          <w:tcPr>
            <w:tcW w:w="140" w:type="dxa"/>
            <w:vAlign w:val="bottom"/>
          </w:tcPr>
          <w:p>
            <w:pPr>
              <w:spacing w:after="0"/>
              <w:rPr>
                <w:sz w:val="16"/>
                <w:szCs w:val="16"/>
                <w:color w:val="auto"/>
              </w:rPr>
            </w:pP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1,286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color w:val="auto"/>
              </w:rPr>
              <w:t>(309)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977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color w:val="auto"/>
              </w:rPr>
              <w:t>1,336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(367)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969</w:t>
            </w:r>
          </w:p>
        </w:tc>
        <w:tc>
          <w:tcPr>
            <w:tcW w:w="0" w:type="dxa"/>
            <w:vAlign w:val="bottom"/>
          </w:tcPr>
          <w:p>
            <w:pPr>
              <w:spacing w:after="0"/>
              <w:rPr>
                <w:sz w:val="1"/>
                <w:szCs w:val="1"/>
                <w:color w:val="auto"/>
              </w:rPr>
            </w:pPr>
          </w:p>
        </w:tc>
      </w:tr>
      <w:tr>
        <w:trPr>
          <w:trHeight w:val="74"/>
        </w:trPr>
        <w:tc>
          <w:tcPr>
            <w:tcW w:w="4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Amortization of net actuarial (gain)/loss</w:t>
            </w:r>
          </w:p>
        </w:tc>
        <w:tc>
          <w:tcPr>
            <w:tcW w:w="14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25,937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(6,224)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19,713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31,573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(8,468)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23,105</w:t>
            </w:r>
          </w:p>
        </w:tc>
        <w:tc>
          <w:tcPr>
            <w:tcW w:w="0" w:type="dxa"/>
            <w:vAlign w:val="bottom"/>
          </w:tcPr>
          <w:p>
            <w:pPr>
              <w:spacing w:after="0"/>
              <w:rPr>
                <w:sz w:val="1"/>
                <w:szCs w:val="1"/>
                <w:color w:val="auto"/>
              </w:rPr>
            </w:pPr>
          </w:p>
        </w:tc>
      </w:tr>
      <w:tr>
        <w:trPr>
          <w:trHeight w:val="80"/>
        </w:trPr>
        <w:tc>
          <w:tcPr>
            <w:tcW w:w="49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920" w:type="dxa"/>
            <w:vAlign w:val="bottom"/>
          </w:tcPr>
          <w:p>
            <w:pPr>
              <w:ind w:left="40"/>
              <w:spacing w:after="0"/>
              <w:rPr>
                <w:sz w:val="20"/>
                <w:szCs w:val="20"/>
                <w:color w:val="auto"/>
              </w:rPr>
            </w:pPr>
            <w:r>
              <w:rPr>
                <w:rFonts w:ascii="Arial" w:cs="Arial" w:eastAsia="Arial" w:hAnsi="Arial"/>
                <w:sz w:val="14"/>
                <w:szCs w:val="14"/>
                <w:color w:val="auto"/>
              </w:rPr>
              <w:t>Regulatory adjustment</w:t>
            </w:r>
          </w:p>
        </w:tc>
        <w:tc>
          <w:tcPr>
            <w:tcW w:w="14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(1,597)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vMerge w:val="restart"/>
          </w:tcPr>
          <w:p>
            <w:pPr>
              <w:jc w:val="right"/>
              <w:ind w:right="68"/>
              <w:spacing w:after="0"/>
              <w:rPr>
                <w:sz w:val="20"/>
                <w:szCs w:val="20"/>
                <w:color w:val="auto"/>
              </w:rPr>
            </w:pPr>
            <w:r>
              <w:rPr>
                <w:rFonts w:ascii="Arial" w:cs="Arial" w:eastAsia="Arial" w:hAnsi="Arial"/>
                <w:sz w:val="14"/>
                <w:szCs w:val="14"/>
                <w:color w:val="auto"/>
              </w:rPr>
              <w:t>383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(1,214)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color w:val="auto"/>
              </w:rPr>
              <w:t>6,865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(844)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6,021</w:t>
            </w:r>
          </w:p>
        </w:tc>
        <w:tc>
          <w:tcPr>
            <w:tcW w:w="0" w:type="dxa"/>
            <w:vAlign w:val="bottom"/>
          </w:tcPr>
          <w:p>
            <w:pPr>
              <w:spacing w:after="0"/>
              <w:rPr>
                <w:sz w:val="1"/>
                <w:szCs w:val="1"/>
                <w:color w:val="auto"/>
              </w:rPr>
            </w:pPr>
          </w:p>
        </w:tc>
      </w:tr>
      <w:tr>
        <w:trPr>
          <w:trHeight w:val="74"/>
        </w:trPr>
        <w:tc>
          <w:tcPr>
            <w:tcW w:w="49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9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Pension plans other comprehensive income (loss)</w:t>
            </w: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5,200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(1,248)</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3,952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(3,253)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647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(2,606)</w:t>
            </w:r>
          </w:p>
        </w:tc>
        <w:tc>
          <w:tcPr>
            <w:tcW w:w="0" w:type="dxa"/>
            <w:vAlign w:val="bottom"/>
          </w:tcPr>
          <w:p>
            <w:pPr>
              <w:spacing w:after="0"/>
              <w:rPr>
                <w:sz w:val="1"/>
                <w:szCs w:val="1"/>
                <w:color w:val="auto"/>
              </w:rPr>
            </w:pPr>
          </w:p>
        </w:tc>
      </w:tr>
      <w:tr>
        <w:trPr>
          <w:trHeight w:val="80"/>
        </w:trPr>
        <w:tc>
          <w:tcPr>
            <w:tcW w:w="49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8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8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920" w:type="dxa"/>
            <w:vAlign w:val="bottom"/>
          </w:tcPr>
          <w:p>
            <w:pPr>
              <w:ind w:left="40"/>
              <w:spacing w:after="0"/>
              <w:rPr>
                <w:sz w:val="20"/>
                <w:szCs w:val="20"/>
                <w:color w:val="auto"/>
              </w:rPr>
            </w:pPr>
            <w:r>
              <w:rPr>
                <w:rFonts w:ascii="Arial" w:cs="Arial" w:eastAsia="Arial" w:hAnsi="Arial"/>
                <w:sz w:val="14"/>
                <w:szCs w:val="14"/>
                <w:color w:val="auto"/>
              </w:rPr>
              <w:t>FSIRS (designated hedging activities):</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Amounts reclassified into net income</w:t>
            </w:r>
          </w:p>
        </w:tc>
        <w:tc>
          <w:tcPr>
            <w:tcW w:w="14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3,344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(804)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2,540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3,346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2,426</w:t>
            </w:r>
          </w:p>
        </w:tc>
        <w:tc>
          <w:tcPr>
            <w:tcW w:w="0" w:type="dxa"/>
            <w:vAlign w:val="bottom"/>
          </w:tcPr>
          <w:p>
            <w:pPr>
              <w:spacing w:after="0"/>
              <w:rPr>
                <w:sz w:val="1"/>
                <w:szCs w:val="1"/>
                <w:color w:val="auto"/>
              </w:rPr>
            </w:pPr>
          </w:p>
        </w:tc>
      </w:tr>
      <w:tr>
        <w:trPr>
          <w:trHeight w:val="80"/>
        </w:trPr>
        <w:tc>
          <w:tcPr>
            <w:tcW w:w="49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0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920" w:type="dxa"/>
            <w:vAlign w:val="bottom"/>
          </w:tcPr>
          <w:p>
            <w:pPr>
              <w:ind w:left="180"/>
              <w:spacing w:after="0"/>
              <w:rPr>
                <w:sz w:val="20"/>
                <w:szCs w:val="20"/>
                <w:color w:val="auto"/>
              </w:rPr>
            </w:pPr>
            <w:r>
              <w:rPr>
                <w:rFonts w:ascii="Arial" w:cs="Arial" w:eastAsia="Arial" w:hAnsi="Arial"/>
                <w:sz w:val="14"/>
                <w:szCs w:val="14"/>
                <w:color w:val="auto"/>
              </w:rPr>
              <w:t>FSIRS other comprehensive income</w:t>
            </w:r>
          </w:p>
        </w:tc>
        <w:tc>
          <w:tcPr>
            <w:tcW w:w="140" w:type="dxa"/>
            <w:vAlign w:val="bottom"/>
          </w:tcPr>
          <w:p>
            <w:pPr>
              <w:spacing w:after="0"/>
              <w:rPr>
                <w:sz w:val="14"/>
                <w:szCs w:val="14"/>
                <w:color w:val="auto"/>
              </w:rPr>
            </w:pPr>
          </w:p>
        </w:tc>
        <w:tc>
          <w:tcPr>
            <w:tcW w:w="680" w:type="dxa"/>
            <w:vAlign w:val="bottom"/>
            <w:vMerge w:val="restart"/>
          </w:tcPr>
          <w:p>
            <w:pPr>
              <w:jc w:val="right"/>
              <w:ind w:right="48"/>
              <w:spacing w:after="0"/>
              <w:rPr>
                <w:sz w:val="20"/>
                <w:szCs w:val="20"/>
                <w:color w:val="auto"/>
              </w:rPr>
            </w:pPr>
            <w:r>
              <w:rPr>
                <w:rFonts w:ascii="Arial" w:cs="Arial" w:eastAsia="Arial" w:hAnsi="Arial"/>
                <w:sz w:val="14"/>
                <w:szCs w:val="14"/>
                <w:color w:val="auto"/>
              </w:rPr>
              <w:t>3,344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color w:val="auto"/>
              </w:rPr>
              <w:t>(804)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color w:val="auto"/>
              </w:rPr>
              <w:t>2,540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restart"/>
          </w:tcPr>
          <w:p>
            <w:pPr>
              <w:jc w:val="right"/>
              <w:ind w:right="48"/>
              <w:spacing w:after="0"/>
              <w:rPr>
                <w:sz w:val="20"/>
                <w:szCs w:val="20"/>
                <w:color w:val="auto"/>
              </w:rPr>
            </w:pPr>
            <w:r>
              <w:rPr>
                <w:rFonts w:ascii="Arial" w:cs="Arial" w:eastAsia="Arial" w:hAnsi="Arial"/>
                <w:sz w:val="14"/>
                <w:szCs w:val="14"/>
                <w:color w:val="auto"/>
              </w:rPr>
              <w:t>3,346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(920)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2,426</w:t>
            </w:r>
          </w:p>
        </w:tc>
        <w:tc>
          <w:tcPr>
            <w:tcW w:w="0" w:type="dxa"/>
            <w:vAlign w:val="bottom"/>
          </w:tcPr>
          <w:p>
            <w:pPr>
              <w:spacing w:after="0"/>
              <w:rPr>
                <w:sz w:val="1"/>
                <w:szCs w:val="1"/>
                <w:color w:val="auto"/>
              </w:rPr>
            </w:pPr>
          </w:p>
        </w:tc>
      </w:tr>
      <w:tr>
        <w:trPr>
          <w:trHeight w:val="74"/>
        </w:trPr>
        <w:tc>
          <w:tcPr>
            <w:tcW w:w="49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other comprehensive income (loss) - Southwest Gas Corporation</w:t>
            </w:r>
          </w:p>
        </w:tc>
        <w:tc>
          <w:tcPr>
            <w:tcW w:w="14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8,544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(2,052)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6,492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80"/>
        </w:trPr>
        <w:tc>
          <w:tcPr>
            <w:tcW w:w="49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0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920" w:type="dxa"/>
            <w:vAlign w:val="bottom"/>
          </w:tcPr>
          <w:p>
            <w:pPr>
              <w:ind w:left="40"/>
              <w:spacing w:after="0"/>
              <w:rPr>
                <w:sz w:val="20"/>
                <w:szCs w:val="20"/>
                <w:color w:val="auto"/>
              </w:rPr>
            </w:pPr>
            <w:r>
              <w:rPr>
                <w:rFonts w:ascii="Arial" w:cs="Arial" w:eastAsia="Arial" w:hAnsi="Arial"/>
                <w:sz w:val="14"/>
                <w:szCs w:val="14"/>
                <w:color w:val="auto"/>
              </w:rPr>
              <w:t>Foreign currency translation adjustments:</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4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Translation adjustments</w:t>
            </w:r>
          </w:p>
        </w:tc>
        <w:tc>
          <w:tcPr>
            <w:tcW w:w="140" w:type="dxa"/>
            <w:vAlign w:val="bottom"/>
            <w:shd w:val="clear" w:color="auto" w:fill="CCEEFF"/>
          </w:tcPr>
          <w:p>
            <w:pPr>
              <w:spacing w:after="0"/>
              <w:rPr>
                <w:sz w:val="16"/>
                <w:szCs w:val="16"/>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(877)</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(877)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(1,092)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(1,092)</w:t>
            </w:r>
          </w:p>
        </w:tc>
        <w:tc>
          <w:tcPr>
            <w:tcW w:w="0" w:type="dxa"/>
            <w:vAlign w:val="bottom"/>
          </w:tcPr>
          <w:p>
            <w:pPr>
              <w:spacing w:after="0"/>
              <w:rPr>
                <w:sz w:val="1"/>
                <w:szCs w:val="1"/>
                <w:color w:val="auto"/>
              </w:rPr>
            </w:pPr>
          </w:p>
        </w:tc>
      </w:tr>
      <w:tr>
        <w:trPr>
          <w:trHeight w:val="80"/>
        </w:trPr>
        <w:tc>
          <w:tcPr>
            <w:tcW w:w="49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0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8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200" w:type="dxa"/>
            <w:vAlign w:val="bottom"/>
            <w:tcBorders>
              <w:bottom w:val="single" w:sz="8" w:color="auto"/>
            </w:tcBorders>
            <w:shd w:val="clear" w:color="auto" w:fill="CCEEFF"/>
          </w:tcPr>
          <w:p>
            <w:pPr>
              <w:spacing w:after="0"/>
              <w:rPr>
                <w:sz w:val="6"/>
                <w:szCs w:val="6"/>
                <w:color w:val="auto"/>
              </w:rPr>
            </w:pPr>
          </w:p>
        </w:tc>
        <w:tc>
          <w:tcPr>
            <w:tcW w:w="8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920" w:type="dxa"/>
            <w:vAlign w:val="bottom"/>
          </w:tcPr>
          <w:p>
            <w:pPr>
              <w:ind w:left="180"/>
              <w:spacing w:after="0"/>
              <w:rPr>
                <w:sz w:val="20"/>
                <w:szCs w:val="20"/>
                <w:color w:val="auto"/>
              </w:rPr>
            </w:pPr>
            <w:r>
              <w:rPr>
                <w:rFonts w:ascii="Arial" w:cs="Arial" w:eastAsia="Arial" w:hAnsi="Arial"/>
                <w:sz w:val="14"/>
                <w:szCs w:val="14"/>
                <w:color w:val="auto"/>
              </w:rPr>
              <w:t>Foreign currency other comprehensive income (loss)</w:t>
            </w: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(877)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(877)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(1,092)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(1,092)</w:t>
            </w:r>
          </w:p>
        </w:tc>
        <w:tc>
          <w:tcPr>
            <w:tcW w:w="0" w:type="dxa"/>
            <w:vAlign w:val="bottom"/>
          </w:tcPr>
          <w:p>
            <w:pPr>
              <w:spacing w:after="0"/>
              <w:rPr>
                <w:sz w:val="1"/>
                <w:szCs w:val="1"/>
                <w:color w:val="auto"/>
              </w:rPr>
            </w:pPr>
          </w:p>
        </w:tc>
      </w:tr>
      <w:tr>
        <w:trPr>
          <w:trHeight w:val="74"/>
        </w:trPr>
        <w:tc>
          <w:tcPr>
            <w:tcW w:w="4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other comprehensive income (loss) - Southwest Gas Holdings, Inc.</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7,667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(1,272)</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ind w:left="540" w:hanging="316"/>
        <w:spacing w:after="0" w:line="269" w:lineRule="auto"/>
        <w:tabs>
          <w:tab w:leader="none" w:pos="540" w:val="left"/>
        </w:tabs>
        <w:numPr>
          <w:ilvl w:val="0"/>
          <w:numId w:val="5"/>
        </w:numPr>
        <w:rPr>
          <w:rFonts w:ascii="Arial" w:cs="Arial" w:eastAsia="Arial" w:hAnsi="Arial"/>
          <w:sz w:val="15"/>
          <w:szCs w:val="15"/>
          <w:color w:val="auto"/>
        </w:rPr>
      </w:pPr>
      <w:r>
        <w:rPr>
          <w:rFonts w:ascii="Arial" w:cs="Arial" w:eastAsia="Arial" w:hAnsi="Arial"/>
          <w:sz w:val="15"/>
          <w:szCs w:val="15"/>
          <w:color w:val="auto"/>
        </w:rPr>
        <w:t>Tax amounts are calculated using a 24% rate following the December 22, 2017 enactment date of U.S. tax reform. For periods prior to the enactment date (and included in specific line items of the tables for the twelve months ended September 30, 2018), tax amounts were calculated using a 38% rate. The tax effect of before-tax amounts remaining in the balance of Accumulated other comprehensive income (loss) as of September 30, 2019 is computed using a 24% tax rate overall. With regard to foreign currency translation adjustments, the Company has elected to indefinitely reinvest the earnings of Centuri’s Canadian subsidiaries in Canada, thus preventing deferred taxes on such earnings. As a result of this assertion, and no repatriation of earnings anticipated, the Company is not recognizing a tax effect or presenting a tax expense or benefit for currency translation adjustments reported in Other comprehensive income (loss).</w:t>
      </w:r>
    </w:p>
    <w:p>
      <w:pPr>
        <w:spacing w:after="0" w:line="68"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Approximately $2.5 million of realized losses (net of tax) related to the FSIRS, reported in Accumulated other comprehensive income (loss) at September 30, 2019, will be reclassified into interest expense within the next 12 months as the related interest payments on long-term debt occur.</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represents a rollforward of AOCI, presented on the Company’s Condensed Consolidated Balance Sheets (thousands of dollars):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gridSpan w:val="4"/>
          </w:tcPr>
          <w:p>
            <w:pPr>
              <w:jc w:val="center"/>
              <w:spacing w:after="0"/>
              <w:rPr>
                <w:sz w:val="20"/>
                <w:szCs w:val="20"/>
                <w:color w:val="auto"/>
              </w:rPr>
            </w:pPr>
            <w:r>
              <w:rPr>
                <w:rFonts w:ascii="Arial" w:cs="Arial" w:eastAsia="Arial" w:hAnsi="Arial"/>
                <w:sz w:val="13"/>
                <w:szCs w:val="13"/>
                <w:color w:val="auto"/>
                <w:w w:val="89"/>
              </w:rPr>
              <w:t>Defined Benefit Plans</w:t>
            </w: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3"/>
                <w:szCs w:val="13"/>
                <w:color w:val="auto"/>
                <w:w w:val="88"/>
              </w:rPr>
              <w:t>FSIRS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7"/>
          </w:tcPr>
          <w:p>
            <w:pPr>
              <w:jc w:val="center"/>
              <w:ind w:right="80"/>
              <w:spacing w:after="0"/>
              <w:rPr>
                <w:sz w:val="20"/>
                <w:szCs w:val="20"/>
                <w:color w:val="auto"/>
              </w:rPr>
            </w:pPr>
            <w:r>
              <w:rPr>
                <w:rFonts w:ascii="Arial" w:cs="Arial" w:eastAsia="Arial" w:hAnsi="Arial"/>
                <w:sz w:val="13"/>
                <w:szCs w:val="13"/>
                <w:color w:val="auto"/>
                <w:w w:val="88"/>
              </w:rPr>
              <w:t>Foreign Currency Items</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center"/>
              <w:ind w:right="240"/>
              <w:spacing w:after="0" w:line="148" w:lineRule="exact"/>
              <w:rPr>
                <w:sz w:val="20"/>
                <w:szCs w:val="20"/>
                <w:color w:val="auto"/>
              </w:rPr>
            </w:pPr>
            <w:r>
              <w:rPr>
                <w:rFonts w:ascii="Arial" w:cs="Arial" w:eastAsia="Arial" w:hAnsi="Arial"/>
                <w:sz w:val="13"/>
                <w:szCs w:val="13"/>
                <w:color w:val="auto"/>
                <w:w w:val="92"/>
              </w:rPr>
              <w:t>Tax</w:t>
            </w:r>
          </w:p>
        </w:tc>
        <w:tc>
          <w:tcPr>
            <w:tcW w:w="7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center"/>
              <w:ind w:right="220"/>
              <w:spacing w:after="0" w:line="148" w:lineRule="exact"/>
              <w:rPr>
                <w:sz w:val="20"/>
                <w:szCs w:val="20"/>
                <w:color w:val="auto"/>
              </w:rPr>
            </w:pPr>
            <w:r>
              <w:rPr>
                <w:rFonts w:ascii="Arial" w:cs="Arial" w:eastAsia="Arial" w:hAnsi="Arial"/>
                <w:sz w:val="13"/>
                <w:szCs w:val="13"/>
                <w:color w:val="auto"/>
                <w:w w:val="82"/>
              </w:rPr>
              <w:t>Tax</w:t>
            </w: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center"/>
              <w:ind w:right="220"/>
              <w:spacing w:after="0" w:line="148" w:lineRule="exact"/>
              <w:rPr>
                <w:sz w:val="20"/>
                <w:szCs w:val="20"/>
                <w:color w:val="auto"/>
              </w:rPr>
            </w:pPr>
            <w:r>
              <w:rPr>
                <w:rFonts w:ascii="Arial" w:cs="Arial" w:eastAsia="Arial" w:hAnsi="Arial"/>
                <w:sz w:val="13"/>
                <w:szCs w:val="13"/>
                <w:color w:val="auto"/>
                <w:w w:val="82"/>
              </w:rPr>
              <w:t>Tax</w:t>
            </w: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3"/>
                <w:szCs w:val="13"/>
                <w:color w:val="auto"/>
                <w:w w:val="87"/>
              </w:rPr>
              <w:t>(Expense)</w:t>
            </w:r>
          </w:p>
        </w:tc>
        <w:tc>
          <w:tcPr>
            <w:tcW w:w="84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After-Tax</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3"/>
                <w:szCs w:val="13"/>
                <w:color w:val="auto"/>
                <w:w w:val="87"/>
              </w:rPr>
              <w:t>(Expense)</w:t>
            </w:r>
          </w:p>
        </w:tc>
        <w:tc>
          <w:tcPr>
            <w:tcW w:w="76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After-Tax</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220"/>
              <w:spacing w:after="0" w:line="135" w:lineRule="exact"/>
              <w:rPr>
                <w:sz w:val="20"/>
                <w:szCs w:val="20"/>
                <w:color w:val="auto"/>
              </w:rPr>
            </w:pPr>
            <w:r>
              <w:rPr>
                <w:rFonts w:ascii="Arial" w:cs="Arial" w:eastAsia="Arial" w:hAnsi="Arial"/>
                <w:sz w:val="13"/>
                <w:szCs w:val="13"/>
                <w:color w:val="auto"/>
                <w:w w:val="84"/>
              </w:rPr>
              <w:t>(Expense)</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0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93"/>
              </w:rPr>
              <w:t>Before-Tax</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color w:val="auto"/>
                <w:w w:val="90"/>
              </w:rPr>
              <w:t>Benefit (4,5)</w:t>
            </w:r>
          </w:p>
        </w:tc>
        <w:tc>
          <w:tcPr>
            <w:tcW w:w="1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color w:val="auto"/>
              </w:rPr>
              <w:t>(5)</w:t>
            </w:r>
          </w:p>
        </w:tc>
        <w:tc>
          <w:tcPr>
            <w:tcW w:w="1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6"/>
              </w:rPr>
              <w:t>Before-Tax</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color w:val="auto"/>
                <w:w w:val="90"/>
              </w:rPr>
              <w:t>Benefit (4,5)</w:t>
            </w: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color w:val="auto"/>
              </w:rPr>
              <w:t>(5)</w:t>
            </w: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3"/>
              </w:rPr>
              <w:t>Before-Tax</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color w:val="auto"/>
                <w:w w:val="93"/>
              </w:rPr>
              <w:t>Benefit</w:t>
            </w: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After-Tax</w:t>
            </w: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AOCI</w:t>
            </w:r>
          </w:p>
        </w:tc>
        <w:tc>
          <w:tcPr>
            <w:tcW w:w="0" w:type="dxa"/>
            <w:vAlign w:val="bottom"/>
          </w:tcPr>
          <w:p>
            <w:pPr>
              <w:spacing w:after="0"/>
              <w:rPr>
                <w:sz w:val="1"/>
                <w:szCs w:val="1"/>
                <w:color w:val="auto"/>
              </w:rPr>
            </w:pPr>
          </w:p>
        </w:tc>
      </w:tr>
      <w:tr>
        <w:trPr>
          <w:trHeight w:val="257"/>
        </w:trPr>
        <w:tc>
          <w:tcPr>
            <w:tcW w:w="3000" w:type="dxa"/>
            <w:vAlign w:val="bottom"/>
            <w:shd w:val="clear" w:color="auto" w:fill="CCEEFF"/>
          </w:tcPr>
          <w:p>
            <w:pPr>
              <w:ind w:left="40"/>
              <w:spacing w:after="0"/>
              <w:rPr>
                <w:sz w:val="20"/>
                <w:szCs w:val="20"/>
                <w:color w:val="auto"/>
              </w:rPr>
            </w:pPr>
            <w:r>
              <w:rPr>
                <w:rFonts w:ascii="Arial" w:cs="Arial" w:eastAsia="Arial" w:hAnsi="Arial"/>
                <w:sz w:val="13"/>
                <w:szCs w:val="13"/>
                <w:color w:val="auto"/>
              </w:rPr>
              <w:t>Beginning Balance AOCI December 31, 2018</w:t>
            </w:r>
          </w:p>
        </w:tc>
        <w:tc>
          <w:tcPr>
            <w:tcW w:w="7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95"/>
              </w:rPr>
              <w:t>$  (55,227)</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13,254</w:t>
            </w:r>
          </w:p>
        </w:tc>
        <w:tc>
          <w:tcPr>
            <w:tcW w:w="120" w:type="dxa"/>
            <w:vAlign w:val="bottom"/>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98"/>
              </w:rPr>
              <w:t>$  (41,973)</w:t>
            </w:r>
          </w:p>
        </w:tc>
        <w:tc>
          <w:tcPr>
            <w:tcW w:w="120" w:type="dxa"/>
            <w:vAlign w:val="bottom"/>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   (9,310)</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2,234</w:t>
            </w:r>
          </w:p>
        </w:tc>
        <w:tc>
          <w:tcPr>
            <w:tcW w:w="120" w:type="dxa"/>
            <w:vAlign w:val="bottom"/>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  (7,076)</w:t>
            </w:r>
          </w:p>
        </w:tc>
        <w:tc>
          <w:tcPr>
            <w:tcW w:w="100" w:type="dxa"/>
            <w:vAlign w:val="bottom"/>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  (3,619)</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  (3,619)</w:t>
            </w:r>
          </w:p>
        </w:tc>
        <w:tc>
          <w:tcPr>
            <w:tcW w:w="100" w:type="dxa"/>
            <w:vAlign w:val="bottom"/>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7"/>
              </w:rPr>
              <w:t>$ (52,668)</w:t>
            </w:r>
          </w:p>
        </w:tc>
        <w:tc>
          <w:tcPr>
            <w:tcW w:w="0" w:type="dxa"/>
            <w:vAlign w:val="bottom"/>
          </w:tcPr>
          <w:p>
            <w:pPr>
              <w:spacing w:after="0"/>
              <w:rPr>
                <w:sz w:val="1"/>
                <w:szCs w:val="1"/>
                <w:color w:val="auto"/>
              </w:rPr>
            </w:pPr>
          </w:p>
        </w:tc>
      </w:tr>
      <w:tr>
        <w:trPr>
          <w:trHeight w:val="153"/>
        </w:trPr>
        <w:tc>
          <w:tcPr>
            <w:tcW w:w="3000" w:type="dxa"/>
            <w:vAlign w:val="bottom"/>
          </w:tcPr>
          <w:p>
            <w:pPr>
              <w:ind w:left="40"/>
              <w:spacing w:after="0"/>
              <w:rPr>
                <w:sz w:val="20"/>
                <w:szCs w:val="20"/>
                <w:color w:val="auto"/>
              </w:rPr>
            </w:pPr>
            <w:r>
              <w:rPr>
                <w:rFonts w:ascii="Arial" w:cs="Arial" w:eastAsia="Arial" w:hAnsi="Arial"/>
                <w:sz w:val="13"/>
                <w:szCs w:val="13"/>
                <w:color w:val="auto"/>
              </w:rPr>
              <w:t>Translation adjustments</w:t>
            </w:r>
          </w:p>
        </w:tc>
        <w:tc>
          <w:tcPr>
            <w:tcW w:w="70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ind w:right="37"/>
              <w:spacing w:after="0"/>
              <w:rPr>
                <w:sz w:val="20"/>
                <w:szCs w:val="20"/>
                <w:color w:val="auto"/>
              </w:rPr>
            </w:pPr>
            <w:r>
              <w:rPr>
                <w:rFonts w:ascii="Arial" w:cs="Arial" w:eastAsia="Arial" w:hAnsi="Arial"/>
                <w:sz w:val="13"/>
                <w:szCs w:val="13"/>
                <w:color w:val="auto"/>
              </w:rPr>
              <w:t>1,131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restart"/>
          </w:tcPr>
          <w:p>
            <w:pPr>
              <w:ind w:left="420"/>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ind w:right="57"/>
              <w:spacing w:after="0"/>
              <w:rPr>
                <w:sz w:val="20"/>
                <w:szCs w:val="20"/>
                <w:color w:val="auto"/>
              </w:rPr>
            </w:pPr>
            <w:r>
              <w:rPr>
                <w:rFonts w:ascii="Arial" w:cs="Arial" w:eastAsia="Arial" w:hAnsi="Arial"/>
                <w:sz w:val="13"/>
                <w:szCs w:val="13"/>
                <w:color w:val="auto"/>
              </w:rPr>
              <w:t>1,131</w:t>
            </w:r>
          </w:p>
        </w:tc>
        <w:tc>
          <w:tcPr>
            <w:tcW w:w="100" w:type="dxa"/>
            <w:vAlign w:val="bottom"/>
          </w:tcPr>
          <w:p>
            <w:pPr>
              <w:spacing w:after="0"/>
              <w:rPr>
                <w:sz w:val="13"/>
                <w:szCs w:val="13"/>
                <w:color w:val="auto"/>
              </w:rPr>
            </w:pPr>
          </w:p>
        </w:tc>
        <w:tc>
          <w:tcPr>
            <w:tcW w:w="660" w:type="dxa"/>
            <w:vAlign w:val="bottom"/>
            <w:vMerge w:val="restart"/>
          </w:tcPr>
          <w:p>
            <w:pPr>
              <w:jc w:val="right"/>
              <w:ind w:right="37"/>
              <w:spacing w:after="0"/>
              <w:rPr>
                <w:sz w:val="20"/>
                <w:szCs w:val="20"/>
                <w:color w:val="auto"/>
              </w:rPr>
            </w:pPr>
            <w:r>
              <w:rPr>
                <w:rFonts w:ascii="Arial" w:cs="Arial" w:eastAsia="Arial" w:hAnsi="Arial"/>
                <w:sz w:val="13"/>
                <w:szCs w:val="13"/>
                <w:color w:val="auto"/>
              </w:rPr>
              <w:t>1,131</w:t>
            </w:r>
          </w:p>
        </w:tc>
        <w:tc>
          <w:tcPr>
            <w:tcW w:w="0" w:type="dxa"/>
            <w:vAlign w:val="bottom"/>
          </w:tcPr>
          <w:p>
            <w:pPr>
              <w:spacing w:after="0"/>
              <w:rPr>
                <w:sz w:val="1"/>
                <w:szCs w:val="1"/>
                <w:color w:val="auto"/>
              </w:rPr>
            </w:pPr>
          </w:p>
        </w:tc>
      </w:tr>
      <w:tr>
        <w:trPr>
          <w:trHeight w:val="91"/>
        </w:trPr>
        <w:tc>
          <w:tcPr>
            <w:tcW w:w="30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000" w:type="dxa"/>
            <w:vAlign w:val="bottom"/>
            <w:tcBorders>
              <w:top w:val="single" w:sz="8" w:color="CCEEFF"/>
            </w:tcBorders>
            <w:shd w:val="clear" w:color="auto" w:fill="CCEEFF"/>
          </w:tcPr>
          <w:p>
            <w:pPr>
              <w:ind w:left="180"/>
              <w:spacing w:after="0" w:line="134" w:lineRule="exact"/>
              <w:rPr>
                <w:sz w:val="20"/>
                <w:szCs w:val="20"/>
                <w:color w:val="auto"/>
              </w:rPr>
            </w:pPr>
            <w:r>
              <w:rPr>
                <w:rFonts w:ascii="Arial" w:cs="Arial" w:eastAsia="Arial" w:hAnsi="Arial"/>
                <w:sz w:val="13"/>
                <w:szCs w:val="13"/>
                <w:color w:val="auto"/>
              </w:rPr>
              <w:t>Other comprehensive income (loss) before</w:t>
            </w: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000" w:type="dxa"/>
            <w:vAlign w:val="bottom"/>
            <w:shd w:val="clear" w:color="auto" w:fill="CCEEFF"/>
          </w:tcPr>
          <w:p>
            <w:pPr>
              <w:ind w:left="340"/>
              <w:spacing w:after="0"/>
              <w:rPr>
                <w:sz w:val="20"/>
                <w:szCs w:val="20"/>
                <w:color w:val="auto"/>
              </w:rPr>
            </w:pPr>
            <w:r>
              <w:rPr>
                <w:rFonts w:ascii="Arial" w:cs="Arial" w:eastAsia="Arial" w:hAnsi="Arial"/>
                <w:sz w:val="13"/>
                <w:szCs w:val="13"/>
                <w:color w:val="auto"/>
              </w:rPr>
              <w:t>reclassifications</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1,131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2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1,131</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1,131</w:t>
            </w:r>
          </w:p>
        </w:tc>
        <w:tc>
          <w:tcPr>
            <w:tcW w:w="0" w:type="dxa"/>
            <w:vAlign w:val="bottom"/>
          </w:tcPr>
          <w:p>
            <w:pPr>
              <w:spacing w:after="0"/>
              <w:rPr>
                <w:sz w:val="1"/>
                <w:szCs w:val="1"/>
                <w:color w:val="auto"/>
              </w:rPr>
            </w:pPr>
          </w:p>
        </w:tc>
      </w:tr>
    </w:tbl>
    <w:p>
      <w:pPr>
        <w:spacing w:after="0" w:line="13" w:lineRule="exact"/>
        <w:rPr>
          <w:sz w:val="20"/>
          <w:szCs w:val="20"/>
          <w:color w:val="auto"/>
        </w:rPr>
      </w:pPr>
    </w:p>
    <w:p>
      <w:pPr>
        <w:sectPr>
          <w:pgSz w:w="11900" w:h="16838" w:orient="portrait"/>
          <w:cols w:equalWidth="0" w:num="1">
            <w:col w:w="11420"/>
          </w:cols>
          <w:pgMar w:left="240" w:top="270" w:right="239" w:bottom="1440" w:gutter="0" w:footer="0" w:header="0"/>
        </w:sectPr>
      </w:pPr>
    </w:p>
    <w:p>
      <w:pPr>
        <w:ind w:left="40"/>
        <w:spacing w:after="0"/>
        <w:rPr>
          <w:sz w:val="20"/>
          <w:szCs w:val="20"/>
          <w:color w:val="auto"/>
        </w:rPr>
      </w:pPr>
      <w:r>
        <w:rPr>
          <w:rFonts w:ascii="Arial" w:cs="Arial" w:eastAsia="Arial" w:hAnsi="Arial"/>
          <w:sz w:val="13"/>
          <w:szCs w:val="13"/>
          <w:color w:val="auto"/>
        </w:rPr>
        <w:t>FSIRS amounts reclassified from AOCI (1)</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Amortization of prior service cost (2)</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Amortization of net actuarial loss (2)</w:t>
      </w:r>
    </w:p>
    <w:p>
      <w:pPr>
        <w:spacing w:after="0" w:line="20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Regulatory adjustment (3)</w:t>
      </w:r>
    </w:p>
    <w:p>
      <w:pPr>
        <w:spacing w:after="0" w:line="40" w:lineRule="exact"/>
        <w:rPr>
          <w:sz w:val="20"/>
          <w:szCs w:val="20"/>
          <w:color w:val="auto"/>
        </w:rPr>
      </w:pPr>
    </w:p>
    <w:p>
      <w:pPr>
        <w:ind w:left="200" w:hanging="161"/>
        <w:spacing w:after="0" w:line="320" w:lineRule="auto"/>
        <w:rPr>
          <w:sz w:val="20"/>
          <w:szCs w:val="20"/>
          <w:color w:val="auto"/>
        </w:rPr>
      </w:pPr>
      <w:r>
        <w:rPr>
          <w:rFonts w:ascii="Arial" w:cs="Arial" w:eastAsia="Arial" w:hAnsi="Arial"/>
          <w:sz w:val="11"/>
          <w:szCs w:val="11"/>
          <w:color w:val="auto"/>
        </w:rPr>
        <w:t>Net current period other comprehensive income (loss) attributable to Southwest Gas Holdings, Inc.</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3"/>
          <w:szCs w:val="13"/>
          <w:color w:val="auto"/>
        </w:rPr>
        <w:t>Ending Balance AOCI September 30, 2019</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2,508</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(602)</w:t>
            </w:r>
          </w:p>
        </w:tc>
        <w:tc>
          <w:tcPr>
            <w:tcW w:w="120" w:type="dxa"/>
            <w:vAlign w:val="bottom"/>
          </w:tcPr>
          <w:p>
            <w:pPr>
              <w:spacing w:after="0"/>
              <w:rPr>
                <w:sz w:val="13"/>
                <w:szCs w:val="13"/>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1,906</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1,906</w:t>
            </w:r>
          </w:p>
        </w:tc>
      </w:tr>
      <w:tr>
        <w:trPr>
          <w:trHeight w:val="270"/>
        </w:trPr>
        <w:tc>
          <w:tcPr>
            <w:tcW w:w="700" w:type="dxa"/>
            <w:vAlign w:val="bottom"/>
          </w:tcPr>
          <w:p>
            <w:pPr>
              <w:jc w:val="right"/>
              <w:ind w:right="57"/>
              <w:spacing w:after="0"/>
              <w:rPr>
                <w:sz w:val="20"/>
                <w:szCs w:val="20"/>
                <w:color w:val="auto"/>
              </w:rPr>
            </w:pPr>
            <w:r>
              <w:rPr>
                <w:rFonts w:ascii="Arial" w:cs="Arial" w:eastAsia="Arial" w:hAnsi="Arial"/>
                <w:sz w:val="13"/>
                <w:szCs w:val="13"/>
                <w:color w:val="auto"/>
              </w:rPr>
              <w:t>953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(229)</w:t>
            </w:r>
          </w:p>
        </w:tc>
        <w:tc>
          <w:tcPr>
            <w:tcW w:w="120" w:type="dxa"/>
            <w:vAlign w:val="bottom"/>
          </w:tcPr>
          <w:p>
            <w:pPr>
              <w:spacing w:after="0"/>
              <w:rPr>
                <w:sz w:val="23"/>
                <w:szCs w:val="23"/>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724</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3"/>
                <w:szCs w:val="23"/>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3"/>
                <w:szCs w:val="23"/>
                <w:color w:val="auto"/>
              </w:rPr>
            </w:pPr>
          </w:p>
        </w:tc>
        <w:tc>
          <w:tcPr>
            <w:tcW w:w="56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724</w:t>
            </w:r>
          </w:p>
        </w:tc>
      </w:tr>
      <w:tr>
        <w:trPr>
          <w:trHeight w:val="270"/>
        </w:trPr>
        <w:tc>
          <w:tcPr>
            <w:tcW w:w="700" w:type="dxa"/>
            <w:vAlign w:val="bottom"/>
          </w:tcPr>
          <w:p>
            <w:pPr>
              <w:jc w:val="right"/>
              <w:ind w:right="57"/>
              <w:spacing w:after="0"/>
              <w:rPr>
                <w:sz w:val="20"/>
                <w:szCs w:val="20"/>
                <w:color w:val="auto"/>
              </w:rPr>
            </w:pPr>
            <w:r>
              <w:rPr>
                <w:rFonts w:ascii="Arial" w:cs="Arial" w:eastAsia="Arial" w:hAnsi="Arial"/>
                <w:sz w:val="13"/>
                <w:szCs w:val="13"/>
                <w:color w:val="auto"/>
              </w:rPr>
              <w:t>17,532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(4,207)</w:t>
            </w:r>
          </w:p>
        </w:tc>
        <w:tc>
          <w:tcPr>
            <w:tcW w:w="120" w:type="dxa"/>
            <w:vAlign w:val="bottom"/>
          </w:tcPr>
          <w:p>
            <w:pPr>
              <w:spacing w:after="0"/>
              <w:rPr>
                <w:sz w:val="23"/>
                <w:szCs w:val="23"/>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13,325</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3"/>
                <w:szCs w:val="23"/>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23"/>
                <w:szCs w:val="23"/>
                <w:color w:val="auto"/>
              </w:rPr>
            </w:pPr>
          </w:p>
        </w:tc>
        <w:tc>
          <w:tcPr>
            <w:tcW w:w="56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13,325</w:t>
            </w:r>
          </w:p>
        </w:tc>
      </w:tr>
      <w:tr>
        <w:trPr>
          <w:trHeight w:val="280"/>
        </w:trPr>
        <w:tc>
          <w:tcPr>
            <w:tcW w:w="7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(16,043)</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3,850</w:t>
            </w:r>
          </w:p>
        </w:tc>
        <w:tc>
          <w:tcPr>
            <w:tcW w:w="120" w:type="dxa"/>
            <w:vAlign w:val="bottom"/>
          </w:tcPr>
          <w:p>
            <w:pPr>
              <w:spacing w:after="0"/>
              <w:rPr>
                <w:sz w:val="24"/>
                <w:szCs w:val="24"/>
                <w:color w:val="auto"/>
              </w:rPr>
            </w:pPr>
          </w:p>
        </w:tc>
        <w:tc>
          <w:tcPr>
            <w:tcW w:w="7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(12,193)</w:t>
            </w:r>
          </w:p>
        </w:tc>
        <w:tc>
          <w:tcPr>
            <w:tcW w:w="120" w:type="dxa"/>
            <w:vAlign w:val="bottom"/>
          </w:tcPr>
          <w:p>
            <w:pPr>
              <w:spacing w:after="0"/>
              <w:rPr>
                <w:sz w:val="24"/>
                <w:szCs w:val="24"/>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(12,193)</w:t>
            </w:r>
          </w:p>
        </w:tc>
      </w:tr>
      <w:tr>
        <w:trPr>
          <w:trHeight w:val="304"/>
        </w:trPr>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2,442</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(586)</w:t>
            </w:r>
          </w:p>
        </w:tc>
        <w:tc>
          <w:tcPr>
            <w:tcW w:w="120" w:type="dxa"/>
            <w:vAlign w:val="bottom"/>
          </w:tcPr>
          <w:p>
            <w:pPr>
              <w:spacing w:after="0"/>
              <w:rPr>
                <w:sz w:val="24"/>
                <w:szCs w:val="24"/>
                <w:color w:val="auto"/>
              </w:rPr>
            </w:pPr>
          </w:p>
        </w:tc>
        <w:tc>
          <w:tcPr>
            <w:tcW w:w="7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1,856</w:t>
            </w:r>
          </w:p>
        </w:tc>
        <w:tc>
          <w:tcPr>
            <w:tcW w:w="120" w:type="dxa"/>
            <w:vAlign w:val="bottom"/>
          </w:tcPr>
          <w:p>
            <w:pPr>
              <w:spacing w:after="0"/>
              <w:rPr>
                <w:sz w:val="24"/>
                <w:szCs w:val="24"/>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2,508</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(602)</w:t>
            </w:r>
          </w:p>
        </w:tc>
        <w:tc>
          <w:tcPr>
            <w:tcW w:w="120" w:type="dxa"/>
            <w:vAlign w:val="bottom"/>
          </w:tcPr>
          <w:p>
            <w:pPr>
              <w:spacing w:after="0"/>
              <w:rPr>
                <w:sz w:val="24"/>
                <w:szCs w:val="24"/>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1,906</w:t>
            </w:r>
          </w:p>
        </w:tc>
        <w:tc>
          <w:tcPr>
            <w:tcW w:w="100" w:type="dxa"/>
            <w:vAlign w:val="bottom"/>
          </w:tcPr>
          <w:p>
            <w:pPr>
              <w:spacing w:after="0"/>
              <w:rPr>
                <w:sz w:val="24"/>
                <w:szCs w:val="24"/>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1,131</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ind w:lef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1,131</w:t>
            </w:r>
          </w:p>
        </w:tc>
        <w:tc>
          <w:tcPr>
            <w:tcW w:w="100" w:type="dxa"/>
            <w:vAlign w:val="bottom"/>
          </w:tcPr>
          <w:p>
            <w:pPr>
              <w:spacing w:after="0"/>
              <w:rPr>
                <w:sz w:val="24"/>
                <w:szCs w:val="24"/>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4,893</w:t>
            </w:r>
          </w:p>
        </w:tc>
      </w:tr>
      <w:tr>
        <w:trPr>
          <w:trHeight w:val="227"/>
        </w:trPr>
        <w:tc>
          <w:tcPr>
            <w:tcW w:w="700" w:type="dxa"/>
            <w:vAlign w:val="bottom"/>
          </w:tcPr>
          <w:p>
            <w:pPr>
              <w:jc w:val="right"/>
              <w:ind w:right="17"/>
              <w:spacing w:after="0"/>
              <w:rPr>
                <w:sz w:val="20"/>
                <w:szCs w:val="20"/>
                <w:color w:val="auto"/>
              </w:rPr>
            </w:pPr>
            <w:r>
              <w:rPr>
                <w:rFonts w:ascii="Arial" w:cs="Arial" w:eastAsia="Arial" w:hAnsi="Arial"/>
                <w:sz w:val="13"/>
                <w:szCs w:val="13"/>
                <w:color w:val="auto"/>
                <w:w w:val="95"/>
              </w:rPr>
              <w:t>$  (52,785)</w:t>
            </w:r>
          </w:p>
        </w:tc>
        <w:tc>
          <w:tcPr>
            <w:tcW w:w="120" w:type="dxa"/>
            <w:vAlign w:val="bottom"/>
          </w:tcPr>
          <w:p>
            <w:pPr>
              <w:spacing w:after="0"/>
              <w:rPr>
                <w:sz w:val="19"/>
                <w:szCs w:val="19"/>
                <w:color w:val="auto"/>
              </w:rPr>
            </w:pP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ind w:right="57"/>
              <w:spacing w:after="0"/>
              <w:rPr>
                <w:sz w:val="20"/>
                <w:szCs w:val="20"/>
                <w:color w:val="auto"/>
              </w:rPr>
            </w:pPr>
            <w:r>
              <w:rPr>
                <w:rFonts w:ascii="Arial" w:cs="Arial" w:eastAsia="Arial" w:hAnsi="Arial"/>
                <w:sz w:val="13"/>
                <w:szCs w:val="13"/>
                <w:color w:val="auto"/>
              </w:rPr>
              <w:t>12,668</w:t>
            </w:r>
          </w:p>
        </w:tc>
        <w:tc>
          <w:tcPr>
            <w:tcW w:w="120" w:type="dxa"/>
            <w:vAlign w:val="bottom"/>
          </w:tcPr>
          <w:p>
            <w:pPr>
              <w:spacing w:after="0"/>
              <w:rPr>
                <w:sz w:val="19"/>
                <w:szCs w:val="19"/>
                <w:color w:val="auto"/>
              </w:rPr>
            </w:pPr>
          </w:p>
        </w:tc>
        <w:tc>
          <w:tcPr>
            <w:tcW w:w="720" w:type="dxa"/>
            <w:vAlign w:val="bottom"/>
          </w:tcPr>
          <w:p>
            <w:pPr>
              <w:jc w:val="right"/>
              <w:ind w:right="17"/>
              <w:spacing w:after="0"/>
              <w:rPr>
                <w:sz w:val="20"/>
                <w:szCs w:val="20"/>
                <w:color w:val="auto"/>
              </w:rPr>
            </w:pPr>
            <w:r>
              <w:rPr>
                <w:rFonts w:ascii="Arial" w:cs="Arial" w:eastAsia="Arial" w:hAnsi="Arial"/>
                <w:sz w:val="13"/>
                <w:szCs w:val="13"/>
                <w:color w:val="auto"/>
                <w:w w:val="98"/>
              </w:rPr>
              <w:t>$  (40,117)</w:t>
            </w:r>
          </w:p>
        </w:tc>
        <w:tc>
          <w:tcPr>
            <w:tcW w:w="120" w:type="dxa"/>
            <w:vAlign w:val="bottom"/>
          </w:tcPr>
          <w:p>
            <w:pPr>
              <w:spacing w:after="0"/>
              <w:rPr>
                <w:sz w:val="19"/>
                <w:szCs w:val="19"/>
                <w:color w:val="auto"/>
              </w:rPr>
            </w:pPr>
          </w:p>
        </w:tc>
        <w:tc>
          <w:tcPr>
            <w:tcW w:w="700" w:type="dxa"/>
            <w:vAlign w:val="bottom"/>
          </w:tcPr>
          <w:p>
            <w:pPr>
              <w:jc w:val="right"/>
              <w:ind w:right="17"/>
              <w:spacing w:after="0"/>
              <w:rPr>
                <w:sz w:val="20"/>
                <w:szCs w:val="20"/>
                <w:color w:val="auto"/>
              </w:rPr>
            </w:pPr>
            <w:r>
              <w:rPr>
                <w:rFonts w:ascii="Arial" w:cs="Arial" w:eastAsia="Arial" w:hAnsi="Arial"/>
                <w:sz w:val="13"/>
                <w:szCs w:val="13"/>
                <w:color w:val="auto"/>
              </w:rPr>
              <w:t>$   (6,802)</w:t>
            </w:r>
          </w:p>
        </w:tc>
        <w:tc>
          <w:tcPr>
            <w:tcW w:w="120" w:type="dxa"/>
            <w:vAlign w:val="bottom"/>
          </w:tcPr>
          <w:p>
            <w:pPr>
              <w:spacing w:after="0"/>
              <w:rPr>
                <w:sz w:val="19"/>
                <w:szCs w:val="19"/>
                <w:color w:val="auto"/>
              </w:rPr>
            </w:pP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57"/>
              <w:spacing w:after="0"/>
              <w:rPr>
                <w:sz w:val="20"/>
                <w:szCs w:val="20"/>
                <w:color w:val="auto"/>
              </w:rPr>
            </w:pPr>
            <w:r>
              <w:rPr>
                <w:rFonts w:ascii="Arial" w:cs="Arial" w:eastAsia="Arial" w:hAnsi="Arial"/>
                <w:sz w:val="13"/>
                <w:szCs w:val="13"/>
                <w:color w:val="auto"/>
              </w:rPr>
              <w:t>1,632</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  (5,170)</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  (2,488)</w:t>
            </w:r>
          </w:p>
        </w:tc>
        <w:tc>
          <w:tcPr>
            <w:tcW w:w="120" w:type="dxa"/>
            <w:vAlign w:val="bottom"/>
          </w:tcPr>
          <w:p>
            <w:pPr>
              <w:spacing w:after="0"/>
              <w:rPr>
                <w:sz w:val="19"/>
                <w:szCs w:val="19"/>
                <w:color w:val="auto"/>
              </w:rPr>
            </w:pPr>
          </w:p>
        </w:tc>
        <w:tc>
          <w:tcPr>
            <w:tcW w:w="320" w:type="dxa"/>
            <w:vAlign w:val="bottom"/>
          </w:tcPr>
          <w:p>
            <w:pPr>
              <w:jc w:val="right"/>
              <w:ind w:right="177"/>
              <w:spacing w:after="0"/>
              <w:rPr>
                <w:sz w:val="20"/>
                <w:szCs w:val="20"/>
                <w:color w:val="auto"/>
              </w:rPr>
            </w:pPr>
            <w:r>
              <w:rPr>
                <w:rFonts w:ascii="Arial" w:cs="Arial" w:eastAsia="Arial" w:hAnsi="Arial"/>
                <w:sz w:val="13"/>
                <w:szCs w:val="13"/>
                <w:color w:val="auto"/>
                <w:w w:val="82"/>
              </w:rPr>
              <w:t>$</w:t>
            </w:r>
          </w:p>
        </w:tc>
        <w:tc>
          <w:tcPr>
            <w:tcW w:w="56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  (2,488)</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w w:val="97"/>
              </w:rPr>
              <w:t>$ (47,775)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-872490</wp:posOffset>
            </wp:positionV>
            <wp:extent cx="7246620" cy="171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-529590</wp:posOffset>
            </wp:positionV>
            <wp:extent cx="7246620"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-1899285</wp:posOffset>
            </wp:positionH>
            <wp:positionV relativeFrom="paragraph">
              <wp:posOffset>-152400</wp:posOffset>
            </wp:positionV>
            <wp:extent cx="7246620" cy="1885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46" w:lineRule="exact"/>
        <w:rPr>
          <w:sz w:val="20"/>
          <w:szCs w:val="20"/>
          <w:color w:val="auto"/>
        </w:rPr>
      </w:pPr>
    </w:p>
    <w:p>
      <w:pPr>
        <w:sectPr>
          <w:pgSz w:w="11900" w:h="16838" w:orient="portrait"/>
          <w:cols w:equalWidth="0" w:num="2">
            <w:col w:w="2760" w:space="240"/>
            <w:col w:w="8420"/>
          </w:cols>
          <w:pgMar w:left="240" w:top="270" w:right="239" w:bottom="1440" w:gutter="0" w:footer="0" w:header="0"/>
          <w:type w:val="continuous"/>
        </w:sectPr>
      </w:pPr>
    </w:p>
    <w:p>
      <w:pPr>
        <w:ind w:left="540" w:hanging="316"/>
        <w:spacing w:after="0"/>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FSIRS reclassification amounts are included in Net interest deductions on the Company’s Condensed Consolidated Statements of Income.</w:t>
      </w:r>
    </w:p>
    <w:p>
      <w:pPr>
        <w:spacing w:after="0" w:line="19" w:lineRule="exact"/>
        <w:rPr>
          <w:rFonts w:ascii="Arial" w:cs="Arial" w:eastAsia="Arial" w:hAnsi="Arial"/>
          <w:sz w:val="16"/>
          <w:szCs w:val="16"/>
          <w:color w:val="auto"/>
        </w:rPr>
      </w:pPr>
    </w:p>
    <w:p>
      <w:pPr>
        <w:ind w:left="540" w:hanging="316"/>
        <w:spacing w:after="0"/>
        <w:tabs>
          <w:tab w:leader="none" w:pos="540"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These AOCI components are included in the computation of net periodic benefit cost (see </w:t>
      </w:r>
      <w:r>
        <w:rPr>
          <w:rFonts w:ascii="Arial" w:cs="Arial" w:eastAsia="Arial" w:hAnsi="Arial"/>
          <w:sz w:val="14"/>
          <w:szCs w:val="14"/>
          <w:b w:val="1"/>
          <w:bCs w:val="1"/>
          <w:color w:val="auto"/>
        </w:rPr>
        <w:t>Note 2 – Components of Net Periodic Benefit Cost</w:t>
      </w:r>
      <w:r>
        <w:rPr>
          <w:rFonts w:ascii="Arial" w:cs="Arial" w:eastAsia="Arial" w:hAnsi="Arial"/>
          <w:sz w:val="14"/>
          <w:szCs w:val="14"/>
          <w:color w:val="auto"/>
        </w:rPr>
        <w:t xml:space="preserve"> for additional details).</w:t>
      </w:r>
    </w:p>
    <w:p>
      <w:pPr>
        <w:spacing w:after="0" w:line="28" w:lineRule="exact"/>
        <w:rPr>
          <w:rFonts w:ascii="Arial" w:cs="Arial" w:eastAsia="Arial" w:hAnsi="Arial"/>
          <w:sz w:val="14"/>
          <w:szCs w:val="14"/>
          <w:color w:val="auto"/>
        </w:rPr>
      </w:pPr>
    </w:p>
    <w:p>
      <w:pPr>
        <w:ind w:left="540" w:right="20" w:hanging="316"/>
        <w:spacing w:after="0" w:line="257" w:lineRule="auto"/>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regulatory adjustment represents the portion of the activity above that is expected to be recovered through rates in the future (the related regulatory asset is included in Deferred charges and other assets on the Company’s Condensed Consolidated Balance Sheets).</w:t>
      </w:r>
    </w:p>
    <w:p>
      <w:pPr>
        <w:spacing w:after="0" w:line="3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0" w:right="239" w:bottom="1440" w:gutter="0" w:footer="0" w:header="0"/>
          <w:type w:val="continuous"/>
        </w:sectPr>
      </w:pPr>
    </w:p>
    <w:bookmarkStart w:id="31" w:name="page32"/>
    <w:bookmarkEnd w:id="31"/>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40" w:hanging="316"/>
        <w:spacing w:after="0"/>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Tax amounts are calculated using a 24% rate.</w:t>
      </w:r>
    </w:p>
    <w:p>
      <w:pPr>
        <w:spacing w:after="0" w:line="22" w:lineRule="exact"/>
        <w:rPr>
          <w:rFonts w:ascii="Arial" w:cs="Arial" w:eastAsia="Arial" w:hAnsi="Arial"/>
          <w:sz w:val="16"/>
          <w:szCs w:val="16"/>
          <w:color w:val="auto"/>
        </w:rPr>
      </w:pPr>
    </w:p>
    <w:p>
      <w:pPr>
        <w:ind w:left="540" w:hanging="316"/>
        <w:spacing w:after="0" w:line="276"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6"/>
          <w:szCs w:val="16"/>
          <w:color w:val="auto"/>
        </w:rPr>
        <w:t>The beginning balances depict amounts attributable to the individual components of AOCI (Defined Benefit Plans and FSIRS) following the adoption of ASU No. 2018-02, with no impact to the total balance of AOCI resulting from the depiction.</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represents a rollforward of AOCI, presented on Southwest’s Condensed Consolidated Balance Sheets (thousands of dollars):</w:t>
      </w:r>
    </w:p>
    <w:p>
      <w:pPr>
        <w:sectPr>
          <w:pgSz w:w="11900" w:h="16838" w:orient="portrait"/>
          <w:cols w:equalWidth="0" w:num="1">
            <w:col w:w="11420"/>
          </w:cols>
          <w:pgMar w:left="240" w:top="27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spacing w:after="0"/>
        <w:rPr>
          <w:sz w:val="20"/>
          <w:szCs w:val="20"/>
          <w:color w:val="auto"/>
        </w:rPr>
      </w:pPr>
      <w:r>
        <w:rPr>
          <w:rFonts w:ascii="Arial" w:cs="Arial" w:eastAsia="Arial" w:hAnsi="Arial"/>
          <w:sz w:val="13"/>
          <w:szCs w:val="13"/>
          <w:color w:val="auto"/>
        </w:rPr>
        <w:t>Beginning Balance AOCI December 31, 2018</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FSIRS amounts reclassified from AOCI (6)</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Amortization of prior service cost (7)</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Amortization of net actuarial loss (7)</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Regulatory adjustment (8)</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1"/>
          <w:szCs w:val="11"/>
          <w:color w:val="auto"/>
        </w:rPr>
        <w:t>Net current period other comprehensive income attributable to Southwest Gas Corporation</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Ending Balance AOCI September 30, 2019</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color w:val="auto"/>
                <w:w w:val="89"/>
              </w:rPr>
              <w:t>Defined Benefit Plans</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3"/>
                <w:szCs w:val="13"/>
                <w:color w:val="auto"/>
                <w:w w:val="88"/>
              </w:rPr>
              <w:t>FSIRS</w:t>
            </w: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48"/>
        </w:trPr>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60"/>
              <w:spacing w:after="0" w:line="148" w:lineRule="exact"/>
              <w:rPr>
                <w:sz w:val="20"/>
                <w:szCs w:val="20"/>
                <w:color w:val="auto"/>
              </w:rPr>
            </w:pPr>
            <w:r>
              <w:rPr>
                <w:rFonts w:ascii="Arial" w:cs="Arial" w:eastAsia="Arial" w:hAnsi="Arial"/>
                <w:sz w:val="13"/>
                <w:szCs w:val="13"/>
                <w:color w:val="auto"/>
                <w:w w:val="82"/>
              </w:rPr>
              <w:t>Tax</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8" w:lineRule="exact"/>
              <w:rPr>
                <w:sz w:val="20"/>
                <w:szCs w:val="20"/>
                <w:color w:val="auto"/>
              </w:rPr>
            </w:pPr>
            <w:r>
              <w:rPr>
                <w:rFonts w:ascii="Arial" w:cs="Arial" w:eastAsia="Arial" w:hAnsi="Arial"/>
                <w:sz w:val="13"/>
                <w:szCs w:val="13"/>
                <w:color w:val="auto"/>
                <w:w w:val="82"/>
              </w:rPr>
              <w:t>Tax</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35"/>
        </w:trPr>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ind w:right="260"/>
              <w:spacing w:after="0" w:line="135" w:lineRule="exact"/>
              <w:rPr>
                <w:sz w:val="20"/>
                <w:szCs w:val="20"/>
                <w:color w:val="auto"/>
              </w:rPr>
            </w:pPr>
            <w:r>
              <w:rPr>
                <w:rFonts w:ascii="Arial" w:cs="Arial" w:eastAsia="Arial" w:hAnsi="Arial"/>
                <w:sz w:val="13"/>
                <w:szCs w:val="13"/>
                <w:color w:val="auto"/>
                <w:w w:val="84"/>
              </w:rPr>
              <w:t>(Expense)</w:t>
            </w:r>
          </w:p>
        </w:tc>
        <w:tc>
          <w:tcPr>
            <w:tcW w:w="100" w:type="dxa"/>
            <w:vAlign w:val="bottom"/>
          </w:tcPr>
          <w:p>
            <w:pPr>
              <w:spacing w:after="0"/>
              <w:rPr>
                <w:sz w:val="11"/>
                <w:szCs w:val="11"/>
                <w:color w:val="auto"/>
              </w:rPr>
            </w:pPr>
          </w:p>
        </w:tc>
        <w:tc>
          <w:tcPr>
            <w:tcW w:w="720" w:type="dxa"/>
            <w:vAlign w:val="bottom"/>
            <w:gridSpan w:val="2"/>
          </w:tcPr>
          <w:p>
            <w:pPr>
              <w:spacing w:after="0" w:line="135" w:lineRule="exact"/>
              <w:rPr>
                <w:sz w:val="20"/>
                <w:szCs w:val="20"/>
                <w:color w:val="auto"/>
              </w:rPr>
            </w:pPr>
            <w:r>
              <w:rPr>
                <w:rFonts w:ascii="Arial" w:cs="Arial" w:eastAsia="Arial" w:hAnsi="Arial"/>
                <w:sz w:val="13"/>
                <w:szCs w:val="13"/>
                <w:color w:val="auto"/>
              </w:rPr>
              <w:t>After-Tax</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color w:val="auto"/>
                <w:w w:val="84"/>
              </w:rPr>
              <w:t>(Expense)</w:t>
            </w:r>
          </w:p>
        </w:tc>
        <w:tc>
          <w:tcPr>
            <w:tcW w:w="780" w:type="dxa"/>
            <w:vAlign w:val="bottom"/>
            <w:gridSpan w:val="3"/>
          </w:tcPr>
          <w:p>
            <w:pPr>
              <w:ind w:left="100"/>
              <w:spacing w:after="0" w:line="135" w:lineRule="exact"/>
              <w:rPr>
                <w:sz w:val="20"/>
                <w:szCs w:val="20"/>
                <w:color w:val="auto"/>
              </w:rPr>
            </w:pPr>
            <w:r>
              <w:rPr>
                <w:rFonts w:ascii="Arial" w:cs="Arial" w:eastAsia="Arial" w:hAnsi="Arial"/>
                <w:sz w:val="13"/>
                <w:szCs w:val="13"/>
                <w:color w:val="auto"/>
              </w:rPr>
              <w:t>After-Tax</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70"/>
        </w:trPr>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w w:val="96"/>
              </w:rPr>
              <w:t>Before-Tax</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color w:val="auto"/>
                <w:w w:val="89"/>
              </w:rPr>
              <w:t>Benefit (9,10)</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w w:val="93"/>
              </w:rPr>
              <w:t>Before-Tax</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color w:val="auto"/>
                <w:w w:val="89"/>
              </w:rPr>
              <w:t>Benefit (9,10)</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AOCI</w:t>
            </w:r>
          </w:p>
        </w:tc>
      </w:tr>
      <w:tr>
        <w:trPr>
          <w:trHeight w:val="250"/>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94"/>
              </w:rPr>
              <w:t>(55,227)</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13,254</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(41,973)</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(9,310)</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2,234</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(7,076)</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4"/>
              </w:rPr>
              <w:t>(49,049)</w:t>
            </w:r>
          </w:p>
        </w:tc>
      </w:tr>
      <w:tr>
        <w:trPr>
          <w:trHeight w:val="241"/>
        </w:trPr>
        <w:tc>
          <w:tcPr>
            <w:tcW w:w="140" w:type="dxa"/>
            <w:vAlign w:val="bottom"/>
          </w:tcPr>
          <w:p>
            <w:pPr>
              <w:spacing w:after="0"/>
              <w:rPr>
                <w:sz w:val="20"/>
                <w:szCs w:val="20"/>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0"/>
                <w:szCs w:val="20"/>
                <w:color w:val="auto"/>
              </w:rPr>
            </w:pPr>
          </w:p>
        </w:tc>
        <w:tc>
          <w:tcPr>
            <w:tcW w:w="500" w:type="dxa"/>
            <w:vAlign w:val="bottom"/>
          </w:tcPr>
          <w:p>
            <w:pPr>
              <w:jc w:val="right"/>
              <w:ind w:right="37"/>
              <w:spacing w:after="0"/>
              <w:rPr>
                <w:sz w:val="20"/>
                <w:szCs w:val="20"/>
                <w:color w:val="auto"/>
              </w:rPr>
            </w:pPr>
            <w:r>
              <w:rPr>
                <w:rFonts w:ascii="Arial" w:cs="Arial" w:eastAsia="Arial" w:hAnsi="Arial"/>
                <w:sz w:val="13"/>
                <w:szCs w:val="13"/>
                <w:color w:val="auto"/>
              </w:rPr>
              <w:t>2,508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ind w:right="57"/>
              <w:spacing w:after="0"/>
              <w:rPr>
                <w:sz w:val="20"/>
                <w:szCs w:val="20"/>
                <w:color w:val="auto"/>
              </w:rPr>
            </w:pPr>
            <w:r>
              <w:rPr>
                <w:rFonts w:ascii="Arial" w:cs="Arial" w:eastAsia="Arial" w:hAnsi="Arial"/>
                <w:sz w:val="13"/>
                <w:szCs w:val="13"/>
                <w:color w:val="auto"/>
              </w:rPr>
              <w:t>1,906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1,906</w:t>
            </w:r>
          </w:p>
        </w:tc>
      </w:tr>
      <w:tr>
        <w:trPr>
          <w:trHeight w:val="270"/>
        </w:trPr>
        <w:tc>
          <w:tcPr>
            <w:tcW w:w="140" w:type="dxa"/>
            <w:vAlign w:val="bottom"/>
          </w:tcPr>
          <w:p>
            <w:pPr>
              <w:spacing w:after="0"/>
              <w:rPr>
                <w:sz w:val="23"/>
                <w:szCs w:val="2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953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(229)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724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724</w:t>
            </w:r>
          </w:p>
        </w:tc>
      </w:tr>
      <w:tr>
        <w:trPr>
          <w:trHeight w:val="270"/>
        </w:trPr>
        <w:tc>
          <w:tcPr>
            <w:tcW w:w="140" w:type="dxa"/>
            <w:vAlign w:val="bottom"/>
          </w:tcPr>
          <w:p>
            <w:pPr>
              <w:spacing w:after="0"/>
              <w:rPr>
                <w:sz w:val="23"/>
                <w:szCs w:val="2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17,532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ind w:right="17"/>
              <w:spacing w:after="0"/>
              <w:rPr>
                <w:sz w:val="20"/>
                <w:szCs w:val="20"/>
                <w:color w:val="auto"/>
              </w:rPr>
            </w:pPr>
            <w:r>
              <w:rPr>
                <w:rFonts w:ascii="Arial" w:cs="Arial" w:eastAsia="Arial" w:hAnsi="Arial"/>
                <w:sz w:val="13"/>
                <w:szCs w:val="13"/>
                <w:color w:val="auto"/>
              </w:rPr>
              <w:t>(4,207)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jc w:val="right"/>
              <w:ind w:right="57"/>
              <w:spacing w:after="0"/>
              <w:rPr>
                <w:sz w:val="20"/>
                <w:szCs w:val="20"/>
                <w:color w:val="auto"/>
              </w:rPr>
            </w:pPr>
            <w:r>
              <w:rPr>
                <w:rFonts w:ascii="Arial" w:cs="Arial" w:eastAsia="Arial" w:hAnsi="Arial"/>
                <w:sz w:val="13"/>
                <w:szCs w:val="13"/>
                <w:color w:val="auto"/>
              </w:rPr>
              <w:t>13,325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13,325</w:t>
            </w:r>
          </w:p>
        </w:tc>
      </w:tr>
      <w:tr>
        <w:trPr>
          <w:trHeight w:val="280"/>
        </w:trPr>
        <w:tc>
          <w:tcPr>
            <w:tcW w:w="140" w:type="dxa"/>
            <w:vAlign w:val="bottom"/>
          </w:tcPr>
          <w:p>
            <w:pPr>
              <w:spacing w:after="0"/>
              <w:rPr>
                <w:sz w:val="24"/>
                <w:szCs w:val="24"/>
                <w:color w:val="auto"/>
              </w:rPr>
            </w:pPr>
          </w:p>
        </w:tc>
        <w:tc>
          <w:tcPr>
            <w:tcW w:w="560" w:type="dxa"/>
            <w:vAlign w:val="bottom"/>
          </w:tcPr>
          <w:p>
            <w:pPr>
              <w:jc w:val="right"/>
              <w:ind w:right="17"/>
              <w:spacing w:after="0"/>
              <w:rPr>
                <w:sz w:val="20"/>
                <w:szCs w:val="20"/>
                <w:color w:val="auto"/>
              </w:rPr>
            </w:pPr>
            <w:r>
              <w:rPr>
                <w:rFonts w:ascii="Arial" w:cs="Arial" w:eastAsia="Arial" w:hAnsi="Arial"/>
                <w:sz w:val="13"/>
                <w:szCs w:val="13"/>
                <w:color w:val="auto"/>
                <w:w w:val="94"/>
              </w:rPr>
              <w:t>(16,043)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3,850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(12,193)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94"/>
              </w:rPr>
              <w:t>(12,193)</w:t>
            </w:r>
          </w:p>
        </w:tc>
      </w:tr>
      <w:tr>
        <w:trPr>
          <w:trHeight w:val="250"/>
        </w:trPr>
        <w:tc>
          <w:tcPr>
            <w:tcW w:w="14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2,442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(586)</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1,856</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2,508</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(602)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1,906</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3,762</w:t>
            </w:r>
          </w:p>
        </w:tc>
      </w:tr>
      <w:tr>
        <w:trPr>
          <w:trHeight w:val="227"/>
        </w:trPr>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17"/>
              <w:spacing w:after="0"/>
              <w:rPr>
                <w:sz w:val="20"/>
                <w:szCs w:val="20"/>
                <w:color w:val="auto"/>
              </w:rPr>
            </w:pPr>
            <w:r>
              <w:rPr>
                <w:rFonts w:ascii="Arial" w:cs="Arial" w:eastAsia="Arial" w:hAnsi="Arial"/>
                <w:sz w:val="13"/>
                <w:szCs w:val="13"/>
                <w:color w:val="auto"/>
                <w:w w:val="94"/>
              </w:rPr>
              <w:t>(52,785)</w:t>
            </w: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12,668</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ind w:right="17"/>
              <w:spacing w:after="0"/>
              <w:rPr>
                <w:sz w:val="20"/>
                <w:szCs w:val="20"/>
                <w:color w:val="auto"/>
              </w:rPr>
            </w:pPr>
            <w:r>
              <w:rPr>
                <w:rFonts w:ascii="Arial" w:cs="Arial" w:eastAsia="Arial" w:hAnsi="Arial"/>
                <w:sz w:val="13"/>
                <w:szCs w:val="13"/>
                <w:color w:val="auto"/>
              </w:rPr>
              <w:t>(40,117)</w:t>
            </w:r>
          </w:p>
        </w:tc>
        <w:tc>
          <w:tcPr>
            <w:tcW w:w="120" w:type="dxa"/>
            <w:vAlign w:val="bottom"/>
          </w:tcPr>
          <w:p>
            <w:pPr>
              <w:spacing w:after="0"/>
              <w:rPr>
                <w:sz w:val="19"/>
                <w:szCs w:val="19"/>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(6,802)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1,632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17"/>
              <w:spacing w:after="0"/>
              <w:rPr>
                <w:sz w:val="20"/>
                <w:szCs w:val="20"/>
                <w:color w:val="auto"/>
              </w:rPr>
            </w:pPr>
            <w:r>
              <w:rPr>
                <w:rFonts w:ascii="Arial" w:cs="Arial" w:eastAsia="Arial" w:hAnsi="Arial"/>
                <w:sz w:val="13"/>
                <w:szCs w:val="13"/>
                <w:color w:val="auto"/>
              </w:rPr>
              <w:t>(5,170)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w w:val="94"/>
              </w:rPr>
              <w:t>(45,287)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-1181100</wp:posOffset>
            </wp:positionV>
            <wp:extent cx="724662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-838200</wp:posOffset>
            </wp:positionV>
            <wp:extent cx="724662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-495300</wp:posOffset>
            </wp:positionV>
            <wp:extent cx="724662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-152400</wp:posOffset>
            </wp:positionV>
            <wp:extent cx="7246620" cy="1885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46" w:lineRule="exact"/>
        <w:rPr>
          <w:sz w:val="20"/>
          <w:szCs w:val="20"/>
          <w:color w:val="auto"/>
        </w:rPr>
      </w:pPr>
    </w:p>
    <w:p>
      <w:pPr>
        <w:sectPr>
          <w:pgSz w:w="11900" w:h="16838" w:orient="portrait"/>
          <w:cols w:equalWidth="0" w:num="2">
            <w:col w:w="4600" w:space="680"/>
            <w:col w:w="6140"/>
          </w:cols>
          <w:pgMar w:left="240" w:top="270" w:right="239" w:bottom="1440" w:gutter="0" w:footer="0" w:header="0"/>
          <w:type w:val="continuous"/>
        </w:sectPr>
      </w:pPr>
    </w:p>
    <w:p>
      <w:pPr>
        <w:ind w:left="540" w:hanging="316"/>
        <w:spacing w:after="0"/>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FSIRS reclassification amounts are included in Net interest deductions on Southwest’s Condensed Consolidated Statements of Income.</w:t>
      </w:r>
    </w:p>
    <w:p>
      <w:pPr>
        <w:spacing w:after="0" w:line="19" w:lineRule="exact"/>
        <w:rPr>
          <w:rFonts w:ascii="Arial" w:cs="Arial" w:eastAsia="Arial" w:hAnsi="Arial"/>
          <w:sz w:val="16"/>
          <w:szCs w:val="16"/>
          <w:color w:val="auto"/>
        </w:rPr>
      </w:pPr>
    </w:p>
    <w:p>
      <w:pPr>
        <w:ind w:left="540" w:hanging="316"/>
        <w:spacing w:after="0"/>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 xml:space="preserve">These AOCI components are included in the computation of net periodic benefit cost (see </w:t>
      </w:r>
      <w:r>
        <w:rPr>
          <w:rFonts w:ascii="Arial" w:cs="Arial" w:eastAsia="Arial" w:hAnsi="Arial"/>
          <w:sz w:val="14"/>
          <w:szCs w:val="14"/>
          <w:b w:val="1"/>
          <w:bCs w:val="1"/>
          <w:color w:val="auto"/>
        </w:rPr>
        <w:t>Note 2 – Components of Net Periodic Benefit Cost</w:t>
      </w:r>
      <w:r>
        <w:rPr>
          <w:rFonts w:ascii="Arial" w:cs="Arial" w:eastAsia="Arial" w:hAnsi="Arial"/>
          <w:sz w:val="14"/>
          <w:szCs w:val="14"/>
          <w:color w:val="auto"/>
        </w:rPr>
        <w:t xml:space="preserve"> for additional details).</w:t>
      </w:r>
    </w:p>
    <w:p>
      <w:pPr>
        <w:spacing w:after="0" w:line="28" w:lineRule="exact"/>
        <w:rPr>
          <w:rFonts w:ascii="Arial" w:cs="Arial" w:eastAsia="Arial" w:hAnsi="Arial"/>
          <w:sz w:val="14"/>
          <w:szCs w:val="14"/>
          <w:color w:val="auto"/>
        </w:rPr>
      </w:pPr>
    </w:p>
    <w:p>
      <w:pPr>
        <w:ind w:left="540" w:right="20" w:hanging="316"/>
        <w:spacing w:after="0" w:line="246" w:lineRule="auto"/>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regulatory adjustment represents the portion of the activity above that is expected to be recovered through rates in the future (the related regulatory asset is included in Deferred charges and other assets on Southwest’s Condensed Consolidated Balance Sheets).</w:t>
      </w:r>
    </w:p>
    <w:p>
      <w:pPr>
        <w:ind w:left="540" w:hanging="316"/>
        <w:spacing w:after="0"/>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Tax amounts are calculated using a 24% rate.</w:t>
      </w:r>
    </w:p>
    <w:p>
      <w:pPr>
        <w:spacing w:after="0" w:line="5" w:lineRule="exact"/>
        <w:rPr>
          <w:rFonts w:ascii="Arial" w:cs="Arial" w:eastAsia="Arial" w:hAnsi="Arial"/>
          <w:sz w:val="16"/>
          <w:szCs w:val="16"/>
          <w:color w:val="auto"/>
        </w:rPr>
      </w:pPr>
    </w:p>
    <w:p>
      <w:pPr>
        <w:ind w:left="540" w:hanging="316"/>
        <w:spacing w:after="0" w:line="257" w:lineRule="auto"/>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beginning balances depict amounts attributable to the individual components of AOCI (Defined Benefit Plans and FSIRS) following the adoption of ASU No. 2018-02, with no impact to the total balance of AOCI resulting from the depiction.</w:t>
      </w:r>
    </w:p>
    <w:p>
      <w:pPr>
        <w:spacing w:after="0" w:line="7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represents amounts (before income tax impacts) included in AOCI (in the tables above), that have not yet been recognized in net periodic benefit cost (thousands of dollars):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2"/>
          </w:tcPr>
          <w:p>
            <w:pPr>
              <w:ind w:left="100"/>
              <w:spacing w:after="0"/>
              <w:rPr>
                <w:sz w:val="20"/>
                <w:szCs w:val="20"/>
                <w:color w:val="auto"/>
              </w:rPr>
            </w:pPr>
            <w:r>
              <w:rPr>
                <w:rFonts w:ascii="Arial" w:cs="Arial" w:eastAsia="Arial" w:hAnsi="Arial"/>
                <w:sz w:val="18"/>
                <w:szCs w:val="18"/>
                <w:color w:val="auto"/>
              </w:rPr>
              <w:t>September 30, 2019</w:t>
            </w:r>
          </w:p>
        </w:tc>
        <w:tc>
          <w:tcPr>
            <w:tcW w:w="200" w:type="dxa"/>
            <w:vAlign w:val="bottom"/>
          </w:tcPr>
          <w:p>
            <w:pPr>
              <w:spacing w:after="0"/>
              <w:rPr>
                <w:sz w:val="20"/>
                <w:szCs w:val="20"/>
                <w:color w:val="auto"/>
              </w:rPr>
            </w:pPr>
          </w:p>
        </w:tc>
        <w:tc>
          <w:tcPr>
            <w:tcW w:w="1840" w:type="dxa"/>
            <w:vAlign w:val="bottom"/>
          </w:tcPr>
          <w:p>
            <w:pPr>
              <w:jc w:val="right"/>
              <w:ind w:right="230"/>
              <w:spacing w:after="0"/>
              <w:rPr>
                <w:sz w:val="20"/>
                <w:szCs w:val="20"/>
                <w:color w:val="auto"/>
              </w:rPr>
            </w:pPr>
            <w:r>
              <w:rPr>
                <w:rFonts w:ascii="Arial" w:cs="Arial" w:eastAsia="Arial" w:hAnsi="Arial"/>
                <w:sz w:val="18"/>
                <w:szCs w:val="18"/>
                <w:color w:val="auto"/>
                <w:w w:val="94"/>
              </w:rPr>
              <w:t>December 31, 2018</w:t>
            </w:r>
          </w:p>
        </w:tc>
      </w:tr>
      <w:tr>
        <w:trPr>
          <w:trHeight w:val="27"/>
        </w:trPr>
        <w:tc>
          <w:tcPr>
            <w:tcW w:w="7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actuarial (loss) gain</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(417,832)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(435,364)</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Prior service cost</w:t>
            </w:r>
          </w:p>
        </w:tc>
        <w:tc>
          <w:tcPr>
            <w:tcW w:w="2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(2,080)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(3,033)</w:t>
            </w:r>
          </w:p>
        </w:tc>
      </w:tr>
      <w:tr>
        <w:trPr>
          <w:trHeight w:val="27"/>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amount recognized in regulatory assets</w:t>
            </w:r>
          </w:p>
        </w:tc>
        <w:tc>
          <w:tcPr>
            <w:tcW w:w="2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367,127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383,170</w:t>
            </w:r>
          </w:p>
        </w:tc>
      </w:tr>
      <w:tr>
        <w:trPr>
          <w:trHeight w:val="257"/>
        </w:trPr>
        <w:tc>
          <w:tcPr>
            <w:tcW w:w="7200" w:type="dxa"/>
            <w:vAlign w:val="bottom"/>
          </w:tcPr>
          <w:p>
            <w:pPr>
              <w:ind w:left="40"/>
              <w:spacing w:after="0"/>
              <w:rPr>
                <w:sz w:val="20"/>
                <w:szCs w:val="20"/>
                <w:color w:val="auto"/>
              </w:rPr>
            </w:pPr>
            <w:r>
              <w:rPr>
                <w:rFonts w:ascii="Arial" w:cs="Arial" w:eastAsia="Arial" w:hAnsi="Arial"/>
                <w:sz w:val="18"/>
                <w:szCs w:val="18"/>
                <w:color w:val="auto"/>
              </w:rPr>
              <w:t>Recognized in AOCI</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(52,785)</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(55,227)</w:t>
            </w:r>
          </w:p>
        </w:tc>
      </w:tr>
      <w:tr>
        <w:trPr>
          <w:trHeight w:val="20"/>
        </w:trPr>
        <w:tc>
          <w:tcPr>
            <w:tcW w:w="7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0" w:right="239" w:bottom="1440" w:gutter="0" w:footer="0" w:header="0"/>
          <w:type w:val="continuous"/>
        </w:sectPr>
      </w:pPr>
    </w:p>
    <w:bookmarkStart w:id="32" w:name="page33"/>
    <w:bookmarkEnd w:id="32"/>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Segment Information</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two reportable segments: natural gas operations and utility infrastructure services. Southwest has a single reportable segment that is referred to herein as the natural gas operations segment of the Company. In order to reconcile to net income as disclosed in the Condensed Consolidated Statements of Income, an Other column is included associated with impacts of corporate and administrative activities related to Southwest Gas Holdings, Inc. The following tables present revenues from external customers, intersegment revenues, and segment net income for the two reportable segments (thousands of dollars):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Natural Gas</w:t>
            </w:r>
          </w:p>
        </w:tc>
        <w:tc>
          <w:tcPr>
            <w:tcW w:w="1700" w:type="dxa"/>
            <w:vAlign w:val="bottom"/>
            <w:gridSpan w:val="3"/>
          </w:tcPr>
          <w:p>
            <w:pPr>
              <w:jc w:val="center"/>
              <w:ind w:right="100"/>
              <w:spacing w:after="0"/>
              <w:rPr>
                <w:sz w:val="20"/>
                <w:szCs w:val="20"/>
                <w:color w:val="auto"/>
              </w:rPr>
            </w:pPr>
            <w:r>
              <w:rPr>
                <w:rFonts w:ascii="Arial" w:cs="Arial" w:eastAsia="Arial" w:hAnsi="Arial"/>
                <w:sz w:val="18"/>
                <w:szCs w:val="18"/>
                <w:color w:val="auto"/>
                <w:w w:val="95"/>
              </w:rPr>
              <w:t>Utility Infrastructure</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4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Operations</w:t>
            </w:r>
          </w:p>
        </w:tc>
        <w:tc>
          <w:tcPr>
            <w:tcW w:w="300" w:type="dxa"/>
            <w:vAlign w:val="bottom"/>
          </w:tcPr>
          <w:p>
            <w:pPr>
              <w:spacing w:after="0"/>
              <w:rPr>
                <w:sz w:val="20"/>
                <w:szCs w:val="20"/>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color w:val="auto"/>
                <w:w w:val="86"/>
              </w:rPr>
              <w:t>Services</w:t>
            </w:r>
          </w:p>
        </w:tc>
        <w:tc>
          <w:tcPr>
            <w:tcW w:w="360" w:type="dxa"/>
            <w:vAlign w:val="bottom"/>
          </w:tcPr>
          <w:p>
            <w:pPr>
              <w:spacing w:after="0"/>
              <w:rPr>
                <w:sz w:val="20"/>
                <w:szCs w:val="20"/>
                <w:color w:val="auto"/>
              </w:rPr>
            </w:pPr>
          </w:p>
        </w:tc>
        <w:tc>
          <w:tcPr>
            <w:tcW w:w="1340" w:type="dxa"/>
            <w:vAlign w:val="bottom"/>
            <w:gridSpan w:val="2"/>
          </w:tcPr>
          <w:p>
            <w:pPr>
              <w:ind w:left="2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Total</w:t>
            </w: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Three Months Ended September 30, 2019</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Revenues from external customers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209,980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480,896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690,876</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revenues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34,354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34,354</w:t>
            </w: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209,980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515,250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725,230</w:t>
            </w:r>
          </w:p>
        </w:tc>
      </w:tr>
      <w:tr>
        <w:trPr>
          <w:trHeight w:val="67"/>
        </w:trPr>
        <w:tc>
          <w:tcPr>
            <w:tcW w:w="47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56"/>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Segment net income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25,838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5,353</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4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Three Months Ended September 30, 2018</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Revenues from external customers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217,523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414,175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631,698</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revenues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36,448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36,448</w:t>
            </w: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217,523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450,623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668,146</w:t>
            </w:r>
          </w:p>
        </w:tc>
      </w:tr>
      <w:tr>
        <w:trPr>
          <w:trHeight w:val="67"/>
        </w:trPr>
        <w:tc>
          <w:tcPr>
            <w:tcW w:w="47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56"/>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Segment net income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26,798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12,331</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614"/>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Natural Gas</w:t>
            </w:r>
          </w:p>
        </w:tc>
        <w:tc>
          <w:tcPr>
            <w:tcW w:w="1700" w:type="dxa"/>
            <w:vAlign w:val="bottom"/>
            <w:gridSpan w:val="3"/>
          </w:tcPr>
          <w:p>
            <w:pPr>
              <w:jc w:val="center"/>
              <w:ind w:right="100"/>
              <w:spacing w:after="0"/>
              <w:rPr>
                <w:sz w:val="20"/>
                <w:szCs w:val="20"/>
                <w:color w:val="auto"/>
              </w:rPr>
            </w:pPr>
            <w:r>
              <w:rPr>
                <w:rFonts w:ascii="Arial" w:cs="Arial" w:eastAsia="Arial" w:hAnsi="Arial"/>
                <w:sz w:val="18"/>
                <w:szCs w:val="18"/>
                <w:color w:val="auto"/>
                <w:w w:val="95"/>
              </w:rPr>
              <w:t>Utility Infrastructure</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0"/>
        </w:trPr>
        <w:tc>
          <w:tcPr>
            <w:tcW w:w="4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Operations</w:t>
            </w:r>
          </w:p>
        </w:tc>
        <w:tc>
          <w:tcPr>
            <w:tcW w:w="300" w:type="dxa"/>
            <w:vAlign w:val="bottom"/>
          </w:tcPr>
          <w:p>
            <w:pPr>
              <w:spacing w:after="0"/>
              <w:rPr>
                <w:sz w:val="20"/>
                <w:szCs w:val="20"/>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color w:val="auto"/>
                <w:w w:val="86"/>
              </w:rPr>
              <w:t>Services</w:t>
            </w:r>
          </w:p>
        </w:tc>
        <w:tc>
          <w:tcPr>
            <w:tcW w:w="360" w:type="dxa"/>
            <w:vAlign w:val="bottom"/>
          </w:tcPr>
          <w:p>
            <w:pPr>
              <w:spacing w:after="0"/>
              <w:rPr>
                <w:sz w:val="20"/>
                <w:szCs w:val="20"/>
                <w:color w:val="auto"/>
              </w:rPr>
            </w:pPr>
          </w:p>
        </w:tc>
        <w:tc>
          <w:tcPr>
            <w:tcW w:w="1340" w:type="dxa"/>
            <w:vAlign w:val="bottom"/>
            <w:gridSpan w:val="2"/>
          </w:tcPr>
          <w:p>
            <w:pPr>
              <w:ind w:left="2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Total</w:t>
            </w: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Nine Months Ended September 30, 2019</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Revenues from external customers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989,368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1,160,303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2,149,671</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revenues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122,109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122,109</w:t>
            </w: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989,368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1,282,412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2,271,780</w:t>
            </w:r>
          </w:p>
        </w:tc>
      </w:tr>
      <w:tr>
        <w:trPr>
          <w:trHeight w:val="67"/>
        </w:trPr>
        <w:tc>
          <w:tcPr>
            <w:tcW w:w="47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56"/>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Segment net income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86,746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36,725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122,218</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4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Nine Months Ended September 30, 2018</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Revenues from external customers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987,515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1,009,166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1,996,681</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revenues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96,678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96,678</w:t>
            </w: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987,515</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1,105,844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2,093,359</w:t>
            </w:r>
          </w:p>
        </w:tc>
      </w:tr>
      <w:tr>
        <w:trPr>
          <w:trHeight w:val="67"/>
        </w:trPr>
        <w:tc>
          <w:tcPr>
            <w:tcW w:w="47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56"/>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Segment net income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79,301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112,973</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614"/>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Natural Gas</w:t>
            </w:r>
          </w:p>
        </w:tc>
        <w:tc>
          <w:tcPr>
            <w:tcW w:w="1700" w:type="dxa"/>
            <w:vAlign w:val="bottom"/>
            <w:gridSpan w:val="3"/>
          </w:tcPr>
          <w:p>
            <w:pPr>
              <w:jc w:val="center"/>
              <w:ind w:right="100"/>
              <w:spacing w:after="0"/>
              <w:rPr>
                <w:sz w:val="20"/>
                <w:szCs w:val="20"/>
                <w:color w:val="auto"/>
              </w:rPr>
            </w:pPr>
            <w:r>
              <w:rPr>
                <w:rFonts w:ascii="Arial" w:cs="Arial" w:eastAsia="Arial" w:hAnsi="Arial"/>
                <w:sz w:val="18"/>
                <w:szCs w:val="18"/>
                <w:color w:val="auto"/>
                <w:w w:val="95"/>
              </w:rPr>
              <w:t>Utility Infrastructure</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0"/>
        </w:trPr>
        <w:tc>
          <w:tcPr>
            <w:tcW w:w="4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Operations</w:t>
            </w:r>
          </w:p>
        </w:tc>
        <w:tc>
          <w:tcPr>
            <w:tcW w:w="300" w:type="dxa"/>
            <w:vAlign w:val="bottom"/>
          </w:tcPr>
          <w:p>
            <w:pPr>
              <w:spacing w:after="0"/>
              <w:rPr>
                <w:sz w:val="20"/>
                <w:szCs w:val="20"/>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8"/>
                <w:szCs w:val="18"/>
                <w:color w:val="auto"/>
                <w:w w:val="86"/>
              </w:rPr>
              <w:t>Services</w:t>
            </w:r>
          </w:p>
        </w:tc>
        <w:tc>
          <w:tcPr>
            <w:tcW w:w="360" w:type="dxa"/>
            <w:vAlign w:val="bottom"/>
          </w:tcPr>
          <w:p>
            <w:pPr>
              <w:spacing w:after="0"/>
              <w:rPr>
                <w:sz w:val="20"/>
                <w:szCs w:val="20"/>
                <w:color w:val="auto"/>
              </w:rPr>
            </w:pPr>
          </w:p>
        </w:tc>
        <w:tc>
          <w:tcPr>
            <w:tcW w:w="1340" w:type="dxa"/>
            <w:vAlign w:val="bottom"/>
            <w:gridSpan w:val="2"/>
          </w:tcPr>
          <w:p>
            <w:pPr>
              <w:ind w:left="2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Total</w:t>
            </w: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Twelve Months Ended September 30, 2019</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Revenues from external customers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1,359,581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1,537,508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2,897,089</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revenues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161,345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161,345</w:t>
            </w: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1,359,581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1,698,853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3,058,434</w:t>
            </w:r>
          </w:p>
        </w:tc>
      </w:tr>
      <w:tr>
        <w:trPr>
          <w:trHeight w:val="67"/>
        </w:trPr>
        <w:tc>
          <w:tcPr>
            <w:tcW w:w="47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56"/>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Segment net income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146,287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46,668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191,522</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4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Twelve Months Ended September 30, 2018</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Revenues from external customers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1,354,000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1,358,418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2,712,418</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Intersegment revenues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121,374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121,374</w:t>
            </w: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1,354,000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1,479,792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2,833,792</w:t>
            </w:r>
          </w:p>
        </w:tc>
      </w:tr>
      <w:tr>
        <w:trPr>
          <w:trHeight w:val="67"/>
        </w:trPr>
        <w:tc>
          <w:tcPr>
            <w:tcW w:w="47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r>
      <w:tr>
        <w:trPr>
          <w:trHeight w:val="256"/>
        </w:trPr>
        <w:tc>
          <w:tcPr>
            <w:tcW w:w="47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Segment net income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153,683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57,677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209,438</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70" w:right="239" w:bottom="73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270" w:right="239" w:bottom="730" w:gutter="0" w:footer="0" w:header="0"/>
          <w:type w:val="continuous"/>
        </w:sectPr>
      </w:pPr>
    </w:p>
    <w:bookmarkStart w:id="33" w:name="page34"/>
    <w:bookmarkEnd w:id="33"/>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Redeemable Noncontrolling Interest</w:t>
      </w:r>
    </w:p>
    <w:p>
      <w:pPr>
        <w:spacing w:after="0" w:line="1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acquisition of Linetec in November 2018, the previous owner retained a 20% equity interest in Linetec, the reduction of which is subject to certain rights based on the passage of time or upon the occurrence of certain triggering events. Effective January 2022, the Company has the right, but not the obligation, to purchase at fair value (subject to a floor) a portion of the interest held by the noncontrolling party, and in incremental amounts each year thereafter. The shares subject to the election accumulate (if earlier elections are not made) such that 100% of the interest retained by the noncontrolling party is subject to the election beginning in 2024. If the Company does not exercise its rights at each or any of the specified intervals, the noncontrolling party has the ability, but not the obligation, to exit their investment retained by requiring the Company to purchase a similar portion of their interest up to the maximum cumulative amounts specified at each interval discussed above. The Company has determined that this noncontrolling interest is a redeemable noncontrolling interest and, in accordance with SEC guidance, is classified as mezzanine equity (temporary equity) in the Company’s Condensed Consolidated Balance Sheets.</w:t>
      </w:r>
    </w:p>
    <w:p>
      <w:pPr>
        <w:spacing w:after="0" w:line="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Significant changes in the value of the redeemable noncontrolling interest, above a floor established at the acquisition date, are recognized as they occur, and the carrying value is adjusted as necessary at each reporting date. The fair value is estimated using a market approach that utilizes certain financial metrics from guideline public companies of similar industry and operating characteristics. However, the carrying value of the redeemable noncontrolling interest was greater than its fair value as of September 30, 2019, and no previous upward redemption value adjustments were made following the acquisition date. SEC guidance indicates that a redemption value adjustment would not be made under these circumstances. The following depicts the change to the balance of the redeemable noncontrolling interest: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jc w:val="right"/>
              <w:ind w:right="370"/>
              <w:spacing w:after="0"/>
              <w:rPr>
                <w:sz w:val="20"/>
                <w:szCs w:val="20"/>
                <w:color w:val="auto"/>
              </w:rPr>
            </w:pPr>
            <w:r>
              <w:rPr>
                <w:rFonts w:ascii="Arial" w:cs="Arial" w:eastAsia="Arial" w:hAnsi="Arial"/>
                <w:sz w:val="18"/>
                <w:szCs w:val="18"/>
                <w:color w:val="auto"/>
              </w:rPr>
              <w:t>Redeemable</w:t>
            </w:r>
          </w:p>
        </w:tc>
      </w:tr>
      <w:tr>
        <w:trPr>
          <w:trHeight w:val="230"/>
        </w:trPr>
        <w:tc>
          <w:tcPr>
            <w:tcW w:w="9600" w:type="dxa"/>
            <w:vAlign w:val="bottom"/>
          </w:tcPr>
          <w:p>
            <w:pPr>
              <w:ind w:left="40"/>
              <w:spacing w:after="0"/>
              <w:rPr>
                <w:sz w:val="20"/>
                <w:szCs w:val="20"/>
                <w:color w:val="auto"/>
              </w:rPr>
            </w:pPr>
            <w:r>
              <w:rPr>
                <w:rFonts w:ascii="Arial" w:cs="Arial" w:eastAsia="Arial" w:hAnsi="Arial"/>
                <w:sz w:val="18"/>
                <w:szCs w:val="18"/>
                <w:color w:val="auto"/>
              </w:rPr>
              <w:t>(Thousands of dollars):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w w:val="96"/>
              </w:rPr>
              <w:t>Noncontrolling Interest</w:t>
            </w:r>
          </w:p>
        </w:tc>
      </w:tr>
      <w:tr>
        <w:trPr>
          <w:trHeight w:val="27"/>
        </w:trPr>
        <w:tc>
          <w:tcPr>
            <w:tcW w:w="9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2018</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81,831</w:t>
            </w:r>
          </w:p>
        </w:tc>
      </w:tr>
      <w:tr>
        <w:trPr>
          <w:trHeight w:val="243"/>
        </w:trPr>
        <w:tc>
          <w:tcPr>
            <w:tcW w:w="9600" w:type="dxa"/>
            <w:vAlign w:val="bottom"/>
          </w:tcPr>
          <w:p>
            <w:pPr>
              <w:ind w:left="200"/>
              <w:spacing w:after="0"/>
              <w:rPr>
                <w:sz w:val="20"/>
                <w:szCs w:val="20"/>
                <w:color w:val="auto"/>
              </w:rPr>
            </w:pPr>
            <w:r>
              <w:rPr>
                <w:rFonts w:ascii="Arial" w:cs="Arial" w:eastAsia="Arial" w:hAnsi="Arial"/>
                <w:sz w:val="18"/>
                <w:szCs w:val="18"/>
                <w:color w:val="auto"/>
              </w:rPr>
              <w:t>Net income attributable to redeemable noncontrolling interest</w:t>
            </w:r>
          </w:p>
        </w:tc>
        <w:tc>
          <w:tcPr>
            <w:tcW w:w="2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2,523</w:t>
            </w:r>
          </w:p>
        </w:tc>
      </w:tr>
      <w:tr>
        <w:trPr>
          <w:trHeight w:val="27"/>
        </w:trPr>
        <w:tc>
          <w:tcPr>
            <w:tcW w:w="9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7"/>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September 30, 2019</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84,354</w:t>
            </w:r>
          </w:p>
        </w:tc>
      </w:tr>
      <w:tr>
        <w:trPr>
          <w:trHeight w:val="20"/>
        </w:trPr>
        <w:tc>
          <w:tcPr>
            <w:tcW w:w="9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Business Acquisitions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November 2018, the Company, through its subsidiaries, led principally by Centuri, completed the acquisition of an 80% interest in a privately held infrastructure services business, Linetec, with the remaining 20% retained by the seller. See the Company’s 2018 Form 10-K for additional information about this acquisition.</w:t>
      </w:r>
    </w:p>
    <w:p>
      <w:pPr>
        <w:spacing w:after="0" w:line="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Assets acquired and liabilities assumed in the transaction were recorded, generally, at their estimated acquisition date fair values. During the measurement period, which may be up to one year from the acquisition date, the Company may continue to record adjustments to the fair value of tangible and intangible assets acquired and liabilities assumed. The Company continues to collect information and reevaluates these estimates and assumptions quarterly. Upon the conclusion of the measurement period or final determination of the fair value of assets acquired or liabilities assumed, whichever comes first, any subsequent adjustments may be recognized in the Company’s Consolidated Statement of Income.</w:t>
      </w:r>
    </w:p>
    <w:p>
      <w:pPr>
        <w:spacing w:after="0" w:line="6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Company’s allocation of the purchase price was based on an evaluation of the appropriate fair values and represented management’s best estimate based on available data (including market data, data regarding customers of the acquired business, terms of acquisition-related agreements, analysis of historical and projected results, and other types of data). The analysis included consideration of types of intangibles that were acquired, including customer relationships, trade names, and customer contracts. Certain payments were estimated as of the acquisition date and are adjusted when paid or as estimates change based on available data; the final purchase accounting has not yet been completed. Further adjustments may occur, including potential changes to final purchase consideration payments held back, such as the remaining amounts associated with unbilled customer accounts receivable balances recorded at their estimated realizable values as of the acquisition date. Subsequent to the acquisition date and through September 30, 2019, Centuri recorded a net reduction to the overall purchase price of $25.2 million related to the combined effects of a mutual tax election under Internal Revenue Code Section 338(h)(10), working capital adjustments, amounts associated with certain unbilled customer receivable balances, and other refinements to the valuation, which impacted the remaining unremitted consideration. Approximately $19.5 million of previously unremitted consideration was paid during the nine months ending September 30, 2019. As of that date, remaining unpaid consideration was $26.2 million.</w:t>
      </w:r>
    </w:p>
    <w:p>
      <w:pPr>
        <w:spacing w:after="0" w:line="36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0" w:right="239" w:bottom="1440" w:gutter="0" w:footer="0" w:header="0"/>
        </w:sectPr>
      </w:pPr>
    </w:p>
    <w:bookmarkStart w:id="34" w:name="page35"/>
    <w:bookmarkEnd w:id="34"/>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The preliminary estimated fair values of assets acquired and liabilities assumed as of November 30, 2018, are as follows (millions of dollars):</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6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Measurement</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6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Period</w:t>
            </w:r>
          </w:p>
        </w:tc>
        <w:tc>
          <w:tcPr>
            <w:tcW w:w="120" w:type="dxa"/>
            <w:vAlign w:val="bottom"/>
          </w:tcPr>
          <w:p>
            <w:pPr>
              <w:spacing w:after="0"/>
              <w:rPr>
                <w:sz w:val="18"/>
                <w:szCs w:val="18"/>
                <w:color w:val="auto"/>
              </w:rPr>
            </w:pPr>
          </w:p>
        </w:tc>
        <w:tc>
          <w:tcPr>
            <w:tcW w:w="1340" w:type="dxa"/>
            <w:vAlign w:val="bottom"/>
          </w:tcPr>
          <w:p>
            <w:pPr>
              <w:jc w:val="right"/>
              <w:ind w:right="350"/>
              <w:spacing w:after="0"/>
              <w:rPr>
                <w:sz w:val="20"/>
                <w:szCs w:val="20"/>
                <w:color w:val="auto"/>
              </w:rPr>
            </w:pPr>
            <w:r>
              <w:rPr>
                <w:rFonts w:ascii="Arial" w:cs="Arial" w:eastAsia="Arial" w:hAnsi="Arial"/>
                <w:sz w:val="18"/>
                <w:szCs w:val="18"/>
                <w:color w:val="auto"/>
              </w:rPr>
              <w:t>Revised</w:t>
            </w:r>
          </w:p>
        </w:tc>
      </w:tr>
      <w:tr>
        <w:trPr>
          <w:trHeight w:val="230"/>
        </w:trPr>
        <w:tc>
          <w:tcPr>
            <w:tcW w:w="6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Acquisition Date</w:t>
            </w:r>
          </w:p>
        </w:tc>
        <w:tc>
          <w:tcPr>
            <w:tcW w:w="180" w:type="dxa"/>
            <w:vAlign w:val="bottom"/>
          </w:tcPr>
          <w:p>
            <w:pPr>
              <w:spacing w:after="0"/>
              <w:rPr>
                <w:sz w:val="20"/>
                <w:szCs w:val="20"/>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Adjustments</w:t>
            </w:r>
          </w:p>
        </w:tc>
        <w:tc>
          <w:tcPr>
            <w:tcW w:w="12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w w:val="92"/>
              </w:rPr>
              <w:t>Acquisition Date</w:t>
            </w:r>
          </w:p>
        </w:tc>
      </w:tr>
      <w:tr>
        <w:trPr>
          <w:trHeight w:val="27"/>
        </w:trPr>
        <w:tc>
          <w:tcPr>
            <w:tcW w:w="6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32.3</w:t>
            </w:r>
          </w:p>
        </w:tc>
      </w:tr>
      <w:tr>
        <w:trPr>
          <w:trHeight w:val="27"/>
        </w:trPr>
        <w:tc>
          <w:tcPr>
            <w:tcW w:w="6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 earned on contracts in progress in excess of billings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6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88.6</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89.3</w:t>
            </w:r>
          </w:p>
        </w:tc>
      </w:tr>
      <w:tr>
        <w:trPr>
          <w:trHeight w:val="27"/>
        </w:trPr>
        <w:tc>
          <w:tcPr>
            <w:tcW w:w="6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166.3</w:t>
            </w:r>
          </w:p>
        </w:tc>
      </w:tr>
      <w:tr>
        <w:trPr>
          <w:trHeight w:val="237"/>
        </w:trPr>
        <w:tc>
          <w:tcPr>
            <w:tcW w:w="6720" w:type="dxa"/>
            <w:vAlign w:val="bottom"/>
          </w:tcPr>
          <w:p>
            <w:pPr>
              <w:ind w:left="20"/>
              <w:spacing w:after="0"/>
              <w:rPr>
                <w:sz w:val="20"/>
                <w:szCs w:val="20"/>
                <w:color w:val="auto"/>
              </w:rPr>
            </w:pPr>
            <w:r>
              <w:rPr>
                <w:rFonts w:ascii="Arial" w:cs="Arial" w:eastAsia="Arial" w:hAnsi="Arial"/>
                <w:sz w:val="18"/>
                <w:szCs w:val="18"/>
                <w:color w:val="auto"/>
              </w:rPr>
              <w:t>Total assets acquired</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426.6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403.0</w:t>
            </w:r>
          </w:p>
        </w:tc>
      </w:tr>
      <w:tr>
        <w:trPr>
          <w:trHeight w:val="27"/>
        </w:trPr>
        <w:tc>
          <w:tcPr>
            <w:tcW w:w="6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91"/>
        </w:trPr>
        <w:tc>
          <w:tcPr>
            <w:tcW w:w="67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8.0</w:t>
            </w:r>
          </w:p>
        </w:tc>
      </w:tr>
      <w:tr>
        <w:trPr>
          <w:trHeight w:val="27"/>
        </w:trPr>
        <w:tc>
          <w:tcPr>
            <w:tcW w:w="6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Deferred compensation and related accrued taxes</w:t>
            </w:r>
          </w:p>
        </w:tc>
        <w:tc>
          <w:tcPr>
            <w:tcW w:w="1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7"/>
        </w:trPr>
        <w:tc>
          <w:tcPr>
            <w:tcW w:w="6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Redeemable noncontrolling interest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81.7</w:t>
            </w:r>
          </w:p>
        </w:tc>
      </w:tr>
      <w:tr>
        <w:trPr>
          <w:trHeight w:val="237"/>
        </w:trPr>
        <w:tc>
          <w:tcPr>
            <w:tcW w:w="6720" w:type="dxa"/>
            <w:vAlign w:val="bottom"/>
          </w:tcPr>
          <w:p>
            <w:pPr>
              <w:ind w:left="20"/>
              <w:spacing w:after="0"/>
              <w:rPr>
                <w:sz w:val="20"/>
                <w:szCs w:val="20"/>
                <w:color w:val="auto"/>
              </w:rPr>
            </w:pPr>
            <w:r>
              <w:rPr>
                <w:rFonts w:ascii="Arial" w:cs="Arial" w:eastAsia="Arial" w:hAnsi="Arial"/>
                <w:sz w:val="18"/>
                <w:szCs w:val="18"/>
                <w:color w:val="auto"/>
              </w:rPr>
              <w:t>Total liabilities assumed and noncontrolling interest</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101.6</w:t>
            </w:r>
          </w:p>
        </w:tc>
      </w:tr>
      <w:tr>
        <w:trPr>
          <w:trHeight w:val="27"/>
        </w:trPr>
        <w:tc>
          <w:tcPr>
            <w:tcW w:w="6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326.6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301.4</w:t>
            </w:r>
          </w:p>
        </w:tc>
      </w:tr>
      <w:tr>
        <w:trPr>
          <w:trHeight w:val="20"/>
        </w:trPr>
        <w:tc>
          <w:tcPr>
            <w:tcW w:w="6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incurred and expensed acquisition costs of $6.9 million which are included in Utility infrastructure services expenses on the Company’s Consolidated Statement of Income for the year ended December 31, 2018. No acquisition-related costs were incurred during the three and nine months ended September 30, 2019, and no significant impacts to earnings resulted from the measurement-period adjustments reflected above.</w:t>
      </w:r>
    </w:p>
    <w:p>
      <w:pPr>
        <w:spacing w:after="0" w:line="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preliminary allocation of the purchase price of Linetec was accounted for in accordance with applicable accounting guidance. Goodwill consists of the value associated with the assembled workforce, consolidation of operations, and the estimated economic value attributable to future opportunities related to the transaction. As the business of Linetec was deemed an asset purchase for tax purposes, the tax-basis goodwill is expected to be deductible for tax purposes. During 2019, values at the acquisition date were adjusted, as reflected in the table above, on the Company’s Condensed Consolidated Balance Sheets.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Southwest Gas Holdings, Inc. is a holding company that owns all of the shares of common stock of Southwest Gas Corporation (“Southwest” or the “natural gas operations” segment) and all of the shares of common stock of Centuri Group, Inc. (“Centuri,” or the “utility infrastructure services” segment). Southwest Gas Holdings, Inc. and its subsidiaries are collectively referred to as the “Company.” At the annual meeting of shareholders of Southwest Gas Holdings, Inc., held on May 2, 2019, shareholders voted to approve changing the state of incorporation of Southwest Gas Holdings, Inc. from California to Delaware. The reincorporation was effective as of September 20, 2019.</w:t>
      </w:r>
    </w:p>
    <w:p>
      <w:pPr>
        <w:spacing w:after="0" w:line="8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Southwest is engaged in the business of purchasing, distributing, and transporting natural gas for customers in portions of Arizona, Nevada, and California. Southwest is the largest distributor of natural gas in Arizona, selling and transporting natural gas in most of central and southern Arizona, including the Phoenix and Tucson metropolitan areas. Southwest is also the largest distributor of natural gas in Nevada, serving the majority of southern Nevada, including the Las Vegas metropolitan area, and portions of northern Nevada. In addition, Southwest distributes and transports natural gas for customers in portions of California, including the Lake Tahoe area and the high desert and mountain areas in San Bernardino County.</w:t>
      </w:r>
    </w:p>
    <w:p>
      <w:pPr>
        <w:spacing w:after="0" w:line="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September 30, 2019, Southwest had 2,066,000 residential, commercial, industrial, and other natural gas customers, of which 1,101,000 customers were located in Arizona, 768,000 in Nevada, and 197,000 in California. Residential and small commercial customers represented over 99% of the total customer base. During the twelve months ended September 30, 2019, 53% of operating margin (gas operating revenues less the net cost of gas sold) was earned in Arizona, 36% in Nevada, and 11% in California. During this same period, Southwest earned 84% of its operating margin from residential and small commercial customers, 3% from other</w:t>
      </w:r>
    </w:p>
    <w:p>
      <w:pPr>
        <w:sectPr>
          <w:pgSz w:w="11900" w:h="16838" w:orient="portrait"/>
          <w:cols w:equalWidth="0" w:num="1">
            <w:col w:w="11420"/>
          </w:cols>
          <w:pgMar w:left="240" w:top="270" w:right="239" w:bottom="1440" w:gutter="0" w:footer="0" w:header="0"/>
        </w:sectPr>
      </w:pPr>
    </w:p>
    <w:p>
      <w:pPr>
        <w:spacing w:after="0" w:line="37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270" w:right="239" w:bottom="1440" w:gutter="0" w:footer="0" w:header="0"/>
          <w:type w:val="continuous"/>
        </w:sectPr>
      </w:pPr>
    </w:p>
    <w:bookmarkStart w:id="35" w:name="page36"/>
    <w:bookmarkEnd w:id="35"/>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color w:val="auto"/>
        </w:rPr>
        <w:t>sales customers, and 13% from transportation customers. These general patterns are expected to remain materially consistent for the foreseeable future.</w:t>
      </w:r>
    </w:p>
    <w:p>
      <w:pPr>
        <w:spacing w:after="0" w:line="14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Southwest recognizes operating revenues from the distribution and transportation of natural gas (and related services) to customers. Operating margin is a financial measure defined by management as gas operating revenues less the net cost of gas sold. However, operating margin is not specifically defined in accounting principles generally accepted in the United States (“U.S. GAAP”). Thus operating margin is considered a non-GAAP measure. Management uses this financial measure because natural gas operating revenues include the net cost of gas sold, which is a tracked cost that is passed through to customers without markup under purchased gas adjustment (“PGA”) mechanisms. Fluctuations in the net cost of gas sold impact revenues on a dollar-for-dollar basis, but do not impact operating margin or operating income. Therefore, management believes operating margin provides investors and other interested parties with useful and relevant information to analyze Southwest’s financial performance in a rate-regulated environment. The principal factors affecting changes in operating margin are general rate relief (including impacts of infrastructure trackers) and customer growth. Refer to the Summary Operating Results table for a reconciliation of revenues to operating margin.</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demand for natural gas is seasonal, with greater demand in the colder winter months and decreased demand in the warmer summer months. All of Southwest’s service territories have decoupled rate structures (alternative revenue programs), which are designed to eliminate the direct link between volumetric sales and revenue, thereby mitigating the impacts of weather variability and conservation on operating margin, allowing Southwest to pursue energy efficiency initiatives.</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Centuri is a comprehensive utility infrastructure services enterprise dedicated to delivering a diverse array of solutions to North America’s gas and electric providers. Centuri derives revenue from installation, replacement, repair, and maintenance of energy distribution systems, and developing industrial construction solutions. Centuri operates in 50 primary locations across 40 states and provinces in the United States (“U.S.”) and Canada. In November 2017, Centuri expanded its operations in the northeast region of the U.S. through the acquisition of New England Utility Constructors, Inc. (“Neuco”), and again in November 2018, in the southeast region of the U.S. through the acquisition of an 80% interest in Linetec Services, LLC (“Linetec”). Both companies were privately owned utility infrastructure services businesses prior to their acquisition. Centuri operates in the U.S. primarily as NPL, Neuco, and Linetec, and in Canada primarily as NPL Canada.</w:t>
      </w:r>
    </w:p>
    <w:p>
      <w:pPr>
        <w:spacing w:after="0" w:line="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Utility infrastructure services activity can be impacted by changes in infrastructure replacement programs of utilities, weather, and local and federal regulation (including tax rates and incentives). During the past few years, utilities have implemented or modified system integrity management programs to enhance safety pursuant to federal and state mandates. These programs have resulted in a significant increase in multi-year utility system replacement projects throughout the U.S. Generally, Centuri revenues are lowest during the first quarter of the year due to less favorable winter weather conditions. Revenues typically improve as more favorable weather conditions occur during the summer and fall months. In certain circumstances, such as with large bid contracts (especially those of a longer duration), or unit-price contracts with revenue caps, results may be impacted by differences between costs incurred and those anticipated when the work was originally bid. Work awarded, or failing to be awarded, by individual large customers can significantly impact operating results.</w:t>
      </w:r>
    </w:p>
    <w:p>
      <w:pPr>
        <w:spacing w:after="0" w:line="8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This Management’s Discussion and Analysis (“MD&amp;A”) of Financial Condition and Results of Operations should be read in conjunction with the unaudited consolidated financial statements and the notes thereto included in this Quarterly Report on Form 10-Q and the audited financial statements and the notes thereto, as well as MD&amp;A, included in the 2018 Annual Report to Shareholders, which is incorporated by reference into the 2018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0" w:right="239" w:bottom="1440" w:gutter="0" w:footer="0" w:header="0"/>
        </w:sectPr>
      </w:pPr>
    </w:p>
    <w:bookmarkStart w:id="36" w:name="page37"/>
    <w:bookmarkEnd w:id="36"/>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Executive Summary</w:t>
      </w:r>
    </w:p>
    <w:p>
      <w:pPr>
        <w:spacing w:after="0" w:line="11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The items discussed in this Executive Summary are intended to provide an overview of the results of the Company’s and Southwest’s operations. As needed, certain items are covered in greater detail in later sections of MD&amp;A. </w:t>
      </w:r>
      <w:r>
        <w:rPr>
          <w:rFonts w:ascii="Arial" w:cs="Arial" w:eastAsia="Arial" w:hAnsi="Arial"/>
          <w:sz w:val="18"/>
          <w:szCs w:val="18"/>
          <w:color w:val="auto"/>
        </w:rPr>
        <w:t>As reflected in the table below, the natural gas operations segment</w:t>
      </w:r>
      <w:r>
        <w:rPr>
          <w:rFonts w:ascii="Arial" w:cs="Arial" w:eastAsia="Arial" w:hAnsi="Arial"/>
          <w:sz w:val="18"/>
          <w:szCs w:val="18"/>
          <w:b w:val="1"/>
          <w:bCs w:val="1"/>
          <w:color w:val="auto"/>
        </w:rPr>
        <w:t xml:space="preserve"> </w:t>
      </w:r>
      <w:r>
        <w:rPr>
          <w:rFonts w:ascii="Arial" w:cs="Arial" w:eastAsia="Arial" w:hAnsi="Arial"/>
          <w:sz w:val="18"/>
          <w:szCs w:val="18"/>
          <w:color w:val="auto"/>
        </w:rPr>
        <w:t>accounted for an average of 75% of twelve-month-to-date consolidated net income over the past two years. As such, MD&amp;A is primarily focused on that segment. Natural gas sales are seasonal, peaking during the winter months; therefore, results of operations for interim periods are not necessarily indicative of results for a full year.</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gridSpan w:val="3"/>
          </w:tcPr>
          <w:p>
            <w:pPr>
              <w:spacing w:after="0"/>
              <w:rPr>
                <w:sz w:val="20"/>
                <w:szCs w:val="20"/>
                <w:color w:val="auto"/>
              </w:rPr>
            </w:pPr>
            <w:r>
              <w:rPr>
                <w:rFonts w:ascii="Arial" w:cs="Arial" w:eastAsia="Arial" w:hAnsi="Arial"/>
                <w:sz w:val="18"/>
                <w:szCs w:val="18"/>
                <w:i w:val="1"/>
                <w:iCs w:val="1"/>
                <w:color w:val="auto"/>
              </w:rPr>
              <w:t>Summary Operating Results</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78"/>
        </w:trPr>
        <w:tc>
          <w:tcPr>
            <w:tcW w:w="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gridSpan w:val="5"/>
          </w:tcPr>
          <w:p>
            <w:pPr>
              <w:jc w:val="center"/>
              <w:ind w:right="260"/>
              <w:spacing w:after="0"/>
              <w:rPr>
                <w:sz w:val="20"/>
                <w:szCs w:val="20"/>
                <w:color w:val="auto"/>
              </w:rPr>
            </w:pPr>
            <w:r>
              <w:rPr>
                <w:rFonts w:ascii="Arial" w:cs="Arial" w:eastAsia="Arial" w:hAnsi="Arial"/>
                <w:sz w:val="18"/>
                <w:szCs w:val="18"/>
                <w:color w:val="auto"/>
                <w:w w:val="88"/>
              </w:rPr>
              <w:t>Period Ended September 30,</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
        </w:trPr>
        <w:tc>
          <w:tcPr>
            <w:tcW w:w="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4"/>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80" w:type="dxa"/>
            <w:vAlign w:val="bottom"/>
            <w:gridSpan w:val="5"/>
          </w:tcPr>
          <w:p>
            <w:pPr>
              <w:ind w:left="460"/>
              <w:spacing w:after="0"/>
              <w:rPr>
                <w:sz w:val="20"/>
                <w:szCs w:val="20"/>
                <w:color w:val="auto"/>
              </w:rPr>
            </w:pPr>
            <w:r>
              <w:rPr>
                <w:rFonts w:ascii="Arial" w:cs="Arial" w:eastAsia="Arial" w:hAnsi="Arial"/>
                <w:sz w:val="18"/>
                <w:szCs w:val="18"/>
                <w:color w:val="auto"/>
              </w:rPr>
              <w:t>Three Months</w:t>
            </w:r>
          </w:p>
        </w:tc>
        <w:tc>
          <w:tcPr>
            <w:tcW w:w="120" w:type="dxa"/>
            <w:vAlign w:val="bottom"/>
          </w:tcPr>
          <w:p>
            <w:pPr>
              <w:spacing w:after="0"/>
              <w:rPr>
                <w:sz w:val="20"/>
                <w:szCs w:val="20"/>
                <w:color w:val="auto"/>
              </w:rPr>
            </w:pPr>
          </w:p>
        </w:tc>
        <w:tc>
          <w:tcPr>
            <w:tcW w:w="2360" w:type="dxa"/>
            <w:vAlign w:val="bottom"/>
            <w:gridSpan w:val="5"/>
          </w:tcPr>
          <w:p>
            <w:pPr>
              <w:ind w:left="600"/>
              <w:spacing w:after="0"/>
              <w:rPr>
                <w:sz w:val="20"/>
                <w:szCs w:val="20"/>
                <w:color w:val="auto"/>
              </w:rPr>
            </w:pPr>
            <w:r>
              <w:rPr>
                <w:rFonts w:ascii="Arial" w:cs="Arial" w:eastAsia="Arial" w:hAnsi="Arial"/>
                <w:sz w:val="18"/>
                <w:szCs w:val="18"/>
                <w:color w:val="auto"/>
              </w:rPr>
              <w:t>Nine Months</w:t>
            </w:r>
          </w:p>
        </w:tc>
        <w:tc>
          <w:tcPr>
            <w:tcW w:w="280" w:type="dxa"/>
            <w:vAlign w:val="bottom"/>
          </w:tcPr>
          <w:p>
            <w:pPr>
              <w:spacing w:after="0"/>
              <w:rPr>
                <w:sz w:val="20"/>
                <w:szCs w:val="20"/>
                <w:color w:val="auto"/>
              </w:rPr>
            </w:pPr>
          </w:p>
        </w:tc>
        <w:tc>
          <w:tcPr>
            <w:tcW w:w="2100" w:type="dxa"/>
            <w:vAlign w:val="bottom"/>
            <w:gridSpan w:val="4"/>
          </w:tcPr>
          <w:p>
            <w:pPr>
              <w:jc w:val="right"/>
              <w:ind w:right="530"/>
              <w:spacing w:after="0"/>
              <w:rPr>
                <w:sz w:val="20"/>
                <w:szCs w:val="20"/>
                <w:color w:val="auto"/>
              </w:rPr>
            </w:pPr>
            <w:r>
              <w:rPr>
                <w:rFonts w:ascii="Arial" w:cs="Arial" w:eastAsia="Arial" w:hAnsi="Arial"/>
                <w:sz w:val="18"/>
                <w:szCs w:val="18"/>
                <w:color w:val="auto"/>
              </w:rPr>
              <w:t>Twelve Months</w:t>
            </w:r>
          </w:p>
        </w:tc>
      </w:tr>
      <w:tr>
        <w:trPr>
          <w:trHeight w:val="27"/>
        </w:trPr>
        <w:tc>
          <w:tcPr>
            <w:tcW w:w="4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2018</w:t>
            </w:r>
          </w:p>
        </w:tc>
      </w:tr>
      <w:tr>
        <w:trPr>
          <w:trHeight w:val="237"/>
        </w:trPr>
        <w:tc>
          <w:tcPr>
            <w:tcW w:w="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3760" w:type="dxa"/>
            <w:vAlign w:val="bottom"/>
            <w:tcBorders>
              <w:top w:val="single" w:sz="8" w:color="auto"/>
            </w:tcBorders>
            <w:gridSpan w:val="9"/>
          </w:tcPr>
          <w:p>
            <w:pPr>
              <w:jc w:val="center"/>
              <w:ind w:left="490"/>
              <w:spacing w:after="0"/>
              <w:rPr>
                <w:sz w:val="20"/>
                <w:szCs w:val="20"/>
                <w:color w:val="auto"/>
              </w:rPr>
            </w:pPr>
            <w:r>
              <w:rPr>
                <w:rFonts w:ascii="Arial" w:cs="Arial" w:eastAsia="Arial" w:hAnsi="Arial"/>
                <w:sz w:val="18"/>
                <w:szCs w:val="18"/>
                <w:color w:val="auto"/>
                <w:w w:val="88"/>
              </w:rPr>
              <w:t>(In thousands, except per share amounts)</w:t>
            </w:r>
          </w:p>
        </w:tc>
        <w:tc>
          <w:tcPr>
            <w:tcW w:w="8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03"/>
        </w:trPr>
        <w:tc>
          <w:tcPr>
            <w:tcW w:w="402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Contribution to net income</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940" w:type="dxa"/>
            <w:vAlign w:val="bottom"/>
            <w:tcBorders>
              <w:top w:val="single" w:sz="8" w:color="auto"/>
            </w:tcBorders>
            <w:shd w:val="clear" w:color="auto" w:fill="CCEEFF"/>
          </w:tcPr>
          <w:p>
            <w:pPr>
              <w:spacing w:after="0"/>
              <w:rPr>
                <w:sz w:val="4"/>
                <w:szCs w:val="4"/>
                <w:color w:val="auto"/>
              </w:rPr>
            </w:pPr>
          </w:p>
        </w:tc>
        <w:tc>
          <w:tcPr>
            <w:tcW w:w="204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r>
      <w:tr>
        <w:trPr>
          <w:trHeight w:val="243"/>
        </w:trPr>
        <w:tc>
          <w:tcPr>
            <w:tcW w:w="4020" w:type="dxa"/>
            <w:vAlign w:val="bottom"/>
            <w:gridSpan w:val="3"/>
          </w:tcPr>
          <w:p>
            <w:pPr>
              <w:ind w:left="40"/>
              <w:spacing w:after="0"/>
              <w:rPr>
                <w:sz w:val="20"/>
                <w:szCs w:val="20"/>
                <w:color w:val="auto"/>
              </w:rPr>
            </w:pPr>
            <w:r>
              <w:rPr>
                <w:rFonts w:ascii="Arial" w:cs="Arial" w:eastAsia="Arial" w:hAnsi="Arial"/>
                <w:sz w:val="18"/>
                <w:szCs w:val="18"/>
                <w:color w:val="auto"/>
              </w:rPr>
              <w:t>Natural gas operations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(20,012)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(13,670)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86,746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79,301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146,287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153,683</w:t>
            </w:r>
          </w:p>
        </w:tc>
      </w:tr>
      <w:tr>
        <w:trPr>
          <w:trHeight w:val="27"/>
        </w:trPr>
        <w:tc>
          <w:tcPr>
            <w:tcW w:w="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Utility infrastructure services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25,838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26,798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36,725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46,668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57,677</w:t>
            </w:r>
          </w:p>
        </w:tc>
      </w:tr>
      <w:tr>
        <w:trPr>
          <w:trHeight w:val="243"/>
        </w:trPr>
        <w:tc>
          <w:tcPr>
            <w:tcW w:w="4020" w:type="dxa"/>
            <w:vAlign w:val="bottom"/>
            <w:gridSpan w:val="3"/>
          </w:tcPr>
          <w:p>
            <w:pPr>
              <w:ind w:left="40"/>
              <w:spacing w:after="0"/>
              <w:rPr>
                <w:sz w:val="20"/>
                <w:szCs w:val="20"/>
                <w:color w:val="auto"/>
              </w:rPr>
            </w:pPr>
            <w:r>
              <w:rPr>
                <w:rFonts w:ascii="Arial" w:cs="Arial" w:eastAsia="Arial" w:hAnsi="Arial"/>
                <w:sz w:val="18"/>
                <w:szCs w:val="18"/>
                <w:color w:val="auto"/>
              </w:rPr>
              <w:t>Corporate and administrative</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(1,922)</w:t>
            </w:r>
          </w:p>
        </w:tc>
      </w:tr>
      <w:tr>
        <w:trPr>
          <w:trHeight w:val="27"/>
        </w:trPr>
        <w:tc>
          <w:tcPr>
            <w:tcW w:w="4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4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5,353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12,331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122,218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112,973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191,522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209,438</w:t>
            </w:r>
          </w:p>
        </w:tc>
      </w:tr>
      <w:tr>
        <w:trPr>
          <w:trHeight w:val="20"/>
        </w:trPr>
        <w:tc>
          <w:tcPr>
            <w:tcW w:w="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1803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p>
      <w:pPr>
        <w:spacing w:after="0" w:line="310" w:lineRule="exact"/>
        <w:rPr>
          <w:sz w:val="20"/>
          <w:szCs w:val="20"/>
          <w:color w:val="auto"/>
        </w:rPr>
      </w:pPr>
    </w:p>
    <w:tbl>
      <w:tblPr>
        <w:tblLayout w:type="fixed"/>
        <w:tblInd w:w="40" w:type="dxa"/>
        <w:tblCellMar>
          <w:top w:w="0" w:type="dxa"/>
          <w:left w:w="0" w:type="dxa"/>
          <w:bottom w:w="0" w:type="dxa"/>
          <w:right w:w="0" w:type="dxa"/>
        </w:tblCellMar>
      </w:tblPr>
      <w:tr>
        <w:trPr>
          <w:trHeight w:val="251"/>
        </w:trPr>
        <w:tc>
          <w:tcPr>
            <w:tcW w:w="3980" w:type="dxa"/>
            <w:vAlign w:val="bottom"/>
            <w:gridSpan w:val="3"/>
          </w:tcPr>
          <w:p>
            <w:pPr>
              <w:spacing w:after="0"/>
              <w:rPr>
                <w:sz w:val="20"/>
                <w:szCs w:val="20"/>
                <w:color w:val="auto"/>
              </w:rPr>
            </w:pPr>
            <w:r>
              <w:rPr>
                <w:rFonts w:ascii="Arial" w:cs="Arial" w:eastAsia="Arial" w:hAnsi="Arial"/>
                <w:sz w:val="18"/>
                <w:szCs w:val="18"/>
                <w:color w:val="auto"/>
              </w:rPr>
              <w:t>Average number of common shares</w:t>
            </w:r>
          </w:p>
        </w:tc>
        <w:tc>
          <w:tcPr>
            <w:tcW w:w="3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54,670</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49,493</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53,996</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48,916</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53,219</w:t>
            </w:r>
          </w:p>
        </w:tc>
        <w:tc>
          <w:tcPr>
            <w:tcW w:w="0" w:type="dxa"/>
            <w:vAlign w:val="bottom"/>
          </w:tcPr>
          <w:p>
            <w:pPr>
              <w:spacing w:after="0"/>
              <w:rPr>
                <w:sz w:val="1"/>
                <w:szCs w:val="1"/>
                <w:color w:val="auto"/>
              </w:rPr>
            </w:pPr>
          </w:p>
        </w:tc>
      </w:tr>
      <w:tr>
        <w:trPr>
          <w:trHeight w:val="20"/>
        </w:trPr>
        <w:tc>
          <w:tcPr>
            <w:tcW w:w="3980" w:type="dxa"/>
            <w:vAlign w:val="bottom"/>
            <w:gridSpan w:val="3"/>
            <w:vMerge w:val="restart"/>
          </w:tcPr>
          <w:p>
            <w:pPr>
              <w:spacing w:after="0"/>
              <w:rPr>
                <w:sz w:val="20"/>
                <w:szCs w:val="20"/>
                <w:color w:val="auto"/>
              </w:rPr>
            </w:pPr>
            <w:r>
              <w:rPr>
                <w:rFonts w:ascii="Arial" w:cs="Arial" w:eastAsia="Arial" w:hAnsi="Arial"/>
                <w:sz w:val="18"/>
                <w:szCs w:val="18"/>
                <w:color w:val="auto"/>
              </w:rPr>
              <w:t>Basic earnings per share</w:t>
            </w: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98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1"/>
        </w:trPr>
        <w:tc>
          <w:tcPr>
            <w:tcW w:w="17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Consolidated</w:t>
            </w:r>
          </w:p>
        </w:tc>
        <w:tc>
          <w:tcPr>
            <w:tcW w:w="2240" w:type="dxa"/>
            <w:vAlign w:val="bottom"/>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0"/>
        </w:trPr>
        <w:tc>
          <w:tcPr>
            <w:tcW w:w="1700" w:type="dxa"/>
            <w:vAlign w:val="bottom"/>
            <w:vMerge w:val="restart"/>
          </w:tcPr>
          <w:p>
            <w:pPr>
              <w:spacing w:after="0"/>
              <w:rPr>
                <w:sz w:val="20"/>
                <w:szCs w:val="20"/>
                <w:color w:val="auto"/>
              </w:rPr>
            </w:pPr>
            <w:r>
              <w:rPr>
                <w:rFonts w:ascii="Arial" w:cs="Arial" w:eastAsia="Arial" w:hAnsi="Arial"/>
                <w:sz w:val="18"/>
                <w:szCs w:val="18"/>
                <w:color w:val="auto"/>
                <w:w w:val="88"/>
              </w:rPr>
              <w:t>Natural Gas Operations</w:t>
            </w:r>
          </w:p>
        </w:tc>
        <w:tc>
          <w:tcPr>
            <w:tcW w:w="2280" w:type="dxa"/>
            <w:vAlign w:val="bottom"/>
            <w:gridSpan w:val="2"/>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700" w:type="dxa"/>
            <w:vAlign w:val="bottom"/>
            <w:tcBorders>
              <w:bottom w:val="single" w:sz="8" w:color="auto"/>
            </w:tcBorders>
            <w:vMerge w:val="continue"/>
          </w:tcPr>
          <w:p>
            <w:pPr>
              <w:spacing w:after="0"/>
              <w:rPr>
                <w:sz w:val="16"/>
                <w:szCs w:val="16"/>
                <w:color w:val="auto"/>
              </w:rPr>
            </w:pPr>
          </w:p>
        </w:tc>
        <w:tc>
          <w:tcPr>
            <w:tcW w:w="22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980" w:type="dxa"/>
            <w:vAlign w:val="bottom"/>
            <w:gridSpan w:val="3"/>
          </w:tcPr>
          <w:p>
            <w:pPr>
              <w:spacing w:after="0"/>
              <w:rPr>
                <w:sz w:val="20"/>
                <w:szCs w:val="20"/>
                <w:color w:val="auto"/>
              </w:rPr>
            </w:pPr>
            <w:r>
              <w:rPr>
                <w:rFonts w:ascii="Arial" w:cs="Arial" w:eastAsia="Arial" w:hAnsi="Arial"/>
                <w:sz w:val="18"/>
                <w:szCs w:val="18"/>
                <w:color w:val="auto"/>
              </w:rPr>
              <w:t>Reconciliation of Revenue to Operating Margin</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980" w:type="dxa"/>
            <w:vAlign w:val="bottom"/>
            <w:gridSpan w:val="3"/>
          </w:tcPr>
          <w:p>
            <w:pPr>
              <w:ind w:left="160"/>
              <w:spacing w:after="0"/>
              <w:rPr>
                <w:sz w:val="20"/>
                <w:szCs w:val="20"/>
                <w:color w:val="auto"/>
              </w:rPr>
            </w:pPr>
            <w:r>
              <w:rPr>
                <w:rFonts w:ascii="Arial" w:cs="Arial" w:eastAsia="Arial" w:hAnsi="Arial"/>
                <w:sz w:val="18"/>
                <w:szCs w:val="18"/>
                <w:color w:val="auto"/>
              </w:rPr>
              <w:t>(Non-GAAP measure)</w:t>
            </w: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980" w:type="dxa"/>
            <w:vAlign w:val="bottom"/>
            <w:gridSpan w:val="3"/>
          </w:tcPr>
          <w:p>
            <w:pPr>
              <w:spacing w:after="0"/>
              <w:rPr>
                <w:sz w:val="20"/>
                <w:szCs w:val="20"/>
                <w:color w:val="auto"/>
              </w:rPr>
            </w:pPr>
            <w:r>
              <w:rPr>
                <w:rFonts w:ascii="Arial" w:cs="Arial" w:eastAsia="Arial" w:hAnsi="Arial"/>
                <w:sz w:val="18"/>
                <w:szCs w:val="18"/>
                <w:color w:val="auto"/>
              </w:rPr>
              <w:t>Gas operating revenues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209,980</w:t>
            </w:r>
          </w:p>
        </w:tc>
        <w:tc>
          <w:tcPr>
            <w:tcW w:w="12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217,523</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989,368</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987,515</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w w:val="97"/>
              </w:rPr>
              <w:t>1,359,581</w:t>
            </w:r>
          </w:p>
        </w:tc>
        <w:tc>
          <w:tcPr>
            <w:tcW w:w="0" w:type="dxa"/>
            <w:vAlign w:val="bottom"/>
          </w:tcPr>
          <w:p>
            <w:pPr>
              <w:spacing w:after="0"/>
              <w:rPr>
                <w:sz w:val="1"/>
                <w:szCs w:val="1"/>
                <w:color w:val="auto"/>
              </w:rPr>
            </w:pPr>
          </w:p>
        </w:tc>
      </w:tr>
      <w:tr>
        <w:trPr>
          <w:trHeight w:val="270"/>
        </w:trPr>
        <w:tc>
          <w:tcPr>
            <w:tcW w:w="3980" w:type="dxa"/>
            <w:vAlign w:val="bottom"/>
            <w:gridSpan w:val="3"/>
          </w:tcPr>
          <w:p>
            <w:pPr>
              <w:spacing w:after="0"/>
              <w:rPr>
                <w:sz w:val="20"/>
                <w:szCs w:val="20"/>
                <w:color w:val="auto"/>
              </w:rPr>
            </w:pPr>
            <w:r>
              <w:rPr>
                <w:rFonts w:ascii="Arial" w:cs="Arial" w:eastAsia="Arial" w:hAnsi="Arial"/>
                <w:sz w:val="18"/>
                <w:szCs w:val="18"/>
                <w:color w:val="auto"/>
              </w:rPr>
              <w:t>Less: Net cost of gas sold</w:t>
            </w:r>
          </w:p>
        </w:tc>
        <w:tc>
          <w:tcPr>
            <w:tcW w:w="30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35,068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49,903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292,854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319,101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393,141</w:t>
            </w: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80" w:type="dxa"/>
            <w:vAlign w:val="bottom"/>
            <w:gridSpan w:val="3"/>
          </w:tcPr>
          <w:p>
            <w:pPr>
              <w:spacing w:after="0"/>
              <w:rPr>
                <w:sz w:val="20"/>
                <w:szCs w:val="20"/>
                <w:color w:val="auto"/>
              </w:rPr>
            </w:pPr>
            <w:r>
              <w:rPr>
                <w:rFonts w:ascii="Arial" w:cs="Arial" w:eastAsia="Arial" w:hAnsi="Arial"/>
                <w:sz w:val="18"/>
                <w:szCs w:val="18"/>
                <w:color w:val="auto"/>
              </w:rPr>
              <w:t>Operating margin</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174,912</w:t>
            </w:r>
          </w:p>
        </w:tc>
        <w:tc>
          <w:tcPr>
            <w:tcW w:w="12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167,620</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696,514</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668,414</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966,440</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-857250</wp:posOffset>
            </wp:positionV>
            <wp:extent cx="7246620" cy="3086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-376555</wp:posOffset>
            </wp:positionV>
            <wp:extent cx="724662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-1225550</wp:posOffset>
            </wp:positionV>
            <wp:extent cx="7246620" cy="1803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3rd Quarter 2019 Overview</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Natural gas operations highlights:</w:t>
      </w:r>
    </w:p>
    <w:p>
      <w:pPr>
        <w:spacing w:after="0" w:line="131" w:lineRule="exact"/>
        <w:rPr>
          <w:sz w:val="20"/>
          <w:szCs w:val="20"/>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34,000 net new customers (1.7% growth rate) during the last 12 months</w:t>
      </w:r>
    </w:p>
    <w:p>
      <w:pPr>
        <w:spacing w:after="0" w:line="23"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Filed California rate case (requesting a revenue increase of $12.8 million)</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October, S&amp;P upgraded Southwest’s issuer debt rating from BBB+ (with a negative outlook) to A- (outlook unchanged)</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Utility infrastructure services highlights:</w:t>
      </w:r>
    </w:p>
    <w:p>
      <w:pPr>
        <w:spacing w:after="0" w:line="131" w:lineRule="exact"/>
        <w:rPr>
          <w:sz w:val="20"/>
          <w:szCs w:val="20"/>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Utility infrastructure services revenues increased $65 million ($70.3 million from Linetec)</w:t>
      </w:r>
    </w:p>
    <w:p>
      <w:pPr>
        <w:spacing w:after="0" w:line="23" w:lineRule="exact"/>
        <w:rPr>
          <w:rFonts w:ascii="Arial" w:cs="Arial" w:eastAsia="Arial" w:hAnsi="Arial"/>
          <w:sz w:val="18"/>
          <w:szCs w:val="18"/>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Utility infrastructure services expenses increased $56 million ($55.8 million from Linetec)</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Southwest Gas Holdings highlights:</w:t>
      </w:r>
    </w:p>
    <w:p>
      <w:pPr>
        <w:spacing w:after="0" w:line="13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Completed reincorporation from California into Delaware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the number of authorized shares of common stock available for issuance from 60,000,000 to 120,000,000</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48,728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7200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354" w:lineRule="exact"/>
        <w:rPr>
          <w:sz w:val="20"/>
          <w:szCs w:val="20"/>
          <w:color w:val="auto"/>
        </w:rPr>
      </w:pPr>
    </w:p>
    <w:p>
      <w:pPr>
        <w:ind w:left="687" w:hanging="687"/>
        <w:spacing w:after="0"/>
        <w:tabs>
          <w:tab w:leader="none" w:pos="687" w:val="left"/>
        </w:tabs>
        <w:numPr>
          <w:ilvl w:val="0"/>
          <w:numId w:val="12"/>
        </w:numPr>
        <w:rPr>
          <w:rFonts w:ascii="Arial" w:cs="Arial" w:eastAsia="Arial" w:hAnsi="Arial"/>
          <w:sz w:val="16"/>
          <w:szCs w:val="16"/>
          <w:color w:val="auto"/>
        </w:rPr>
      </w:pPr>
      <w:r>
        <w:rPr>
          <w:rFonts w:ascii="Arial" w:cs="Arial" w:eastAsia="Arial" w:hAnsi="Arial"/>
          <w:sz w:val="16"/>
          <w:szCs w:val="16"/>
          <w:color w:val="auto"/>
        </w:rPr>
        <w:t>4.30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2009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87" w:hanging="287"/>
        <w:spacing w:after="0"/>
        <w:tabs>
          <w:tab w:leader="none" w:pos="287" w:val="left"/>
        </w:tabs>
        <w:numPr>
          <w:ilvl w:val="0"/>
          <w:numId w:val="13"/>
        </w:numPr>
        <w:rPr>
          <w:rFonts w:ascii="Arial" w:cs="Arial" w:eastAsia="Arial" w:hAnsi="Arial"/>
          <w:sz w:val="16"/>
          <w:szCs w:val="16"/>
          <w:color w:val="auto"/>
        </w:rPr>
      </w:pPr>
      <w:r>
        <w:rPr>
          <w:rFonts w:ascii="Arial" w:cs="Arial" w:eastAsia="Arial" w:hAnsi="Arial"/>
          <w:sz w:val="16"/>
          <w:szCs w:val="16"/>
          <w:color w:val="auto"/>
        </w:rPr>
        <w:t>1,354,000</w:t>
      </w:r>
    </w:p>
    <w:p>
      <w:pPr>
        <w:spacing w:after="0" w:line="86" w:lineRule="exact"/>
        <w:rPr>
          <w:rFonts w:ascii="Arial" w:cs="Arial" w:eastAsia="Arial" w:hAnsi="Arial"/>
          <w:sz w:val="16"/>
          <w:szCs w:val="16"/>
          <w:color w:val="auto"/>
        </w:rPr>
      </w:pPr>
    </w:p>
    <w:p>
      <w:pPr>
        <w:ind w:left="407"/>
        <w:spacing w:after="0"/>
        <w:rPr>
          <w:rFonts w:ascii="Arial" w:cs="Arial" w:eastAsia="Arial" w:hAnsi="Arial"/>
          <w:sz w:val="16"/>
          <w:szCs w:val="16"/>
          <w:color w:val="auto"/>
        </w:rPr>
      </w:pPr>
      <w:r>
        <w:rPr>
          <w:rFonts w:ascii="Arial" w:cs="Arial" w:eastAsia="Arial" w:hAnsi="Arial"/>
          <w:sz w:val="16"/>
          <w:szCs w:val="16"/>
          <w:color w:val="auto"/>
        </w:rPr>
        <w:t>412,307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46355</wp:posOffset>
            </wp:positionV>
            <wp:extent cx="72009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80" w:lineRule="exact"/>
        <w:rPr>
          <w:sz w:val="20"/>
          <w:szCs w:val="20"/>
          <w:color w:val="auto"/>
        </w:rPr>
      </w:pPr>
    </w:p>
    <w:p>
      <w:pPr>
        <w:ind w:left="407" w:hanging="407"/>
        <w:spacing w:after="0"/>
        <w:tabs>
          <w:tab w:leader="none" w:pos="407" w:val="left"/>
        </w:tabs>
        <w:numPr>
          <w:ilvl w:val="0"/>
          <w:numId w:val="14"/>
        </w:numPr>
        <w:rPr>
          <w:rFonts w:ascii="Arial" w:cs="Arial" w:eastAsia="Arial" w:hAnsi="Arial"/>
          <w:sz w:val="16"/>
          <w:szCs w:val="16"/>
          <w:color w:val="auto"/>
        </w:rPr>
      </w:pPr>
      <w:r>
        <w:rPr>
          <w:rFonts w:ascii="Arial" w:cs="Arial" w:eastAsia="Arial" w:hAnsi="Arial"/>
          <w:sz w:val="16"/>
          <w:szCs w:val="16"/>
          <w:color w:val="auto"/>
        </w:rPr>
        <w:t>941,693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46355</wp:posOffset>
            </wp:positionV>
            <wp:extent cx="72009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63500</wp:posOffset>
            </wp:positionV>
            <wp:extent cx="7200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3694" w:lineRule="exact"/>
        <w:rPr>
          <w:sz w:val="20"/>
          <w:szCs w:val="20"/>
          <w:color w:val="auto"/>
        </w:rPr>
      </w:pPr>
    </w:p>
    <w:p>
      <w:pPr>
        <w:sectPr>
          <w:pgSz w:w="11900" w:h="16838" w:orient="portrait"/>
          <w:cols w:equalWidth="0" w:num="2">
            <w:col w:w="10180" w:space="133"/>
            <w:col w:w="1107"/>
          </w:cols>
          <w:pgMar w:left="240" w:top="270" w:right="239" w:bottom="1440" w:gutter="0" w:footer="0" w:header="0"/>
          <w:type w:val="continuous"/>
        </w:sectPr>
      </w:pPr>
    </w:p>
    <w:p>
      <w:pPr>
        <w:spacing w:after="0" w:line="20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270" w:right="239" w:bottom="1440" w:gutter="0" w:footer="0" w:header="0"/>
          <w:type w:val="continuous"/>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7580" w:type="dxa"/>
            <w:vAlign w:val="bottom"/>
            <w:gridSpan w:val="4"/>
          </w:tcPr>
          <w:p>
            <w:pPr>
              <w:spacing w:after="0"/>
              <w:rPr>
                <w:sz w:val="20"/>
                <w:szCs w:val="20"/>
                <w:color w:val="auto"/>
              </w:rPr>
            </w:pPr>
            <w:r>
              <w:rPr>
                <w:rFonts w:ascii="Arial" w:cs="Arial" w:eastAsia="Arial" w:hAnsi="Arial"/>
                <w:sz w:val="18"/>
                <w:szCs w:val="18"/>
                <w:color w:val="auto"/>
              </w:rPr>
              <w:t>SOUTHWEST GAS HOLDINGS, INC.</w:t>
            </w:r>
          </w:p>
        </w:tc>
        <w:tc>
          <w:tcPr>
            <w:tcW w:w="1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60" w:type="dxa"/>
            <w:vAlign w:val="bottom"/>
          </w:tcPr>
          <w:p>
            <w:pPr>
              <w:spacing w:after="0"/>
              <w:rPr>
                <w:sz w:val="21"/>
                <w:szCs w:val="21"/>
                <w:color w:val="auto"/>
              </w:rPr>
            </w:pPr>
          </w:p>
        </w:tc>
        <w:tc>
          <w:tcPr>
            <w:tcW w:w="29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6"/>
              </w:rPr>
              <w:t>SOUTHWEST GAS CORPORATION</w:t>
            </w:r>
          </w:p>
        </w:tc>
        <w:tc>
          <w:tcPr>
            <w:tcW w:w="46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September 30, 2019</w:t>
            </w:r>
          </w:p>
        </w:tc>
      </w:tr>
      <w:tr>
        <w:trPr>
          <w:trHeight w:val="20"/>
        </w:trPr>
        <w:tc>
          <w:tcPr>
            <w:tcW w:w="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939"/>
        </w:trPr>
        <w:tc>
          <w:tcPr>
            <w:tcW w:w="7640" w:type="dxa"/>
            <w:vAlign w:val="bottom"/>
            <w:gridSpan w:val="5"/>
          </w:tcPr>
          <w:p>
            <w:pPr>
              <w:spacing w:after="0"/>
              <w:rPr>
                <w:sz w:val="20"/>
                <w:szCs w:val="20"/>
                <w:color w:val="auto"/>
              </w:rPr>
            </w:pPr>
            <w:r>
              <w:rPr>
                <w:rFonts w:ascii="Arial" w:cs="Arial" w:eastAsia="Arial" w:hAnsi="Arial"/>
                <w:sz w:val="18"/>
                <w:szCs w:val="18"/>
                <w:color w:val="auto"/>
              </w:rPr>
              <w:t>Results of Natural Gas Operations</w:t>
            </w: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2"/>
        </w:trPr>
        <w:tc>
          <w:tcPr>
            <w:tcW w:w="7640" w:type="dxa"/>
            <w:vAlign w:val="bottom"/>
            <w:gridSpan w:val="5"/>
          </w:tcPr>
          <w:p>
            <w:pPr>
              <w:spacing w:after="0"/>
              <w:rPr>
                <w:sz w:val="20"/>
                <w:szCs w:val="20"/>
                <w:color w:val="auto"/>
              </w:rPr>
            </w:pPr>
            <w:r>
              <w:rPr>
                <w:rFonts w:ascii="Arial" w:cs="Arial" w:eastAsia="Arial" w:hAnsi="Arial"/>
                <w:sz w:val="18"/>
                <w:szCs w:val="18"/>
                <w:color w:val="auto"/>
              </w:rPr>
              <w:t>Quarterly Analysis</w:t>
            </w: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9"/>
        </w:trPr>
        <w:tc>
          <w:tcPr>
            <w:tcW w:w="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60" w:type="dxa"/>
            <w:vAlign w:val="bottom"/>
            <w:gridSpan w:val="3"/>
          </w:tcPr>
          <w:p>
            <w:pPr>
              <w:jc w:val="center"/>
              <w:spacing w:after="0"/>
              <w:rPr>
                <w:sz w:val="20"/>
                <w:szCs w:val="20"/>
                <w:color w:val="auto"/>
              </w:rPr>
            </w:pPr>
            <w:r>
              <w:rPr>
                <w:rFonts w:ascii="Arial" w:cs="Arial" w:eastAsia="Arial" w:hAnsi="Arial"/>
                <w:sz w:val="18"/>
                <w:szCs w:val="18"/>
                <w:color w:val="auto"/>
                <w:w w:val="90"/>
              </w:rPr>
              <w:t>Three Months Ended</w:t>
            </w:r>
          </w:p>
        </w:tc>
        <w:tc>
          <w:tcPr>
            <w:tcW w:w="1100" w:type="dxa"/>
            <w:vAlign w:val="bottom"/>
          </w:tcPr>
          <w:p>
            <w:pPr>
              <w:spacing w:after="0"/>
              <w:rPr>
                <w:sz w:val="24"/>
                <w:szCs w:val="24"/>
                <w:color w:val="auto"/>
              </w:rPr>
            </w:pPr>
          </w:p>
        </w:tc>
      </w:tr>
      <w:tr>
        <w:trPr>
          <w:trHeight w:val="270"/>
        </w:trPr>
        <w:tc>
          <w:tcPr>
            <w:tcW w:w="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560" w:type="dxa"/>
            <w:vAlign w:val="bottom"/>
            <w:gridSpan w:val="3"/>
          </w:tcPr>
          <w:p>
            <w:pPr>
              <w:jc w:val="center"/>
              <w:spacing w:after="0"/>
              <w:rPr>
                <w:sz w:val="20"/>
                <w:szCs w:val="20"/>
                <w:color w:val="auto"/>
              </w:rPr>
            </w:pPr>
            <w:r>
              <w:rPr>
                <w:rFonts w:ascii="Arial" w:cs="Arial" w:eastAsia="Arial" w:hAnsi="Arial"/>
                <w:sz w:val="18"/>
                <w:szCs w:val="18"/>
                <w:color w:val="auto"/>
                <w:w w:val="88"/>
              </w:rPr>
              <w:t>September 30,</w:t>
            </w:r>
          </w:p>
        </w:tc>
        <w:tc>
          <w:tcPr>
            <w:tcW w:w="1100" w:type="dxa"/>
            <w:vAlign w:val="bottom"/>
          </w:tcPr>
          <w:p>
            <w:pPr>
              <w:spacing w:after="0"/>
              <w:rPr>
                <w:sz w:val="23"/>
                <w:szCs w:val="23"/>
                <w:color w:val="auto"/>
              </w:rPr>
            </w:pPr>
          </w:p>
        </w:tc>
      </w:tr>
      <w:tr>
        <w:trPr>
          <w:trHeight w:val="27"/>
        </w:trPr>
        <w:tc>
          <w:tcPr>
            <w:tcW w:w="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84"/>
              </w:rPr>
              <w:t>2018</w:t>
            </w:r>
          </w:p>
        </w:tc>
      </w:tr>
      <w:tr>
        <w:trPr>
          <w:trHeight w:val="237"/>
        </w:trPr>
        <w:tc>
          <w:tcPr>
            <w:tcW w:w="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376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0"/>
              </w:rPr>
              <w:t>(Thousands of dollars)</w:t>
            </w:r>
          </w:p>
        </w:tc>
      </w:tr>
      <w:tr>
        <w:trPr>
          <w:trHeight w:val="27"/>
        </w:trPr>
        <w:tc>
          <w:tcPr>
            <w:tcW w:w="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6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Gas operating revenues</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209,980</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217,523</w:t>
            </w:r>
          </w:p>
        </w:tc>
      </w:tr>
      <w:tr>
        <w:trPr>
          <w:trHeight w:val="243"/>
        </w:trPr>
        <w:tc>
          <w:tcPr>
            <w:tcW w:w="7640" w:type="dxa"/>
            <w:vAlign w:val="bottom"/>
            <w:gridSpan w:val="5"/>
          </w:tcPr>
          <w:p>
            <w:pPr>
              <w:ind w:left="40"/>
              <w:spacing w:after="0"/>
              <w:rPr>
                <w:sz w:val="20"/>
                <w:szCs w:val="20"/>
                <w:color w:val="auto"/>
              </w:rPr>
            </w:pPr>
            <w:r>
              <w:rPr>
                <w:rFonts w:ascii="Arial" w:cs="Arial" w:eastAsia="Arial" w:hAnsi="Arial"/>
                <w:sz w:val="18"/>
                <w:szCs w:val="18"/>
                <w:color w:val="auto"/>
              </w:rPr>
              <w:t>Net cost of gas sold</w:t>
            </w: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35,068</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49,903</w:t>
            </w:r>
          </w:p>
        </w:tc>
      </w:tr>
      <w:tr>
        <w:trPr>
          <w:trHeight w:val="27"/>
        </w:trPr>
        <w:tc>
          <w:tcPr>
            <w:tcW w:w="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0" w:type="dxa"/>
            <w:vAlign w:val="bottom"/>
            <w:tcBorders>
              <w:bottom w:val="single" w:sz="8" w:color="CCEEFF"/>
            </w:tcBorders>
            <w:shd w:val="clear" w:color="auto" w:fill="CCEEFF"/>
          </w:tcPr>
          <w:p>
            <w:pPr>
              <w:spacing w:after="0"/>
              <w:rPr>
                <w:sz w:val="21"/>
                <w:szCs w:val="21"/>
                <w:color w:val="auto"/>
              </w:rPr>
            </w:pPr>
          </w:p>
        </w:tc>
        <w:tc>
          <w:tcPr>
            <w:tcW w:w="7580" w:type="dxa"/>
            <w:vAlign w:val="bottom"/>
            <w:tcBorders>
              <w:bottom w:val="single" w:sz="8" w:color="CCEEFF"/>
            </w:tcBorders>
            <w:gridSpan w:val="4"/>
            <w:shd w:val="clear" w:color="auto" w:fill="CCEEFF"/>
          </w:tcPr>
          <w:p>
            <w:pPr>
              <w:ind w:left="480"/>
              <w:spacing w:after="0"/>
              <w:rPr>
                <w:sz w:val="20"/>
                <w:szCs w:val="20"/>
                <w:color w:val="auto"/>
              </w:rPr>
            </w:pPr>
            <w:r>
              <w:rPr>
                <w:rFonts w:ascii="Arial" w:cs="Arial" w:eastAsia="Arial" w:hAnsi="Arial"/>
                <w:sz w:val="18"/>
                <w:szCs w:val="18"/>
                <w:color w:val="auto"/>
              </w:rPr>
              <w:t>Operating margin</w:t>
            </w: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174,912</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167,620</w:t>
            </w:r>
          </w:p>
        </w:tc>
      </w:tr>
      <w:tr>
        <w:trPr>
          <w:trHeight w:val="243"/>
        </w:trPr>
        <w:tc>
          <w:tcPr>
            <w:tcW w:w="7640" w:type="dxa"/>
            <w:vAlign w:val="bottom"/>
            <w:gridSpan w:val="5"/>
          </w:tcPr>
          <w:p>
            <w:pPr>
              <w:ind w:left="40"/>
              <w:spacing w:after="0"/>
              <w:rPr>
                <w:sz w:val="20"/>
                <w:szCs w:val="20"/>
                <w:color w:val="auto"/>
              </w:rPr>
            </w:pPr>
            <w:r>
              <w:rPr>
                <w:rFonts w:ascii="Arial" w:cs="Arial" w:eastAsia="Arial" w:hAnsi="Arial"/>
                <w:sz w:val="18"/>
                <w:szCs w:val="18"/>
                <w:color w:val="auto"/>
              </w:rPr>
              <w:t>Operations and maintenance expense</w:t>
            </w: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109,039</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104,657</w:t>
            </w:r>
          </w:p>
        </w:tc>
      </w:tr>
      <w:tr>
        <w:trPr>
          <w:trHeight w:val="27"/>
        </w:trPr>
        <w:tc>
          <w:tcPr>
            <w:tcW w:w="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6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52,372</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47,924</w:t>
            </w:r>
          </w:p>
        </w:tc>
      </w:tr>
      <w:tr>
        <w:trPr>
          <w:trHeight w:val="243"/>
        </w:trPr>
        <w:tc>
          <w:tcPr>
            <w:tcW w:w="7640" w:type="dxa"/>
            <w:vAlign w:val="bottom"/>
            <w:gridSpan w:val="5"/>
          </w:tcPr>
          <w:p>
            <w:pPr>
              <w:ind w:left="40"/>
              <w:spacing w:after="0"/>
              <w:rPr>
                <w:sz w:val="20"/>
                <w:szCs w:val="20"/>
                <w:color w:val="auto"/>
              </w:rPr>
            </w:pPr>
            <w:r>
              <w:rPr>
                <w:rFonts w:ascii="Arial" w:cs="Arial" w:eastAsia="Arial" w:hAnsi="Arial"/>
                <w:sz w:val="18"/>
                <w:szCs w:val="18"/>
                <w:color w:val="auto"/>
              </w:rPr>
              <w:t>Taxes other than income taxes</w:t>
            </w: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15,308</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15,036</w:t>
            </w:r>
          </w:p>
        </w:tc>
      </w:tr>
      <w:tr>
        <w:trPr>
          <w:trHeight w:val="27"/>
        </w:trPr>
        <w:tc>
          <w:tcPr>
            <w:tcW w:w="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0" w:type="dxa"/>
            <w:vAlign w:val="bottom"/>
            <w:tcBorders>
              <w:bottom w:val="single" w:sz="8" w:color="CCEEFF"/>
            </w:tcBorders>
            <w:shd w:val="clear" w:color="auto" w:fill="CCEEFF"/>
          </w:tcPr>
          <w:p>
            <w:pPr>
              <w:spacing w:after="0"/>
              <w:rPr>
                <w:sz w:val="21"/>
                <w:szCs w:val="21"/>
                <w:color w:val="auto"/>
              </w:rPr>
            </w:pPr>
          </w:p>
        </w:tc>
        <w:tc>
          <w:tcPr>
            <w:tcW w:w="7580" w:type="dxa"/>
            <w:vAlign w:val="bottom"/>
            <w:tcBorders>
              <w:bottom w:val="single" w:sz="8" w:color="CCEEFF"/>
            </w:tcBorders>
            <w:gridSpan w:val="4"/>
            <w:shd w:val="clear" w:color="auto" w:fill="CCEEFF"/>
          </w:tcPr>
          <w:p>
            <w:pPr>
              <w:ind w:left="480"/>
              <w:spacing w:after="0"/>
              <w:rPr>
                <w:sz w:val="20"/>
                <w:szCs w:val="20"/>
                <w:color w:val="auto"/>
              </w:rPr>
            </w:pPr>
            <w:r>
              <w:rPr>
                <w:rFonts w:ascii="Arial" w:cs="Arial" w:eastAsia="Arial" w:hAnsi="Arial"/>
                <w:sz w:val="18"/>
                <w:szCs w:val="18"/>
                <w:color w:val="auto"/>
              </w:rPr>
              <w:t>Operating income (loss)</w:t>
            </w: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r>
      <w:tr>
        <w:trPr>
          <w:trHeight w:val="243"/>
        </w:trPr>
        <w:tc>
          <w:tcPr>
            <w:tcW w:w="7640" w:type="dxa"/>
            <w:vAlign w:val="bottom"/>
            <w:gridSpan w:val="5"/>
          </w:tcPr>
          <w:p>
            <w:pPr>
              <w:ind w:left="40"/>
              <w:spacing w:after="0"/>
              <w:rPr>
                <w:sz w:val="20"/>
                <w:szCs w:val="20"/>
                <w:color w:val="auto"/>
              </w:rPr>
            </w:pPr>
            <w:r>
              <w:rPr>
                <w:rFonts w:ascii="Arial" w:cs="Arial" w:eastAsia="Arial" w:hAnsi="Arial"/>
                <w:sz w:val="18"/>
                <w:szCs w:val="18"/>
                <w:color w:val="auto"/>
              </w:rPr>
              <w:t>Other income (deductions)</w:t>
            </w:r>
          </w:p>
        </w:tc>
        <w:tc>
          <w:tcPr>
            <w:tcW w:w="1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(1,353)</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836</w:t>
            </w:r>
          </w:p>
        </w:tc>
      </w:tr>
      <w:tr>
        <w:trPr>
          <w:trHeight w:val="27"/>
        </w:trPr>
        <w:tc>
          <w:tcPr>
            <w:tcW w:w="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6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interest deductions</w:t>
            </w: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23,619</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20,399</w:t>
            </w:r>
          </w:p>
        </w:tc>
      </w:tr>
      <w:tr>
        <w:trPr>
          <w:trHeight w:val="237"/>
        </w:trPr>
        <w:tc>
          <w:tcPr>
            <w:tcW w:w="60" w:type="dxa"/>
            <w:vAlign w:val="bottom"/>
          </w:tcPr>
          <w:p>
            <w:pPr>
              <w:spacing w:after="0"/>
              <w:rPr>
                <w:sz w:val="20"/>
                <w:szCs w:val="20"/>
                <w:color w:val="auto"/>
              </w:rPr>
            </w:pPr>
          </w:p>
        </w:tc>
        <w:tc>
          <w:tcPr>
            <w:tcW w:w="7580" w:type="dxa"/>
            <w:vAlign w:val="bottom"/>
            <w:gridSpan w:val="4"/>
          </w:tcPr>
          <w:p>
            <w:pPr>
              <w:ind w:left="480"/>
              <w:spacing w:after="0"/>
              <w:rPr>
                <w:sz w:val="20"/>
                <w:szCs w:val="20"/>
                <w:color w:val="auto"/>
              </w:rPr>
            </w:pPr>
            <w:r>
              <w:rPr>
                <w:rFonts w:ascii="Arial" w:cs="Arial" w:eastAsia="Arial" w:hAnsi="Arial"/>
                <w:sz w:val="18"/>
                <w:szCs w:val="18"/>
                <w:color w:val="auto"/>
              </w:rPr>
              <w:t>Loss before income taxes</w:t>
            </w:r>
          </w:p>
        </w:tc>
        <w:tc>
          <w:tcPr>
            <w:tcW w:w="1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(26,779)</w:t>
            </w:r>
          </w:p>
        </w:tc>
        <w:tc>
          <w:tcPr>
            <w:tcW w:w="10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(19,560)</w:t>
            </w:r>
          </w:p>
        </w:tc>
      </w:tr>
      <w:tr>
        <w:trPr>
          <w:trHeight w:val="27"/>
        </w:trPr>
        <w:tc>
          <w:tcPr>
            <w:tcW w:w="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6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(6,767)</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(5,890)</w:t>
            </w:r>
          </w:p>
        </w:tc>
      </w:tr>
      <w:tr>
        <w:trPr>
          <w:trHeight w:val="257"/>
        </w:trPr>
        <w:tc>
          <w:tcPr>
            <w:tcW w:w="60" w:type="dxa"/>
            <w:vAlign w:val="bottom"/>
          </w:tcPr>
          <w:p>
            <w:pPr>
              <w:spacing w:after="0"/>
              <w:rPr>
                <w:sz w:val="22"/>
                <w:szCs w:val="22"/>
                <w:color w:val="auto"/>
              </w:rPr>
            </w:pPr>
          </w:p>
        </w:tc>
        <w:tc>
          <w:tcPr>
            <w:tcW w:w="7580" w:type="dxa"/>
            <w:vAlign w:val="bottom"/>
            <w:gridSpan w:val="4"/>
          </w:tcPr>
          <w:p>
            <w:pPr>
              <w:ind w:left="480"/>
              <w:spacing w:after="0"/>
              <w:rPr>
                <w:sz w:val="20"/>
                <w:szCs w:val="20"/>
                <w:color w:val="auto"/>
              </w:rPr>
            </w:pPr>
            <w:r>
              <w:rPr>
                <w:rFonts w:ascii="Arial" w:cs="Arial" w:eastAsia="Arial" w:hAnsi="Arial"/>
                <w:sz w:val="18"/>
                <w:szCs w:val="18"/>
                <w:color w:val="auto"/>
              </w:rPr>
              <w:t>Contribution to consolidated net income (loss)</w:t>
            </w: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(20,012)</w:t>
            </w:r>
          </w:p>
        </w:tc>
        <w:tc>
          <w:tcPr>
            <w:tcW w:w="100" w:type="dxa"/>
            <w:vAlign w:val="bottom"/>
          </w:tcPr>
          <w:p>
            <w:pPr>
              <w:spacing w:after="0"/>
              <w:rPr>
                <w:sz w:val="22"/>
                <w:szCs w:val="22"/>
                <w:color w:val="auto"/>
              </w:rPr>
            </w:pPr>
          </w:p>
        </w:tc>
        <w:tc>
          <w:tcPr>
            <w:tcW w:w="7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(13,670)</w:t>
            </w:r>
          </w:p>
        </w:tc>
      </w:tr>
      <w:tr>
        <w:trPr>
          <w:trHeight w:val="20"/>
        </w:trPr>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Contribution from natural gas operations to consolidated net income decreased $6.3 million between the third quarters of 2019 and 2018. The decline was primarily due to increases in Operations and maintenance expense, Depreciation and amortization, and Net interest deductions, as well as reductions in Other income, partially offset by an increase in rate relief and customer growth.</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margin increased $7 million. Approximately $2 million of incremental margin was attributable to customer growth, as 34,000 net new customers were added during the last twelve months. Rate relief, primarily in California and Nevada, contributed $2 million in incremental operating margin in the current period. Miscellaneous service revenue and revenue outside the decoupling mechanisms also increased between periods. Regulatory surcharge recoveries for California cap and trade and public purpose programs and Nevada infrastructure replacement programs (collectively, having an offsetting impact in amortization expense), compose the residual increase.</w:t>
      </w:r>
    </w:p>
    <w:p>
      <w:pPr>
        <w:spacing w:after="0" w:line="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Operations and maintenance expense increased $4.4 million, or 4%, between quarters. Higher general cost increases and legal costs of $2.5 million contributed to the increase between periods.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and amortization expense increased $4.4 million, or 9%, between quarters, primarily due to a $602 million, or 9%, increase in average gas plant in service compared to the corresponding quarter a year ago, and to an increase in regulatory account amortization, as discussed above. The increase in gas plant was attributable to pipeline capacity reinforcement work, franchise requirements, scheduled and accelerated pipe replacement activities, and new infrastructure.</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income decreased $2.2 million between quarters primarily due to a decline in income from company-owned life insurance (“COLI”) policies. The current quarter reflects a $200,000 increase in COLI policy cash surrender values, while the prior-year quarter reflected $4.7 million of COLI-related income. Partially offsetting these impacts were the non-service-related components of employee pension and other postretirement benefit costs, which decreased $1.5 million between quarters.</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interest deductions increased $3.2 million in the third quarter of 2019, as compared to the prior-year quarter, primarily due to the issuance of $300 million of Senior Notes in May 2019.</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0"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7580" w:type="dxa"/>
            <w:vAlign w:val="bottom"/>
            <w:gridSpan w:val="4"/>
          </w:tcPr>
          <w:p>
            <w:pPr>
              <w:spacing w:after="0"/>
              <w:rPr>
                <w:sz w:val="20"/>
                <w:szCs w:val="20"/>
                <w:color w:val="auto"/>
              </w:rPr>
            </w:pPr>
            <w:r>
              <w:rPr>
                <w:rFonts w:ascii="Arial" w:cs="Arial" w:eastAsia="Arial" w:hAnsi="Arial"/>
                <w:sz w:val="18"/>
                <w:szCs w:val="18"/>
                <w:color w:val="auto"/>
              </w:rPr>
              <w:t>SOUTHWEST GAS HOLDINGS, INC.</w:t>
            </w:r>
          </w:p>
        </w:tc>
        <w:tc>
          <w:tcPr>
            <w:tcW w:w="1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60" w:type="dxa"/>
            <w:vAlign w:val="bottom"/>
          </w:tcPr>
          <w:p>
            <w:pPr>
              <w:spacing w:after="0"/>
              <w:rPr>
                <w:sz w:val="21"/>
                <w:szCs w:val="21"/>
                <w:color w:val="auto"/>
              </w:rPr>
            </w:pPr>
          </w:p>
        </w:tc>
        <w:tc>
          <w:tcPr>
            <w:tcW w:w="29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6"/>
              </w:rPr>
              <w:t>SOUTHWEST GAS CORPORATION</w:t>
            </w:r>
          </w:p>
        </w:tc>
        <w:tc>
          <w:tcPr>
            <w:tcW w:w="46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September 30, 2019</w:t>
            </w:r>
          </w:p>
        </w:tc>
      </w:tr>
      <w:tr>
        <w:trPr>
          <w:trHeight w:val="20"/>
        </w:trPr>
        <w:tc>
          <w:tcPr>
            <w:tcW w:w="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939"/>
        </w:trPr>
        <w:tc>
          <w:tcPr>
            <w:tcW w:w="7640" w:type="dxa"/>
            <w:vAlign w:val="bottom"/>
            <w:gridSpan w:val="5"/>
          </w:tcPr>
          <w:p>
            <w:pPr>
              <w:spacing w:after="0"/>
              <w:rPr>
                <w:sz w:val="20"/>
                <w:szCs w:val="20"/>
                <w:color w:val="auto"/>
              </w:rPr>
            </w:pPr>
            <w:r>
              <w:rPr>
                <w:rFonts w:ascii="Arial" w:cs="Arial" w:eastAsia="Arial" w:hAnsi="Arial"/>
                <w:sz w:val="18"/>
                <w:szCs w:val="18"/>
                <w:color w:val="auto"/>
              </w:rPr>
              <w:t>Results of Natural Gas Operations</w:t>
            </w: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92"/>
        </w:trPr>
        <w:tc>
          <w:tcPr>
            <w:tcW w:w="7640" w:type="dxa"/>
            <w:vAlign w:val="bottom"/>
            <w:gridSpan w:val="5"/>
          </w:tcPr>
          <w:p>
            <w:pPr>
              <w:spacing w:after="0"/>
              <w:rPr>
                <w:sz w:val="20"/>
                <w:szCs w:val="20"/>
                <w:color w:val="auto"/>
              </w:rPr>
            </w:pPr>
            <w:r>
              <w:rPr>
                <w:rFonts w:ascii="Arial" w:cs="Arial" w:eastAsia="Arial" w:hAnsi="Arial"/>
                <w:sz w:val="18"/>
                <w:szCs w:val="18"/>
                <w:color w:val="auto"/>
              </w:rPr>
              <w:t>Nine-Month Analysis</w:t>
            </w: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99"/>
        </w:trPr>
        <w:tc>
          <w:tcPr>
            <w:tcW w:w="6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40" w:type="dxa"/>
            <w:vAlign w:val="bottom"/>
            <w:gridSpan w:val="3"/>
          </w:tcPr>
          <w:p>
            <w:pPr>
              <w:jc w:val="center"/>
              <w:spacing w:after="0"/>
              <w:rPr>
                <w:sz w:val="20"/>
                <w:szCs w:val="20"/>
                <w:color w:val="auto"/>
              </w:rPr>
            </w:pPr>
            <w:r>
              <w:rPr>
                <w:rFonts w:ascii="Arial" w:cs="Arial" w:eastAsia="Arial" w:hAnsi="Arial"/>
                <w:sz w:val="18"/>
                <w:szCs w:val="18"/>
                <w:color w:val="auto"/>
                <w:w w:val="92"/>
              </w:rPr>
              <w:t>Nine Months Ended</w:t>
            </w:r>
          </w:p>
        </w:tc>
        <w:tc>
          <w:tcPr>
            <w:tcW w:w="1120" w:type="dxa"/>
            <w:vAlign w:val="bottom"/>
          </w:tcPr>
          <w:p>
            <w:pPr>
              <w:spacing w:after="0"/>
              <w:rPr>
                <w:sz w:val="24"/>
                <w:szCs w:val="24"/>
                <w:color w:val="auto"/>
              </w:rPr>
            </w:pPr>
          </w:p>
        </w:tc>
      </w:tr>
      <w:tr>
        <w:trPr>
          <w:trHeight w:val="270"/>
        </w:trPr>
        <w:tc>
          <w:tcPr>
            <w:tcW w:w="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540" w:type="dxa"/>
            <w:vAlign w:val="bottom"/>
            <w:gridSpan w:val="3"/>
          </w:tcPr>
          <w:p>
            <w:pPr>
              <w:jc w:val="center"/>
              <w:spacing w:after="0"/>
              <w:rPr>
                <w:sz w:val="20"/>
                <w:szCs w:val="20"/>
                <w:color w:val="auto"/>
              </w:rPr>
            </w:pPr>
            <w:r>
              <w:rPr>
                <w:rFonts w:ascii="Arial" w:cs="Arial" w:eastAsia="Arial" w:hAnsi="Arial"/>
                <w:sz w:val="18"/>
                <w:szCs w:val="18"/>
                <w:color w:val="auto"/>
                <w:w w:val="88"/>
              </w:rPr>
              <w:t>September 30,</w:t>
            </w:r>
          </w:p>
        </w:tc>
        <w:tc>
          <w:tcPr>
            <w:tcW w:w="1120" w:type="dxa"/>
            <w:vAlign w:val="bottom"/>
          </w:tcPr>
          <w:p>
            <w:pPr>
              <w:spacing w:after="0"/>
              <w:rPr>
                <w:sz w:val="23"/>
                <w:szCs w:val="23"/>
                <w:color w:val="auto"/>
              </w:rPr>
            </w:pPr>
          </w:p>
        </w:tc>
      </w:tr>
      <w:tr>
        <w:trPr>
          <w:trHeight w:val="27"/>
        </w:trPr>
        <w:tc>
          <w:tcPr>
            <w:tcW w:w="6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89"/>
              </w:rPr>
              <w:t>2018</w:t>
            </w:r>
          </w:p>
        </w:tc>
      </w:tr>
      <w:tr>
        <w:trPr>
          <w:trHeight w:val="237"/>
        </w:trPr>
        <w:tc>
          <w:tcPr>
            <w:tcW w:w="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376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0"/>
              </w:rPr>
              <w:t>(Thousands of dollars)</w:t>
            </w:r>
          </w:p>
        </w:tc>
      </w:tr>
      <w:tr>
        <w:trPr>
          <w:trHeight w:val="27"/>
        </w:trPr>
        <w:tc>
          <w:tcPr>
            <w:tcW w:w="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Gas operating revenues</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989,368</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987,515</w:t>
            </w:r>
          </w:p>
        </w:tc>
      </w:tr>
      <w:tr>
        <w:trPr>
          <w:trHeight w:val="243"/>
        </w:trPr>
        <w:tc>
          <w:tcPr>
            <w:tcW w:w="7640" w:type="dxa"/>
            <w:vAlign w:val="bottom"/>
            <w:gridSpan w:val="5"/>
          </w:tcPr>
          <w:p>
            <w:pPr>
              <w:ind w:left="40"/>
              <w:spacing w:after="0"/>
              <w:rPr>
                <w:sz w:val="20"/>
                <w:szCs w:val="20"/>
                <w:color w:val="auto"/>
              </w:rPr>
            </w:pPr>
            <w:r>
              <w:rPr>
                <w:rFonts w:ascii="Arial" w:cs="Arial" w:eastAsia="Arial" w:hAnsi="Arial"/>
                <w:sz w:val="18"/>
                <w:szCs w:val="18"/>
                <w:color w:val="auto"/>
              </w:rPr>
              <w:t>Net cost of gas sold</w:t>
            </w: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292,854</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319,101</w:t>
            </w:r>
          </w:p>
        </w:tc>
      </w:tr>
      <w:tr>
        <w:trPr>
          <w:trHeight w:val="27"/>
        </w:trPr>
        <w:tc>
          <w:tcPr>
            <w:tcW w:w="6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0" w:type="dxa"/>
            <w:vAlign w:val="bottom"/>
            <w:tcBorders>
              <w:bottom w:val="single" w:sz="8" w:color="CCEEFF"/>
            </w:tcBorders>
            <w:shd w:val="clear" w:color="auto" w:fill="CCEEFF"/>
          </w:tcPr>
          <w:p>
            <w:pPr>
              <w:spacing w:after="0"/>
              <w:rPr>
                <w:sz w:val="21"/>
                <w:szCs w:val="21"/>
                <w:color w:val="auto"/>
              </w:rPr>
            </w:pPr>
          </w:p>
        </w:tc>
        <w:tc>
          <w:tcPr>
            <w:tcW w:w="7580" w:type="dxa"/>
            <w:vAlign w:val="bottom"/>
            <w:tcBorders>
              <w:bottom w:val="single" w:sz="8" w:color="CCEEFF"/>
            </w:tcBorders>
            <w:gridSpan w:val="4"/>
            <w:shd w:val="clear" w:color="auto" w:fill="CCEEFF"/>
          </w:tcPr>
          <w:p>
            <w:pPr>
              <w:ind w:left="480"/>
              <w:spacing w:after="0"/>
              <w:rPr>
                <w:sz w:val="20"/>
                <w:szCs w:val="20"/>
                <w:color w:val="auto"/>
              </w:rPr>
            </w:pPr>
            <w:r>
              <w:rPr>
                <w:rFonts w:ascii="Arial" w:cs="Arial" w:eastAsia="Arial" w:hAnsi="Arial"/>
                <w:sz w:val="18"/>
                <w:szCs w:val="18"/>
                <w:color w:val="auto"/>
              </w:rPr>
              <w:t>Operating margin</w:t>
            </w: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696,514</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668,414</w:t>
            </w:r>
          </w:p>
        </w:tc>
      </w:tr>
      <w:tr>
        <w:trPr>
          <w:trHeight w:val="243"/>
        </w:trPr>
        <w:tc>
          <w:tcPr>
            <w:tcW w:w="7640" w:type="dxa"/>
            <w:vAlign w:val="bottom"/>
            <w:gridSpan w:val="5"/>
          </w:tcPr>
          <w:p>
            <w:pPr>
              <w:ind w:left="40"/>
              <w:spacing w:after="0"/>
              <w:rPr>
                <w:sz w:val="20"/>
                <w:szCs w:val="20"/>
                <w:color w:val="auto"/>
              </w:rPr>
            </w:pPr>
            <w:r>
              <w:rPr>
                <w:rFonts w:ascii="Arial" w:cs="Arial" w:eastAsia="Arial" w:hAnsi="Arial"/>
                <w:sz w:val="18"/>
                <w:szCs w:val="18"/>
                <w:color w:val="auto"/>
              </w:rPr>
              <w:t>Operations and maintenance expense</w:t>
            </w: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319,572</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312,055</w:t>
            </w:r>
          </w:p>
        </w:tc>
      </w:tr>
      <w:tr>
        <w:trPr>
          <w:trHeight w:val="27"/>
        </w:trPr>
        <w:tc>
          <w:tcPr>
            <w:tcW w:w="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159,327</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145,549</w:t>
            </w:r>
          </w:p>
        </w:tc>
      </w:tr>
      <w:tr>
        <w:trPr>
          <w:trHeight w:val="243"/>
        </w:trPr>
        <w:tc>
          <w:tcPr>
            <w:tcW w:w="7640" w:type="dxa"/>
            <w:vAlign w:val="bottom"/>
            <w:gridSpan w:val="5"/>
          </w:tcPr>
          <w:p>
            <w:pPr>
              <w:ind w:left="40"/>
              <w:spacing w:after="0"/>
              <w:rPr>
                <w:sz w:val="20"/>
                <w:szCs w:val="20"/>
                <w:color w:val="auto"/>
              </w:rPr>
            </w:pPr>
            <w:r>
              <w:rPr>
                <w:rFonts w:ascii="Arial" w:cs="Arial" w:eastAsia="Arial" w:hAnsi="Arial"/>
                <w:sz w:val="18"/>
                <w:szCs w:val="18"/>
                <w:color w:val="auto"/>
              </w:rPr>
              <w:t>Taxes other than income taxes</w:t>
            </w: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46,640</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44,959</w:t>
            </w:r>
          </w:p>
        </w:tc>
      </w:tr>
      <w:tr>
        <w:trPr>
          <w:trHeight w:val="27"/>
        </w:trPr>
        <w:tc>
          <w:tcPr>
            <w:tcW w:w="6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0" w:type="dxa"/>
            <w:vAlign w:val="bottom"/>
            <w:tcBorders>
              <w:bottom w:val="single" w:sz="8" w:color="CCEEFF"/>
            </w:tcBorders>
            <w:shd w:val="clear" w:color="auto" w:fill="CCEEFF"/>
          </w:tcPr>
          <w:p>
            <w:pPr>
              <w:spacing w:after="0"/>
              <w:rPr>
                <w:sz w:val="21"/>
                <w:szCs w:val="21"/>
                <w:color w:val="auto"/>
              </w:rPr>
            </w:pPr>
          </w:p>
        </w:tc>
        <w:tc>
          <w:tcPr>
            <w:tcW w:w="7580" w:type="dxa"/>
            <w:vAlign w:val="bottom"/>
            <w:tcBorders>
              <w:bottom w:val="single" w:sz="8" w:color="CCEEFF"/>
            </w:tcBorders>
            <w:gridSpan w:val="4"/>
            <w:shd w:val="clear" w:color="auto" w:fill="CCEEFF"/>
          </w:tcPr>
          <w:p>
            <w:pPr>
              <w:ind w:left="480"/>
              <w:spacing w:after="0"/>
              <w:rPr>
                <w:sz w:val="20"/>
                <w:szCs w:val="20"/>
                <w:color w:val="auto"/>
              </w:rPr>
            </w:pPr>
            <w:r>
              <w:rPr>
                <w:rFonts w:ascii="Arial" w:cs="Arial" w:eastAsia="Arial" w:hAnsi="Arial"/>
                <w:sz w:val="18"/>
                <w:szCs w:val="18"/>
                <w:color w:val="auto"/>
              </w:rPr>
              <w:t>Operating income</w:t>
            </w: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170,975</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165,851</w:t>
            </w:r>
          </w:p>
        </w:tc>
      </w:tr>
      <w:tr>
        <w:trPr>
          <w:trHeight w:val="243"/>
        </w:trPr>
        <w:tc>
          <w:tcPr>
            <w:tcW w:w="7640" w:type="dxa"/>
            <w:vAlign w:val="bottom"/>
            <w:gridSpan w:val="5"/>
          </w:tcPr>
          <w:p>
            <w:pPr>
              <w:ind w:left="40"/>
              <w:spacing w:after="0"/>
              <w:rPr>
                <w:sz w:val="20"/>
                <w:szCs w:val="20"/>
                <w:color w:val="auto"/>
              </w:rPr>
            </w:pPr>
            <w:r>
              <w:rPr>
                <w:rFonts w:ascii="Arial" w:cs="Arial" w:eastAsia="Arial" w:hAnsi="Arial"/>
                <w:sz w:val="18"/>
                <w:szCs w:val="18"/>
                <w:color w:val="auto"/>
              </w:rPr>
              <w:t>Other income (deductions)</w:t>
            </w: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6,185</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(5,861)</w:t>
            </w:r>
          </w:p>
        </w:tc>
      </w:tr>
      <w:tr>
        <w:trPr>
          <w:trHeight w:val="27"/>
        </w:trPr>
        <w:tc>
          <w:tcPr>
            <w:tcW w:w="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6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interest deductions</w:t>
            </w: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70,063</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59,803</w:t>
            </w:r>
          </w:p>
        </w:tc>
      </w:tr>
      <w:tr>
        <w:trPr>
          <w:trHeight w:val="237"/>
        </w:trPr>
        <w:tc>
          <w:tcPr>
            <w:tcW w:w="60" w:type="dxa"/>
            <w:vAlign w:val="bottom"/>
          </w:tcPr>
          <w:p>
            <w:pPr>
              <w:spacing w:after="0"/>
              <w:rPr>
                <w:sz w:val="20"/>
                <w:szCs w:val="20"/>
                <w:color w:val="auto"/>
              </w:rPr>
            </w:pPr>
          </w:p>
        </w:tc>
        <w:tc>
          <w:tcPr>
            <w:tcW w:w="7580" w:type="dxa"/>
            <w:vAlign w:val="bottom"/>
            <w:gridSpan w:val="4"/>
          </w:tcPr>
          <w:p>
            <w:pPr>
              <w:ind w:left="480"/>
              <w:spacing w:after="0"/>
              <w:rPr>
                <w:sz w:val="20"/>
                <w:szCs w:val="20"/>
                <w:color w:val="auto"/>
              </w:rPr>
            </w:pPr>
            <w:r>
              <w:rPr>
                <w:rFonts w:ascii="Arial" w:cs="Arial" w:eastAsia="Arial" w:hAnsi="Arial"/>
                <w:sz w:val="18"/>
                <w:szCs w:val="18"/>
                <w:color w:val="auto"/>
              </w:rPr>
              <w:t>Income before income taxes</w:t>
            </w:r>
          </w:p>
        </w:tc>
        <w:tc>
          <w:tcPr>
            <w:tcW w:w="1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2"/>
              </w:rPr>
              <w:t>107,097</w:t>
            </w:r>
          </w:p>
        </w:tc>
        <w:tc>
          <w:tcPr>
            <w:tcW w:w="10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100,187</w:t>
            </w:r>
          </w:p>
        </w:tc>
      </w:tr>
      <w:tr>
        <w:trPr>
          <w:trHeight w:val="27"/>
        </w:trPr>
        <w:tc>
          <w:tcPr>
            <w:tcW w:w="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6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20,351</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20,886</w:t>
            </w:r>
          </w:p>
        </w:tc>
      </w:tr>
      <w:tr>
        <w:trPr>
          <w:trHeight w:val="257"/>
        </w:trPr>
        <w:tc>
          <w:tcPr>
            <w:tcW w:w="60" w:type="dxa"/>
            <w:vAlign w:val="bottom"/>
          </w:tcPr>
          <w:p>
            <w:pPr>
              <w:spacing w:after="0"/>
              <w:rPr>
                <w:sz w:val="22"/>
                <w:szCs w:val="22"/>
                <w:color w:val="auto"/>
              </w:rPr>
            </w:pPr>
          </w:p>
        </w:tc>
        <w:tc>
          <w:tcPr>
            <w:tcW w:w="7580" w:type="dxa"/>
            <w:vAlign w:val="bottom"/>
            <w:gridSpan w:val="4"/>
          </w:tcPr>
          <w:p>
            <w:pPr>
              <w:ind w:left="480"/>
              <w:spacing w:after="0"/>
              <w:rPr>
                <w:sz w:val="20"/>
                <w:szCs w:val="20"/>
                <w:color w:val="auto"/>
              </w:rPr>
            </w:pPr>
            <w:r>
              <w:rPr>
                <w:rFonts w:ascii="Arial" w:cs="Arial" w:eastAsia="Arial" w:hAnsi="Arial"/>
                <w:sz w:val="18"/>
                <w:szCs w:val="18"/>
                <w:color w:val="auto"/>
              </w:rPr>
              <w:t>Contribution to consolidated net income</w:t>
            </w: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86,746</w:t>
            </w:r>
          </w:p>
        </w:tc>
        <w:tc>
          <w:tcPr>
            <w:tcW w:w="100" w:type="dxa"/>
            <w:vAlign w:val="bottom"/>
          </w:tcPr>
          <w:p>
            <w:pPr>
              <w:spacing w:after="0"/>
              <w:rPr>
                <w:sz w:val="22"/>
                <w:szCs w:val="22"/>
                <w:color w:val="auto"/>
              </w:rPr>
            </w:pPr>
          </w:p>
        </w:tc>
        <w:tc>
          <w:tcPr>
            <w:tcW w:w="7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79,301</w:t>
            </w:r>
          </w:p>
        </w:tc>
      </w:tr>
      <w:tr>
        <w:trPr>
          <w:trHeight w:val="20"/>
        </w:trPr>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Contribution from natural gas operations to consolidated net income increased $7.4 million between the first nine months of 2019 and 2018. The increase was primarily due to rate relief, customer growth, and higher Other income, partially offset by increases in Operations and maintenance expense, Depreciation and amortization, and Net interest deductions.</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margin increased $28 million, including an $8 million increase attributable to customer growth. Rate relief, primarily in California and Nevada, contributed an additional $8 million in operating margin. Regulatory surcharge recoveries, including for those programs in California and Nevada noted earlier, were $5.5 million higher overall in the current period, after giving effect for climate credits returned to California customers from the cap and trade program. Other changes in operating margin included miscellaneous revenues and margin from customers outside the decoupling mechanisms and reductions for the regulatory impacts of U.S. tax reform in the current period.</w:t>
      </w:r>
    </w:p>
    <w:p>
      <w:pPr>
        <w:spacing w:after="0" w:line="8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Operations and maintenance expense increased $7.5 million, or 2%, between periods. Higher pipeline integrity management and damage prevention programs, as well as other general cost increases, contributed to the increase. Lower service-related pension and other postretirement benefit costs mitigated the increases from the other items.</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and amortization expense increased $13.8 million, or 9%, between periods primarily due to a $568 million, or 8%, increase in average gas plant in service for the period as compared to the corresponding period a year ago. The increase in gas plant was attributable to pipeline capacity reinforcement work, franchise requirements, scheduled and accelerated pipe replacement activities, and new infrastructure. Regulatory account surcharges, as noted above, also resulted in increases in amortization expense in the current period.</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income (deductions) improved $12 million overall between periods. The current period included income from COLI policy cash surrender value changes and net death benefits of $11.2 million, while the prior-year period reflected $6 million of COLI-related income. The non-service cost components of employee pension and other postretirement benefit costs were $4.5 million lower between periods. Additionally, an improvement in income of $2.1 million resulted from an increase in the equity component of the allowance for funds used during construction (“AFUDC”), due to both a higher rate and level of capital expenditures in the current period.</w:t>
      </w:r>
    </w:p>
    <w:p>
      <w:pPr>
        <w:spacing w:after="0" w:line="8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Net interest deductions increased $10.3 million between periods, primarily due to the issuance of $300 million of Senior Notes in March 2018 and $300 million in May 2019, in addition to higher interest rates and borrowings outstanding under the revolving credit and term-loan facility throughout much of the current period.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70"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7360" w:type="dxa"/>
            <w:vAlign w:val="bottom"/>
            <w:gridSpan w:val="4"/>
          </w:tcPr>
          <w:p>
            <w:pPr>
              <w:spacing w:after="0"/>
              <w:rPr>
                <w:sz w:val="20"/>
                <w:szCs w:val="20"/>
                <w:color w:val="auto"/>
              </w:rPr>
            </w:pPr>
            <w:r>
              <w:rPr>
                <w:rFonts w:ascii="Arial" w:cs="Arial" w:eastAsia="Arial" w:hAnsi="Arial"/>
                <w:sz w:val="18"/>
                <w:szCs w:val="18"/>
                <w:color w:val="auto"/>
              </w:rPr>
              <w:t>SOUTHWEST GAS HOLDINGS, INC.</w:t>
            </w: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60" w:type="dxa"/>
            <w:vAlign w:val="bottom"/>
          </w:tcPr>
          <w:p>
            <w:pPr>
              <w:spacing w:after="0"/>
              <w:rPr>
                <w:sz w:val="21"/>
                <w:szCs w:val="21"/>
                <w:color w:val="auto"/>
              </w:rPr>
            </w:pPr>
          </w:p>
        </w:tc>
        <w:tc>
          <w:tcPr>
            <w:tcW w:w="29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6"/>
              </w:rPr>
              <w:t>SOUTHWEST GAS CORPORATION</w:t>
            </w:r>
          </w:p>
        </w:tc>
        <w:tc>
          <w:tcPr>
            <w:tcW w:w="4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w w:val="96"/>
              </w:rPr>
              <w:t>September 30, 2019</w:t>
            </w:r>
          </w:p>
        </w:tc>
      </w:tr>
      <w:tr>
        <w:trPr>
          <w:trHeight w:val="20"/>
        </w:trPr>
        <w:tc>
          <w:tcPr>
            <w:tcW w:w="6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939"/>
        </w:trPr>
        <w:tc>
          <w:tcPr>
            <w:tcW w:w="7420" w:type="dxa"/>
            <w:vAlign w:val="bottom"/>
            <w:gridSpan w:val="5"/>
          </w:tcPr>
          <w:p>
            <w:pPr>
              <w:spacing w:after="0"/>
              <w:rPr>
                <w:sz w:val="20"/>
                <w:szCs w:val="20"/>
                <w:color w:val="auto"/>
              </w:rPr>
            </w:pPr>
            <w:r>
              <w:rPr>
                <w:rFonts w:ascii="Arial" w:cs="Arial" w:eastAsia="Arial" w:hAnsi="Arial"/>
                <w:sz w:val="18"/>
                <w:szCs w:val="18"/>
                <w:color w:val="auto"/>
              </w:rPr>
              <w:t>Results of Natural Gas Operations</w:t>
            </w: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92"/>
        </w:trPr>
        <w:tc>
          <w:tcPr>
            <w:tcW w:w="7420" w:type="dxa"/>
            <w:vAlign w:val="bottom"/>
            <w:gridSpan w:val="5"/>
          </w:tcPr>
          <w:p>
            <w:pPr>
              <w:spacing w:after="0"/>
              <w:rPr>
                <w:sz w:val="20"/>
                <w:szCs w:val="20"/>
                <w:color w:val="auto"/>
              </w:rPr>
            </w:pPr>
            <w:r>
              <w:rPr>
                <w:rFonts w:ascii="Arial" w:cs="Arial" w:eastAsia="Arial" w:hAnsi="Arial"/>
                <w:sz w:val="18"/>
                <w:szCs w:val="18"/>
                <w:color w:val="auto"/>
              </w:rPr>
              <w:t>Twelve-Month Analysis</w:t>
            </w: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99"/>
        </w:trPr>
        <w:tc>
          <w:tcPr>
            <w:tcW w:w="6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gridSpan w:val="4"/>
          </w:tcPr>
          <w:p>
            <w:pPr>
              <w:jc w:val="center"/>
              <w:ind w:right="350"/>
              <w:spacing w:after="0"/>
              <w:rPr>
                <w:sz w:val="20"/>
                <w:szCs w:val="20"/>
                <w:color w:val="auto"/>
              </w:rPr>
            </w:pPr>
            <w:r>
              <w:rPr>
                <w:rFonts w:ascii="Arial" w:cs="Arial" w:eastAsia="Arial" w:hAnsi="Arial"/>
                <w:sz w:val="18"/>
                <w:szCs w:val="18"/>
                <w:color w:val="auto"/>
                <w:w w:val="92"/>
              </w:rPr>
              <w:t>Twelve Months Ended</w:t>
            </w:r>
          </w:p>
        </w:tc>
      </w:tr>
      <w:tr>
        <w:trPr>
          <w:trHeight w:val="270"/>
        </w:trPr>
        <w:tc>
          <w:tcPr>
            <w:tcW w:w="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520" w:type="dxa"/>
            <w:vAlign w:val="bottom"/>
            <w:gridSpan w:val="4"/>
          </w:tcPr>
          <w:p>
            <w:pPr>
              <w:jc w:val="center"/>
              <w:ind w:right="350"/>
              <w:spacing w:after="0"/>
              <w:rPr>
                <w:sz w:val="20"/>
                <w:szCs w:val="20"/>
                <w:color w:val="auto"/>
              </w:rPr>
            </w:pPr>
            <w:r>
              <w:rPr>
                <w:rFonts w:ascii="Arial" w:cs="Arial" w:eastAsia="Arial" w:hAnsi="Arial"/>
                <w:sz w:val="18"/>
                <w:szCs w:val="18"/>
                <w:color w:val="auto"/>
                <w:w w:val="88"/>
              </w:rPr>
              <w:t>September 30,</w:t>
            </w:r>
          </w:p>
        </w:tc>
      </w:tr>
      <w:tr>
        <w:trPr>
          <w:trHeight w:val="27"/>
        </w:trPr>
        <w:tc>
          <w:tcPr>
            <w:tcW w:w="6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4"/>
        </w:trPr>
        <w:tc>
          <w:tcPr>
            <w:tcW w:w="6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rPr>
              <w:t>2018</w:t>
            </w:r>
          </w:p>
        </w:tc>
      </w:tr>
      <w:tr>
        <w:trPr>
          <w:trHeight w:val="237"/>
        </w:trPr>
        <w:tc>
          <w:tcPr>
            <w:tcW w:w="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3520" w:type="dxa"/>
            <w:vAlign w:val="bottom"/>
            <w:tcBorders>
              <w:top w:val="single" w:sz="8" w:color="auto"/>
            </w:tcBorders>
            <w:gridSpan w:val="4"/>
          </w:tcPr>
          <w:p>
            <w:pPr>
              <w:jc w:val="center"/>
              <w:ind w:right="350"/>
              <w:spacing w:after="0"/>
              <w:rPr>
                <w:sz w:val="20"/>
                <w:szCs w:val="20"/>
                <w:color w:val="auto"/>
              </w:rPr>
            </w:pPr>
            <w:r>
              <w:rPr>
                <w:rFonts w:ascii="Arial" w:cs="Arial" w:eastAsia="Arial" w:hAnsi="Arial"/>
                <w:sz w:val="18"/>
                <w:szCs w:val="18"/>
                <w:color w:val="auto"/>
                <w:w w:val="91"/>
              </w:rPr>
              <w:t>(Thousands of dollars)</w:t>
            </w:r>
          </w:p>
        </w:tc>
      </w:tr>
      <w:tr>
        <w:trPr>
          <w:trHeight w:val="27"/>
        </w:trPr>
        <w:tc>
          <w:tcPr>
            <w:tcW w:w="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Gas operating revenues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1,359,581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1,354,000</w:t>
            </w:r>
          </w:p>
        </w:tc>
      </w:tr>
      <w:tr>
        <w:trPr>
          <w:trHeight w:val="243"/>
        </w:trPr>
        <w:tc>
          <w:tcPr>
            <w:tcW w:w="7420" w:type="dxa"/>
            <w:vAlign w:val="bottom"/>
            <w:gridSpan w:val="5"/>
          </w:tcPr>
          <w:p>
            <w:pPr>
              <w:ind w:left="40"/>
              <w:spacing w:after="0"/>
              <w:rPr>
                <w:sz w:val="20"/>
                <w:szCs w:val="20"/>
                <w:color w:val="auto"/>
              </w:rPr>
            </w:pPr>
            <w:r>
              <w:rPr>
                <w:rFonts w:ascii="Arial" w:cs="Arial" w:eastAsia="Arial" w:hAnsi="Arial"/>
                <w:sz w:val="18"/>
                <w:szCs w:val="18"/>
                <w:color w:val="auto"/>
              </w:rPr>
              <w:t>Net cost of gas sold</w:t>
            </w:r>
          </w:p>
        </w:tc>
        <w:tc>
          <w:tcPr>
            <w:tcW w:w="46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393,141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412,307</w:t>
            </w:r>
          </w:p>
        </w:tc>
      </w:tr>
      <w:tr>
        <w:trPr>
          <w:trHeight w:val="27"/>
        </w:trPr>
        <w:tc>
          <w:tcPr>
            <w:tcW w:w="6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60" w:type="dxa"/>
            <w:vAlign w:val="bottom"/>
            <w:tcBorders>
              <w:bottom w:val="single" w:sz="8" w:color="CCEEFF"/>
            </w:tcBorders>
            <w:shd w:val="clear" w:color="auto" w:fill="CCEEFF"/>
          </w:tcPr>
          <w:p>
            <w:pPr>
              <w:spacing w:after="0"/>
              <w:rPr>
                <w:sz w:val="21"/>
                <w:szCs w:val="21"/>
                <w:color w:val="auto"/>
              </w:rPr>
            </w:pPr>
          </w:p>
        </w:tc>
        <w:tc>
          <w:tcPr>
            <w:tcW w:w="7360" w:type="dxa"/>
            <w:vAlign w:val="bottom"/>
            <w:tcBorders>
              <w:bottom w:val="single" w:sz="8" w:color="CCEEFF"/>
            </w:tcBorders>
            <w:gridSpan w:val="4"/>
            <w:shd w:val="clear" w:color="auto" w:fill="CCEEFF"/>
          </w:tcPr>
          <w:p>
            <w:pPr>
              <w:ind w:left="480"/>
              <w:spacing w:after="0"/>
              <w:rPr>
                <w:sz w:val="20"/>
                <w:szCs w:val="20"/>
                <w:color w:val="auto"/>
              </w:rPr>
            </w:pPr>
            <w:r>
              <w:rPr>
                <w:rFonts w:ascii="Arial" w:cs="Arial" w:eastAsia="Arial" w:hAnsi="Arial"/>
                <w:sz w:val="18"/>
                <w:szCs w:val="18"/>
                <w:color w:val="auto"/>
              </w:rPr>
              <w:t>Operating margin</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966,440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941,693</w:t>
            </w:r>
          </w:p>
        </w:tc>
      </w:tr>
      <w:tr>
        <w:trPr>
          <w:trHeight w:val="243"/>
        </w:trPr>
        <w:tc>
          <w:tcPr>
            <w:tcW w:w="7420" w:type="dxa"/>
            <w:vAlign w:val="bottom"/>
            <w:gridSpan w:val="5"/>
          </w:tcPr>
          <w:p>
            <w:pPr>
              <w:ind w:left="40"/>
              <w:spacing w:after="0"/>
              <w:rPr>
                <w:sz w:val="20"/>
                <w:szCs w:val="20"/>
                <w:color w:val="auto"/>
              </w:rPr>
            </w:pPr>
            <w:r>
              <w:rPr>
                <w:rFonts w:ascii="Arial" w:cs="Arial" w:eastAsia="Arial" w:hAnsi="Arial"/>
                <w:sz w:val="18"/>
                <w:szCs w:val="18"/>
                <w:color w:val="auto"/>
              </w:rPr>
              <w:t>Operations and maintenance expense</w:t>
            </w:r>
          </w:p>
        </w:tc>
        <w:tc>
          <w:tcPr>
            <w:tcW w:w="46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412,330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404,549</w:t>
            </w:r>
          </w:p>
        </w:tc>
      </w:tr>
      <w:tr>
        <w:trPr>
          <w:trHeight w:val="27"/>
        </w:trPr>
        <w:tc>
          <w:tcPr>
            <w:tcW w:w="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205,594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193,828</w:t>
            </w:r>
          </w:p>
        </w:tc>
      </w:tr>
      <w:tr>
        <w:trPr>
          <w:trHeight w:val="243"/>
        </w:trPr>
        <w:tc>
          <w:tcPr>
            <w:tcW w:w="7420" w:type="dxa"/>
            <w:vAlign w:val="bottom"/>
            <w:gridSpan w:val="5"/>
          </w:tcPr>
          <w:p>
            <w:pPr>
              <w:ind w:left="40"/>
              <w:spacing w:after="0"/>
              <w:rPr>
                <w:sz w:val="20"/>
                <w:szCs w:val="20"/>
                <w:color w:val="auto"/>
              </w:rPr>
            </w:pPr>
            <w:r>
              <w:rPr>
                <w:rFonts w:ascii="Arial" w:cs="Arial" w:eastAsia="Arial" w:hAnsi="Arial"/>
                <w:sz w:val="18"/>
                <w:szCs w:val="18"/>
                <w:color w:val="auto"/>
              </w:rPr>
              <w:t>Taxes other than income taxes</w:t>
            </w:r>
          </w:p>
        </w:tc>
        <w:tc>
          <w:tcPr>
            <w:tcW w:w="46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61,579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59,580</w:t>
            </w:r>
          </w:p>
        </w:tc>
      </w:tr>
      <w:tr>
        <w:trPr>
          <w:trHeight w:val="27"/>
        </w:trPr>
        <w:tc>
          <w:tcPr>
            <w:tcW w:w="6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60" w:type="dxa"/>
            <w:vAlign w:val="bottom"/>
            <w:tcBorders>
              <w:bottom w:val="single" w:sz="8" w:color="CCEEFF"/>
            </w:tcBorders>
            <w:shd w:val="clear" w:color="auto" w:fill="CCEEFF"/>
          </w:tcPr>
          <w:p>
            <w:pPr>
              <w:spacing w:after="0"/>
              <w:rPr>
                <w:sz w:val="21"/>
                <w:szCs w:val="21"/>
                <w:color w:val="auto"/>
              </w:rPr>
            </w:pPr>
          </w:p>
        </w:tc>
        <w:tc>
          <w:tcPr>
            <w:tcW w:w="7360" w:type="dxa"/>
            <w:vAlign w:val="bottom"/>
            <w:tcBorders>
              <w:bottom w:val="single" w:sz="8" w:color="CCEEFF"/>
            </w:tcBorders>
            <w:gridSpan w:val="4"/>
            <w:shd w:val="clear" w:color="auto" w:fill="CCEEFF"/>
          </w:tcPr>
          <w:p>
            <w:pPr>
              <w:ind w:left="480"/>
              <w:spacing w:after="0"/>
              <w:rPr>
                <w:sz w:val="20"/>
                <w:szCs w:val="20"/>
                <w:color w:val="auto"/>
              </w:rPr>
            </w:pPr>
            <w:r>
              <w:rPr>
                <w:rFonts w:ascii="Arial" w:cs="Arial" w:eastAsia="Arial" w:hAnsi="Arial"/>
                <w:sz w:val="18"/>
                <w:szCs w:val="18"/>
                <w:color w:val="auto"/>
              </w:rPr>
              <w:t>Operating income</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286,937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283,736</w:t>
            </w:r>
          </w:p>
        </w:tc>
      </w:tr>
      <w:tr>
        <w:trPr>
          <w:trHeight w:val="243"/>
        </w:trPr>
        <w:tc>
          <w:tcPr>
            <w:tcW w:w="7420" w:type="dxa"/>
            <w:vAlign w:val="bottom"/>
            <w:gridSpan w:val="5"/>
          </w:tcPr>
          <w:p>
            <w:pPr>
              <w:ind w:left="40"/>
              <w:spacing w:after="0"/>
              <w:rPr>
                <w:sz w:val="20"/>
                <w:szCs w:val="20"/>
                <w:color w:val="auto"/>
              </w:rPr>
            </w:pPr>
            <w:r>
              <w:rPr>
                <w:rFonts w:ascii="Arial" w:cs="Arial" w:eastAsia="Arial" w:hAnsi="Arial"/>
                <w:sz w:val="18"/>
                <w:szCs w:val="18"/>
                <w:color w:val="auto"/>
              </w:rPr>
              <w:t>Other income (deductions)</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(5,194)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(6,425)</w:t>
            </w:r>
          </w:p>
        </w:tc>
      </w:tr>
      <w:tr>
        <w:trPr>
          <w:trHeight w:val="27"/>
        </w:trPr>
        <w:tc>
          <w:tcPr>
            <w:tcW w:w="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4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interest deductions</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92,000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77,914</w:t>
            </w:r>
          </w:p>
        </w:tc>
      </w:tr>
      <w:tr>
        <w:trPr>
          <w:trHeight w:val="237"/>
        </w:trPr>
        <w:tc>
          <w:tcPr>
            <w:tcW w:w="60" w:type="dxa"/>
            <w:vAlign w:val="bottom"/>
          </w:tcPr>
          <w:p>
            <w:pPr>
              <w:spacing w:after="0"/>
              <w:rPr>
                <w:sz w:val="20"/>
                <w:szCs w:val="20"/>
                <w:color w:val="auto"/>
              </w:rPr>
            </w:pPr>
          </w:p>
        </w:tc>
        <w:tc>
          <w:tcPr>
            <w:tcW w:w="7360" w:type="dxa"/>
            <w:vAlign w:val="bottom"/>
            <w:gridSpan w:val="4"/>
          </w:tcPr>
          <w:p>
            <w:pPr>
              <w:ind w:left="480"/>
              <w:spacing w:after="0"/>
              <w:rPr>
                <w:sz w:val="20"/>
                <w:szCs w:val="20"/>
                <w:color w:val="auto"/>
              </w:rPr>
            </w:pPr>
            <w:r>
              <w:rPr>
                <w:rFonts w:ascii="Arial" w:cs="Arial" w:eastAsia="Arial" w:hAnsi="Arial"/>
                <w:sz w:val="18"/>
                <w:szCs w:val="18"/>
                <w:color w:val="auto"/>
              </w:rPr>
              <w:t>Income before income taxes</w:t>
            </w: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189,743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199,397</w:t>
            </w:r>
          </w:p>
        </w:tc>
      </w:tr>
      <w:tr>
        <w:trPr>
          <w:trHeight w:val="27"/>
        </w:trPr>
        <w:tc>
          <w:tcPr>
            <w:tcW w:w="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4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43,456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45,714</w:t>
            </w:r>
          </w:p>
        </w:tc>
      </w:tr>
      <w:tr>
        <w:trPr>
          <w:trHeight w:val="257"/>
        </w:trPr>
        <w:tc>
          <w:tcPr>
            <w:tcW w:w="60" w:type="dxa"/>
            <w:vAlign w:val="bottom"/>
          </w:tcPr>
          <w:p>
            <w:pPr>
              <w:spacing w:after="0"/>
              <w:rPr>
                <w:sz w:val="22"/>
                <w:szCs w:val="22"/>
                <w:color w:val="auto"/>
              </w:rPr>
            </w:pPr>
          </w:p>
        </w:tc>
        <w:tc>
          <w:tcPr>
            <w:tcW w:w="7360" w:type="dxa"/>
            <w:vAlign w:val="bottom"/>
            <w:gridSpan w:val="4"/>
          </w:tcPr>
          <w:p>
            <w:pPr>
              <w:ind w:left="480"/>
              <w:spacing w:after="0"/>
              <w:rPr>
                <w:sz w:val="20"/>
                <w:szCs w:val="20"/>
                <w:color w:val="auto"/>
              </w:rPr>
            </w:pPr>
            <w:r>
              <w:rPr>
                <w:rFonts w:ascii="Arial" w:cs="Arial" w:eastAsia="Arial" w:hAnsi="Arial"/>
                <w:sz w:val="18"/>
                <w:szCs w:val="18"/>
                <w:color w:val="auto"/>
              </w:rPr>
              <w:t>Contribution to consolidated net income</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146,287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153,683</w:t>
            </w:r>
          </w:p>
        </w:tc>
      </w:tr>
      <w:tr>
        <w:trPr>
          <w:trHeight w:val="20"/>
        </w:trPr>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Contribution to consolidated net income from natural gas operations decreased by $7.4 million between the twelve-month periods ended September 2019 and September 2018. The decrease was primarily due to higher Operations and maintenance expense, Depreciation and amortization expense, and Net interest deductions, partially offset by increases in operating margin and Other income.</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margin increased $25 million between periods. Customer growth provided $11 million, and combined rate relief, primarily in Nevada and California, provided $9 million of incremental operating margin. The remaining net increase resulted from recoveries of regulatory assets, net of the return of California climate credits from the cap and trade program, infrastructure replacement mechanisms, customers outside the decoupling mechanisms, and other miscellaneous revenues, net of the regulatory impacts of U.S. tax reform.</w:t>
      </w:r>
    </w:p>
    <w:p>
      <w:pPr>
        <w:spacing w:after="0" w:line="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Operations and maintenance expense increased $7.8 million, or 2%, between periods primarily due to higher general costs and expenditures for pipeline damage prevention programs, offset by a reduction in the service-related component of pension and other postretirement benefit costs.</w:t>
      </w:r>
    </w:p>
    <w:p>
      <w:pPr>
        <w:spacing w:after="0" w:line="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Depreciation and amortization expense increased $11.8 million, or 6%, between periods primarily due to a $550 million, or 8%, increase in average gas plant in service for the current period as compared to the prior period. The expense increase reflects an offsetting reduction in regulatory amortization between periods, including the impacts of climate credits returned to California customers under the cap and trade program.</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Taxes other than income taxes increased $2 million, or 3%, between periods primarily due to higher property taxes associated with net plant additions, Nevada commerce taxes, and California franchise taxes.</w:t>
      </w:r>
    </w:p>
    <w:p>
      <w:pPr>
        <w:spacing w:after="0" w:line="62"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Other income (deductions) improved $1.2 million between the twelve-month periods ended September 2019 and September 2018. Equity AFUDC contributed $4.5 million as a result of increased construction expenditures and higher underlying rates. Additionally, the non-service components of employee pension and other postretirement benefits costs improved in the current period by $4 million. Offsetting these increases was a decline of $7.5 million between periods due to the combined effects of changes in cash surrender values of COLI policies and net death benefits.</w:t>
      </w:r>
    </w:p>
    <w:p>
      <w:pPr>
        <w:spacing w:after="0" w:line="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interest deductions increased $14.1 million between periods primarily due to higher interest associated with the issuance of $300 million of Senior Notes in March 2018 and $300 million in May 2019, higher interest rates and average outstanding balances under Southwest’s credit facility, and carrying costs on PGA balances in the current period.</w:t>
      </w:r>
    </w:p>
    <w:p>
      <w:pPr>
        <w:spacing w:after="0" w:line="3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0"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7580" w:type="dxa"/>
            <w:vAlign w:val="bottom"/>
            <w:gridSpan w:val="4"/>
          </w:tcPr>
          <w:p>
            <w:pPr>
              <w:spacing w:after="0"/>
              <w:rPr>
                <w:sz w:val="20"/>
                <w:szCs w:val="20"/>
                <w:color w:val="auto"/>
              </w:rPr>
            </w:pPr>
            <w:r>
              <w:rPr>
                <w:rFonts w:ascii="Arial" w:cs="Arial" w:eastAsia="Arial" w:hAnsi="Arial"/>
                <w:sz w:val="18"/>
                <w:szCs w:val="18"/>
                <w:color w:val="auto"/>
              </w:rPr>
              <w:t>SOUTHWEST GAS HOLDINGS, INC.</w:t>
            </w:r>
          </w:p>
        </w:tc>
        <w:tc>
          <w:tcPr>
            <w:tcW w:w="1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60" w:type="dxa"/>
            <w:vAlign w:val="bottom"/>
          </w:tcPr>
          <w:p>
            <w:pPr>
              <w:spacing w:after="0"/>
              <w:rPr>
                <w:sz w:val="21"/>
                <w:szCs w:val="21"/>
                <w:color w:val="auto"/>
              </w:rPr>
            </w:pPr>
          </w:p>
        </w:tc>
        <w:tc>
          <w:tcPr>
            <w:tcW w:w="29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6"/>
              </w:rPr>
              <w:t>SOUTHWEST GAS CORPORATION</w:t>
            </w:r>
          </w:p>
        </w:tc>
        <w:tc>
          <w:tcPr>
            <w:tcW w:w="46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September 30, 2019</w:t>
            </w:r>
          </w:p>
        </w:tc>
      </w:tr>
      <w:tr>
        <w:trPr>
          <w:trHeight w:val="20"/>
        </w:trPr>
        <w:tc>
          <w:tcPr>
            <w:tcW w:w="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939"/>
        </w:trPr>
        <w:tc>
          <w:tcPr>
            <w:tcW w:w="7640" w:type="dxa"/>
            <w:vAlign w:val="bottom"/>
            <w:gridSpan w:val="5"/>
          </w:tcPr>
          <w:p>
            <w:pPr>
              <w:spacing w:after="0"/>
              <w:rPr>
                <w:sz w:val="20"/>
                <w:szCs w:val="20"/>
                <w:color w:val="auto"/>
              </w:rPr>
            </w:pPr>
            <w:r>
              <w:rPr>
                <w:rFonts w:ascii="Arial" w:cs="Arial" w:eastAsia="Arial" w:hAnsi="Arial"/>
                <w:sz w:val="18"/>
                <w:szCs w:val="18"/>
                <w:color w:val="auto"/>
              </w:rPr>
              <w:t>Results of Utility Infrastructure Services</w:t>
            </w: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84"/>
        </w:trPr>
        <w:tc>
          <w:tcPr>
            <w:tcW w:w="7640" w:type="dxa"/>
            <w:vAlign w:val="bottom"/>
            <w:gridSpan w:val="5"/>
          </w:tcPr>
          <w:p>
            <w:pPr>
              <w:spacing w:after="0"/>
              <w:rPr>
                <w:sz w:val="20"/>
                <w:szCs w:val="20"/>
                <w:color w:val="auto"/>
              </w:rPr>
            </w:pPr>
            <w:r>
              <w:rPr>
                <w:rFonts w:ascii="Arial" w:cs="Arial" w:eastAsia="Arial" w:hAnsi="Arial"/>
                <w:sz w:val="18"/>
                <w:szCs w:val="18"/>
                <w:color w:val="auto"/>
              </w:rPr>
              <w:t>Quarterly Analysis</w:t>
            </w: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9"/>
        </w:trPr>
        <w:tc>
          <w:tcPr>
            <w:tcW w:w="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60" w:type="dxa"/>
            <w:vAlign w:val="bottom"/>
            <w:gridSpan w:val="3"/>
          </w:tcPr>
          <w:p>
            <w:pPr>
              <w:jc w:val="center"/>
              <w:spacing w:after="0"/>
              <w:rPr>
                <w:sz w:val="20"/>
                <w:szCs w:val="20"/>
                <w:color w:val="auto"/>
              </w:rPr>
            </w:pPr>
            <w:r>
              <w:rPr>
                <w:rFonts w:ascii="Arial" w:cs="Arial" w:eastAsia="Arial" w:hAnsi="Arial"/>
                <w:sz w:val="18"/>
                <w:szCs w:val="18"/>
                <w:color w:val="auto"/>
                <w:w w:val="90"/>
              </w:rPr>
              <w:t>Three Months Ended</w:t>
            </w:r>
          </w:p>
        </w:tc>
        <w:tc>
          <w:tcPr>
            <w:tcW w:w="1100" w:type="dxa"/>
            <w:vAlign w:val="bottom"/>
          </w:tcPr>
          <w:p>
            <w:pPr>
              <w:spacing w:after="0"/>
              <w:rPr>
                <w:sz w:val="24"/>
                <w:szCs w:val="24"/>
                <w:color w:val="auto"/>
              </w:rPr>
            </w:pPr>
          </w:p>
        </w:tc>
      </w:tr>
      <w:tr>
        <w:trPr>
          <w:trHeight w:val="270"/>
        </w:trPr>
        <w:tc>
          <w:tcPr>
            <w:tcW w:w="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560" w:type="dxa"/>
            <w:vAlign w:val="bottom"/>
            <w:gridSpan w:val="3"/>
          </w:tcPr>
          <w:p>
            <w:pPr>
              <w:jc w:val="center"/>
              <w:spacing w:after="0"/>
              <w:rPr>
                <w:sz w:val="20"/>
                <w:szCs w:val="20"/>
                <w:color w:val="auto"/>
              </w:rPr>
            </w:pPr>
            <w:r>
              <w:rPr>
                <w:rFonts w:ascii="Arial" w:cs="Arial" w:eastAsia="Arial" w:hAnsi="Arial"/>
                <w:sz w:val="18"/>
                <w:szCs w:val="18"/>
                <w:color w:val="auto"/>
                <w:w w:val="88"/>
              </w:rPr>
              <w:t>September 30,</w:t>
            </w:r>
          </w:p>
        </w:tc>
        <w:tc>
          <w:tcPr>
            <w:tcW w:w="1100" w:type="dxa"/>
            <w:vAlign w:val="bottom"/>
          </w:tcPr>
          <w:p>
            <w:pPr>
              <w:spacing w:after="0"/>
              <w:rPr>
                <w:sz w:val="23"/>
                <w:szCs w:val="23"/>
                <w:color w:val="auto"/>
              </w:rPr>
            </w:pPr>
          </w:p>
        </w:tc>
      </w:tr>
      <w:tr>
        <w:trPr>
          <w:trHeight w:val="27"/>
        </w:trPr>
        <w:tc>
          <w:tcPr>
            <w:tcW w:w="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w w:val="84"/>
              </w:rPr>
              <w:t>2018</w:t>
            </w:r>
          </w:p>
        </w:tc>
      </w:tr>
      <w:tr>
        <w:trPr>
          <w:trHeight w:val="237"/>
        </w:trPr>
        <w:tc>
          <w:tcPr>
            <w:tcW w:w="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376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0"/>
              </w:rPr>
              <w:t>(Thousands of dollars)</w:t>
            </w:r>
          </w:p>
        </w:tc>
      </w:tr>
      <w:tr>
        <w:trPr>
          <w:trHeight w:val="27"/>
        </w:trPr>
        <w:tc>
          <w:tcPr>
            <w:tcW w:w="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6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Utility infrastructure services revenues</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515,250</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450,623</w:t>
            </w:r>
          </w:p>
        </w:tc>
      </w:tr>
      <w:tr>
        <w:trPr>
          <w:trHeight w:val="243"/>
        </w:trPr>
        <w:tc>
          <w:tcPr>
            <w:tcW w:w="7640" w:type="dxa"/>
            <w:vAlign w:val="bottom"/>
            <w:gridSpan w:val="5"/>
          </w:tcPr>
          <w:p>
            <w:pPr>
              <w:ind w:left="40"/>
              <w:spacing w:after="0"/>
              <w:rPr>
                <w:sz w:val="20"/>
                <w:szCs w:val="20"/>
                <w:color w:val="auto"/>
              </w:rPr>
            </w:pPr>
            <w:r>
              <w:rPr>
                <w:rFonts w:ascii="Arial" w:cs="Arial" w:eastAsia="Arial" w:hAnsi="Arial"/>
                <w:sz w:val="18"/>
                <w:szCs w:val="18"/>
                <w:color w:val="auto"/>
              </w:rPr>
              <w:t>Operating expenses:</w:t>
            </w: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7580" w:type="dxa"/>
            <w:vAlign w:val="bottom"/>
            <w:tcBorders>
              <w:bottom w:val="single" w:sz="8" w:color="CCEEFF"/>
            </w:tcBorders>
            <w:gridSpan w:val="4"/>
            <w:shd w:val="clear" w:color="auto" w:fill="CCEEFF"/>
          </w:tcPr>
          <w:p>
            <w:pPr>
              <w:ind w:left="480"/>
              <w:spacing w:after="0"/>
              <w:rPr>
                <w:sz w:val="20"/>
                <w:szCs w:val="20"/>
                <w:color w:val="auto"/>
              </w:rPr>
            </w:pPr>
            <w:r>
              <w:rPr>
                <w:rFonts w:ascii="Arial" w:cs="Arial" w:eastAsia="Arial" w:hAnsi="Arial"/>
                <w:sz w:val="18"/>
                <w:szCs w:val="18"/>
                <w:color w:val="auto"/>
              </w:rPr>
              <w:t>Utility infrastructure services expenses</w:t>
            </w: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451,574</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395,862</w:t>
            </w:r>
          </w:p>
        </w:tc>
      </w:tr>
      <w:tr>
        <w:trPr>
          <w:trHeight w:val="243"/>
        </w:trPr>
        <w:tc>
          <w:tcPr>
            <w:tcW w:w="60" w:type="dxa"/>
            <w:vAlign w:val="bottom"/>
          </w:tcPr>
          <w:p>
            <w:pPr>
              <w:spacing w:after="0"/>
              <w:rPr>
                <w:sz w:val="21"/>
                <w:szCs w:val="21"/>
                <w:color w:val="auto"/>
              </w:rPr>
            </w:pPr>
          </w:p>
        </w:tc>
        <w:tc>
          <w:tcPr>
            <w:tcW w:w="7580" w:type="dxa"/>
            <w:vAlign w:val="bottom"/>
            <w:gridSpan w:val="4"/>
          </w:tcPr>
          <w:p>
            <w:pPr>
              <w:ind w:left="480"/>
              <w:spacing w:after="0"/>
              <w:rPr>
                <w:sz w:val="20"/>
                <w:szCs w:val="20"/>
                <w:color w:val="auto"/>
              </w:rPr>
            </w:pPr>
            <w:r>
              <w:rPr>
                <w:rFonts w:ascii="Arial" w:cs="Arial" w:eastAsia="Arial" w:hAnsi="Arial"/>
                <w:sz w:val="18"/>
                <w:szCs w:val="18"/>
                <w:color w:val="auto"/>
              </w:rPr>
              <w:t>Depreciation and amortization</w:t>
            </w: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22,998</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14,232</w:t>
            </w:r>
          </w:p>
        </w:tc>
      </w:tr>
      <w:tr>
        <w:trPr>
          <w:trHeight w:val="27"/>
        </w:trPr>
        <w:tc>
          <w:tcPr>
            <w:tcW w:w="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0" w:type="dxa"/>
            <w:vAlign w:val="bottom"/>
            <w:tcBorders>
              <w:bottom w:val="single" w:sz="8" w:color="CCEEFF"/>
            </w:tcBorders>
            <w:shd w:val="clear" w:color="auto" w:fill="CCEEFF"/>
          </w:tcPr>
          <w:p>
            <w:pPr>
              <w:spacing w:after="0"/>
              <w:rPr>
                <w:sz w:val="21"/>
                <w:szCs w:val="21"/>
                <w:color w:val="auto"/>
              </w:rPr>
            </w:pPr>
          </w:p>
        </w:tc>
        <w:tc>
          <w:tcPr>
            <w:tcW w:w="7580" w:type="dxa"/>
            <w:vAlign w:val="bottom"/>
            <w:tcBorders>
              <w:bottom w:val="single" w:sz="8" w:color="CCEEFF"/>
            </w:tcBorders>
            <w:gridSpan w:val="4"/>
            <w:shd w:val="clear" w:color="auto" w:fill="CCEEFF"/>
          </w:tcPr>
          <w:p>
            <w:pPr>
              <w:ind w:left="320"/>
              <w:spacing w:after="0"/>
              <w:rPr>
                <w:sz w:val="20"/>
                <w:szCs w:val="20"/>
                <w:color w:val="auto"/>
              </w:rPr>
            </w:pPr>
            <w:r>
              <w:rPr>
                <w:rFonts w:ascii="Arial" w:cs="Arial" w:eastAsia="Arial" w:hAnsi="Arial"/>
                <w:sz w:val="18"/>
                <w:szCs w:val="18"/>
                <w:color w:val="auto"/>
              </w:rPr>
              <w:t>Operating income</w:t>
            </w: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40,678</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40,529</w:t>
            </w:r>
          </w:p>
        </w:tc>
      </w:tr>
      <w:tr>
        <w:trPr>
          <w:trHeight w:val="243"/>
        </w:trPr>
        <w:tc>
          <w:tcPr>
            <w:tcW w:w="7640" w:type="dxa"/>
            <w:vAlign w:val="bottom"/>
            <w:gridSpan w:val="5"/>
          </w:tcPr>
          <w:p>
            <w:pPr>
              <w:ind w:left="40"/>
              <w:spacing w:after="0"/>
              <w:rPr>
                <w:sz w:val="20"/>
                <w:szCs w:val="20"/>
                <w:color w:val="auto"/>
              </w:rPr>
            </w:pPr>
            <w:r>
              <w:rPr>
                <w:rFonts w:ascii="Arial" w:cs="Arial" w:eastAsia="Arial" w:hAnsi="Arial"/>
                <w:sz w:val="18"/>
                <w:szCs w:val="18"/>
                <w:color w:val="auto"/>
              </w:rPr>
              <w:t>Other income (deductions)</w:t>
            </w: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38</w:t>
            </w:r>
          </w:p>
        </w:tc>
      </w:tr>
      <w:tr>
        <w:trPr>
          <w:trHeight w:val="27"/>
        </w:trPr>
        <w:tc>
          <w:tcPr>
            <w:tcW w:w="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6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interest deductions</w:t>
            </w: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3,788</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3,945</w:t>
            </w:r>
          </w:p>
        </w:tc>
      </w:tr>
      <w:tr>
        <w:trPr>
          <w:trHeight w:val="237"/>
        </w:trPr>
        <w:tc>
          <w:tcPr>
            <w:tcW w:w="60" w:type="dxa"/>
            <w:vAlign w:val="bottom"/>
          </w:tcPr>
          <w:p>
            <w:pPr>
              <w:spacing w:after="0"/>
              <w:rPr>
                <w:sz w:val="20"/>
                <w:szCs w:val="20"/>
                <w:color w:val="auto"/>
              </w:rPr>
            </w:pPr>
          </w:p>
        </w:tc>
        <w:tc>
          <w:tcPr>
            <w:tcW w:w="7580" w:type="dxa"/>
            <w:vAlign w:val="bottom"/>
            <w:gridSpan w:val="4"/>
          </w:tcPr>
          <w:p>
            <w:pPr>
              <w:ind w:left="320"/>
              <w:spacing w:after="0"/>
              <w:rPr>
                <w:sz w:val="20"/>
                <w:szCs w:val="20"/>
                <w:color w:val="auto"/>
              </w:rPr>
            </w:pPr>
            <w:r>
              <w:rPr>
                <w:rFonts w:ascii="Arial" w:cs="Arial" w:eastAsia="Arial" w:hAnsi="Arial"/>
                <w:sz w:val="18"/>
                <w:szCs w:val="18"/>
                <w:color w:val="auto"/>
              </w:rPr>
              <w:t>Income before income taxes</w:t>
            </w:r>
          </w:p>
        </w:tc>
        <w:tc>
          <w:tcPr>
            <w:tcW w:w="1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37,061</w:t>
            </w:r>
          </w:p>
        </w:tc>
        <w:tc>
          <w:tcPr>
            <w:tcW w:w="10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36,622</w:t>
            </w:r>
          </w:p>
        </w:tc>
      </w:tr>
      <w:tr>
        <w:trPr>
          <w:trHeight w:val="27"/>
        </w:trPr>
        <w:tc>
          <w:tcPr>
            <w:tcW w:w="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6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10,051</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9,824</w:t>
            </w:r>
          </w:p>
        </w:tc>
      </w:tr>
      <w:tr>
        <w:trPr>
          <w:trHeight w:val="237"/>
        </w:trPr>
        <w:tc>
          <w:tcPr>
            <w:tcW w:w="60" w:type="dxa"/>
            <w:vAlign w:val="bottom"/>
          </w:tcPr>
          <w:p>
            <w:pPr>
              <w:spacing w:after="0"/>
              <w:rPr>
                <w:sz w:val="20"/>
                <w:szCs w:val="20"/>
                <w:color w:val="auto"/>
              </w:rPr>
            </w:pPr>
          </w:p>
        </w:tc>
        <w:tc>
          <w:tcPr>
            <w:tcW w:w="7580" w:type="dxa"/>
            <w:vAlign w:val="bottom"/>
            <w:gridSpan w:val="4"/>
          </w:tcPr>
          <w:p>
            <w:pPr>
              <w:ind w:left="320"/>
              <w:spacing w:after="0"/>
              <w:rPr>
                <w:sz w:val="20"/>
                <w:szCs w:val="20"/>
                <w:color w:val="auto"/>
              </w:rPr>
            </w:pPr>
            <w:r>
              <w:rPr>
                <w:rFonts w:ascii="Arial" w:cs="Arial" w:eastAsia="Arial" w:hAnsi="Arial"/>
                <w:sz w:val="18"/>
                <w:szCs w:val="18"/>
                <w:color w:val="auto"/>
              </w:rPr>
              <w:t>Net income</w:t>
            </w:r>
          </w:p>
        </w:tc>
        <w:tc>
          <w:tcPr>
            <w:tcW w:w="1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27,010</w:t>
            </w:r>
          </w:p>
        </w:tc>
        <w:tc>
          <w:tcPr>
            <w:tcW w:w="10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26,798</w:t>
            </w:r>
          </w:p>
        </w:tc>
      </w:tr>
      <w:tr>
        <w:trPr>
          <w:trHeight w:val="27"/>
        </w:trPr>
        <w:tc>
          <w:tcPr>
            <w:tcW w:w="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6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income attributable to noncontrolling interest</w:t>
            </w: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1,172</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57"/>
        </w:trPr>
        <w:tc>
          <w:tcPr>
            <w:tcW w:w="7640" w:type="dxa"/>
            <w:vAlign w:val="bottom"/>
            <w:gridSpan w:val="5"/>
          </w:tcPr>
          <w:p>
            <w:pPr>
              <w:ind w:left="40"/>
              <w:spacing w:after="0"/>
              <w:rPr>
                <w:sz w:val="20"/>
                <w:szCs w:val="20"/>
                <w:color w:val="auto"/>
              </w:rPr>
            </w:pPr>
            <w:r>
              <w:rPr>
                <w:rFonts w:ascii="Arial" w:cs="Arial" w:eastAsia="Arial" w:hAnsi="Arial"/>
                <w:sz w:val="18"/>
                <w:szCs w:val="18"/>
                <w:color w:val="auto"/>
              </w:rPr>
              <w:t>Contribution to consolidated net income attributable to Centuri</w:t>
            </w:r>
          </w:p>
        </w:tc>
        <w:tc>
          <w:tcPr>
            <w:tcW w:w="1100" w:type="dxa"/>
            <w:vAlign w:val="bottom"/>
            <w:tcBorders>
              <w:top w:val="single" w:sz="8" w:color="auto"/>
              <w:bottom w:val="single" w:sz="8" w:color="auto"/>
            </w:tcBorders>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25,838</w:t>
            </w:r>
          </w:p>
        </w:tc>
        <w:tc>
          <w:tcPr>
            <w:tcW w:w="100" w:type="dxa"/>
            <w:vAlign w:val="bottom"/>
          </w:tcPr>
          <w:p>
            <w:pPr>
              <w:spacing w:after="0"/>
              <w:rPr>
                <w:sz w:val="22"/>
                <w:szCs w:val="22"/>
                <w:color w:val="auto"/>
              </w:rPr>
            </w:pPr>
          </w:p>
        </w:tc>
        <w:tc>
          <w:tcPr>
            <w:tcW w:w="7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26,798</w:t>
            </w:r>
          </w:p>
        </w:tc>
      </w:tr>
      <w:tr>
        <w:trPr>
          <w:trHeight w:val="20"/>
        </w:trPr>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November 2018, Centuri acquired Linetec. The table above, therefore, includes results for Linetec in the 2019 period only, including $70.3 million of revenue and approximately $3.7 million of net income attributable to Linetec during the three months ended September 30, 2019.</w:t>
      </w:r>
    </w:p>
    <w:p>
      <w:pPr>
        <w:spacing w:after="0" w:line="6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Utility infrastructure services revenues increased $64.6 million in the third quarter of 2019 when compared to the prior-year quarter, primarily due to the incremental revenues contributed by Linetec. These increases were offset by the July 2019 expiration of a multi-year water pipe replacement project which was not renewed. The prior-year quarter also included revenue from certain non-routine customer-requested support during a strike-related event.</w:t>
      </w:r>
    </w:p>
    <w:p>
      <w:pPr>
        <w:spacing w:after="0" w:line="3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Utility infrastructure services expenses increased $55.7 million in the third quarter of 2019 when compared to the prior-year quarter, due primarily to $55.8 million of Linetec expenses. Implementation of new regulatory requirements for operating locations within certain eastern states in the U.S. resulted in lower revenues and productivity inefficiencies totaling an estimated $4 million during the current quarter as Centuri works with customers to adopt the new requirements. Efforts to complete an industrial construction project in Canada resulted in additional costs of approximately $2 million during the current quarter as a result of delays in commissioning the project. Additionally, changes in the mix of work requested in 2019 by certain customers under unit-priced multi-year master services contracts resulted in higher labor and equipment costs compared to the work anticipated.</w:t>
      </w:r>
    </w:p>
    <w:p>
      <w:pPr>
        <w:spacing w:after="0" w:line="70"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Depreciation and amortization expense increased $8.8 million between quarters. Approximately $7.5 million of the increase was attributable to the Linetec acquisition, including amortization of finite-lived intangible assets ($1.2 million) and depreciation of property and equipment ($6.3 million) during the third quarter of 2019. The remaining increase was attributable to additional equipment purchased to support the growing volume of work being performed.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70"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7580" w:type="dxa"/>
            <w:vAlign w:val="bottom"/>
            <w:gridSpan w:val="4"/>
          </w:tcPr>
          <w:p>
            <w:pPr>
              <w:spacing w:after="0"/>
              <w:rPr>
                <w:sz w:val="20"/>
                <w:szCs w:val="20"/>
                <w:color w:val="auto"/>
              </w:rPr>
            </w:pPr>
            <w:r>
              <w:rPr>
                <w:rFonts w:ascii="Arial" w:cs="Arial" w:eastAsia="Arial" w:hAnsi="Arial"/>
                <w:sz w:val="18"/>
                <w:szCs w:val="18"/>
                <w:color w:val="auto"/>
              </w:rPr>
              <w:t>SOUTHWEST GAS HOLDINGS, INC.</w:t>
            </w: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60" w:type="dxa"/>
            <w:vAlign w:val="bottom"/>
          </w:tcPr>
          <w:p>
            <w:pPr>
              <w:spacing w:after="0"/>
              <w:rPr>
                <w:sz w:val="21"/>
                <w:szCs w:val="21"/>
                <w:color w:val="auto"/>
              </w:rPr>
            </w:pPr>
          </w:p>
        </w:tc>
        <w:tc>
          <w:tcPr>
            <w:tcW w:w="29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6"/>
              </w:rPr>
              <w:t>SOUTHWEST GAS CORPORATION</w:t>
            </w:r>
          </w:p>
        </w:tc>
        <w:tc>
          <w:tcPr>
            <w:tcW w:w="4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w w:val="94"/>
              </w:rPr>
              <w:t>September 30, 2019</w:t>
            </w:r>
          </w:p>
        </w:tc>
      </w:tr>
      <w:tr>
        <w:trPr>
          <w:trHeight w:val="20"/>
        </w:trPr>
        <w:tc>
          <w:tcPr>
            <w:tcW w:w="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7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939"/>
        </w:trPr>
        <w:tc>
          <w:tcPr>
            <w:tcW w:w="7640" w:type="dxa"/>
            <w:vAlign w:val="bottom"/>
            <w:gridSpan w:val="5"/>
          </w:tcPr>
          <w:p>
            <w:pPr>
              <w:spacing w:after="0"/>
              <w:rPr>
                <w:sz w:val="20"/>
                <w:szCs w:val="20"/>
                <w:color w:val="auto"/>
              </w:rPr>
            </w:pPr>
            <w:r>
              <w:rPr>
                <w:rFonts w:ascii="Arial" w:cs="Arial" w:eastAsia="Arial" w:hAnsi="Arial"/>
                <w:sz w:val="18"/>
                <w:szCs w:val="18"/>
                <w:color w:val="auto"/>
              </w:rPr>
              <w:t>Results of Utility Infrastructure Services</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84"/>
        </w:trPr>
        <w:tc>
          <w:tcPr>
            <w:tcW w:w="7640" w:type="dxa"/>
            <w:vAlign w:val="bottom"/>
            <w:gridSpan w:val="5"/>
          </w:tcPr>
          <w:p>
            <w:pPr>
              <w:spacing w:after="0"/>
              <w:rPr>
                <w:sz w:val="20"/>
                <w:szCs w:val="20"/>
                <w:color w:val="auto"/>
              </w:rPr>
            </w:pPr>
            <w:r>
              <w:rPr>
                <w:rFonts w:ascii="Arial" w:cs="Arial" w:eastAsia="Arial" w:hAnsi="Arial"/>
                <w:sz w:val="18"/>
                <w:szCs w:val="18"/>
                <w:color w:val="auto"/>
              </w:rPr>
              <w:t>Nine-Month Analysis</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99"/>
        </w:trPr>
        <w:tc>
          <w:tcPr>
            <w:tcW w:w="6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40" w:type="dxa"/>
            <w:vAlign w:val="bottom"/>
            <w:gridSpan w:val="4"/>
          </w:tcPr>
          <w:p>
            <w:pPr>
              <w:jc w:val="center"/>
              <w:ind w:right="310"/>
              <w:spacing w:after="0"/>
              <w:rPr>
                <w:sz w:val="20"/>
                <w:szCs w:val="20"/>
                <w:color w:val="auto"/>
              </w:rPr>
            </w:pPr>
            <w:r>
              <w:rPr>
                <w:rFonts w:ascii="Arial" w:cs="Arial" w:eastAsia="Arial" w:hAnsi="Arial"/>
                <w:sz w:val="18"/>
                <w:szCs w:val="18"/>
                <w:color w:val="auto"/>
                <w:w w:val="92"/>
              </w:rPr>
              <w:t>Nine Months Ended</w:t>
            </w:r>
          </w:p>
        </w:tc>
      </w:tr>
      <w:tr>
        <w:trPr>
          <w:trHeight w:val="270"/>
        </w:trPr>
        <w:tc>
          <w:tcPr>
            <w:tcW w:w="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340" w:type="dxa"/>
            <w:vAlign w:val="bottom"/>
            <w:gridSpan w:val="4"/>
          </w:tcPr>
          <w:p>
            <w:pPr>
              <w:jc w:val="center"/>
              <w:ind w:right="330"/>
              <w:spacing w:after="0"/>
              <w:rPr>
                <w:sz w:val="20"/>
                <w:szCs w:val="20"/>
                <w:color w:val="auto"/>
              </w:rPr>
            </w:pPr>
            <w:r>
              <w:rPr>
                <w:rFonts w:ascii="Arial" w:cs="Arial" w:eastAsia="Arial" w:hAnsi="Arial"/>
                <w:sz w:val="18"/>
                <w:szCs w:val="18"/>
                <w:color w:val="auto"/>
                <w:w w:val="88"/>
              </w:rPr>
              <w:t>September 30,</w:t>
            </w:r>
          </w:p>
        </w:tc>
      </w:tr>
      <w:tr>
        <w:trPr>
          <w:trHeight w:val="27"/>
        </w:trPr>
        <w:tc>
          <w:tcPr>
            <w:tcW w:w="6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4"/>
        </w:trPr>
        <w:tc>
          <w:tcPr>
            <w:tcW w:w="6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63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2018</w:t>
            </w:r>
          </w:p>
        </w:tc>
      </w:tr>
      <w:tr>
        <w:trPr>
          <w:trHeight w:val="237"/>
        </w:trPr>
        <w:tc>
          <w:tcPr>
            <w:tcW w:w="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3340" w:type="dxa"/>
            <w:vAlign w:val="bottom"/>
            <w:tcBorders>
              <w:top w:val="single" w:sz="8" w:color="auto"/>
            </w:tcBorders>
            <w:gridSpan w:val="4"/>
          </w:tcPr>
          <w:p>
            <w:pPr>
              <w:jc w:val="center"/>
              <w:ind w:right="310"/>
              <w:spacing w:after="0"/>
              <w:rPr>
                <w:sz w:val="20"/>
                <w:szCs w:val="20"/>
                <w:color w:val="auto"/>
              </w:rPr>
            </w:pPr>
            <w:r>
              <w:rPr>
                <w:rFonts w:ascii="Arial" w:cs="Arial" w:eastAsia="Arial" w:hAnsi="Arial"/>
                <w:sz w:val="18"/>
                <w:szCs w:val="18"/>
                <w:color w:val="auto"/>
                <w:w w:val="90"/>
              </w:rPr>
              <w:t>(Thousands of dollars)</w:t>
            </w:r>
          </w:p>
        </w:tc>
      </w:tr>
      <w:tr>
        <w:trPr>
          <w:trHeight w:val="27"/>
        </w:trPr>
        <w:tc>
          <w:tcPr>
            <w:tcW w:w="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6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Utility infrastructure services revenues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1,282,412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1,105,844</w:t>
            </w:r>
          </w:p>
        </w:tc>
      </w:tr>
      <w:tr>
        <w:trPr>
          <w:trHeight w:val="243"/>
        </w:trPr>
        <w:tc>
          <w:tcPr>
            <w:tcW w:w="7640" w:type="dxa"/>
            <w:vAlign w:val="bottom"/>
            <w:gridSpan w:val="5"/>
          </w:tcPr>
          <w:p>
            <w:pPr>
              <w:ind w:left="40"/>
              <w:spacing w:after="0"/>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7580" w:type="dxa"/>
            <w:vAlign w:val="bottom"/>
            <w:tcBorders>
              <w:bottom w:val="single" w:sz="8" w:color="CCEEFF"/>
            </w:tcBorders>
            <w:gridSpan w:val="4"/>
            <w:shd w:val="clear" w:color="auto" w:fill="CCEEFF"/>
          </w:tcPr>
          <w:p>
            <w:pPr>
              <w:ind w:left="480"/>
              <w:spacing w:after="0"/>
              <w:rPr>
                <w:sz w:val="20"/>
                <w:szCs w:val="20"/>
                <w:color w:val="auto"/>
              </w:rPr>
            </w:pPr>
            <w:r>
              <w:rPr>
                <w:rFonts w:ascii="Arial" w:cs="Arial" w:eastAsia="Arial" w:hAnsi="Arial"/>
                <w:sz w:val="18"/>
                <w:szCs w:val="18"/>
                <w:color w:val="auto"/>
              </w:rPr>
              <w:t>Utility infrastructure services expenses</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1,154,238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1,007,485</w:t>
            </w:r>
          </w:p>
        </w:tc>
      </w:tr>
      <w:tr>
        <w:trPr>
          <w:trHeight w:val="243"/>
        </w:trPr>
        <w:tc>
          <w:tcPr>
            <w:tcW w:w="60" w:type="dxa"/>
            <w:vAlign w:val="bottom"/>
          </w:tcPr>
          <w:p>
            <w:pPr>
              <w:spacing w:after="0"/>
              <w:rPr>
                <w:sz w:val="21"/>
                <w:szCs w:val="21"/>
                <w:color w:val="auto"/>
              </w:rPr>
            </w:pPr>
          </w:p>
        </w:tc>
        <w:tc>
          <w:tcPr>
            <w:tcW w:w="7580" w:type="dxa"/>
            <w:vAlign w:val="bottom"/>
            <w:gridSpan w:val="4"/>
          </w:tcPr>
          <w:p>
            <w:pPr>
              <w:ind w:left="48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63,924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40,392</w:t>
            </w:r>
          </w:p>
        </w:tc>
      </w:tr>
      <w:tr>
        <w:trPr>
          <w:trHeight w:val="27"/>
        </w:trPr>
        <w:tc>
          <w:tcPr>
            <w:tcW w:w="6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60" w:type="dxa"/>
            <w:vAlign w:val="bottom"/>
            <w:tcBorders>
              <w:bottom w:val="single" w:sz="8" w:color="CCEEFF"/>
            </w:tcBorders>
            <w:shd w:val="clear" w:color="auto" w:fill="CCEEFF"/>
          </w:tcPr>
          <w:p>
            <w:pPr>
              <w:spacing w:after="0"/>
              <w:rPr>
                <w:sz w:val="21"/>
                <w:szCs w:val="21"/>
                <w:color w:val="auto"/>
              </w:rPr>
            </w:pPr>
          </w:p>
        </w:tc>
        <w:tc>
          <w:tcPr>
            <w:tcW w:w="7580" w:type="dxa"/>
            <w:vAlign w:val="bottom"/>
            <w:tcBorders>
              <w:bottom w:val="single" w:sz="8" w:color="CCEEFF"/>
            </w:tcBorders>
            <w:gridSpan w:val="4"/>
            <w:shd w:val="clear" w:color="auto" w:fill="CCEEFF"/>
          </w:tcPr>
          <w:p>
            <w:pPr>
              <w:ind w:left="320"/>
              <w:spacing w:after="0"/>
              <w:rPr>
                <w:sz w:val="20"/>
                <w:szCs w:val="20"/>
                <w:color w:val="auto"/>
              </w:rPr>
            </w:pPr>
            <w:r>
              <w:rPr>
                <w:rFonts w:ascii="Arial" w:cs="Arial" w:eastAsia="Arial" w:hAnsi="Arial"/>
                <w:sz w:val="18"/>
                <w:szCs w:val="18"/>
                <w:color w:val="auto"/>
              </w:rPr>
              <w:t>Operating income</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64,250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57,967</w:t>
            </w:r>
          </w:p>
        </w:tc>
      </w:tr>
      <w:tr>
        <w:trPr>
          <w:trHeight w:val="243"/>
        </w:trPr>
        <w:tc>
          <w:tcPr>
            <w:tcW w:w="7640" w:type="dxa"/>
            <w:vAlign w:val="bottom"/>
            <w:gridSpan w:val="5"/>
          </w:tcPr>
          <w:p>
            <w:pPr>
              <w:ind w:left="40"/>
              <w:spacing w:after="0"/>
              <w:rPr>
                <w:sz w:val="20"/>
                <w:szCs w:val="20"/>
                <w:color w:val="auto"/>
              </w:rPr>
            </w:pPr>
            <w:r>
              <w:rPr>
                <w:rFonts w:ascii="Arial" w:cs="Arial" w:eastAsia="Arial" w:hAnsi="Arial"/>
                <w:sz w:val="18"/>
                <w:szCs w:val="18"/>
                <w:color w:val="auto"/>
              </w:rPr>
              <w:t>Other income (deductions)</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(331)</w:t>
            </w:r>
          </w:p>
        </w:tc>
      </w:tr>
      <w:tr>
        <w:trPr>
          <w:trHeight w:val="27"/>
        </w:trPr>
        <w:tc>
          <w:tcPr>
            <w:tcW w:w="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6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interest deductions</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10,514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10,448</w:t>
            </w:r>
          </w:p>
        </w:tc>
      </w:tr>
      <w:tr>
        <w:trPr>
          <w:trHeight w:val="237"/>
        </w:trPr>
        <w:tc>
          <w:tcPr>
            <w:tcW w:w="60" w:type="dxa"/>
            <w:vAlign w:val="bottom"/>
          </w:tcPr>
          <w:p>
            <w:pPr>
              <w:spacing w:after="0"/>
              <w:rPr>
                <w:sz w:val="20"/>
                <w:szCs w:val="20"/>
                <w:color w:val="auto"/>
              </w:rPr>
            </w:pPr>
          </w:p>
        </w:tc>
        <w:tc>
          <w:tcPr>
            <w:tcW w:w="7580" w:type="dxa"/>
            <w:vAlign w:val="bottom"/>
            <w:gridSpan w:val="4"/>
          </w:tcPr>
          <w:p>
            <w:pPr>
              <w:ind w:left="320"/>
              <w:spacing w:after="0"/>
              <w:rPr>
                <w:sz w:val="20"/>
                <w:szCs w:val="20"/>
                <w:color w:val="auto"/>
              </w:rPr>
            </w:pPr>
            <w:r>
              <w:rPr>
                <w:rFonts w:ascii="Arial" w:cs="Arial" w:eastAsia="Arial" w:hAnsi="Arial"/>
                <w:sz w:val="18"/>
                <w:szCs w:val="18"/>
                <w:color w:val="auto"/>
              </w:rPr>
              <w:t>Income before income taxes</w:t>
            </w: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54,305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47,188</w:t>
            </w:r>
          </w:p>
        </w:tc>
      </w:tr>
      <w:tr>
        <w:trPr>
          <w:trHeight w:val="27"/>
        </w:trPr>
        <w:tc>
          <w:tcPr>
            <w:tcW w:w="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6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15,057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12,951</w:t>
            </w:r>
          </w:p>
        </w:tc>
      </w:tr>
      <w:tr>
        <w:trPr>
          <w:trHeight w:val="237"/>
        </w:trPr>
        <w:tc>
          <w:tcPr>
            <w:tcW w:w="60" w:type="dxa"/>
            <w:vAlign w:val="bottom"/>
          </w:tcPr>
          <w:p>
            <w:pPr>
              <w:spacing w:after="0"/>
              <w:rPr>
                <w:sz w:val="20"/>
                <w:szCs w:val="20"/>
                <w:color w:val="auto"/>
              </w:rPr>
            </w:pPr>
          </w:p>
        </w:tc>
        <w:tc>
          <w:tcPr>
            <w:tcW w:w="7580" w:type="dxa"/>
            <w:vAlign w:val="bottom"/>
            <w:gridSpan w:val="4"/>
          </w:tcPr>
          <w:p>
            <w:pPr>
              <w:ind w:left="320"/>
              <w:spacing w:after="0"/>
              <w:rPr>
                <w:sz w:val="20"/>
                <w:szCs w:val="20"/>
                <w:color w:val="auto"/>
              </w:rPr>
            </w:pPr>
            <w:r>
              <w:rPr>
                <w:rFonts w:ascii="Arial" w:cs="Arial" w:eastAsia="Arial" w:hAnsi="Arial"/>
                <w:sz w:val="18"/>
                <w:szCs w:val="18"/>
                <w:color w:val="auto"/>
              </w:rPr>
              <w:t>Net income</w:t>
            </w: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39,248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34,237</w:t>
            </w:r>
          </w:p>
        </w:tc>
      </w:tr>
      <w:tr>
        <w:trPr>
          <w:trHeight w:val="27"/>
        </w:trPr>
        <w:tc>
          <w:tcPr>
            <w:tcW w:w="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6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(797)</w:t>
            </w:r>
          </w:p>
        </w:tc>
      </w:tr>
      <w:tr>
        <w:trPr>
          <w:trHeight w:val="257"/>
        </w:trPr>
        <w:tc>
          <w:tcPr>
            <w:tcW w:w="7640" w:type="dxa"/>
            <w:vAlign w:val="bottom"/>
            <w:gridSpan w:val="5"/>
          </w:tcPr>
          <w:p>
            <w:pPr>
              <w:ind w:left="40"/>
              <w:spacing w:after="0"/>
              <w:rPr>
                <w:sz w:val="20"/>
                <w:szCs w:val="20"/>
                <w:color w:val="auto"/>
              </w:rPr>
            </w:pPr>
            <w:r>
              <w:rPr>
                <w:rFonts w:ascii="Arial" w:cs="Arial" w:eastAsia="Arial" w:hAnsi="Arial"/>
                <w:sz w:val="18"/>
                <w:szCs w:val="18"/>
                <w:color w:val="auto"/>
              </w:rPr>
              <w:t>Contribution to consolidated net income attributable to Centuri</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36,725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35,034</w:t>
            </w:r>
          </w:p>
        </w:tc>
      </w:tr>
      <w:tr>
        <w:trPr>
          <w:trHeight w:val="20"/>
        </w:trPr>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noted earlier, in November 2018, Centuri acquired Linetec. The table above, therefore, includes results for Linetec in the 2019 period only, including $174.6 million of revenue and approximately $8.5 million of net income attributable to Linetec during the first nine months of 2019.</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Utility infrastructure services revenues increased $176.6 million during the first nine months of 2019 when compared to the same period in the prior year, primarily due to the incremental revenues contributed by Linetec. These increases were offset by the July 2019 expiration of a multi-year water pipe replacement project which was not renewed. During the first nine months of 2018, Centuri recorded revenue of $9 million on a negotiated settlement of an outstanding dispute under this contract. The prior-year period also included revenue from certain non-routine customer-requested support during a strike-related event.</w:t>
      </w:r>
    </w:p>
    <w:p>
      <w:pPr>
        <w:spacing w:after="0" w:line="8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Utility infrastructure services expenses increased $146.8 million during the first nine months of 2019 when compared to the same period in the prior year, due primarily to $139.7 million of Linetec expenses. Additionally, inclement weather conditions impacted costs, as well as the mix of work requested in 2019 by certain customers under unit-priced multi-year master services contracts, as previously discussed. Efforts to complete an industrial construction project in Canada resulted in additional costs during the current period. Net gains on sale of equipment (reflected as an offset to Utility infrastructure services expenses) were $3.2 million and $1 million for the nine-month periods of 2019 and 2018, respectively.</w:t>
      </w:r>
    </w:p>
    <w:p>
      <w:pPr>
        <w:spacing w:after="0" w:line="6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Depreciation and amortization expense increased $23.5 million between periods. Approximately $19.3 million of the increase is due to the Linetec acquisition, including amortization of finite-lived intangible assets ($3 million) and depreciation of property and equipment ($16 million) in the current period. The remaining increase in depreciation was attributable to additional equipment purchased to support the growing volume of work being performed.</w:t>
      </w:r>
    </w:p>
    <w:p>
      <w:pPr>
        <w:spacing w:after="0" w:line="200" w:lineRule="exact"/>
        <w:rPr>
          <w:sz w:val="20"/>
          <w:szCs w:val="20"/>
          <w:color w:val="auto"/>
        </w:rPr>
      </w:pPr>
    </w:p>
    <w:p>
      <w:pPr>
        <w:spacing w:after="0" w:line="35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70"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7360" w:type="dxa"/>
            <w:vAlign w:val="bottom"/>
            <w:gridSpan w:val="4"/>
          </w:tcPr>
          <w:p>
            <w:pPr>
              <w:spacing w:after="0"/>
              <w:rPr>
                <w:sz w:val="20"/>
                <w:szCs w:val="20"/>
                <w:color w:val="auto"/>
              </w:rPr>
            </w:pPr>
            <w:r>
              <w:rPr>
                <w:rFonts w:ascii="Arial" w:cs="Arial" w:eastAsia="Arial" w:hAnsi="Arial"/>
                <w:sz w:val="18"/>
                <w:szCs w:val="18"/>
                <w:color w:val="auto"/>
              </w:rPr>
              <w:t>SOUTHWEST GAS HOLDINGS, INC.</w:t>
            </w:r>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60" w:type="dxa"/>
            <w:vAlign w:val="bottom"/>
          </w:tcPr>
          <w:p>
            <w:pPr>
              <w:spacing w:after="0"/>
              <w:rPr>
                <w:sz w:val="21"/>
                <w:szCs w:val="21"/>
                <w:color w:val="auto"/>
              </w:rPr>
            </w:pPr>
          </w:p>
        </w:tc>
        <w:tc>
          <w:tcPr>
            <w:tcW w:w="29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6"/>
              </w:rPr>
              <w:t>SOUTHWEST GAS CORPORATION</w:t>
            </w:r>
          </w:p>
        </w:tc>
        <w:tc>
          <w:tcPr>
            <w:tcW w:w="4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w w:val="96"/>
              </w:rPr>
              <w:t>September 30, 2019</w:t>
            </w:r>
          </w:p>
        </w:tc>
      </w:tr>
      <w:tr>
        <w:trPr>
          <w:trHeight w:val="20"/>
        </w:trPr>
        <w:tc>
          <w:tcPr>
            <w:tcW w:w="6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5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939"/>
        </w:trPr>
        <w:tc>
          <w:tcPr>
            <w:tcW w:w="7420" w:type="dxa"/>
            <w:vAlign w:val="bottom"/>
            <w:gridSpan w:val="5"/>
          </w:tcPr>
          <w:p>
            <w:pPr>
              <w:spacing w:after="0"/>
              <w:rPr>
                <w:sz w:val="20"/>
                <w:szCs w:val="20"/>
                <w:color w:val="auto"/>
              </w:rPr>
            </w:pPr>
            <w:r>
              <w:rPr>
                <w:rFonts w:ascii="Arial" w:cs="Arial" w:eastAsia="Arial" w:hAnsi="Arial"/>
                <w:sz w:val="18"/>
                <w:szCs w:val="18"/>
                <w:color w:val="auto"/>
              </w:rPr>
              <w:t>Results of Utility Infrastructure Services</w:t>
            </w: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84"/>
        </w:trPr>
        <w:tc>
          <w:tcPr>
            <w:tcW w:w="7420" w:type="dxa"/>
            <w:vAlign w:val="bottom"/>
            <w:gridSpan w:val="5"/>
          </w:tcPr>
          <w:p>
            <w:pPr>
              <w:spacing w:after="0"/>
              <w:rPr>
                <w:sz w:val="20"/>
                <w:szCs w:val="20"/>
                <w:color w:val="auto"/>
              </w:rPr>
            </w:pPr>
            <w:r>
              <w:rPr>
                <w:rFonts w:ascii="Arial" w:cs="Arial" w:eastAsia="Arial" w:hAnsi="Arial"/>
                <w:sz w:val="18"/>
                <w:szCs w:val="18"/>
                <w:color w:val="auto"/>
              </w:rPr>
              <w:t>Twelve-Month Analysis</w:t>
            </w: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99"/>
        </w:trPr>
        <w:tc>
          <w:tcPr>
            <w:tcW w:w="6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gridSpan w:val="4"/>
          </w:tcPr>
          <w:p>
            <w:pPr>
              <w:jc w:val="center"/>
              <w:ind w:right="350"/>
              <w:spacing w:after="0"/>
              <w:rPr>
                <w:sz w:val="20"/>
                <w:szCs w:val="20"/>
                <w:color w:val="auto"/>
              </w:rPr>
            </w:pPr>
            <w:r>
              <w:rPr>
                <w:rFonts w:ascii="Arial" w:cs="Arial" w:eastAsia="Arial" w:hAnsi="Arial"/>
                <w:sz w:val="18"/>
                <w:szCs w:val="18"/>
                <w:color w:val="auto"/>
                <w:w w:val="92"/>
              </w:rPr>
              <w:t>Twelve Months Ended</w:t>
            </w:r>
          </w:p>
        </w:tc>
      </w:tr>
      <w:tr>
        <w:trPr>
          <w:trHeight w:val="270"/>
        </w:trPr>
        <w:tc>
          <w:tcPr>
            <w:tcW w:w="6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520" w:type="dxa"/>
            <w:vAlign w:val="bottom"/>
            <w:gridSpan w:val="4"/>
          </w:tcPr>
          <w:p>
            <w:pPr>
              <w:jc w:val="center"/>
              <w:ind w:right="350"/>
              <w:spacing w:after="0"/>
              <w:rPr>
                <w:sz w:val="20"/>
                <w:szCs w:val="20"/>
                <w:color w:val="auto"/>
              </w:rPr>
            </w:pPr>
            <w:r>
              <w:rPr>
                <w:rFonts w:ascii="Arial" w:cs="Arial" w:eastAsia="Arial" w:hAnsi="Arial"/>
                <w:sz w:val="18"/>
                <w:szCs w:val="18"/>
                <w:color w:val="auto"/>
                <w:w w:val="88"/>
              </w:rPr>
              <w:t>September 30,</w:t>
            </w:r>
          </w:p>
        </w:tc>
      </w:tr>
      <w:tr>
        <w:trPr>
          <w:trHeight w:val="27"/>
        </w:trPr>
        <w:tc>
          <w:tcPr>
            <w:tcW w:w="6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4"/>
        </w:trPr>
        <w:tc>
          <w:tcPr>
            <w:tcW w:w="6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710"/>
              <w:spacing w:after="0"/>
              <w:rPr>
                <w:sz w:val="20"/>
                <w:szCs w:val="20"/>
                <w:color w:val="auto"/>
              </w:rPr>
            </w:pPr>
            <w:r>
              <w:rPr>
                <w:rFonts w:ascii="Arial" w:cs="Arial" w:eastAsia="Arial" w:hAnsi="Arial"/>
                <w:sz w:val="18"/>
                <w:szCs w:val="18"/>
                <w:color w:val="auto"/>
              </w:rPr>
              <w:t>2018</w:t>
            </w:r>
          </w:p>
        </w:tc>
      </w:tr>
      <w:tr>
        <w:trPr>
          <w:trHeight w:val="237"/>
        </w:trPr>
        <w:tc>
          <w:tcPr>
            <w:tcW w:w="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3520" w:type="dxa"/>
            <w:vAlign w:val="bottom"/>
            <w:tcBorders>
              <w:top w:val="single" w:sz="8" w:color="auto"/>
            </w:tcBorders>
            <w:gridSpan w:val="4"/>
          </w:tcPr>
          <w:p>
            <w:pPr>
              <w:jc w:val="center"/>
              <w:ind w:right="350"/>
              <w:spacing w:after="0"/>
              <w:rPr>
                <w:sz w:val="20"/>
                <w:szCs w:val="20"/>
                <w:color w:val="auto"/>
              </w:rPr>
            </w:pPr>
            <w:r>
              <w:rPr>
                <w:rFonts w:ascii="Arial" w:cs="Arial" w:eastAsia="Arial" w:hAnsi="Arial"/>
                <w:sz w:val="18"/>
                <w:szCs w:val="18"/>
                <w:color w:val="auto"/>
                <w:w w:val="91"/>
              </w:rPr>
              <w:t>(Thousands of dollars)</w:t>
            </w:r>
          </w:p>
        </w:tc>
      </w:tr>
      <w:tr>
        <w:trPr>
          <w:trHeight w:val="27"/>
        </w:trPr>
        <w:tc>
          <w:tcPr>
            <w:tcW w:w="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4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Utility infrastructure services revenues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1,698,853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1,479,792</w:t>
            </w:r>
          </w:p>
        </w:tc>
      </w:tr>
      <w:tr>
        <w:trPr>
          <w:trHeight w:val="243"/>
        </w:trPr>
        <w:tc>
          <w:tcPr>
            <w:tcW w:w="7420" w:type="dxa"/>
            <w:vAlign w:val="bottom"/>
            <w:gridSpan w:val="5"/>
          </w:tcPr>
          <w:p>
            <w:pPr>
              <w:ind w:left="40"/>
              <w:spacing w:after="0"/>
              <w:rPr>
                <w:sz w:val="20"/>
                <w:szCs w:val="20"/>
                <w:color w:val="auto"/>
              </w:rPr>
            </w:pPr>
            <w:r>
              <w:rPr>
                <w:rFonts w:ascii="Arial" w:cs="Arial" w:eastAsia="Arial" w:hAnsi="Arial"/>
                <w:sz w:val="18"/>
                <w:szCs w:val="18"/>
                <w:color w:val="auto"/>
              </w:rPr>
              <w:t>Operating expenses:</w:t>
            </w: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0" w:type="dxa"/>
            <w:vAlign w:val="bottom"/>
            <w:tcBorders>
              <w:bottom w:val="single" w:sz="8" w:color="CCEEFF"/>
            </w:tcBorders>
            <w:shd w:val="clear" w:color="auto" w:fill="CCEEFF"/>
          </w:tcPr>
          <w:p>
            <w:pPr>
              <w:spacing w:after="0"/>
              <w:rPr>
                <w:sz w:val="21"/>
                <w:szCs w:val="21"/>
                <w:color w:val="auto"/>
              </w:rPr>
            </w:pPr>
          </w:p>
        </w:tc>
        <w:tc>
          <w:tcPr>
            <w:tcW w:w="7360" w:type="dxa"/>
            <w:vAlign w:val="bottom"/>
            <w:tcBorders>
              <w:bottom w:val="single" w:sz="8" w:color="CCEEFF"/>
            </w:tcBorders>
            <w:gridSpan w:val="4"/>
            <w:shd w:val="clear" w:color="auto" w:fill="CCEEFF"/>
          </w:tcPr>
          <w:p>
            <w:pPr>
              <w:ind w:left="480"/>
              <w:spacing w:after="0"/>
              <w:rPr>
                <w:sz w:val="20"/>
                <w:szCs w:val="20"/>
                <w:color w:val="auto"/>
              </w:rPr>
            </w:pPr>
            <w:r>
              <w:rPr>
                <w:rFonts w:ascii="Arial" w:cs="Arial" w:eastAsia="Arial" w:hAnsi="Arial"/>
                <w:sz w:val="18"/>
                <w:szCs w:val="18"/>
                <w:color w:val="auto"/>
              </w:rPr>
              <w:t>Utility infrastructure services expenses</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1,534,442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1,349,862</w:t>
            </w:r>
          </w:p>
        </w:tc>
      </w:tr>
      <w:tr>
        <w:trPr>
          <w:trHeight w:val="243"/>
        </w:trPr>
        <w:tc>
          <w:tcPr>
            <w:tcW w:w="60" w:type="dxa"/>
            <w:vAlign w:val="bottom"/>
          </w:tcPr>
          <w:p>
            <w:pPr>
              <w:spacing w:after="0"/>
              <w:rPr>
                <w:sz w:val="21"/>
                <w:szCs w:val="21"/>
                <w:color w:val="auto"/>
              </w:rPr>
            </w:pPr>
          </w:p>
        </w:tc>
        <w:tc>
          <w:tcPr>
            <w:tcW w:w="7360" w:type="dxa"/>
            <w:vAlign w:val="bottom"/>
            <w:gridSpan w:val="4"/>
          </w:tcPr>
          <w:p>
            <w:pPr>
              <w:ind w:left="480"/>
              <w:spacing w:after="0"/>
              <w:rPr>
                <w:sz w:val="20"/>
                <w:szCs w:val="20"/>
                <w:color w:val="auto"/>
              </w:rPr>
            </w:pPr>
            <w:r>
              <w:rPr>
                <w:rFonts w:ascii="Arial" w:cs="Arial" w:eastAsia="Arial" w:hAnsi="Arial"/>
                <w:sz w:val="18"/>
                <w:szCs w:val="18"/>
                <w:color w:val="auto"/>
              </w:rPr>
              <w:t>Depreciation and amortization</w:t>
            </w:r>
          </w:p>
        </w:tc>
        <w:tc>
          <w:tcPr>
            <w:tcW w:w="46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80,928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53,975</w:t>
            </w:r>
          </w:p>
        </w:tc>
      </w:tr>
      <w:tr>
        <w:trPr>
          <w:trHeight w:val="27"/>
        </w:trPr>
        <w:tc>
          <w:tcPr>
            <w:tcW w:w="6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60" w:type="dxa"/>
            <w:vAlign w:val="bottom"/>
            <w:tcBorders>
              <w:bottom w:val="single" w:sz="8" w:color="CCEEFF"/>
            </w:tcBorders>
            <w:shd w:val="clear" w:color="auto" w:fill="CCEEFF"/>
          </w:tcPr>
          <w:p>
            <w:pPr>
              <w:spacing w:after="0"/>
              <w:rPr>
                <w:sz w:val="21"/>
                <w:szCs w:val="21"/>
                <w:color w:val="auto"/>
              </w:rPr>
            </w:pPr>
          </w:p>
        </w:tc>
        <w:tc>
          <w:tcPr>
            <w:tcW w:w="7360" w:type="dxa"/>
            <w:vAlign w:val="bottom"/>
            <w:tcBorders>
              <w:bottom w:val="single" w:sz="8" w:color="CCEEFF"/>
            </w:tcBorders>
            <w:gridSpan w:val="4"/>
            <w:shd w:val="clear" w:color="auto" w:fill="CCEEFF"/>
          </w:tcPr>
          <w:p>
            <w:pPr>
              <w:ind w:left="320"/>
              <w:spacing w:after="0"/>
              <w:rPr>
                <w:sz w:val="20"/>
                <w:szCs w:val="20"/>
                <w:color w:val="auto"/>
              </w:rPr>
            </w:pPr>
            <w:r>
              <w:rPr>
                <w:rFonts w:ascii="Arial" w:cs="Arial" w:eastAsia="Arial" w:hAnsi="Arial"/>
                <w:sz w:val="18"/>
                <w:szCs w:val="18"/>
                <w:color w:val="auto"/>
              </w:rPr>
              <w:t>Operating income</w:t>
            </w: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83,483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75,955</w:t>
            </w:r>
          </w:p>
        </w:tc>
      </w:tr>
      <w:tr>
        <w:trPr>
          <w:trHeight w:val="243"/>
        </w:trPr>
        <w:tc>
          <w:tcPr>
            <w:tcW w:w="7420" w:type="dxa"/>
            <w:vAlign w:val="bottom"/>
            <w:gridSpan w:val="5"/>
          </w:tcPr>
          <w:p>
            <w:pPr>
              <w:ind w:left="40"/>
              <w:spacing w:after="0"/>
              <w:rPr>
                <w:sz w:val="20"/>
                <w:szCs w:val="20"/>
                <w:color w:val="auto"/>
              </w:rPr>
            </w:pPr>
            <w:r>
              <w:rPr>
                <w:rFonts w:ascii="Arial" w:cs="Arial" w:eastAsia="Arial" w:hAnsi="Arial"/>
                <w:sz w:val="18"/>
                <w:szCs w:val="18"/>
                <w:color w:val="auto"/>
              </w:rPr>
              <w:t>Other income (deductions)</w:t>
            </w:r>
          </w:p>
        </w:tc>
        <w:tc>
          <w:tcPr>
            <w:tcW w:w="46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4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interest deductions</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14,256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13,339</w:t>
            </w:r>
          </w:p>
        </w:tc>
      </w:tr>
      <w:tr>
        <w:trPr>
          <w:trHeight w:val="237"/>
        </w:trPr>
        <w:tc>
          <w:tcPr>
            <w:tcW w:w="60" w:type="dxa"/>
            <w:vAlign w:val="bottom"/>
          </w:tcPr>
          <w:p>
            <w:pPr>
              <w:spacing w:after="0"/>
              <w:rPr>
                <w:sz w:val="20"/>
                <w:szCs w:val="20"/>
                <w:color w:val="auto"/>
              </w:rPr>
            </w:pPr>
          </w:p>
        </w:tc>
        <w:tc>
          <w:tcPr>
            <w:tcW w:w="7360" w:type="dxa"/>
            <w:vAlign w:val="bottom"/>
            <w:gridSpan w:val="4"/>
          </w:tcPr>
          <w:p>
            <w:pPr>
              <w:ind w:left="320"/>
              <w:spacing w:after="0"/>
              <w:rPr>
                <w:sz w:val="20"/>
                <w:szCs w:val="20"/>
                <w:color w:val="auto"/>
              </w:rPr>
            </w:pPr>
            <w:r>
              <w:rPr>
                <w:rFonts w:ascii="Arial" w:cs="Arial" w:eastAsia="Arial" w:hAnsi="Arial"/>
                <w:sz w:val="18"/>
                <w:szCs w:val="18"/>
                <w:color w:val="auto"/>
              </w:rPr>
              <w:t>Income before income taxes</w:t>
            </w: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69,889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62,592</w:t>
            </w:r>
          </w:p>
        </w:tc>
      </w:tr>
      <w:tr>
        <w:trPr>
          <w:trHeight w:val="27"/>
        </w:trPr>
        <w:tc>
          <w:tcPr>
            <w:tcW w:w="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4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20,526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5,781</w:t>
            </w:r>
          </w:p>
        </w:tc>
      </w:tr>
      <w:tr>
        <w:trPr>
          <w:trHeight w:val="237"/>
        </w:trPr>
        <w:tc>
          <w:tcPr>
            <w:tcW w:w="60" w:type="dxa"/>
            <w:vAlign w:val="bottom"/>
          </w:tcPr>
          <w:p>
            <w:pPr>
              <w:spacing w:after="0"/>
              <w:rPr>
                <w:sz w:val="20"/>
                <w:szCs w:val="20"/>
                <w:color w:val="auto"/>
              </w:rPr>
            </w:pPr>
          </w:p>
        </w:tc>
        <w:tc>
          <w:tcPr>
            <w:tcW w:w="7360" w:type="dxa"/>
            <w:vAlign w:val="bottom"/>
            <w:gridSpan w:val="4"/>
          </w:tcPr>
          <w:p>
            <w:pPr>
              <w:ind w:left="320"/>
              <w:spacing w:after="0"/>
              <w:rPr>
                <w:sz w:val="20"/>
                <w:szCs w:val="20"/>
                <w:color w:val="auto"/>
              </w:rPr>
            </w:pPr>
            <w:r>
              <w:rPr>
                <w:rFonts w:ascii="Arial" w:cs="Arial" w:eastAsia="Arial" w:hAnsi="Arial"/>
                <w:sz w:val="18"/>
                <w:szCs w:val="18"/>
                <w:color w:val="auto"/>
              </w:rPr>
              <w:t>Net income</w:t>
            </w: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49,363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56,811</w:t>
            </w:r>
          </w:p>
        </w:tc>
      </w:tr>
      <w:tr>
        <w:trPr>
          <w:trHeight w:val="27"/>
        </w:trPr>
        <w:tc>
          <w:tcPr>
            <w:tcW w:w="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4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2,695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w:t>
            </w:r>
          </w:p>
        </w:tc>
      </w:tr>
      <w:tr>
        <w:trPr>
          <w:trHeight w:val="257"/>
        </w:trPr>
        <w:tc>
          <w:tcPr>
            <w:tcW w:w="7420" w:type="dxa"/>
            <w:vAlign w:val="bottom"/>
            <w:gridSpan w:val="5"/>
          </w:tcPr>
          <w:p>
            <w:pPr>
              <w:ind w:left="40"/>
              <w:spacing w:after="0"/>
              <w:rPr>
                <w:sz w:val="20"/>
                <w:szCs w:val="20"/>
                <w:color w:val="auto"/>
              </w:rPr>
            </w:pPr>
            <w:r>
              <w:rPr>
                <w:rFonts w:ascii="Arial" w:cs="Arial" w:eastAsia="Arial" w:hAnsi="Arial"/>
                <w:sz w:val="18"/>
                <w:szCs w:val="18"/>
                <w:color w:val="auto"/>
              </w:rPr>
              <w:t>Contribution to consolidated net income attributable to Centuri</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46,668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57,677</w:t>
            </w:r>
          </w:p>
        </w:tc>
      </w:tr>
      <w:tr>
        <w:trPr>
          <w:trHeight w:val="20"/>
        </w:trPr>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Results for Linetec have been included in the table above during the period following the November 2018 acquisition date, including $188.7 million of revenue and approximately $9.2 million of net income reflected in the twelve-month period ended September 2019.</w:t>
      </w:r>
    </w:p>
    <w:p>
      <w:pPr>
        <w:spacing w:after="0" w:line="6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Utility infrastructure services revenues increased $219.1 million overall in the twelve-month period ended September 2019 compared to the twelve-month period ended September 2018, primarily due to incremental revenue noted above for Linetec. The remaining revenue increase is due to a higher volume of pipe replacement work under new and existing blanket and bid contracts, primarily in the central U.S., and certain non-routine projects (including customer-requested support during strike-related and emergency response situations). Revenue for the twelve-month period in 2018 included a $9 million negotiated settlement of an outstanding contract dispute from 2017 associated with a water pipe replacement project.</w:t>
      </w:r>
    </w:p>
    <w:p>
      <w:pPr>
        <w:spacing w:after="0" w:line="6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Utility infrastructure services expenses increased $184.6 million between periods, primarily due to related expenses for Linetec of $149.8 million and additional labor and equipment costs incurred to complete work during inclement weather conditions in the current period. The industrial construction project in Canada also resulted in additional costs during the current period. The mix of work requested to be completed in the current period, as discussed earlier, also contributed to the increase in costs overall. Included in total Utility infrastructure services expenses are general and administrative costs, which increased $12.3 million in the current period, including $6.9 million of deal costs from the acquisition of Linetec. Net gains on sale of equipment (reflected as an offset to Utility infrastructure services expenses) were $3.9 million and $3.7 million for the twelve-month periods of 2019 and 2018, respectively.</w:t>
      </w:r>
    </w:p>
    <w:p>
      <w:pPr>
        <w:spacing w:after="0" w:line="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Depreciation and amortization expense increased $27 million between the current and prior-year periods. Approximately $22 million of this increase was attributable to Linetec amortization of finite-lived asset amortization ($4.1 million) and property and equipment depreciation ($17.8 million). The remaining increase in depreciation was attributable to additional equipment purchased to support the growing volume of work being performed.</w:t>
      </w:r>
    </w:p>
    <w:p>
      <w:pPr>
        <w:spacing w:after="0" w:line="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interest deductions increased $917,000 between periods due primarily to interest expense associated with incremental borrowings, and amortization of debt issue costs, related to the $590 million secured revolving credit and term loan facility (largely resulting from the Linetec acquisition). Lower rates on variable-rate debt mitigated the increases.</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Income tax expense during the twelve-month period ended September 30, 2018 was favorably impacted by approximately $12 million of one-time tax benefits related to the remeasurement of Centuri’s deferred tax liabilities when U.S. tax reform was enacted in December 2017.</w:t>
      </w:r>
    </w:p>
    <w:p>
      <w:pPr>
        <w:spacing w:after="0" w:line="200" w:lineRule="exact"/>
        <w:rPr>
          <w:sz w:val="20"/>
          <w:szCs w:val="20"/>
          <w:color w:val="auto"/>
        </w:rPr>
      </w:pP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70" w:right="239" w:bottom="1440" w:gutter="0" w:footer="0" w:header="0"/>
        </w:sectPr>
      </w:pPr>
    </w:p>
    <w:bookmarkStart w:id="43" w:name="page44"/>
    <w:bookmarkEnd w:id="43"/>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Rates and Regulatory Proceedings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Southwest is subject to the regulation of the Arizona Corporation Commission (the “ACC”), the Public Utilities Commission of Nevada (the “PUCN”), the California Public Utilities Commission (the “CPUC”), and the Federal Energy Regulatory Commission (the “FERC”).</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Rate Relief and Rate Design</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Rates charged to customers vary according to customer class and rate jurisdiction and are set by the individual state and federal regulatory commissions that govern Southwest’s service territories. Southwest makes periodic filings for rate adjustments as the cost of providing service (including the cost of natural gas purchased) changes, and as additional investments in new or replacement pipeline and related facilities are made. Rates are intended to provide for recovery of all commission-approved costs and a reasonable return on investment. The mix of fixed and variable components in rates assigned to various customer classes (rate design) can significantly impact cash flows of Southwest. Management has worked with its regulatory commissions in designing rate structures that strive to provide affordable and reliable service to its customers while mitigating the volatility in prices to them and that endeavor to stabilize returns to investors. Such rate structures were in place in all of Southwest’s operating areas during all periods for which results of natural gas operations are disclosed above.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Arizona Jurisdiction</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Arizona General Rate Case. </w:t>
      </w:r>
      <w:r>
        <w:rPr>
          <w:rFonts w:ascii="Arial" w:cs="Arial" w:eastAsia="Arial" w:hAnsi="Arial"/>
          <w:sz w:val="17"/>
          <w:szCs w:val="17"/>
          <w:color w:val="auto"/>
        </w:rPr>
        <w:t>On May 1, 2019, Southwest filed a general rate case application requesting to increase revenue by approximately $57 million to</w:t>
      </w:r>
      <w:r>
        <w:rPr>
          <w:rFonts w:ascii="Arial" w:cs="Arial" w:eastAsia="Arial" w:hAnsi="Arial"/>
          <w:sz w:val="17"/>
          <w:szCs w:val="17"/>
          <w:i w:val="1"/>
          <w:iCs w:val="1"/>
          <w:color w:val="auto"/>
        </w:rPr>
        <w:t xml:space="preserve"> </w:t>
      </w:r>
      <w:r>
        <w:rPr>
          <w:rFonts w:ascii="Arial" w:cs="Arial" w:eastAsia="Arial" w:hAnsi="Arial"/>
          <w:sz w:val="17"/>
          <w:szCs w:val="17"/>
          <w:color w:val="auto"/>
        </w:rPr>
        <w:t>update the cost of service to reflect recent U.S. tax reform changes, including the return of excess deferred income taxes to customers, and to reflect capital investments of approximately $670 million, including certain post-test year additions, which include the southern Arizona LNG facility discussed below. At the time of the filing, the Company estimated the return of approximately $20.6 million of excess deferred income taxes. Since then, the Company finalized its 2018 tax return which allowed it to calculate the actual amortization amount of $5.7 million based on the prescribed methodology for calculating the excess amount to be returned to customers. The difference in estimated deferred taxes of $20.6 million and the actual amortization of $5.7 million would result in an increase in revenue and income tax expense, thereby having no impact to earnings. The revenue increase included a proposed 10.3% return on equity relative to a capital structure of 51.1% equity. The request also includes the retention of a fully decoupled rate design, other previously approved regulatory mechanisms, and a new infrastructure tracking mechanism for specific plastic pipe. The request includes a proposal for a renewable natural gas program that authorizes Southwest to purchase renewable natural gas for its customers and to recover the cost as part of its purchased gas adjustment mechanism. In October, Southwest filed a supplement to its post-test year plant request to include an additional $124.5 million of investments associated with its COYL and VSP programs. If approved, this could result in additional margin of approximately $17 million. A hearing in this matter is scheduled for February 2020.</w:t>
      </w:r>
    </w:p>
    <w:p>
      <w:pPr>
        <w:spacing w:after="0" w:line="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Delivery Charge Adjustment. </w:t>
      </w:r>
      <w:r>
        <w:rPr>
          <w:rFonts w:ascii="Arial" w:cs="Arial" w:eastAsia="Arial" w:hAnsi="Arial"/>
          <w:sz w:val="17"/>
          <w:szCs w:val="17"/>
          <w:color w:val="auto"/>
        </w:rPr>
        <w:t>The annual Delivery Charge Adjustment (“DCA”) is filed each April, which along with other reporting requirements,</w:t>
      </w:r>
      <w:r>
        <w:rPr>
          <w:rFonts w:ascii="Arial" w:cs="Arial" w:eastAsia="Arial" w:hAnsi="Arial"/>
          <w:sz w:val="17"/>
          <w:szCs w:val="17"/>
          <w:i w:val="1"/>
          <w:iCs w:val="1"/>
          <w:color w:val="auto"/>
        </w:rPr>
        <w:t xml:space="preserve"> </w:t>
      </w:r>
      <w:r>
        <w:rPr>
          <w:rFonts w:ascii="Arial" w:cs="Arial" w:eastAsia="Arial" w:hAnsi="Arial"/>
          <w:sz w:val="17"/>
          <w:szCs w:val="17"/>
          <w:color w:val="auto"/>
        </w:rPr>
        <w:t>contemplates a rate to recover the over- or under-collected margin tracker amounts based on the balance at the end of the preceding calendar year. The DCA that was filed in April 2018 reflected the December 31, 2017 balance of approximately $40 million. Following a brief administrative delay, Southwest updated its request to instead include the balance at December 31, 2018 of $73 million. The ACC approved a surcharge to recover approximately $69 million, the difference of which relates to a one-time modification to reflect benefits attributable to the impact of recent landmark U.S. tax reform on the decoupled balance existing at the enactment date of such reform. The updated rate became effective in May 2019.</w:t>
      </w:r>
    </w:p>
    <w:p>
      <w:pPr>
        <w:spacing w:after="0" w:line="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Tax Reform. </w:t>
      </w:r>
      <w:r>
        <w:rPr>
          <w:rFonts w:ascii="Arial" w:cs="Arial" w:eastAsia="Arial" w:hAnsi="Arial"/>
          <w:sz w:val="16"/>
          <w:szCs w:val="16"/>
          <w:color w:val="auto"/>
        </w:rPr>
        <w:t>In February 2018, the ACC directed all Arizona utilities to address tax savings from the enactment of U.S. tax reform beginning January 1, 2018,</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one of various means. In April 2018, Southwest filed an application with the ACC, requesting approval for a tax refund process or, in the alternative, the authority to file a general rate case to reflect tax reform. Ultimately, Southwest was instructed to refund customers a one-time credit to reflect the tax savings from January through July 2018, effective with Southwest’s August 2018 billing cycles. In addition, effective August 2018, per-therm surcredits were established and are effective until new cost-of-service rates are implemented following the conclusion of the general rate case, which was filed in May 2019. These undertakings are expected to refund $20 million annually, as compared to rate levels established in the previously concluded general rate case effective April 2017. Through September 2019, Southwest has reflected relevant proportional amounts associated with the annualized $20 million as a reduction in revenue and is tracking monthly differences between amounts expected to be returned and amounts actually returned to customers, which has resulted in an asset balance of approximately $287,000 as of September 30, 2019. See related discussion above with regard to the DCA.</w:t>
      </w:r>
    </w:p>
    <w:p>
      <w:pPr>
        <w:spacing w:after="0" w:line="5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Liquefied Natural Gas (“LNG”) Facility</w:t>
      </w:r>
      <w:r>
        <w:rPr>
          <w:rFonts w:ascii="Arial" w:cs="Arial" w:eastAsia="Arial" w:hAnsi="Arial"/>
          <w:sz w:val="18"/>
          <w:szCs w:val="18"/>
          <w:color w:val="auto"/>
        </w:rPr>
        <w:t>. In January 2014, Southwest filed an application with the ACC seeking preapproval to construct, operate, and</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 a 233,000 dekatherm LNG facility in southern Arizona. This facility is intended to enhance service reliability and flexibility related to natural gas deliveries in the southern Arizona area by providing a local storage option, to be operated by Southwest and connected directly to its distribution system. A modified ACC order in December 2016, following land purchase and bid solicitation for the engineering, procurement, and construction of the facility, granted approval for construction</w:t>
      </w:r>
    </w:p>
    <w:p>
      <w:pPr>
        <w:spacing w:after="0" w:line="3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70" w:right="239" w:bottom="1440" w:gutter="0" w:footer="0" w:header="0"/>
        </w:sectPr>
      </w:pPr>
    </w:p>
    <w:bookmarkStart w:id="44" w:name="page45"/>
    <w:bookmarkEnd w:id="44"/>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and deferral of costs not to exceed $80 million. Construction began during the third quarter of 2017 and the structures were completed in the third quarter of 2019. Testing of the facility is in progress and is expected to be completed during the winter of 2019/2020. Through September 2019, Southwest has incurred approximately $72 million in capital expenditures toward the project (including land acquisition costs).</w:t>
      </w:r>
    </w:p>
    <w:p>
      <w:pPr>
        <w:spacing w:after="0" w:line="7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COYL Program. </w:t>
      </w:r>
      <w:r>
        <w:rPr>
          <w:rFonts w:ascii="Arial" w:cs="Arial" w:eastAsia="Arial" w:hAnsi="Arial"/>
          <w:sz w:val="16"/>
          <w:szCs w:val="16"/>
          <w:color w:val="auto"/>
        </w:rPr>
        <w:t>Southwest received approval, in connection with its 2010 Arizona general rate case, to implement a program to conduct leak surveys, and if</w:t>
      </w:r>
      <w:r>
        <w:rPr>
          <w:rFonts w:ascii="Arial" w:cs="Arial" w:eastAsia="Arial" w:hAnsi="Arial"/>
          <w:sz w:val="16"/>
          <w:szCs w:val="16"/>
          <w:i w:val="1"/>
          <w:iCs w:val="1"/>
          <w:color w:val="auto"/>
        </w:rPr>
        <w:t xml:space="preserve"> </w:t>
      </w:r>
      <w:r>
        <w:rPr>
          <w:rFonts w:ascii="Arial" w:cs="Arial" w:eastAsia="Arial" w:hAnsi="Arial"/>
          <w:sz w:val="16"/>
          <w:szCs w:val="16"/>
          <w:color w:val="auto"/>
        </w:rPr>
        <w:t>leaks were present, to replace and relocate service lines and meters for Arizona customers whose meters were set off from the customer’s home, representing a non-traditional configuration. “Phase II” of the COYL program included the replacement of non-leaking COYLs. The surcharge is designed to be revised annually as the program progresses. In the annual filing made in February 2019, Southwest requested to increase its surcharge revenue by $3.2 million (to $6.7 million overall) related to the revenue requirement associated with $26.6 million in capital projects completed under both phases during 2018. The Staff issued a report and recommendation to the ACC that the current COYL program surcharge revenue be suspended, and that the program be reviewed in conjunction with Southwest’s pending general rate case, resolution of which is expected in the second quarter of 2020. The ACC issued an Order in October authorizing Southwest to retain the existing annual surcharge revenue of $3.5 million and to review the program as part of the pending rate case. ACC review of the $26.6 million of capital investment from 2018, including potential cost recovery, will now occur as part of the pending general rate case. With the supplemental filing discussed earlier, Southwest is proposing to have the ACC review the estimated $21.1 million of COYL capital projects scheduled to be completed in 2019, including any decision regarding potential cost recovery, as part of the pending rate case as well.</w:t>
      </w:r>
    </w:p>
    <w:p>
      <w:pPr>
        <w:spacing w:after="0" w:line="6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Vintage Steel Pipe (“VSP”) Program. </w:t>
      </w:r>
      <w:r>
        <w:rPr>
          <w:rFonts w:ascii="Arial" w:cs="Arial" w:eastAsia="Arial" w:hAnsi="Arial"/>
          <w:sz w:val="16"/>
          <w:szCs w:val="16"/>
          <w:color w:val="auto"/>
        </w:rPr>
        <w:t>Southwest received approval, in connection with its 2016 Arizona general rate case, to implement a VSP replacement</w:t>
      </w:r>
      <w:r>
        <w:rPr>
          <w:rFonts w:ascii="Arial" w:cs="Arial" w:eastAsia="Arial" w:hAnsi="Arial"/>
          <w:sz w:val="16"/>
          <w:szCs w:val="16"/>
          <w:i w:val="1"/>
          <w:iCs w:val="1"/>
          <w:color w:val="auto"/>
        </w:rPr>
        <w:t xml:space="preserve"> </w:t>
      </w:r>
      <w:r>
        <w:rPr>
          <w:rFonts w:ascii="Arial" w:cs="Arial" w:eastAsia="Arial" w:hAnsi="Arial"/>
          <w:sz w:val="16"/>
          <w:szCs w:val="16"/>
          <w:color w:val="auto"/>
        </w:rPr>
        <w:t>program. Southwest currently has approximately 6,000 miles of pre-1970s vintage steel pipe in Arizona. Southwest proposed to start replacing the pipe on an accelerated basis and to recover the costs through an annual surcharge filing that is made in February of each year. The surcharge is designed to be revised annually as the program progresses. Southwest replaced approximately 119 miles of vintage steel pipe during 2018 totaling approximately $100 million. In the February 2019 VSP filing, Southwest requested to increase its surcharge revenue by $9.5 million (to $11.9 million) related to 2018 expenditures. The Staff issued a report and recommendation to the ACC that the current VSP program surcharge revenue be suspended and that the program be reviewed in conjunction with Southwest’s pending general rate case, resolution of which is expected in the second quarter of 2020. The ACC issued an Order in October authorizing Southwest to retain the current annual surcharge revenue of $2.4 million and to review the program as part of the pending rate case. ACC review of the $100 million of capital investment from 2018, including consideration of potential cost recovery, will now occur as part of the pending general rate case. With the supplemental filing discussed earlier, Southwest is proposing to have the ACC review the estimated $103.4 million of VSP capital projects scheduled to be completed in 2019, including potential cost recovery, as part of the pending rate case.</w:t>
      </w:r>
    </w:p>
    <w:p>
      <w:pPr>
        <w:spacing w:after="0" w:line="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Customer Data Modernization Initiative. </w:t>
      </w:r>
      <w:r>
        <w:rPr>
          <w:rFonts w:ascii="Arial" w:cs="Arial" w:eastAsia="Arial" w:hAnsi="Arial"/>
          <w:sz w:val="17"/>
          <w:szCs w:val="17"/>
          <w:color w:val="auto"/>
        </w:rPr>
        <w:t>Southwest is embarking on an initiative to replace its customer service system and its gas transaction system, each</w:t>
      </w:r>
      <w:r>
        <w:rPr>
          <w:rFonts w:ascii="Arial" w:cs="Arial" w:eastAsia="Arial" w:hAnsi="Arial"/>
          <w:sz w:val="17"/>
          <w:szCs w:val="17"/>
          <w:i w:val="1"/>
          <w:iCs w:val="1"/>
          <w:color w:val="auto"/>
        </w:rPr>
        <w:t xml:space="preserve"> </w:t>
      </w:r>
      <w:r>
        <w:rPr>
          <w:rFonts w:ascii="Arial" w:cs="Arial" w:eastAsia="Arial" w:hAnsi="Arial"/>
          <w:sz w:val="17"/>
          <w:szCs w:val="17"/>
          <w:color w:val="auto"/>
        </w:rPr>
        <w:t>of which is utilized to support all Southwest service territories. Combined, these undertakings are referred to as the Customer Data Modernization Initiative (the “CDMI”). In March 2019, Southwest filed an application with the ACC seeking an accounting order which, if approved, would authorize Southwest to track and defer all costs associated with the CDMI to mitigate adverse financial implications associated with this multi-year initiative. The total cost for the CDMI is estimated at $174 million, approximately $96 million of which would be allocable to the Arizona rate jurisdiction. The initiative is currently expected to be completed in the first half of 2021. A hearing in this matter is scheduled in the first quarter of 2020.</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California Jurisdiction</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California General Rate Case. </w:t>
      </w:r>
      <w:r>
        <w:rPr>
          <w:rFonts w:ascii="Arial" w:cs="Arial" w:eastAsia="Arial" w:hAnsi="Arial"/>
          <w:sz w:val="17"/>
          <w:szCs w:val="17"/>
          <w:color w:val="auto"/>
        </w:rPr>
        <w:t>Southwest’s existing rates became effective June 2014, and included a Post-Test Year (“PTY”) Ratemaking Mechanism, which</w:t>
      </w:r>
      <w:r>
        <w:rPr>
          <w:rFonts w:ascii="Arial" w:cs="Arial" w:eastAsia="Arial" w:hAnsi="Arial"/>
          <w:sz w:val="17"/>
          <w:szCs w:val="17"/>
          <w:i w:val="1"/>
          <w:iCs w:val="1"/>
          <w:color w:val="auto"/>
        </w:rPr>
        <w:t xml:space="preserve"> </w:t>
      </w:r>
      <w:r>
        <w:rPr>
          <w:rFonts w:ascii="Arial" w:cs="Arial" w:eastAsia="Arial" w:hAnsi="Arial"/>
          <w:sz w:val="17"/>
          <w:szCs w:val="17"/>
          <w:color w:val="auto"/>
        </w:rPr>
        <w:t>allowed for attrition increases of 2.75% annually for 2015 through 2018, after which new rates from a subsequent rate case cycle would have been expected to be in effect. In December 2016, Southwest filed to modify the earlier (2014) general rate case decision to extend the rate case cycle by two years, and received CPUC approval in June 2017, including extension of the annual 2.75% PTY attrition adjustments for 2019 and 2020.</w:t>
      </w:r>
    </w:p>
    <w:p>
      <w:pPr>
        <w:spacing w:after="0" w:line="6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August 30, 2019 Southwest filed the previously deferred California general rate case, based on a test year of 2021, seeking authority to increase rates in its California rate jurisdictions. The proposed combined revenue increase of $12.8 million is net of a $10.9 million revenue reduction associated with changes from recent U.S. tax reform, which includes the amortization of $9.8 million (approximately $2 million annually over five years) associated with the difference in authorized income tax expense and actual incurred income tax expense for years 2019 and 2020, which when returned will impact cash flows but is not expected to have an impact on earnings overall. The overall revenue request also includes $1.6 million of excess accumulated deferred income taxes that are proposed to be returned to customers each year until the amount is reset as part of a future rate case. Southwest’s proposal includes a return on common equity of 10.5%, relative to a 53% equity ratio; continuation of the post-test year margin adjustments of 2.75%; implementation of various safety-related programs including a targeted pipe replacement program, a meter protection program, including a combination of measures, such as snow sheds, excess flow valves, upgraded meter set piping and</w:t>
      </w:r>
    </w:p>
    <w:p>
      <w:pPr>
        <w:spacing w:after="0" w:line="3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70" w:right="239" w:bottom="1440" w:gutter="0" w:footer="0" w:header="0"/>
        </w:sectPr>
      </w:pPr>
    </w:p>
    <w:bookmarkStart w:id="45" w:name="page46"/>
    <w:bookmarkEnd w:id="45"/>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upgraded Encoder Receiver Transmitter (“ERT”) protocol; as well as an expansion of the COYL replacement program. The case will be processed throughout 2020, with rates requested to be effective January 2021.</w:t>
      </w:r>
    </w:p>
    <w:p>
      <w:pPr>
        <w:spacing w:after="0" w:line="6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Tax Reform. </w:t>
      </w:r>
      <w:r>
        <w:rPr>
          <w:rFonts w:ascii="Arial" w:cs="Arial" w:eastAsia="Arial" w:hAnsi="Arial"/>
          <w:sz w:val="16"/>
          <w:szCs w:val="16"/>
          <w:color w:val="auto"/>
        </w:rPr>
        <w:t>In its 2017 decision approving Southwest’s request to extend the filing date of its next general rate case, the CPUC also directed Southwest to</w:t>
      </w:r>
      <w:r>
        <w:rPr>
          <w:rFonts w:ascii="Arial" w:cs="Arial" w:eastAsia="Arial" w:hAnsi="Arial"/>
          <w:sz w:val="16"/>
          <w:szCs w:val="16"/>
          <w:i w:val="1"/>
          <w:iCs w:val="1"/>
          <w:color w:val="auto"/>
        </w:rPr>
        <w:t xml:space="preserve"> </w:t>
      </w:r>
      <w:r>
        <w:rPr>
          <w:rFonts w:ascii="Arial" w:cs="Arial" w:eastAsia="Arial" w:hAnsi="Arial"/>
          <w:sz w:val="16"/>
          <w:szCs w:val="16"/>
          <w:color w:val="auto"/>
        </w:rPr>
        <w:t>track income tax expenses resulting from mandatory or elective changes in tax law, procedure, or policy as a result of the extension. The purpose is to identify differences between Southwest’s authorized income tax expenses and its actual incurred income tax expenses. Through the third quarter of 2019, Southwest reflected $3.7 million as a reserve for amounts attributable to the impact of U.S. tax reform on the ratemaking revenue requirement.</w:t>
      </w:r>
    </w:p>
    <w:p>
      <w:pPr>
        <w:spacing w:after="0" w:line="15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Attrition Filing. </w:t>
      </w:r>
      <w:r>
        <w:rPr>
          <w:rFonts w:ascii="Arial" w:cs="Arial" w:eastAsia="Arial" w:hAnsi="Arial"/>
          <w:sz w:val="16"/>
          <w:szCs w:val="16"/>
          <w:color w:val="auto"/>
        </w:rPr>
        <w:t>In November 2018, Southwest made its latest annual PTY attrition filing, requesting annual revenue increases of $2 million in southern</w:t>
      </w:r>
      <w:r>
        <w:rPr>
          <w:rFonts w:ascii="Arial" w:cs="Arial" w:eastAsia="Arial" w:hAnsi="Arial"/>
          <w:sz w:val="16"/>
          <w:szCs w:val="16"/>
          <w:i w:val="1"/>
          <w:iCs w:val="1"/>
          <w:color w:val="auto"/>
        </w:rPr>
        <w:t xml:space="preserve"> </w:t>
      </w:r>
      <w:r>
        <w:rPr>
          <w:rFonts w:ascii="Arial" w:cs="Arial" w:eastAsia="Arial" w:hAnsi="Arial"/>
          <w:sz w:val="16"/>
          <w:szCs w:val="16"/>
          <w:color w:val="auto"/>
        </w:rPr>
        <w:t>California, $542,000 in northern California, and $271,000 for South Lake Tahoe. This filing was approved in December 2018 and rates were made effective in January 2019. At the same time, rates were updated to recover the regulatory asset associated with the revenue decoupling mechanism, or margin tracker.</w:t>
      </w:r>
    </w:p>
    <w:p>
      <w:pPr>
        <w:spacing w:after="0" w:line="36" w:lineRule="exact"/>
        <w:rPr>
          <w:sz w:val="20"/>
          <w:szCs w:val="20"/>
          <w:color w:val="auto"/>
        </w:rPr>
      </w:pPr>
    </w:p>
    <w:p>
      <w:pPr>
        <w:jc w:val="both"/>
        <w:spacing w:after="0" w:line="309" w:lineRule="auto"/>
        <w:rPr>
          <w:sz w:val="20"/>
          <w:szCs w:val="20"/>
          <w:color w:val="auto"/>
        </w:rPr>
      </w:pPr>
      <w:r>
        <w:rPr>
          <w:rFonts w:ascii="Arial" w:cs="Arial" w:eastAsia="Arial" w:hAnsi="Arial"/>
          <w:sz w:val="16"/>
          <w:szCs w:val="16"/>
          <w:i w:val="1"/>
          <w:iCs w:val="1"/>
          <w:color w:val="auto"/>
        </w:rPr>
        <w:t xml:space="preserve">Greenhouse Gas (“GHG”) Compliance. </w:t>
      </w:r>
      <w:r>
        <w:rPr>
          <w:rFonts w:ascii="Arial" w:cs="Arial" w:eastAsia="Arial" w:hAnsi="Arial"/>
          <w:sz w:val="17"/>
          <w:szCs w:val="17"/>
          <w:color w:val="auto"/>
        </w:rPr>
        <w:t>C</w:t>
      </w:r>
      <w:r>
        <w:rPr>
          <w:rFonts w:ascii="Arial" w:cs="Arial" w:eastAsia="Arial" w:hAnsi="Arial"/>
          <w:sz w:val="16"/>
          <w:szCs w:val="16"/>
          <w:color w:val="auto"/>
        </w:rPr>
        <w:t>alifornia Assembly Bill Number 32 and the regulations promulgated by the California Air Resources Board,</w:t>
      </w:r>
      <w:r>
        <w:rPr>
          <w:rFonts w:ascii="Arial" w:cs="Arial" w:eastAsia="Arial" w:hAnsi="Arial"/>
          <w:sz w:val="16"/>
          <w:szCs w:val="16"/>
          <w:i w:val="1"/>
          <w:iCs w:val="1"/>
          <w:color w:val="auto"/>
        </w:rPr>
        <w:t xml:space="preserve"> </w:t>
      </w:r>
      <w:r>
        <w:rPr>
          <w:rFonts w:ascii="Arial" w:cs="Arial" w:eastAsia="Arial" w:hAnsi="Arial"/>
          <w:sz w:val="16"/>
          <w:szCs w:val="16"/>
          <w:color w:val="auto"/>
        </w:rPr>
        <w:t>require Southwest, as a covered entity, to comply with all applicable requirements associated with California GHG emissions reporting and the California Cap and Trade Program. The CPUC issued a decision in March 2018 adopting an allocation methodology to distribute the net revenues or costs for years 2015-2017 beginning in the second quarter of 2018. Southwest began amortizing its then existing net cost balance over a 12-month period with recovery rates effective July 2018 for all applicable rate schedules. In addition, for years 2019-2020, the decision directed the adoption of an allocation methodology to distribute the revenue proceeds through a California Climate Credit to active residential customers in April of each year, following initial required credits in October 2018. GHG compliance costs recovered through rates (including transportation customer rates) have no impact on earnings overall.</w:t>
      </w:r>
    </w:p>
    <w:p>
      <w:pPr>
        <w:spacing w:after="0" w:line="4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Customer Data Modernization Initiative. </w:t>
      </w:r>
      <w:r>
        <w:rPr>
          <w:rFonts w:ascii="Arial" w:cs="Arial" w:eastAsia="Arial" w:hAnsi="Arial"/>
          <w:sz w:val="17"/>
          <w:szCs w:val="17"/>
          <w:color w:val="auto"/>
        </w:rPr>
        <w:t>On April 26, 2019, Southwest filed an application with the CPUC seeking authority to establish a two-way,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bearing balancing account to record costs associated with the CDMI to mitigate adverse financial implications associated with this multi-year project. Approximately $19 million of the total cost for the CDMI would be allocable to the California rate jurisdiction. Southwest filed a separate request to establish a memorandum account while the CPUC considers its application request to establish a two-way balancing account. Effective October 2019, the CPUC granted Southwest’s request, which will allow Southwest to track costs, including operations and maintenance costs and capital-related costs, such as depreciation, taxes, and return associated with California’s portion of the CMDI. The balance tracked will be recorded in a two-way balancing account if Southwest’s original application is approved. Resolution of the application request is expected in the fourth quarter of 2019.</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Nevada Jurisdiction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Nevada General Rate Case. </w:t>
      </w:r>
      <w:r>
        <w:rPr>
          <w:rFonts w:ascii="Arial" w:cs="Arial" w:eastAsia="Arial" w:hAnsi="Arial"/>
          <w:sz w:val="18"/>
          <w:szCs w:val="18"/>
          <w:color w:val="auto"/>
        </w:rPr>
        <w:t>Southwest filed its most recent general rate case with the PUCN in May 2018 and updated the request following the certification</w:t>
      </w:r>
      <w:r>
        <w:rPr>
          <w:rFonts w:ascii="Arial" w:cs="Arial" w:eastAsia="Arial" w:hAnsi="Arial"/>
          <w:sz w:val="18"/>
          <w:szCs w:val="18"/>
          <w:i w:val="1"/>
          <w:iCs w:val="1"/>
          <w:color w:val="auto"/>
        </w:rPr>
        <w:t xml:space="preserve"> </w:t>
      </w:r>
      <w:r>
        <w:rPr>
          <w:rFonts w:ascii="Arial" w:cs="Arial" w:eastAsia="Arial" w:hAnsi="Arial"/>
          <w:sz w:val="18"/>
          <w:szCs w:val="18"/>
          <w:color w:val="auto"/>
        </w:rPr>
        <w:t>period ending in July 2018. The filing requested a statewide overall revenue increase of approximately $29.7 million.</w:t>
      </w:r>
    </w:p>
    <w:p>
      <w:pPr>
        <w:spacing w:after="0" w:line="6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PUCN issued a rate case decision in December 2018, which authorized a return on equity (“ROE”) of 9.25% relative to the Company’s proposed capital structure of 49.66% equity applicable to both southern and northern Nevada, and provided for an overall revenue increase of $9.5 million in southern Nevada and a revenue decrease in northern Nevada of $2 million. New rates associated with the PUCN’s decision became effective in January 2019.</w:t>
      </w:r>
    </w:p>
    <w:p>
      <w:pPr>
        <w:spacing w:after="0" w:line="3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rate relief was lower than the amounts requested due to several factors, including the 9.25% granted return on equity, as opposed to a requested 10.3%, and the exclusion from rates at this time of costs attributable to several software applications, albeit allowing the Company to request recovery in its next general rate case filing. In response to the PUCN’s decision, management filed a Petition for Reconsideration (the “Petition”) of several rate case issues in January 2019. The PUCN Staff also filed a Petition for Reconsideration requesting several technical clarifications on the rate case decision with respect to how to calculate the intended results of the decision. The PUCN, in turn, issued a decision regarding both petitions in February 2019 that modified certain parts of the original order, but granted no further rate relief. The modified final decision resulted in a revenue increase of $9.2 million in southern Nevada and a revenue decrease in northern Nevada of $2.1 million. The decision included a reduction in depreciation expense of $800,000 and overall, resulted in a net increase in revenues of $7.1 million and an increase in operating income of $7.9 million. The resulting modified rates became effective March 2019. Management decided to seek judicial review of the PUCN’s rate order, the resolution of which is expected by the end of 2019.</w:t>
      </w:r>
    </w:p>
    <w:p>
      <w:pPr>
        <w:spacing w:after="0" w:line="5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General Revenues Adjustment. </w:t>
      </w:r>
      <w:r>
        <w:rPr>
          <w:rFonts w:ascii="Arial" w:cs="Arial" w:eastAsia="Arial" w:hAnsi="Arial"/>
          <w:sz w:val="18"/>
          <w:szCs w:val="18"/>
          <w:color w:val="auto"/>
        </w:rPr>
        <w:t>As part of the Annual Rate Adjustment (“ARA”) filing in 2018, the PUCN authorized rate adjustments associated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Revenues Adjustment (“GRA”), to recover $5.6 million from customers during 2019. The continuation of the GRA was affirmed as part of the December 2018 rate case decision. While there is no impact to net income overall from this rate adjustment, operating cash flows will increase as the associated regulatory asset balance is recovered. In</w:t>
      </w: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70" w:right="239" w:bottom="1440" w:gutter="0" w:footer="0" w:header="0"/>
        </w:sectPr>
      </w:pPr>
    </w:p>
    <w:bookmarkStart w:id="46" w:name="page47"/>
    <w:bookmarkEnd w:id="46"/>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June 2019, Southwest made its 2019 ARA filing in which it requested to update the GRA to reflect the current over-collected balances in both southern and northern Nevada. The proposal would provide a decrease in cash flows of approximately $8 million in southern Nevada and an increase of approximately $2 million in northern Nevada, but have no impact to operating margin or earnings overall. Proposed changes related to the 2019 ARA will be considered by the PUCN during the fourth quarter 2019, with rates expected to be effective January 2020.</w:t>
      </w:r>
    </w:p>
    <w:p>
      <w:pPr>
        <w:spacing w:after="0" w:line="7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Infrastructure Replacement Mechanism. </w:t>
      </w:r>
      <w:r>
        <w:rPr>
          <w:rFonts w:ascii="Arial" w:cs="Arial" w:eastAsia="Arial" w:hAnsi="Arial"/>
          <w:sz w:val="16"/>
          <w:szCs w:val="16"/>
          <w:color w:val="auto"/>
        </w:rPr>
        <w:t>In 2014, the PUCN approved final rules for the GIR mechanism which defers and recovers certain costs associated</w:t>
      </w:r>
      <w:r>
        <w:rPr>
          <w:rFonts w:ascii="Arial" w:cs="Arial" w:eastAsia="Arial" w:hAnsi="Arial"/>
          <w:sz w:val="16"/>
          <w:szCs w:val="16"/>
          <w:i w:val="1"/>
          <w:iCs w:val="1"/>
          <w:color w:val="auto"/>
        </w:rPr>
        <w:t xml:space="preserve"> </w:t>
      </w:r>
      <w:r>
        <w:rPr>
          <w:rFonts w:ascii="Arial" w:cs="Arial" w:eastAsia="Arial" w:hAnsi="Arial"/>
          <w:sz w:val="16"/>
          <w:szCs w:val="16"/>
          <w:color w:val="auto"/>
        </w:rPr>
        <w:t>with accelerated replacement of qualifying infrastructure that would not otherwise currently provide incremental revenues. Associated with the replacement of various types of pipe infrastructure under the mechanism (Early Vintage Plastic Pipe (“EVPP”), COYL, and VSP), generally on an annual basis, Southwest files a GIR “Advance Application” in May and a “Rate Application,” generally in October. In June 2018, Southwest filed its Advance Application requesting authorization to replace qualifying infrastructure with projects totaling $228 million to be completed over a three-year period (2019-2021), with a total annualized revenue requirement (following the three-year replacement period) of approximately $21.7 million. Historically, Southwest has requested approval of projects on an annual basis; however, it requested to move to a multi-year approval process for projects to improve operational flexibility and enhance coordination with contractors and governmental agencies. The PUCN issued a decision limiting its approval to the 2019 projects, resulting in an approval of $34.3 million for projects to be completed in 2019 (EVPP $9.3 million, COYL $1.3 million, and VSP $23.7 million).</w:t>
      </w:r>
    </w:p>
    <w:p>
      <w:pPr>
        <w:spacing w:after="0" w:line="5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Rate Application is generally filed each October to reset the GIR recovery surcharge related to previously approved and completed projects, with new rates becoming effective each January. During the third quarter of 2018, management proposed to adjust the GIR surcharge rate as part of the rate case in lieu of filing a separate application, which was approved and implemented in January 2019. It is expected to result in incremental annual margin of approximately $6 million. On October 1, 2019, Southwest filed a Rate Application to reset the recovery surcharge to include cumulative deferrals through August 31, 2019. This surcharge rate is expected to become effective January 2020 and result in a reduction in annual margin of approximately $7.6 million in southern Nevada and $35,000 in northern Nevada.</w:t>
      </w:r>
    </w:p>
    <w:p>
      <w:pPr>
        <w:spacing w:after="0" w:line="8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Conservation and Energy Efficiency (“CEE”). </w:t>
      </w:r>
      <w:r>
        <w:rPr>
          <w:rFonts w:ascii="Arial" w:cs="Arial" w:eastAsia="Arial" w:hAnsi="Arial"/>
          <w:sz w:val="17"/>
          <w:szCs w:val="17"/>
          <w:color w:val="auto"/>
        </w:rPr>
        <w:t>The PUCN allows deferral (and later recovery) of approved conservation and energy efficiency costs, recovery</w:t>
      </w:r>
      <w:r>
        <w:rPr>
          <w:rFonts w:ascii="Arial" w:cs="Arial" w:eastAsia="Arial" w:hAnsi="Arial"/>
          <w:sz w:val="17"/>
          <w:szCs w:val="17"/>
          <w:i w:val="1"/>
          <w:iCs w:val="1"/>
          <w:color w:val="auto"/>
        </w:rPr>
        <w:t xml:space="preserve"> </w:t>
      </w:r>
      <w:r>
        <w:rPr>
          <w:rFonts w:ascii="Arial" w:cs="Arial" w:eastAsia="Arial" w:hAnsi="Arial"/>
          <w:sz w:val="17"/>
          <w:szCs w:val="17"/>
          <w:color w:val="auto"/>
        </w:rPr>
        <w:t>rates for which are adjusted in the annual rate adjustment filing. As part of the 2018 ARA filing, Southwest requested and received modified rates, effective January 2019, which are expected to result in annualized margin decreases of $4.1 million in southern Nevada and $58,000 in northern Nevada. There is, however, no anticipated impact to net income overall from these changes as amortization expense is reduced by approximately the same amounts. In June 2019, Southwest made its 2019 ARA filing which proposes annualized margin increases of $3.2 million and $880,000 in southern and northern Nevada, respectively. Southwest recently entered into a stipulation and agreement to modify these amounts to $6.2 million and $1.1 million in southern and northern Nevada, respectively, which reflect the recovery of a related but separate program balance to be rolled into customer rates with the effective date. These changes, if approved, would have no impact on earnings overall, as described above. Proposed changes related to the 2019 ARA will be considered by the PUCN during the fourth quarter 2019, with rates expected to be effective in January 2020.</w:t>
      </w:r>
    </w:p>
    <w:p>
      <w:pPr>
        <w:spacing w:after="0" w:line="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Expansion and Economic Development Legislation. </w:t>
      </w:r>
      <w:r>
        <w:rPr>
          <w:rFonts w:ascii="Arial" w:cs="Arial" w:eastAsia="Arial" w:hAnsi="Arial"/>
          <w:sz w:val="18"/>
          <w:szCs w:val="18"/>
          <w:color w:val="auto"/>
        </w:rPr>
        <w:t>In January 2016, final regulations were approved by the PUCN associated with legislation (“SB 151”)</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previously introduced and signed into law in Nevada. The legislation authorized natural gas utilities to expand their infrastructure to provide service to unserved and underserved areas in Nevada.</w:t>
      </w:r>
    </w:p>
    <w:p>
      <w:pPr>
        <w:spacing w:after="0" w:line="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November 2017, Southwest filed for preapproval of a project to extend service to Mesquite, Nevada, in accordance with the SB 151 regulations. Ultimately, the PUCN issued an order approving Southwest’s proposal to expand natural gas infrastructure to Mesquite, including a capital investment of approximately $28 million and the construction of approximately 37 miles of distribution pipeline (including the approach main). The cost is expected to be recovered through volumetric rates from all southern Nevada customers (including new customers in Mesquite). The annual revenue requirement associated with the project is approximately $2.8 million. Southwest conducted preliminary design work and began serving certain customers with an approved virtual pipeline network in February 2019, which provides temporary natural gas supply using portions of the approved distribution system and compressed natural gas tanks. It is estimated that permitting and construction of the approach main to bring the permanent supply to Mesquite and construction of the remaining approved distribution system could take approximately two years to complete.</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2019, Southwest filed for preapproval to construct the infrastructure necessary to expand natural gas service to Spring Creek, Nevada, and implement a cost recovery methodology to timely recover the associated revenue requirement consistent with the SB 151 regulations. Proposed expansion to the Spring Creek area near Elko, Nevada, consists of an approach main, two regulator stations, and interior backbone plus the extension of the distribution system from the interior backbone system. This area has a population of approximately 16,500, with approximately 20% of the existing 5,000 potential customers expressing interest in taking natural gas service, if available. The total capital investment is estimated to be $61.9 million. Resolution of this request is expected in the first quarter of 2020.</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70" w:right="239" w:bottom="1440" w:gutter="0" w:footer="0" w:header="0"/>
        </w:sectPr>
      </w:pPr>
    </w:p>
    <w:bookmarkStart w:id="47" w:name="page48"/>
    <w:bookmarkEnd w:id="47"/>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Customer Data Modernization Initiative. </w:t>
      </w:r>
      <w:r>
        <w:rPr>
          <w:rFonts w:ascii="Arial" w:cs="Arial" w:eastAsia="Arial" w:hAnsi="Arial"/>
          <w:sz w:val="18"/>
          <w:szCs w:val="18"/>
          <w:color w:val="auto"/>
        </w:rPr>
        <w:t>In March 2019, Southwest filed a request seeking authority to establish a regulatory asset to defer the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 related to the CDMI to mitigate the financial attrition associated with this multi-year project. Of the total estimated cost of the CDMI, approximately $59 million would be allocable to the Nevada rate jurisdictions. A hearing on this matter was held in August 2019 and the PUCN issued its decision in September 2019 denying the Company’s request for regulatory asset treatment, finding that a general rate case is the most appropriate venue to address such costs. In response to the PUCN’s decision, Southwest filed a Petition for Reconsideration in October 2019 for which the PUCN has 40 days to issue a decision; otherwise, the petition is deemed denied.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Energy Regulatory Commission (“FERC”) Jurisdiction</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General Rate Case. </w:t>
      </w:r>
      <w:r>
        <w:rPr>
          <w:rFonts w:ascii="Arial" w:cs="Arial" w:eastAsia="Arial" w:hAnsi="Arial"/>
          <w:sz w:val="16"/>
          <w:szCs w:val="16"/>
          <w:color w:val="auto"/>
        </w:rPr>
        <w:t>Paiute Pipeline Company (“Paiute”), a wholly owned subsidiary of Southwest, filed a general rate case application with the FERC on</w:t>
      </w:r>
      <w:r>
        <w:rPr>
          <w:rFonts w:ascii="Arial" w:cs="Arial" w:eastAsia="Arial" w:hAnsi="Arial"/>
          <w:sz w:val="16"/>
          <w:szCs w:val="16"/>
          <w:i w:val="1"/>
          <w:iCs w:val="1"/>
          <w:color w:val="auto"/>
        </w:rPr>
        <w:t xml:space="preserve"> </w:t>
      </w:r>
      <w:r>
        <w:rPr>
          <w:rFonts w:ascii="Arial" w:cs="Arial" w:eastAsia="Arial" w:hAnsi="Arial"/>
          <w:sz w:val="16"/>
          <w:szCs w:val="16"/>
          <w:color w:val="auto"/>
        </w:rPr>
        <w:t>May 31, 2019 to update the cost of service to reflect recent U.S. tax reform changes, capital investments and other changes in its cost of service since its last general rate case. The request includes an increase in revenue of approximately $7 million, including a proposed 14.84% return on equity relative to a hypothetical capital structure of 56% equity. Paiute is also proposing to continue its current rate structure for its customer categories. Paiute requested rates associated with this filing to be made effective on July 1, 2019; however, the rate increase request was suspended until December 2019. It is not uncommon for suspension/delay to occur related to requests for increases, in order to permit the FERC time to review the proposed changes. Rate decreases associated with the Elko Incremental Facilities Charge; 2010 Expansion Incremental Facilities Surcharge; and the 2015 Elko Area Expansion Incremental Facilities Surcharge were placed into effect July 1, 2019. Hearings have been scheduled for June 2020, with a final decision expected before the end of 2020.</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PGA Filings</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rate schedules in all of Southwest’s service territories contain provisions that permit adjustment to rates as the cost of purchased gas changes. These deferred energy provisions and purchased gas adjustment clauses are collectively referred to as “PGA” clauses. Differences between gas costs recovered from customers and amounts paid for gas by Southwest result in over- or under-collections. At September 30, 2019, under-collections in northern and southern Nevada resulted in an asset of $49.8 million and over-collections in Arizona and California resulted in a liability of $88.0 million on the Company’s and Southwest’s Condensed Consolidated Balance Sheets. The balance in Arizona reflects the majority (portion associated with interstate transmission into Arizona) of a $49 million refund received during the third quarter of 2018 by Southwest from El Paso Natural Gas, L.L.C. (“EPNG”), as part of a rate case settlement. Effective May 2019, the ACC approved the return of the EPNG rate case settlement dollars as a special per-therm PGA credit, which resulted in $12.6 million in credits to Arizona customers since its establishment and is expected to be in place for approximately twelve months.</w:t>
      </w:r>
    </w:p>
    <w:p>
      <w:pPr>
        <w:spacing w:after="0" w:line="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Filings to change rates in accordance with PGA clauses are subject to audit by state regulatory commission staffs. PGA changes impact cash flows but have no direct impact on profit margin. However, gas cost deferrals and recoveries can impact comparisons between periods of individual consolidated income statement components. These include Gas operating revenues, Net cost of gas sold, Net interest deductions, and Other income (deductions).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Southwest’s outstanding PGA balances receivable/(payable) (thousands of dollars):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60" w:type="dxa"/>
            <w:vAlign w:val="bottom"/>
            <w:gridSpan w:val="2"/>
          </w:tcPr>
          <w:p>
            <w:pPr>
              <w:ind w:left="140"/>
              <w:spacing w:after="0"/>
              <w:rPr>
                <w:sz w:val="20"/>
                <w:szCs w:val="20"/>
                <w:color w:val="auto"/>
              </w:rPr>
            </w:pPr>
            <w:r>
              <w:rPr>
                <w:rFonts w:ascii="Arial" w:cs="Arial" w:eastAsia="Arial" w:hAnsi="Arial"/>
                <w:sz w:val="18"/>
                <w:szCs w:val="18"/>
                <w:color w:val="auto"/>
              </w:rPr>
              <w:t>September 30, 2019</w:t>
            </w:r>
          </w:p>
        </w:tc>
        <w:tc>
          <w:tcPr>
            <w:tcW w:w="240" w:type="dxa"/>
            <w:vAlign w:val="bottom"/>
          </w:tcPr>
          <w:p>
            <w:pPr>
              <w:spacing w:after="0"/>
              <w:rPr>
                <w:sz w:val="20"/>
                <w:szCs w:val="20"/>
                <w:color w:val="auto"/>
              </w:rPr>
            </w:pPr>
          </w:p>
        </w:tc>
        <w:tc>
          <w:tcPr>
            <w:tcW w:w="2020" w:type="dxa"/>
            <w:vAlign w:val="bottom"/>
            <w:gridSpan w:val="2"/>
          </w:tcPr>
          <w:p>
            <w:pPr>
              <w:ind w:left="120"/>
              <w:spacing w:after="0"/>
              <w:rPr>
                <w:sz w:val="20"/>
                <w:szCs w:val="20"/>
                <w:color w:val="auto"/>
              </w:rPr>
            </w:pPr>
            <w:r>
              <w:rPr>
                <w:rFonts w:ascii="Arial" w:cs="Arial" w:eastAsia="Arial" w:hAnsi="Arial"/>
                <w:sz w:val="18"/>
                <w:szCs w:val="18"/>
                <w:color w:val="auto"/>
              </w:rPr>
              <w:t>December 31, 2018</w:t>
            </w:r>
          </w:p>
        </w:tc>
        <w:tc>
          <w:tcPr>
            <w:tcW w:w="240" w:type="dxa"/>
            <w:vAlign w:val="bottom"/>
          </w:tcPr>
          <w:p>
            <w:pPr>
              <w:spacing w:after="0"/>
              <w:rPr>
                <w:sz w:val="20"/>
                <w:szCs w:val="20"/>
                <w:color w:val="auto"/>
              </w:rPr>
            </w:pPr>
          </w:p>
        </w:tc>
        <w:tc>
          <w:tcPr>
            <w:tcW w:w="1920" w:type="dxa"/>
            <w:vAlign w:val="bottom"/>
          </w:tcPr>
          <w:p>
            <w:pPr>
              <w:jc w:val="right"/>
              <w:ind w:right="270"/>
              <w:spacing w:after="0"/>
              <w:rPr>
                <w:sz w:val="20"/>
                <w:szCs w:val="20"/>
                <w:color w:val="auto"/>
              </w:rPr>
            </w:pPr>
            <w:r>
              <w:rPr>
                <w:rFonts w:ascii="Arial" w:cs="Arial" w:eastAsia="Arial" w:hAnsi="Arial"/>
                <w:sz w:val="18"/>
                <w:szCs w:val="18"/>
                <w:color w:val="auto"/>
                <w:w w:val="94"/>
              </w:rPr>
              <w:t>September 30, 2018</w:t>
            </w: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Arizona</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(70,863)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Northern Nevada</w:t>
            </w:r>
          </w:p>
        </w:tc>
        <w:tc>
          <w:tcPr>
            <w:tcW w:w="24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11,909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4,928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(1,287)</w:t>
            </w: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Southern Nevada</w:t>
            </w: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37,895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(16,125)</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California</w:t>
            </w:r>
          </w:p>
        </w:tc>
        <w:tc>
          <w:tcPr>
            <w:tcW w:w="2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(3,592)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(4,748)</w:t>
            </w: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(38,226)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(74,834)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(93,023)</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Capital Resources and Liquidity</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Historically, cash on hand and cash flows from operations have provided a substantial portion of cash used in investing activities (primarily for construction expenditures and property additions). In recent years, the Company has accelerated pipe replacement activities to fortify system integrity and reliability, notably in association with gas infrastructure replacement programs as discussed previously. This accelerated activity has necessitated the issuance of both debt and equity securities to supplement cash flows from operations. The Company endeavors to maintain an appropriate balance of equity and debt to maintain strong investment-grade credit ratings, which should minimize interest costs.</w:t>
      </w:r>
    </w:p>
    <w:p>
      <w:pPr>
        <w:spacing w:after="0" w:line="3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70" w:right="239" w:bottom="1440" w:gutter="0" w:footer="0" w:header="0"/>
        </w:sectPr>
      </w:pPr>
    </w:p>
    <w:bookmarkStart w:id="48" w:name="page49"/>
    <w:bookmarkEnd w:id="48"/>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Southwest Gas Holdings, Inc.:</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Operating Cash Flows. </w:t>
      </w:r>
      <w:r>
        <w:rPr>
          <w:rFonts w:ascii="Arial" w:cs="Arial" w:eastAsia="Arial" w:hAnsi="Arial"/>
          <w:sz w:val="18"/>
          <w:szCs w:val="18"/>
          <w:color w:val="auto"/>
        </w:rPr>
        <w:t>Cash flows provided by consolidated operating activities decreased $29 million in the first nine months of 2019 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of 2018. The decline in cash flows primarily resulted from a reduction/return of amounts under purchased gas adjustment mechanisms, offset by increases in net income, benefits from depreciation, and impacts of working capital components overall (including regulatory balances, such as the Arizona DCA, that are recovered or returned over twelve months or less).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Investing Cash Flows. </w:t>
      </w:r>
      <w:r>
        <w:rPr>
          <w:rFonts w:ascii="Arial" w:cs="Arial" w:eastAsia="Arial" w:hAnsi="Arial"/>
          <w:sz w:val="18"/>
          <w:szCs w:val="18"/>
          <w:color w:val="auto"/>
        </w:rPr>
        <w:t>Cash used in consolidated investing activities increased $162 million in the first nine months of 2019 as compared to the same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2018. The change was primarily due to increased construction expenditures in the natural gas operations segment, including scheduled and accelerated replacement activity, as well as the remittance of a portion of purchase consideration previously held back in association with the acquisition of Linetec (see </w:t>
      </w:r>
      <w:r>
        <w:rPr>
          <w:rFonts w:ascii="Arial" w:cs="Arial" w:eastAsia="Arial" w:hAnsi="Arial"/>
          <w:sz w:val="18"/>
          <w:szCs w:val="18"/>
          <w:b w:val="1"/>
          <w:bCs w:val="1"/>
          <w:color w:val="auto"/>
        </w:rPr>
        <w:t>Note 12 – Business Acquisitions</w:t>
      </w:r>
      <w:r>
        <w:rPr>
          <w:rFonts w:ascii="Arial" w:cs="Arial" w:eastAsia="Arial" w:hAnsi="Arial"/>
          <w:sz w:val="18"/>
          <w:szCs w:val="18"/>
          <w:color w:val="auto"/>
        </w:rPr>
        <w:t>).</w:t>
      </w:r>
    </w:p>
    <w:p>
      <w:pPr>
        <w:spacing w:after="0" w:line="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Financing Cash Flows. </w:t>
      </w:r>
      <w:r>
        <w:rPr>
          <w:rFonts w:ascii="Arial" w:cs="Arial" w:eastAsia="Arial" w:hAnsi="Arial"/>
          <w:sz w:val="16"/>
          <w:szCs w:val="16"/>
          <w:color w:val="auto"/>
        </w:rPr>
        <w:t>Net cash provided by consolidated financing activities increased $108 million in the first nine months of 2019 as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same period of 2018. The increase was primarily due to the issuance of common stock under both an earlier equity registration and a recent Equity Shelf Program initiated in May 2019, in addition to higher payments in the prior year by Southwest of short-term balances under its revolving credit facility. Additionally, retirements of long-term debt arrangements were higher in the prior period; whereas, dividends were higher in the current period due to both an increase in the dividend rate and the number of shares outstanding in the current period. See </w:t>
      </w:r>
      <w:r>
        <w:rPr>
          <w:rFonts w:ascii="Arial" w:cs="Arial" w:eastAsia="Arial" w:hAnsi="Arial"/>
          <w:sz w:val="16"/>
          <w:szCs w:val="16"/>
          <w:b w:val="1"/>
          <w:bCs w:val="1"/>
          <w:color w:val="auto"/>
        </w:rPr>
        <w:t>Note 6 – Common Stock</w:t>
      </w:r>
      <w:r>
        <w:rPr>
          <w:rFonts w:ascii="Arial" w:cs="Arial" w:eastAsia="Arial" w:hAnsi="Arial"/>
          <w:sz w:val="16"/>
          <w:szCs w:val="16"/>
          <w:color w:val="auto"/>
        </w:rPr>
        <w:t xml:space="preserve"> and </w:t>
      </w:r>
      <w:r>
        <w:rPr>
          <w:rFonts w:ascii="Arial" w:cs="Arial" w:eastAsia="Arial" w:hAnsi="Arial"/>
          <w:sz w:val="16"/>
          <w:szCs w:val="16"/>
          <w:b w:val="1"/>
          <w:bCs w:val="1"/>
          <w:color w:val="auto"/>
        </w:rPr>
        <w:t>Note 7 – Long-Term Debt</w:t>
      </w:r>
      <w:r>
        <w:rPr>
          <w:rFonts w:ascii="Arial" w:cs="Arial" w:eastAsia="Arial" w:hAnsi="Arial"/>
          <w:sz w:val="16"/>
          <w:szCs w:val="16"/>
          <w:color w:val="auto"/>
        </w:rPr>
        <w:t>.</w:t>
      </w:r>
    </w:p>
    <w:p>
      <w:pPr>
        <w:spacing w:after="0" w:line="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received approximately $121 million in stock proceeds during the first nine months of 2019 under its Equity Shelf programs and issued approximately 96,000 shares of common stock through the Dividend Reinvestment and Stock Purchase Plan (“DRSPP”), from which it raised approximately $8.1 million.</w:t>
      </w:r>
    </w:p>
    <w:p>
      <w:pPr>
        <w:spacing w:after="0" w:line="7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The capital requirements and resources of the Company generally are determined independently for the natural gas operations and utility infrastructure services segments. Each business activity is generally responsible for securing its own external debt financing sources. However, the holding company may raise funds through stock issuance or other external financing sources in support of each business segment, as discussed in </w:t>
      </w:r>
      <w:r>
        <w:rPr>
          <w:rFonts w:ascii="Arial" w:cs="Arial" w:eastAsia="Arial" w:hAnsi="Arial"/>
          <w:sz w:val="16"/>
          <w:szCs w:val="16"/>
          <w:b w:val="1"/>
          <w:bCs w:val="1"/>
          <w:color w:val="auto"/>
        </w:rPr>
        <w:t>Note 6 – Common Stock</w:t>
      </w:r>
      <w:r>
        <w:rPr>
          <w:rFonts w:ascii="Arial" w:cs="Arial" w:eastAsia="Arial" w:hAnsi="Arial"/>
          <w:sz w:val="16"/>
          <w:szCs w:val="16"/>
          <w:color w:val="auto"/>
        </w:rPr>
        <w: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Southwest Gas Corporation: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Operating Cash Flows. </w:t>
      </w:r>
      <w:r>
        <w:rPr>
          <w:rFonts w:ascii="Arial" w:cs="Arial" w:eastAsia="Arial" w:hAnsi="Arial"/>
          <w:sz w:val="18"/>
          <w:szCs w:val="18"/>
          <w:color w:val="auto"/>
        </w:rPr>
        <w:t>Cash flows provided by operating activities decreased $18 million in the first nine months of 2019 as compared to the same period of</w:t>
      </w:r>
      <w:r>
        <w:rPr>
          <w:rFonts w:ascii="Arial" w:cs="Arial" w:eastAsia="Arial" w:hAnsi="Arial"/>
          <w:sz w:val="18"/>
          <w:szCs w:val="18"/>
          <w:i w:val="1"/>
          <w:iCs w:val="1"/>
          <w:color w:val="auto"/>
        </w:rPr>
        <w:t xml:space="preserve"> </w:t>
      </w:r>
      <w:r>
        <w:rPr>
          <w:rFonts w:ascii="Arial" w:cs="Arial" w:eastAsia="Arial" w:hAnsi="Arial"/>
          <w:sz w:val="18"/>
          <w:szCs w:val="18"/>
          <w:color w:val="auto"/>
        </w:rPr>
        <w:t>2018. The decline in operating cash flows was attributable to impacts related to deferred purchased gas costs noted above, offset by an increase in net income, benefits from depreciation, and the impacts of working capital components overall.</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Investing Cash Flows. </w:t>
      </w:r>
      <w:r>
        <w:rPr>
          <w:rFonts w:ascii="Arial" w:cs="Arial" w:eastAsia="Arial" w:hAnsi="Arial"/>
          <w:sz w:val="18"/>
          <w:szCs w:val="18"/>
          <w:color w:val="auto"/>
        </w:rPr>
        <w:t>Cash used in investing activities increased $99 million in the first nine months of 2019 as compared to the same period of 2018. The</w:t>
      </w:r>
      <w:r>
        <w:rPr>
          <w:rFonts w:ascii="Arial" w:cs="Arial" w:eastAsia="Arial" w:hAnsi="Arial"/>
          <w:sz w:val="18"/>
          <w:szCs w:val="18"/>
          <w:i w:val="1"/>
          <w:iCs w:val="1"/>
          <w:color w:val="auto"/>
        </w:rPr>
        <w:t xml:space="preserve"> </w:t>
      </w:r>
      <w:r>
        <w:rPr>
          <w:rFonts w:ascii="Arial" w:cs="Arial" w:eastAsia="Arial" w:hAnsi="Arial"/>
          <w:sz w:val="18"/>
          <w:szCs w:val="18"/>
          <w:color w:val="auto"/>
        </w:rPr>
        <w:t>change was primarily due to additional construction expenditures, as indicated above.</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Financing Cash Flows. </w:t>
      </w:r>
      <w:r>
        <w:rPr>
          <w:rFonts w:ascii="Arial" w:cs="Arial" w:eastAsia="Arial" w:hAnsi="Arial"/>
          <w:sz w:val="18"/>
          <w:szCs w:val="18"/>
          <w:color w:val="auto"/>
        </w:rPr>
        <w:t>Net cash provided by financing activities increased $90 million in the first nine months of 2019 as compared to the same period of</w:t>
      </w:r>
      <w:r>
        <w:rPr>
          <w:rFonts w:ascii="Arial" w:cs="Arial" w:eastAsia="Arial" w:hAnsi="Arial"/>
          <w:sz w:val="18"/>
          <w:szCs w:val="18"/>
          <w:i w:val="1"/>
          <w:iCs w:val="1"/>
          <w:color w:val="auto"/>
        </w:rPr>
        <w:t xml:space="preserve"> </w:t>
      </w:r>
      <w:r>
        <w:rPr>
          <w:rFonts w:ascii="Arial" w:cs="Arial" w:eastAsia="Arial" w:hAnsi="Arial"/>
          <w:sz w:val="18"/>
          <w:szCs w:val="18"/>
          <w:color w:val="auto"/>
        </w:rPr>
        <w:t>2018. The increase was primarily due to an increase in capital contributions from Southwest Gas Holdings, Inc. compared to the prior period, and higher payments in the prior year related to short-term balances under Southwest’s revolving credit facility. As indicated above, Southwest utilized funds from the $300 million of Senior Notes issued in May 2019 to reduce amounts then outstanding under its revolving credit facility and commercial paper program. Dividends to the parent holding company were greater in the current period.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Gas Segment Construction Expenditures and Financing</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twelve-month period ended September 30, 2019, construction expenditures for the natural gas operations segment were $784 million. The majority of these expenditures represented costs associated with scheduled and accelerated replacement of existing transmission, distribution, and general plant. Cash flows from operating activities of Southwest were $365 million during this time, and provided approximately 42% of construction expenditures and dividend requirements.</w:t>
      </w:r>
    </w:p>
    <w:p>
      <w:pPr>
        <w:spacing w:after="0" w:line="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Management estimates natural gas segment construction expenditures during the three-year period ending December 31, 2021 will be approximately $2.1 billion. Of this amount, approximately $730 million is scheduled to be incurred in 2019. Southwest plans to continue to request regulatory support as necessary and appropriate to accelerate projects that improve system flexibility and reliability (including replacement of early vintage plastic and steel pipe). Southwest may expand existing, or initiate new, programs. Significant replacement activities are expected to continue well beyond the next few years. See also </w:t>
      </w:r>
      <w:r>
        <w:rPr>
          <w:rFonts w:ascii="Arial" w:cs="Arial" w:eastAsia="Arial" w:hAnsi="Arial"/>
          <w:sz w:val="17"/>
          <w:szCs w:val="17"/>
          <w:b w:val="1"/>
          <w:bCs w:val="1"/>
          <w:color w:val="auto"/>
        </w:rPr>
        <w:t>Rates and Regulatory Proceedings</w:t>
      </w:r>
      <w:r>
        <w:rPr>
          <w:rFonts w:ascii="Arial" w:cs="Arial" w:eastAsia="Arial" w:hAnsi="Arial"/>
          <w:sz w:val="17"/>
          <w:szCs w:val="17"/>
          <w:color w:val="auto"/>
        </w:rPr>
        <w:t xml:space="preserve"> for discussion of Nevada infrastructure, Arizona COYL and VSP programs, the Arizona LNG facility, and Spring Creek in Nevada. During the three-year period, cash flows from operating activities of Southwest are expected to provide approximately 45% to 50% of the funding for gas operations total construction expenditures and dividend requirements.</w:t>
      </w:r>
    </w:p>
    <w:p>
      <w:pPr>
        <w:spacing w:after="0" w:line="36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70" w:right="239" w:bottom="1440" w:gutter="0" w:footer="0" w:header="0"/>
        </w:sectPr>
      </w:pPr>
    </w:p>
    <w:bookmarkStart w:id="49" w:name="page50"/>
    <w:bookmarkEnd w:id="49"/>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Any additional cash requirements are expected to be provided by existing credit facilities, equity contributions from the Company, and/or other external financing sources. The timing, types, and amounts of any additional external financings will be dependent on a number of factors, including the cost of gas purchases, conditions in the capital markets, timing and amounts of rate relief, timing differences between U.S. federal taxes embedded in customer rates and amounts implemented under tax reform, as well as growth levels in Southwest’s service areas and earnings. External financings could include the issuance of debt securities, bank and other short-term borrowings, and other forms of financing.</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May 2019, Southwest issued $300 million in 4.15% Senior Notes at a discount of 0.051%. The notes will mature in June 2049. A portion of the proceeds were used to repay amounts then outstanding under Southwest’s credit facility and commercial paper program.</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2019, the Company filed with the SEC an automatic shelf registration statement for the offer and sale of up to $300 million of common stock from time to time in at-the-market offerings under the prospectus included therein in accordance with the Sales Agency Agreement, dated May 8, 2019, between the Company and BNY Mellon Capital Markets, LLC (the Equity Shelf Program discussed above). The Company issued $99.3 million under this multi-year program during the second and third quarters of 2019. Net proceeds from the sales of shares of common stock under the Equity Shelf Program are intended for general corporate purposes, including the acquisition of property for the construction, completion, extension or improvement of pipeline systems and facilities located in and around the communities served by Southwest.</w:t>
      </w:r>
    </w:p>
    <w:p>
      <w:pPr>
        <w:spacing w:after="0" w:line="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2018, Southwest issued $300 million in 3.7% Senior Notes at a discount of 0.185%. The notes will mature in April 2028. The proceeds were used to repay amounts then outstanding under the revolving portion of its credit facility and under the commercial paper program.</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March 2017, the Company filed an earlier automatic shelf registration statement with the SEC for the offer and sale of up to $150 million of common stock from time to time in at-the-market offerings under the related prospectus and sales agency agreement. The Company issued the full capacity of this equity program, concluding during the quarter ended March 31, 2019.</w:t>
      </w:r>
    </w:p>
    <w:p>
      <w:pPr>
        <w:spacing w:after="0" w:line="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During the twelve months ended September 30, 2019, 1,424,784 shares were issued in at-the-market offerings at an average price of $85.92 per share with gross proceeds of $122.4 million, agent commissions of $1.2 million, and net proceeds of $121.2 million under the Company’s equity shelf programs noted above. See </w:t>
      </w:r>
      <w:r>
        <w:rPr>
          <w:rFonts w:ascii="Arial" w:cs="Arial" w:eastAsia="Arial" w:hAnsi="Arial"/>
          <w:sz w:val="18"/>
          <w:szCs w:val="18"/>
          <w:b w:val="1"/>
          <w:bCs w:val="1"/>
          <w:color w:val="auto"/>
        </w:rPr>
        <w:t>Note 6 – Common Stock</w:t>
      </w:r>
      <w:r>
        <w:rPr>
          <w:rFonts w:ascii="Arial" w:cs="Arial" w:eastAsia="Arial" w:hAnsi="Arial"/>
          <w:sz w:val="18"/>
          <w:szCs w:val="18"/>
          <w:color w:val="auto"/>
        </w:rPr>
        <w:t xml:space="preserve"> for more information.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Bonus Depreciation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2017, with the enactment of U.S. tax reform, the bonus depreciation deduction percentage changed from 50% to 100% for “qualified property” placed in service after September 27, 2017 and before 2023. The bonus depreciation tax deduction phases out starting in 2023, by 20% for each of the five following years. Qualified property excludes most public utility property. The Company estimates bonus depreciation will defer the payment of approximately $30 million ($4 million of which relates to utility operations) of federal income taxes for 2019.</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Policy</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Dividends are payable on the Company’s common stock at the discretion of the Board of Directors (the “Board”). In setting the dividend rate, the Board currently targets a payout ratio of 55% to 65% of consolidated earnings per share and considers, among other factors, current and expected future earnings levels, our ongoing capital expenditure plans and expected external funding needs, in addition to our ability to maintain strong credit ratings and liquidity. The Company has paid dividends on its common stock since 1956 and has increased that dividend each year since 2007. In February 2019, the Board elected to increase the quarterly dividend from $0.52 to $0.545 per share, representing a 4.8% increase, effective with the June 2019 payment.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Liquidity refers to the ability of an enterprise to generate sufficient amounts of cash through its operating activities and external financing to meet its cash requirements. Several general factors (some of which are out of the control of the Company) that could significantly affect liquidity in future years include: variability of natural gas prices, changes in the ratemaking policies of regulatory commissions, regulatory lag, customer growth in the natural gas segment’s service territories, the ability to access and obtain capital from external sources, interest rates, changes in income tax laws, pension funding requirements, inflation, and the level of earnings. Natural gas prices and related gas cost recovery rates, as well as plant investment, have historically had the most significant impact on liquidity.</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an interim basis, Southwest defers over- or under-collections of gas costs to PGA balancing accounts. In addition, Southwest uses this mechanism to either refund amounts over-collected or recoup amounts under-collected as compared to the price paid for natural gas during the period since the last PGA rate change went into effect. At September 30, 2019, the combined balance in the PGA accounts totaled an over-collection of $38 million. See </w:t>
      </w:r>
      <w:r>
        <w:rPr>
          <w:rFonts w:ascii="Arial" w:cs="Arial" w:eastAsia="Arial" w:hAnsi="Arial"/>
          <w:sz w:val="18"/>
          <w:szCs w:val="18"/>
          <w:b w:val="1"/>
          <w:bCs w:val="1"/>
          <w:color w:val="auto"/>
        </w:rPr>
        <w:t>PGA Filings</w:t>
      </w:r>
      <w:r>
        <w:rPr>
          <w:rFonts w:ascii="Arial" w:cs="Arial" w:eastAsia="Arial" w:hAnsi="Arial"/>
          <w:sz w:val="18"/>
          <w:szCs w:val="18"/>
          <w:color w:val="auto"/>
        </w:rPr>
        <w:t xml:space="preserve"> for more information.</w:t>
      </w: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70" w:right="239" w:bottom="1440" w:gutter="0" w:footer="0" w:header="0"/>
        </w:sectPr>
      </w:pPr>
    </w:p>
    <w:bookmarkStart w:id="50" w:name="page51"/>
    <w:bookmarkEnd w:id="50"/>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Southwest Gas Holdings, Inc. has a credit facility with a borrowing capacity of $100 million that expires in March 2022. The Company intends to utilize this facility for short-term financing needs. At September 30, 2019, no borrowings were outstanding under this facility.</w:t>
      </w:r>
    </w:p>
    <w:p>
      <w:pPr>
        <w:spacing w:after="0" w:line="6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Southwest has a credit facility, with borrowing capacity of $400 million, which expires in March 2022. Southwest designates $150 million of the facility for long-term borrowing needs and the remaining $250 million for working capital purposes. The maximum amount outstanding on the long-term portion of the credit facility (including a commercial paper program, as noted below) during the first nine months of 2019 was $150 million. As of September 30, 2019, $150 million was outstanding under the long-term portion of the facility. The maximum amount outstanding on the short-term portion of the credit facility during the first nine months of 2019 was $216 million. As of September 30, 2019, $30 million of borrowings were outstanding on the short-term portion of this credit facility. The credit facility can be used as necessary to meet liquidity requirements, including temporarily financing under-collected PGA balances, if any, or meeting the refund needs of over-collected balances. It has been adequate for Southwest’s working capital needs outside of funds raised through operations and other types of external financing. As indicated, any additional cash requirements would include the existing credit facility, equity contributions from the Company, and/or other external financing sources.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Southwest has a $50 million commercial paper program. Any issuance under the commercial paper program is supported by Southwest’s current revolving credit facility and, therefore, does not represent additional borrowing capacity. Any borrowing under the commercial paper program during 2019 will be designated as long-term debt. Interest rates for the commercial paper program are calculated at the current commercial paper rate during the borrowing term. At September 30, 2019, there was $50 million outstanding under this program.</w:t>
      </w:r>
    </w:p>
    <w:p>
      <w:pPr>
        <w:spacing w:after="0" w:line="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Centuri has a senior secured revolving credit and term loan facility with borrowing capacity of $590 million (refer to </w:t>
      </w:r>
      <w:r>
        <w:rPr>
          <w:rFonts w:ascii="Arial" w:cs="Arial" w:eastAsia="Arial" w:hAnsi="Arial"/>
          <w:sz w:val="17"/>
          <w:szCs w:val="17"/>
          <w:b w:val="1"/>
          <w:bCs w:val="1"/>
          <w:color w:val="auto"/>
        </w:rPr>
        <w:t>Note 7 – Long-Term Debt</w:t>
      </w:r>
      <w:r>
        <w:rPr>
          <w:rFonts w:ascii="Arial" w:cs="Arial" w:eastAsia="Arial" w:hAnsi="Arial"/>
          <w:sz w:val="17"/>
          <w:szCs w:val="17"/>
          <w:color w:val="auto"/>
        </w:rPr>
        <w:t>). The line of credit portion of the facility is $325 million; amounts borrowed and repaid under the revolving credit facility are available to be re-borrowed. The term loan facility portion has a limit of approximately $265 million. The $590 million credit and term loan facility expires in November 2023. It is secured by substantially all of Centuri’s assets except those explicitly excluded under the terms of the agreement (including owned real estate and certain certificated vehicles). Centuri assets securing the facility at September 30, 2019 totaled $1.3 billion. The maximum amount outstanding on the revolving credit facility during the first nine months of 2019 was $99 million. As of September 30, 2019, $89 million was outstanding on the revolving credit facility. As of September 30, 2019, there was $248 million outstanding on the term loan portion of the facility. Also at September 30, 2019, there was approximately $215 million, net of letters of credit, available under the line of credit.</w:t>
      </w:r>
    </w:p>
    <w:p>
      <w:pPr>
        <w:spacing w:after="0" w:line="6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It is currently anticipated that LIBOR may be discontinued as a benchmark or reference rate after 2021. As of September 30, 2019, no borrowings were outstanding for the holding company under its credit facility (see </w:t>
      </w:r>
      <w:r>
        <w:rPr>
          <w:rFonts w:ascii="Arial" w:cs="Arial" w:eastAsia="Arial" w:hAnsi="Arial"/>
          <w:sz w:val="17"/>
          <w:szCs w:val="17"/>
          <w:b w:val="1"/>
          <w:bCs w:val="1"/>
          <w:color w:val="auto"/>
        </w:rPr>
        <w:t>Note 8 – Short-Term Debt</w:t>
      </w:r>
      <w:r>
        <w:rPr>
          <w:rFonts w:ascii="Arial" w:cs="Arial" w:eastAsia="Arial" w:hAnsi="Arial"/>
          <w:sz w:val="17"/>
          <w:szCs w:val="17"/>
          <w:color w:val="auto"/>
        </w:rPr>
        <w:t>), and therefore, there was no related indebtedness with reference to LIBOR. However, all of Southwest’s outstanding borrowings of $130 million under its credit facility (other than from its commercial paper program) and $218 million of Centuri’s indebtedness under its facility have interest rates with reference to LIBOR and maturity dates that extend beyond 2021. The outstanding amounts reflect approximately 6% of Southwest’s total debt and 14% of total debt (including current maturities) for the Company overall. In order to mitigate the impact of the discontinuation on the Company’s financial condition and results of operations, Southwest and Centuri will continue to monitor developments with respect to alternative rates and work with lenders to determine the appropriate alternative reference rate for variable rate indebtedness. However, at this time the Company and Southwest can provide no assurances as to the impact a LIBOR discontinuation will have on their financial condition or results of operations. Any alternative rate may be less predictable or less attractive than LIBOR.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70" w:right="239" w:bottom="1440" w:gutter="0" w:footer="0" w:header="0"/>
        </w:sectPr>
      </w:pPr>
    </w:p>
    <w:bookmarkStart w:id="51" w:name="page52"/>
    <w:bookmarkEnd w:id="51"/>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11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quarterly report contains statements which constitute “forward-looking statements” within the meaning of the Private Securities Litigation Reform Act of 1995 (“Reform Act”). All statements other than statements of historical fact included or incorporated by reference in this quarterly report are forward-looking statements, including, without limitation, statements regarding the Company’s plans, objectives, goals, intentions, projections, strategies, future events or performance, negotiations, and underlying assumptions. The words “may,” “if,” “will,” “should,” “could,” “expect,” “plan,” “anticipate,” “believe,” “estimate,” “predict,” “project,” “continue,” “forecast,” “intend,” “endeavor,” “promote,” “seek,” and similar words and expressions are generally used and intended to identify forward-looking statements. For example, statements regarding operating margin patterns, customer growth, the composition of our customer base, price volatility, seasonal patterns, payment of debt, the Company’s COLI strategy, replacement market and new construction market, expected impacts of valuation adjustments associated with the redeemable noncontrolling interest in Linetec, the impacts of the U.S. tax reform including disposition in regulatory proceedings and bonus depreciation tax deductions, the impact of recent PHMSA rulemaking, the amounts and timing for completion of estimated future construction expenditures, including the LNG facility in southern Arizona, plans to pursue infrastructure programs or programs under SB151 legislation, forecasted operating cash flows and results of operations, net earnings impacts from gas infrastructure replacement surcharges, funding sources of cash requirements, amounts generally expected to be reflected in 2019 or future period revenues from regulatory rate proceedings including amounts requested from the recently filed Arizona general rate case, the approved recovery of the Arizona DCA balance, the outcome of judicial review of the recently concluded Nevada rate case, rates and surcharges, PGA, and other rate adjustments, sufficiency of working capital and current credit facilities, bank lending practices, the Company’s views regarding its liquidity position, ability to raise funds and receive external financing capacity and the intent and ability to issue various financing instruments and stock under the Equity Shelf Program or otherwise, future dividend increases and the Board’s current target dividend payout ratio, pension and postretirement benefits, certain impacts of tax acts, the effect of any rate changes or regulatory proceedings, contract or construction change order negotiations, impacts of accounting standard updates, infrastructure replacement mechanisms and COYL programs, statements regarding future gas prices, gas purchase contracts and derivative financial instruments, recoverability of regulatory assets, the impact of certain legal proceedings, and the timing and results of future rate hearings, including final resolution for recovery of the CDMI in all jurisdictions, and approvals are forward-looking statements. All forward-looking statements are intended to be subject to the safe harbor protection provided by the Reform Act.</w:t>
      </w:r>
    </w:p>
    <w:p>
      <w:pPr>
        <w:spacing w:after="0" w:line="74"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 xml:space="preserve">A number of important factors affecting the business and financial results of the Company could cause actual results to differ materially from those stated in the forward-looking statements. These factors include, but are not limited to, customer growth rates, conditions in the housing market, the ability to recover costs through the PGA mechanisms or other regulatory assets, the effects of regulation/deregulation, governmental or regulatory policy regarding natural gas or alternative energy, the regulatory support for ongoing infrastructure programs, the timing and amount of rate relief, the timing and methods determined by regulators to refund amounts to customers resulting from U.S. tax reform, changes in rate design, variability in volume of gas or transportation service sold to customers, changes in gas procurement practices, changes in capital requirements and funding, the impact of conditions in the capital markets on financing costs, the impact of variable rate indebtedness associated with a discontinuance of LIBOR including in relation to amounts of indebtedness then outstanding, changes in construction expenditures and financing, changes in operations and maintenance expenses, effects of pension expense forecasts, accounting changes and regulatory treatment related thereto, currently unresolved and future liability claims, changes in pipeline capacity for the transportation of gas and related costs, results of Centuri bid work, the impact of weather on Centuri’s operations, Centuri’s projections about the acquired business’ earnings (including accretion within the first twelve months) and future acquisition-related costs, impacts of changes in value of the redeemable noncontrolling interest if at other than fair value, resolution of events subject to cash consideration held back associated with representations, warranties, and other estimates including working capital adjustments related to the Linetec acquisition and impacts from final purchase accounting related thereto, Centuri utility infrastructure expenses, differences between actual and originally expected outcomes of Centuri bid or other fixed-price construction agreements, outcomes from contract and change order negotiations, ability to successfully procure new work, impacts from work awarded or failing to be awarded from significant customers, the mix of work awarded, the amount of work awarded to Centuri following the lifting of work stoppages or reduction, the result of productivity inefficiencies from regulatory requirements or otherwise, delays in commissioning individual projects, acquisitions, and management’s plans related thereto, competition, our ability to raise capital in external financings, our ability to continue to remain within the ratios and other limits subject to our debt covenants, and ongoing evaluations in regard to goodwill and other intangible assets. In addition, the Company can provide no assurance that its discussions regarding certain trends relating to its financing and operating expenses will continue or cease to continue in future periods. For additional information on the risks associated with the Company’s business, see </w:t>
      </w:r>
      <w:r>
        <w:rPr>
          <w:rFonts w:ascii="Arial" w:cs="Arial" w:eastAsia="Arial" w:hAnsi="Arial"/>
          <w:sz w:val="16"/>
          <w:szCs w:val="16"/>
          <w:b w:val="1"/>
          <w:bCs w:val="1"/>
          <w:color w:val="auto"/>
        </w:rPr>
        <w:t>Item 1A. Risk Factors and Item 7A. Quantitative and Qualitative Disclosures About Market Risk</w:t>
      </w:r>
      <w:r>
        <w:rPr>
          <w:rFonts w:ascii="Arial" w:cs="Arial" w:eastAsia="Arial" w:hAnsi="Arial"/>
          <w:sz w:val="16"/>
          <w:szCs w:val="16"/>
          <w:color w:val="auto"/>
        </w:rPr>
        <w:t xml:space="preserve"> in the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70" w:right="239" w:bottom="1440" w:gutter="0" w:footer="0" w:header="0"/>
        </w:sectPr>
      </w:pPr>
    </w:p>
    <w:bookmarkStart w:id="52" w:name="page53"/>
    <w:bookmarkEnd w:id="52"/>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All forward-looking statements in this quarterly report are made as of the date hereof, based on information available to the Company as of the date hereof, and the Company assumes no obligation to update or revise any of its forward-looking statements even if experience or future changes show that the indicated results or events will not be realized. </w:t>
      </w:r>
      <w:r>
        <w:rPr>
          <w:rFonts w:ascii="Arial" w:cs="Arial" w:eastAsia="Arial" w:hAnsi="Arial"/>
          <w:sz w:val="17"/>
          <w:szCs w:val="17"/>
          <w:b w:val="1"/>
          <w:bCs w:val="1"/>
          <w:color w:val="auto"/>
        </w:rPr>
        <w:t>We caution you not to unduly rely on any forward-looking statement(s).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b w:val="1"/>
          <w:bCs w:val="1"/>
          <w:color w:val="auto"/>
        </w:rPr>
        <w:t>Item 7A. Quantitative and Qualitative Disclosures about Market Risk</w:t>
      </w:r>
      <w:r>
        <w:rPr>
          <w:rFonts w:ascii="Arial" w:cs="Arial" w:eastAsia="Arial" w:hAnsi="Arial"/>
          <w:sz w:val="18"/>
          <w:szCs w:val="18"/>
          <w:color w:val="auto"/>
        </w:rPr>
        <w:t xml:space="preserve"> in the 2018 Annual Report on Form 10-K filed with the SEC. No material changes have occurred related to the disclosures about market risk.</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Management of Southwest Gas Holdings, Inc. and Southwest Gas Corporation has established disclosure controls and procedures (as defined in Rules 13a-15(e) and 15d-15(e) under the Securities Exchange Act of 1934, as amended (the “Exchange Act”)) that are designed to provide reasonable assurance that information required to be disclosed in their respective reports filed or submitted under the Exchange Act is recorded, processed, summarized, and reported within the time periods specified in the SEC’s rules and forms and to provide reasonable assurance that such information is accumulated and communicated to management of each company, including each respective Chief Executive Officer and Chief Financial Officer, as appropriate, to allow timely decisions regarding required disclosures. A control system, no matter how well conceived and operated, can provide only reasonable, not absolute, assurance that the objectives of the control system are met. Further, the design of a control system must reflect the fact that there are resource constraints, and benefits of controls must be considered relative to their costs. Additionally, controls can be circumvented by the individual acts of some persons, by collusion of two or more people, or management override of the control. Because of the inherent limitations in a cost-effective control system, misstatements due to error or fraud may occur and may not be detected.</w:t>
      </w:r>
    </w:p>
    <w:p>
      <w:pPr>
        <w:spacing w:after="0" w:line="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Based on the most recent evaluation, as of September 30, 2019, management of Southwest Gas Holdings, Inc., including the Chief Executive Officer and Chief Financial Officer, believes the Company’s disclosure controls and procedures are effective at attaining the level of reasonable assurance noted above.</w:t>
      </w:r>
    </w:p>
    <w:p>
      <w:pPr>
        <w:spacing w:after="0" w:line="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have been no changes in the Company’s internal control over financial reporting (as defined in Rules 13a-15(f) and 15d-15(f) of the Exchange Act) during the third quarter of 2019 that have materially affected, or are likely to materially affect, the Company’s internal control over financial reporting.</w:t>
      </w:r>
    </w:p>
    <w:p>
      <w:pPr>
        <w:spacing w:after="0" w:line="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Based on the most recent evaluation, as of September 30, 2019, management of Southwest Gas Corporation, including the Chief Executive Officer and Chief Financial Officer, believes Southwest’s disclosure controls and procedures are effective at attaining the level of reasonable assurance noted above.</w:t>
      </w:r>
    </w:p>
    <w:p>
      <w:pPr>
        <w:spacing w:after="0" w:line="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have been no changes in Southwest’s internal control over financial reporting (as defined in Rules 13a-15(f) and 15d-15(f) of the Exchange Act) during the third quarter of 2019 that have materially affected, or are likely to materially affect Southwest’s internal control over financial reporting.</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 named as a defendant in various legal proceedings. The ultimate dispositions of these proceedings are not presently determinable; however, it is the opinion of management that none of this litigation individually or in the aggregate will have a material adverse impact on the Company’s financial position or results of operations.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ITEMS 1A through 3. </w:t>
      </w: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MINE SAFETY DISCLOSURES </w:t>
      </w: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OTHER INFORMATION </w:t>
      </w:r>
      <w:r>
        <w:rPr>
          <w:rFonts w:ascii="Arial" w:cs="Arial" w:eastAsia="Arial" w:hAnsi="Arial"/>
          <w:sz w:val="18"/>
          <w:szCs w:val="18"/>
          <w:color w:val="auto"/>
        </w:rPr>
        <w:t>None.</w:t>
      </w:r>
    </w:p>
    <w:p>
      <w:pPr>
        <w:spacing w:after="0" w:line="200" w:lineRule="exact"/>
        <w:rPr>
          <w:sz w:val="20"/>
          <w:szCs w:val="20"/>
          <w:color w:val="auto"/>
        </w:rPr>
      </w:pPr>
    </w:p>
    <w:p>
      <w:pPr>
        <w:spacing w:after="0" w:line="2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70"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8800" w:type="dxa"/>
            <w:vAlign w:val="bottom"/>
            <w:gridSpan w:val="10"/>
          </w:tcPr>
          <w:p>
            <w:pPr>
              <w:spacing w:after="0"/>
              <w:rPr>
                <w:sz w:val="20"/>
                <w:szCs w:val="20"/>
                <w:color w:val="auto"/>
              </w:rPr>
            </w:pPr>
            <w:r>
              <w:rPr>
                <w:rFonts w:ascii="Arial" w:cs="Arial" w:eastAsia="Arial" w:hAnsi="Arial"/>
                <w:sz w:val="18"/>
                <w:szCs w:val="18"/>
                <w:color w:val="auto"/>
              </w:rPr>
              <w:t>SOUTHWEST GAS HOLDINGS, INC.</w:t>
            </w:r>
          </w:p>
        </w:tc>
        <w:tc>
          <w:tcPr>
            <w:tcW w:w="250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60" w:type="dxa"/>
            <w:vAlign w:val="bottom"/>
          </w:tcPr>
          <w:p>
            <w:pPr>
              <w:spacing w:after="0"/>
              <w:rPr>
                <w:sz w:val="21"/>
                <w:szCs w:val="21"/>
                <w:color w:val="auto"/>
              </w:rPr>
            </w:pPr>
          </w:p>
        </w:tc>
        <w:tc>
          <w:tcPr>
            <w:tcW w:w="290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w w:val="96"/>
              </w:rPr>
              <w:t>SOUTHWEST GAS CORPORATION</w:t>
            </w:r>
          </w:p>
        </w:tc>
        <w:tc>
          <w:tcPr>
            <w:tcW w:w="5900" w:type="dxa"/>
            <w:vAlign w:val="bottom"/>
            <w:gridSpan w:val="6"/>
          </w:tcPr>
          <w:p>
            <w:pPr>
              <w:spacing w:after="0"/>
              <w:rPr>
                <w:sz w:val="21"/>
                <w:szCs w:val="21"/>
                <w:color w:val="auto"/>
              </w:rPr>
            </w:pPr>
          </w:p>
        </w:tc>
        <w:tc>
          <w:tcPr>
            <w:tcW w:w="2500" w:type="dxa"/>
            <w:vAlign w:val="bottom"/>
          </w:tcPr>
          <w:p>
            <w:pPr>
              <w:jc w:val="right"/>
              <w:spacing w:after="0"/>
              <w:rPr>
                <w:sz w:val="20"/>
                <w:szCs w:val="20"/>
                <w:color w:val="auto"/>
              </w:rPr>
            </w:pPr>
            <w:r>
              <w:rPr>
                <w:rFonts w:ascii="Arial" w:cs="Arial" w:eastAsia="Arial" w:hAnsi="Arial"/>
                <w:sz w:val="18"/>
                <w:szCs w:val="18"/>
                <w:color w:val="auto"/>
              </w:rPr>
              <w:t>September 30, 2019</w:t>
            </w:r>
          </w:p>
        </w:tc>
      </w:tr>
      <w:tr>
        <w:trPr>
          <w:trHeight w:val="20"/>
        </w:trPr>
        <w:tc>
          <w:tcPr>
            <w:tcW w:w="6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939"/>
        </w:trPr>
        <w:tc>
          <w:tcPr>
            <w:tcW w:w="166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324"/>
        </w:trPr>
        <w:tc>
          <w:tcPr>
            <w:tcW w:w="8860" w:type="dxa"/>
            <w:vAlign w:val="bottom"/>
            <w:gridSpan w:val="11"/>
          </w:tcPr>
          <w:p>
            <w:pPr>
              <w:spacing w:after="0"/>
              <w:rPr>
                <w:sz w:val="20"/>
                <w:szCs w:val="20"/>
                <w:color w:val="auto"/>
              </w:rPr>
            </w:pPr>
            <w:r>
              <w:rPr>
                <w:rFonts w:ascii="Arial" w:cs="Arial" w:eastAsia="Arial" w:hAnsi="Arial"/>
                <w:sz w:val="18"/>
                <w:szCs w:val="18"/>
                <w:color w:val="auto"/>
              </w:rPr>
              <w:t>The following documents are filed, or furnished, as applicable, as part of this report on Form 10-Q:</w:t>
            </w:r>
          </w:p>
        </w:tc>
        <w:tc>
          <w:tcPr>
            <w:tcW w:w="2500" w:type="dxa"/>
            <w:vAlign w:val="bottom"/>
          </w:tcPr>
          <w:p>
            <w:pPr>
              <w:spacing w:after="0"/>
              <w:rPr>
                <w:sz w:val="24"/>
                <w:szCs w:val="24"/>
                <w:color w:val="auto"/>
              </w:rPr>
            </w:pPr>
          </w:p>
        </w:tc>
      </w:tr>
      <w:tr>
        <w:trPr>
          <w:trHeight w:val="338"/>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2.01</w:t>
            </w:r>
          </w:p>
        </w:tc>
        <w:tc>
          <w:tcPr>
            <w:tcW w:w="9700" w:type="dxa"/>
            <w:vAlign w:val="bottom"/>
            <w:gridSpan w:val="10"/>
          </w:tcPr>
          <w:p>
            <w:pPr>
              <w:ind w:left="100"/>
              <w:spacing w:after="0"/>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85">
              <w:r>
                <w:rPr>
                  <w:rFonts w:ascii="Arial" w:cs="Arial" w:eastAsia="Arial" w:hAnsi="Arial"/>
                  <w:sz w:val="18"/>
                  <w:szCs w:val="18"/>
                  <w:color w:val="0000FF"/>
                  <w:w w:val="94"/>
                </w:rPr>
                <w:t>Agreement and Plan of Merger entered into on September 20, 2019 by Southwest Gas Holdings, Inc., a California corporation</w:t>
              </w:r>
            </w:hyperlink>
          </w:p>
        </w:tc>
      </w:tr>
      <w:tr>
        <w:trPr>
          <w:trHeight w:val="196"/>
        </w:trPr>
        <w:tc>
          <w:tcPr>
            <w:tcW w:w="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38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0"/>
              </w:rPr>
            </w:pPr>
            <w:hyperlink r:id="rId85">
              <w:r>
                <w:rPr>
                  <w:rFonts w:ascii="Arial" w:cs="Arial" w:eastAsia="Arial" w:hAnsi="Arial"/>
                  <w:sz w:val="18"/>
                  <w:szCs w:val="18"/>
                  <w:color w:val="0000FF"/>
                  <w:w w:val="90"/>
                </w:rPr>
                <w:t>and Southwest Gas Holdings, Inc., a Delaware corporation. Incorporated herein by reference to Exhibit 2.1 to Form 8-K12B dated</w:t>
              </w:r>
            </w:hyperlink>
          </w:p>
        </w:tc>
      </w:tr>
      <w:tr>
        <w:trPr>
          <w:trHeight w:val="196"/>
        </w:trPr>
        <w:tc>
          <w:tcPr>
            <w:tcW w:w="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0" w:type="dxa"/>
            <w:vAlign w:val="bottom"/>
            <w:tcBorders>
              <w:bottom w:val="single" w:sz="8" w:color="0000FF"/>
            </w:tcBorders>
            <w:gridSpan w:val="3"/>
          </w:tcPr>
          <w:p>
            <w:pPr>
              <w:spacing w:after="0" w:line="196" w:lineRule="exact"/>
              <w:rPr>
                <w:rFonts w:ascii="Arial" w:cs="Arial" w:eastAsia="Arial" w:hAnsi="Arial"/>
                <w:sz w:val="18"/>
                <w:szCs w:val="18"/>
                <w:color w:val="0000FF"/>
                <w:w w:val="89"/>
              </w:rPr>
            </w:pPr>
            <w:hyperlink r:id="rId85">
              <w:r>
                <w:rPr>
                  <w:rFonts w:ascii="Arial" w:cs="Arial" w:eastAsia="Arial" w:hAnsi="Arial"/>
                  <w:sz w:val="18"/>
                  <w:szCs w:val="18"/>
                  <w:color w:val="0000FF"/>
                  <w:w w:val="89"/>
                </w:rPr>
                <w:t>September 20, 2019, File No. 001-37976.</w:t>
              </w:r>
            </w:hyperlink>
          </w:p>
        </w:tc>
        <w:tc>
          <w:tcPr>
            <w:tcW w:w="3880" w:type="dxa"/>
            <w:vAlign w:val="bottom"/>
            <w:gridSpan w:val="5"/>
          </w:tcPr>
          <w:p>
            <w:pPr>
              <w:spacing w:after="0"/>
              <w:rPr>
                <w:sz w:val="17"/>
                <w:szCs w:val="17"/>
                <w:color w:val="auto"/>
              </w:rPr>
            </w:pPr>
          </w:p>
        </w:tc>
        <w:tc>
          <w:tcPr>
            <w:tcW w:w="2500" w:type="dxa"/>
            <w:vAlign w:val="bottom"/>
          </w:tcPr>
          <w:p>
            <w:pPr>
              <w:spacing w:after="0"/>
              <w:rPr>
                <w:sz w:val="17"/>
                <w:szCs w:val="17"/>
                <w:color w:val="auto"/>
              </w:rPr>
            </w:pPr>
          </w:p>
        </w:tc>
      </w:tr>
      <w:tr>
        <w:trPr>
          <w:trHeight w:val="37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3.01</w:t>
            </w:r>
          </w:p>
        </w:tc>
        <w:tc>
          <w:tcPr>
            <w:tcW w:w="9700" w:type="dxa"/>
            <w:vAlign w:val="bottom"/>
            <w:gridSpan w:val="10"/>
          </w:tcPr>
          <w:p>
            <w:pPr>
              <w:ind w:left="10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86">
              <w:r>
                <w:rPr>
                  <w:rFonts w:ascii="Arial" w:cs="Arial" w:eastAsia="Arial" w:hAnsi="Arial"/>
                  <w:sz w:val="18"/>
                  <w:szCs w:val="18"/>
                  <w:color w:val="0000FF"/>
                  <w:w w:val="92"/>
                </w:rPr>
                <w:t>Certificate of Incorporation of Southwest Gas Holdings, Inc., a Delaware corporation. Incorporated herein by reference to Exhibit</w:t>
              </w:r>
            </w:hyperlink>
          </w:p>
        </w:tc>
      </w:tr>
      <w:tr>
        <w:trPr>
          <w:trHeight w:val="196"/>
        </w:trPr>
        <w:tc>
          <w:tcPr>
            <w:tcW w:w="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8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r:id="rId86">
              <w:r>
                <w:rPr>
                  <w:rFonts w:ascii="Arial" w:cs="Arial" w:eastAsia="Arial" w:hAnsi="Arial"/>
                  <w:sz w:val="18"/>
                  <w:szCs w:val="18"/>
                  <w:color w:val="0000FF"/>
                </w:rPr>
                <w:t>3.</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Form 8-K12B dated September 20, 2019, File No. 001-37976.</w:t>
              </w:r>
            </w:hyperlink>
          </w:p>
        </w:tc>
        <w:tc>
          <w:tcPr>
            <w:tcW w:w="2500" w:type="dxa"/>
            <w:vAlign w:val="bottom"/>
            <w:tcBorders>
              <w:top w:val="single" w:sz="8" w:color="0000FF"/>
            </w:tcBorders>
          </w:tcPr>
          <w:p>
            <w:pPr>
              <w:spacing w:after="0"/>
              <w:rPr>
                <w:sz w:val="17"/>
                <w:szCs w:val="17"/>
                <w:color w:val="auto"/>
              </w:rPr>
            </w:pPr>
          </w:p>
        </w:tc>
      </w:tr>
      <w:tr>
        <w:trPr>
          <w:trHeight w:val="20"/>
        </w:trPr>
        <w:tc>
          <w:tcPr>
            <w:tcW w:w="16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90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440" w:type="dxa"/>
            <w:vAlign w:val="bottom"/>
            <w:gridSpan w:val="2"/>
          </w:tcPr>
          <w:p>
            <w:pPr>
              <w:spacing w:after="0" w:line="20" w:lineRule="exact"/>
              <w:rPr>
                <w:sz w:val="1"/>
                <w:szCs w:val="1"/>
                <w:color w:val="auto"/>
              </w:rPr>
            </w:pPr>
          </w:p>
        </w:tc>
      </w:tr>
      <w:tr>
        <w:trPr>
          <w:trHeight w:val="37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3.02</w:t>
            </w:r>
          </w:p>
        </w:tc>
        <w:tc>
          <w:tcPr>
            <w:tcW w:w="9700" w:type="dxa"/>
            <w:vAlign w:val="bottom"/>
            <w:gridSpan w:val="10"/>
          </w:tcPr>
          <w:p>
            <w:pPr>
              <w:ind w:left="10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87">
              <w:r>
                <w:rPr>
                  <w:rFonts w:ascii="Arial" w:cs="Arial" w:eastAsia="Arial" w:hAnsi="Arial"/>
                  <w:sz w:val="18"/>
                  <w:szCs w:val="18"/>
                  <w:color w:val="0000FF"/>
                  <w:w w:val="95"/>
                </w:rPr>
                <w:t>Bylaws of Southwest Gas Holdings, Inc., a Delaware corporation. Incorporated herein by reference to Exhibit 3.2 to Form 8-</w:t>
              </w:r>
            </w:hyperlink>
          </w:p>
        </w:tc>
      </w:tr>
      <w:tr>
        <w:trPr>
          <w:trHeight w:val="196"/>
        </w:trPr>
        <w:tc>
          <w:tcPr>
            <w:tcW w:w="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8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r:id="rId87">
              <w:r>
                <w:rPr>
                  <w:rFonts w:ascii="Arial" w:cs="Arial" w:eastAsia="Arial" w:hAnsi="Arial"/>
                  <w:sz w:val="18"/>
                  <w:szCs w:val="18"/>
                  <w:color w:val="0000FF"/>
                </w:rPr>
                <w:t>K12B dated September 20, 2019, File No. 001-37976.</w:t>
              </w:r>
            </w:hyperlink>
          </w:p>
        </w:tc>
        <w:tc>
          <w:tcPr>
            <w:tcW w:w="2500" w:type="dxa"/>
            <w:vAlign w:val="bottom"/>
            <w:tcBorders>
              <w:top w:val="single" w:sz="8" w:color="0000FF"/>
            </w:tcBorders>
          </w:tcPr>
          <w:p>
            <w:pPr>
              <w:spacing w:after="0"/>
              <w:rPr>
                <w:sz w:val="17"/>
                <w:szCs w:val="17"/>
                <w:color w:val="auto"/>
              </w:rPr>
            </w:pPr>
          </w:p>
        </w:tc>
      </w:tr>
      <w:tr>
        <w:trPr>
          <w:trHeight w:val="20"/>
        </w:trPr>
        <w:tc>
          <w:tcPr>
            <w:tcW w:w="16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90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gridSpan w:val="3"/>
          </w:tcPr>
          <w:p>
            <w:pPr>
              <w:spacing w:after="0" w:line="20" w:lineRule="exact"/>
              <w:rPr>
                <w:sz w:val="1"/>
                <w:szCs w:val="1"/>
                <w:color w:val="auto"/>
              </w:rPr>
            </w:pPr>
          </w:p>
        </w:tc>
      </w:tr>
      <w:tr>
        <w:trPr>
          <w:trHeight w:val="37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4.01</w:t>
            </w:r>
          </w:p>
        </w:tc>
        <w:tc>
          <w:tcPr>
            <w:tcW w:w="9700" w:type="dxa"/>
            <w:vAlign w:val="bottom"/>
            <w:gridSpan w:val="10"/>
          </w:tcPr>
          <w:p>
            <w:pPr>
              <w:ind w:left="100"/>
              <w:spacing w:after="0"/>
              <w:rPr>
                <w:rFonts w:ascii="Arial" w:cs="Arial" w:eastAsia="Arial" w:hAnsi="Arial"/>
                <w:sz w:val="18"/>
                <w:szCs w:val="18"/>
                <w:color w:val="auto"/>
                <w:w w:val="95"/>
              </w:rPr>
            </w:pPr>
            <w:r>
              <w:rPr>
                <w:rFonts w:ascii="Arial" w:cs="Arial" w:eastAsia="Arial" w:hAnsi="Arial"/>
                <w:sz w:val="18"/>
                <w:szCs w:val="18"/>
                <w:color w:val="auto"/>
                <w:w w:val="95"/>
              </w:rPr>
              <w:t xml:space="preserve">-  </w:t>
            </w:r>
            <w:hyperlink r:id="rId88">
              <w:r>
                <w:rPr>
                  <w:rFonts w:ascii="Arial" w:cs="Arial" w:eastAsia="Arial" w:hAnsi="Arial"/>
                  <w:sz w:val="18"/>
                  <w:szCs w:val="18"/>
                  <w:color w:val="0000FF"/>
                  <w:w w:val="95"/>
                </w:rPr>
                <w:t>Form of Southwest Gas Holdings, Inc. Common Stock Certificate. Incorporated herein by reference to Exhibit 4.1 to Form 8-</w:t>
              </w:r>
            </w:hyperlink>
          </w:p>
        </w:tc>
      </w:tr>
      <w:tr>
        <w:trPr>
          <w:trHeight w:val="196"/>
        </w:trPr>
        <w:tc>
          <w:tcPr>
            <w:tcW w:w="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8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r:id="rId88">
              <w:r>
                <w:rPr>
                  <w:rFonts w:ascii="Arial" w:cs="Arial" w:eastAsia="Arial" w:hAnsi="Arial"/>
                  <w:sz w:val="18"/>
                  <w:szCs w:val="18"/>
                  <w:color w:val="0000FF"/>
                </w:rPr>
                <w:t>K12B dated September 20, 2019, File No. 001-37976.</w:t>
              </w:r>
            </w:hyperlink>
          </w:p>
        </w:tc>
        <w:tc>
          <w:tcPr>
            <w:tcW w:w="2500" w:type="dxa"/>
            <w:vAlign w:val="bottom"/>
            <w:tcBorders>
              <w:top w:val="single" w:sz="8" w:color="0000FF"/>
            </w:tcBorders>
          </w:tcPr>
          <w:p>
            <w:pPr>
              <w:spacing w:after="0"/>
              <w:rPr>
                <w:sz w:val="17"/>
                <w:szCs w:val="17"/>
                <w:color w:val="auto"/>
              </w:rPr>
            </w:pPr>
          </w:p>
        </w:tc>
      </w:tr>
      <w:tr>
        <w:trPr>
          <w:trHeight w:val="20"/>
        </w:trPr>
        <w:tc>
          <w:tcPr>
            <w:tcW w:w="16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90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37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31.01</w:t>
            </w:r>
          </w:p>
        </w:tc>
        <w:tc>
          <w:tcPr>
            <w:tcW w:w="7200" w:type="dxa"/>
            <w:vAlign w:val="bottom"/>
            <w:gridSpan w:val="9"/>
          </w:tcPr>
          <w:p>
            <w:pPr>
              <w:ind w:left="1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56">
              <w:r>
                <w:rPr>
                  <w:rFonts w:ascii="Arial" w:cs="Arial" w:eastAsia="Arial" w:hAnsi="Arial"/>
                  <w:sz w:val="18"/>
                  <w:szCs w:val="18"/>
                  <w:color w:val="0000FF"/>
                </w:rPr>
                <w:t>Section 302 Certifications–Southwest Gas Holdings, Inc.</w:t>
              </w:r>
            </w:hyperlink>
          </w:p>
        </w:tc>
        <w:tc>
          <w:tcPr>
            <w:tcW w:w="2500" w:type="dxa"/>
            <w:vAlign w:val="bottom"/>
          </w:tcPr>
          <w:p>
            <w:pPr>
              <w:spacing w:after="0"/>
              <w:rPr>
                <w:sz w:val="24"/>
                <w:szCs w:val="24"/>
                <w:color w:val="auto"/>
              </w:rPr>
            </w:pPr>
          </w:p>
        </w:tc>
      </w:tr>
      <w:tr>
        <w:trPr>
          <w:trHeight w:val="20"/>
        </w:trPr>
        <w:tc>
          <w:tcPr>
            <w:tcW w:w="16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960" w:type="dxa"/>
            <w:vAlign w:val="bottom"/>
            <w:gridSpan w:val="5"/>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37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31.02</w:t>
            </w:r>
          </w:p>
        </w:tc>
        <w:tc>
          <w:tcPr>
            <w:tcW w:w="7200" w:type="dxa"/>
            <w:vAlign w:val="bottom"/>
            <w:gridSpan w:val="9"/>
          </w:tcPr>
          <w:p>
            <w:pPr>
              <w:ind w:left="1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58">
              <w:r>
                <w:rPr>
                  <w:rFonts w:ascii="Arial" w:cs="Arial" w:eastAsia="Arial" w:hAnsi="Arial"/>
                  <w:sz w:val="18"/>
                  <w:szCs w:val="18"/>
                  <w:color w:val="0000FF"/>
                </w:rPr>
                <w:t>Section 302 Certifications–Southwest Gas Corporation</w:t>
              </w:r>
            </w:hyperlink>
          </w:p>
        </w:tc>
        <w:tc>
          <w:tcPr>
            <w:tcW w:w="2500" w:type="dxa"/>
            <w:vAlign w:val="bottom"/>
          </w:tcPr>
          <w:p>
            <w:pPr>
              <w:spacing w:after="0"/>
              <w:rPr>
                <w:sz w:val="24"/>
                <w:szCs w:val="24"/>
                <w:color w:val="auto"/>
              </w:rPr>
            </w:pPr>
          </w:p>
        </w:tc>
      </w:tr>
      <w:tr>
        <w:trPr>
          <w:trHeight w:val="20"/>
        </w:trPr>
        <w:tc>
          <w:tcPr>
            <w:tcW w:w="16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960" w:type="dxa"/>
            <w:vAlign w:val="bottom"/>
            <w:gridSpan w:val="5"/>
            <w:shd w:val="clear" w:color="auto" w:fill="0000FF"/>
          </w:tcPr>
          <w:p>
            <w:pPr>
              <w:spacing w:after="0" w:line="20" w:lineRule="exact"/>
              <w:rPr>
                <w:sz w:val="1"/>
                <w:szCs w:val="1"/>
                <w:color w:val="auto"/>
              </w:rPr>
            </w:pPr>
          </w:p>
        </w:tc>
        <w:tc>
          <w:tcPr>
            <w:tcW w:w="2920" w:type="dxa"/>
            <w:vAlign w:val="bottom"/>
            <w:gridSpan w:val="3"/>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37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32.01</w:t>
            </w:r>
          </w:p>
        </w:tc>
        <w:tc>
          <w:tcPr>
            <w:tcW w:w="7200" w:type="dxa"/>
            <w:vAlign w:val="bottom"/>
            <w:gridSpan w:val="9"/>
          </w:tcPr>
          <w:p>
            <w:pPr>
              <w:ind w:left="1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60">
              <w:r>
                <w:rPr>
                  <w:rFonts w:ascii="Arial" w:cs="Arial" w:eastAsia="Arial" w:hAnsi="Arial"/>
                  <w:sz w:val="18"/>
                  <w:szCs w:val="18"/>
                  <w:color w:val="0000FF"/>
                </w:rPr>
                <w:t>Section 906 Certifications–Southwest Gas Holdings, Inc.</w:t>
              </w:r>
            </w:hyperlink>
          </w:p>
        </w:tc>
        <w:tc>
          <w:tcPr>
            <w:tcW w:w="2500" w:type="dxa"/>
            <w:vAlign w:val="bottom"/>
          </w:tcPr>
          <w:p>
            <w:pPr>
              <w:spacing w:after="0"/>
              <w:rPr>
                <w:sz w:val="24"/>
                <w:szCs w:val="24"/>
                <w:color w:val="auto"/>
              </w:rPr>
            </w:pPr>
          </w:p>
        </w:tc>
      </w:tr>
      <w:tr>
        <w:trPr>
          <w:trHeight w:val="20"/>
        </w:trPr>
        <w:tc>
          <w:tcPr>
            <w:tcW w:w="16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120" w:type="dxa"/>
            <w:vAlign w:val="bottom"/>
            <w:gridSpan w:val="6"/>
            <w:shd w:val="clear" w:color="auto" w:fill="0000FF"/>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37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32.02</w:t>
            </w:r>
          </w:p>
        </w:tc>
        <w:tc>
          <w:tcPr>
            <w:tcW w:w="7200" w:type="dxa"/>
            <w:vAlign w:val="bottom"/>
            <w:gridSpan w:val="9"/>
          </w:tcPr>
          <w:p>
            <w:pPr>
              <w:ind w:left="100"/>
              <w:spacing w:after="0"/>
              <w:rPr>
                <w:rFonts w:ascii="Arial" w:cs="Arial" w:eastAsia="Arial" w:hAnsi="Arial"/>
                <w:sz w:val="18"/>
                <w:szCs w:val="18"/>
                <w:color w:val="auto"/>
              </w:rPr>
            </w:pPr>
            <w:r>
              <w:rPr>
                <w:rFonts w:ascii="Arial" w:cs="Arial" w:eastAsia="Arial" w:hAnsi="Arial"/>
                <w:sz w:val="18"/>
                <w:szCs w:val="18"/>
                <w:color w:val="auto"/>
              </w:rPr>
              <w:t xml:space="preserve">-  </w:t>
            </w:r>
            <w:hyperlink w:anchor="page61">
              <w:r>
                <w:rPr>
                  <w:rFonts w:ascii="Arial" w:cs="Arial" w:eastAsia="Arial" w:hAnsi="Arial"/>
                  <w:sz w:val="18"/>
                  <w:szCs w:val="18"/>
                  <w:color w:val="0000FF"/>
                </w:rPr>
                <w:t>Section 906 Certifications–Southwest Gas Corporation</w:t>
              </w:r>
            </w:hyperlink>
          </w:p>
        </w:tc>
        <w:tc>
          <w:tcPr>
            <w:tcW w:w="2500" w:type="dxa"/>
            <w:vAlign w:val="bottom"/>
          </w:tcPr>
          <w:p>
            <w:pPr>
              <w:spacing w:after="0"/>
              <w:rPr>
                <w:sz w:val="24"/>
                <w:szCs w:val="24"/>
                <w:color w:val="auto"/>
              </w:rPr>
            </w:pPr>
          </w:p>
        </w:tc>
      </w:tr>
      <w:tr>
        <w:trPr>
          <w:trHeight w:val="20"/>
        </w:trPr>
        <w:tc>
          <w:tcPr>
            <w:tcW w:w="16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960" w:type="dxa"/>
            <w:vAlign w:val="bottom"/>
            <w:gridSpan w:val="5"/>
            <w:shd w:val="clear" w:color="auto" w:fill="0000FF"/>
          </w:tcPr>
          <w:p>
            <w:pPr>
              <w:spacing w:after="0" w:line="20" w:lineRule="exact"/>
              <w:rPr>
                <w:sz w:val="1"/>
                <w:szCs w:val="1"/>
                <w:color w:val="auto"/>
              </w:rPr>
            </w:pPr>
          </w:p>
        </w:tc>
        <w:tc>
          <w:tcPr>
            <w:tcW w:w="5420" w:type="dxa"/>
            <w:vAlign w:val="bottom"/>
            <w:gridSpan w:val="4"/>
          </w:tcPr>
          <w:p>
            <w:pPr>
              <w:spacing w:after="0" w:line="20" w:lineRule="exact"/>
              <w:rPr>
                <w:sz w:val="1"/>
                <w:szCs w:val="1"/>
                <w:color w:val="auto"/>
              </w:rPr>
            </w:pPr>
          </w:p>
        </w:tc>
      </w:tr>
      <w:tr>
        <w:trPr>
          <w:trHeight w:val="398"/>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101.INS</w:t>
            </w:r>
          </w:p>
        </w:tc>
        <w:tc>
          <w:tcPr>
            <w:tcW w:w="9700" w:type="dxa"/>
            <w:vAlign w:val="bottom"/>
            <w:gridSpan w:val="10"/>
          </w:tcPr>
          <w:p>
            <w:pPr>
              <w:ind w:left="100"/>
              <w:spacing w:after="0"/>
              <w:rPr>
                <w:sz w:val="20"/>
                <w:szCs w:val="20"/>
                <w:color w:val="auto"/>
              </w:rPr>
            </w:pPr>
            <w:r>
              <w:rPr>
                <w:rFonts w:ascii="Arial" w:cs="Arial" w:eastAsia="Arial" w:hAnsi="Arial"/>
                <w:sz w:val="18"/>
                <w:szCs w:val="18"/>
                <w:color w:val="auto"/>
                <w:w w:val="97"/>
              </w:rPr>
              <w:t>-  XBRL Instance Document - the instance document does not appear in the Interactive Data File because its XBRL tags are</w:t>
            </w:r>
          </w:p>
        </w:tc>
      </w:tr>
      <w:tr>
        <w:trPr>
          <w:trHeight w:val="230"/>
        </w:trPr>
        <w:tc>
          <w:tcPr>
            <w:tcW w:w="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80" w:type="dxa"/>
            <w:vAlign w:val="bottom"/>
            <w:gridSpan w:val="8"/>
          </w:tcPr>
          <w:p>
            <w:pPr>
              <w:spacing w:after="0"/>
              <w:rPr>
                <w:sz w:val="20"/>
                <w:szCs w:val="20"/>
                <w:color w:val="auto"/>
              </w:rPr>
            </w:pPr>
            <w:r>
              <w:rPr>
                <w:rFonts w:ascii="Arial" w:cs="Arial" w:eastAsia="Arial" w:hAnsi="Arial"/>
                <w:sz w:val="18"/>
                <w:szCs w:val="18"/>
                <w:color w:val="auto"/>
              </w:rPr>
              <w:t>embedded within the Inline XBRL document.</w:t>
            </w:r>
          </w:p>
        </w:tc>
        <w:tc>
          <w:tcPr>
            <w:tcW w:w="2500" w:type="dxa"/>
            <w:vAlign w:val="bottom"/>
          </w:tcPr>
          <w:p>
            <w:pPr>
              <w:spacing w:after="0"/>
              <w:rPr>
                <w:sz w:val="20"/>
                <w:szCs w:val="20"/>
                <w:color w:val="auto"/>
              </w:rPr>
            </w:pP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101SCH</w:t>
            </w:r>
          </w:p>
        </w:tc>
        <w:tc>
          <w:tcPr>
            <w:tcW w:w="7200" w:type="dxa"/>
            <w:vAlign w:val="bottom"/>
            <w:gridSpan w:val="9"/>
          </w:tcPr>
          <w:p>
            <w:pPr>
              <w:ind w:left="100"/>
              <w:spacing w:after="0"/>
              <w:rPr>
                <w:sz w:val="20"/>
                <w:szCs w:val="20"/>
                <w:color w:val="auto"/>
              </w:rPr>
            </w:pPr>
            <w:r>
              <w:rPr>
                <w:rFonts w:ascii="Arial" w:cs="Arial" w:eastAsia="Arial" w:hAnsi="Arial"/>
                <w:sz w:val="18"/>
                <w:szCs w:val="18"/>
                <w:color w:val="auto"/>
              </w:rPr>
              <w:t>-  XBRL Schema Document</w:t>
            </w:r>
          </w:p>
        </w:tc>
        <w:tc>
          <w:tcPr>
            <w:tcW w:w="2500" w:type="dxa"/>
            <w:vAlign w:val="bottom"/>
          </w:tcPr>
          <w:p>
            <w:pPr>
              <w:spacing w:after="0"/>
              <w:rPr>
                <w:sz w:val="24"/>
                <w:szCs w:val="24"/>
                <w:color w:val="auto"/>
              </w:rPr>
            </w:pP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101.CAL</w:t>
            </w:r>
          </w:p>
        </w:tc>
        <w:tc>
          <w:tcPr>
            <w:tcW w:w="7200" w:type="dxa"/>
            <w:vAlign w:val="bottom"/>
            <w:gridSpan w:val="9"/>
          </w:tcPr>
          <w:p>
            <w:pPr>
              <w:ind w:left="100"/>
              <w:spacing w:after="0"/>
              <w:rPr>
                <w:sz w:val="20"/>
                <w:szCs w:val="20"/>
                <w:color w:val="auto"/>
              </w:rPr>
            </w:pPr>
            <w:r>
              <w:rPr>
                <w:rFonts w:ascii="Arial" w:cs="Arial" w:eastAsia="Arial" w:hAnsi="Arial"/>
                <w:sz w:val="18"/>
                <w:szCs w:val="18"/>
                <w:color w:val="auto"/>
              </w:rPr>
              <w:t>-  XBRL Calculation Linkbase Document</w:t>
            </w:r>
          </w:p>
        </w:tc>
        <w:tc>
          <w:tcPr>
            <w:tcW w:w="2500" w:type="dxa"/>
            <w:vAlign w:val="bottom"/>
          </w:tcPr>
          <w:p>
            <w:pPr>
              <w:spacing w:after="0"/>
              <w:rPr>
                <w:sz w:val="24"/>
                <w:szCs w:val="24"/>
                <w:color w:val="auto"/>
              </w:rPr>
            </w:pP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101.DEF</w:t>
            </w:r>
          </w:p>
        </w:tc>
        <w:tc>
          <w:tcPr>
            <w:tcW w:w="7200" w:type="dxa"/>
            <w:vAlign w:val="bottom"/>
            <w:gridSpan w:val="9"/>
          </w:tcPr>
          <w:p>
            <w:pPr>
              <w:ind w:left="100"/>
              <w:spacing w:after="0"/>
              <w:rPr>
                <w:sz w:val="20"/>
                <w:szCs w:val="20"/>
                <w:color w:val="auto"/>
              </w:rPr>
            </w:pPr>
            <w:r>
              <w:rPr>
                <w:rFonts w:ascii="Arial" w:cs="Arial" w:eastAsia="Arial" w:hAnsi="Arial"/>
                <w:sz w:val="18"/>
                <w:szCs w:val="18"/>
                <w:color w:val="auto"/>
              </w:rPr>
              <w:t>-  XBRL Definition Linkbase Document</w:t>
            </w:r>
          </w:p>
        </w:tc>
        <w:tc>
          <w:tcPr>
            <w:tcW w:w="2500" w:type="dxa"/>
            <w:vAlign w:val="bottom"/>
          </w:tcPr>
          <w:p>
            <w:pPr>
              <w:spacing w:after="0"/>
              <w:rPr>
                <w:sz w:val="24"/>
                <w:szCs w:val="24"/>
                <w:color w:val="auto"/>
              </w:rPr>
            </w:pP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101.LAB</w:t>
            </w:r>
          </w:p>
        </w:tc>
        <w:tc>
          <w:tcPr>
            <w:tcW w:w="7200" w:type="dxa"/>
            <w:vAlign w:val="bottom"/>
            <w:gridSpan w:val="9"/>
          </w:tcPr>
          <w:p>
            <w:pPr>
              <w:ind w:left="100"/>
              <w:spacing w:after="0"/>
              <w:rPr>
                <w:sz w:val="20"/>
                <w:szCs w:val="20"/>
                <w:color w:val="auto"/>
              </w:rPr>
            </w:pPr>
            <w:r>
              <w:rPr>
                <w:rFonts w:ascii="Arial" w:cs="Arial" w:eastAsia="Arial" w:hAnsi="Arial"/>
                <w:sz w:val="18"/>
                <w:szCs w:val="18"/>
                <w:color w:val="auto"/>
              </w:rPr>
              <w:t>-  XBRL Label Linkbase Document</w:t>
            </w:r>
          </w:p>
        </w:tc>
        <w:tc>
          <w:tcPr>
            <w:tcW w:w="2500" w:type="dxa"/>
            <w:vAlign w:val="bottom"/>
          </w:tcPr>
          <w:p>
            <w:pPr>
              <w:spacing w:after="0"/>
              <w:rPr>
                <w:sz w:val="24"/>
                <w:szCs w:val="24"/>
                <w:color w:val="auto"/>
              </w:rPr>
            </w:pP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101.PRE</w:t>
            </w:r>
          </w:p>
        </w:tc>
        <w:tc>
          <w:tcPr>
            <w:tcW w:w="7200" w:type="dxa"/>
            <w:vAlign w:val="bottom"/>
            <w:gridSpan w:val="9"/>
          </w:tcPr>
          <w:p>
            <w:pPr>
              <w:ind w:left="100"/>
              <w:spacing w:after="0"/>
              <w:rPr>
                <w:sz w:val="20"/>
                <w:szCs w:val="20"/>
                <w:color w:val="auto"/>
              </w:rPr>
            </w:pPr>
            <w:r>
              <w:rPr>
                <w:rFonts w:ascii="Arial" w:cs="Arial" w:eastAsia="Arial" w:hAnsi="Arial"/>
                <w:sz w:val="18"/>
                <w:szCs w:val="18"/>
                <w:color w:val="auto"/>
              </w:rPr>
              <w:t>-  XBRL Presentation Linkbase Document</w:t>
            </w:r>
          </w:p>
        </w:tc>
        <w:tc>
          <w:tcPr>
            <w:tcW w:w="2500" w:type="dxa"/>
            <w:vAlign w:val="bottom"/>
          </w:tcPr>
          <w:p>
            <w:pPr>
              <w:spacing w:after="0"/>
              <w:rPr>
                <w:sz w:val="24"/>
                <w:szCs w:val="24"/>
                <w:color w:val="auto"/>
              </w:rPr>
            </w:pP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104</w:t>
            </w:r>
          </w:p>
        </w:tc>
        <w:tc>
          <w:tcPr>
            <w:tcW w:w="7200" w:type="dxa"/>
            <w:vAlign w:val="bottom"/>
            <w:gridSpan w:val="9"/>
          </w:tcPr>
          <w:p>
            <w:pPr>
              <w:ind w:left="100"/>
              <w:spacing w:after="0"/>
              <w:rPr>
                <w:sz w:val="20"/>
                <w:szCs w:val="20"/>
                <w:color w:val="auto"/>
              </w:rPr>
            </w:pPr>
            <w:r>
              <w:rPr>
                <w:rFonts w:ascii="Arial" w:cs="Arial" w:eastAsia="Arial" w:hAnsi="Arial"/>
                <w:sz w:val="18"/>
                <w:szCs w:val="18"/>
                <w:color w:val="auto"/>
              </w:rPr>
              <w:t>-  Cover Page Interactive Data File (embedded within the Inline XBRL document).</w:t>
            </w:r>
          </w:p>
        </w:tc>
        <w:tc>
          <w:tcPr>
            <w:tcW w:w="2500" w:type="dxa"/>
            <w:vAlign w:val="bottom"/>
          </w:tcPr>
          <w:p>
            <w:pPr>
              <w:spacing w:after="0"/>
              <w:rPr>
                <w:sz w:val="24"/>
                <w:szCs w:val="24"/>
                <w:color w:val="auto"/>
              </w:rPr>
            </w:pPr>
          </w:p>
        </w:tc>
      </w:tr>
      <w:tr>
        <w:trPr>
          <w:trHeight w:val="864"/>
        </w:trPr>
        <w:tc>
          <w:tcPr>
            <w:tcW w:w="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220" w:type="dxa"/>
            <w:vAlign w:val="bottom"/>
            <w:gridSpan w:val="5"/>
          </w:tcPr>
          <w:p>
            <w:pPr>
              <w:ind w:left="4040"/>
              <w:spacing w:after="0"/>
              <w:rPr>
                <w:sz w:val="20"/>
                <w:szCs w:val="20"/>
                <w:color w:val="auto"/>
              </w:rPr>
            </w:pPr>
            <w:r>
              <w:rPr>
                <w:rFonts w:ascii="Arial" w:cs="Arial" w:eastAsia="Arial" w:hAnsi="Arial"/>
                <w:sz w:val="18"/>
                <w:szCs w:val="18"/>
                <w:color w:val="auto"/>
                <w:w w:val="79"/>
              </w:rPr>
              <w:t>53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500" w:type="dxa"/>
            <w:vAlign w:val="bottom"/>
          </w:tcPr>
          <w:p>
            <w:pPr>
              <w:spacing w:after="0"/>
              <w:rPr>
                <w:sz w:val="24"/>
                <w:szCs w:val="24"/>
                <w:color w:val="auto"/>
              </w:rPr>
            </w:pPr>
          </w:p>
        </w:tc>
      </w:tr>
    </w:tbl>
    <w:p>
      <w:pPr>
        <w:sectPr>
          <w:pgSz w:w="11900" w:h="16838" w:orient="portrait"/>
          <w:cols w:equalWidth="0" w:num="1">
            <w:col w:w="11360"/>
          </w:cols>
          <w:pgMar w:left="240" w:top="270" w:right="299" w:bottom="1440" w:gutter="0" w:footer="0" w:header="0"/>
        </w:sectPr>
      </w:pPr>
    </w:p>
    <w:bookmarkStart w:id="54" w:name="page55"/>
    <w:bookmarkEnd w:id="54"/>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3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9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50"/>
        </w:trPr>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80" w:type="dxa"/>
            <w:vAlign w:val="bottom"/>
          </w:tcPr>
          <w:p>
            <w:pPr>
              <w:spacing w:after="0"/>
              <w:rPr>
                <w:sz w:val="21"/>
                <w:szCs w:val="21"/>
                <w:color w:val="auto"/>
              </w:rPr>
            </w:pPr>
          </w:p>
        </w:tc>
        <w:tc>
          <w:tcPr>
            <w:tcW w:w="4920" w:type="dxa"/>
            <w:vAlign w:val="bottom"/>
          </w:tcPr>
          <w:p>
            <w:pPr>
              <w:jc w:val="right"/>
              <w:spacing w:after="0"/>
              <w:rPr>
                <w:sz w:val="20"/>
                <w:szCs w:val="20"/>
                <w:color w:val="auto"/>
              </w:rPr>
            </w:pPr>
            <w:r>
              <w:rPr>
                <w:rFonts w:ascii="Arial" w:cs="Arial" w:eastAsia="Arial" w:hAnsi="Arial"/>
                <w:sz w:val="18"/>
                <w:szCs w:val="18"/>
                <w:color w:val="auto"/>
              </w:rPr>
              <w:t>September 30, 2019</w:t>
            </w:r>
          </w:p>
        </w:tc>
      </w:tr>
      <w:tr>
        <w:trPr>
          <w:trHeight w:val="20"/>
        </w:trPr>
        <w:tc>
          <w:tcPr>
            <w:tcW w:w="2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1" w:lineRule="exact"/>
        <w:rPr>
          <w:sz w:val="20"/>
          <w:szCs w:val="20"/>
          <w:color w:val="auto"/>
        </w:rPr>
      </w:pPr>
    </w:p>
    <w:p>
      <w:pPr>
        <w:jc w:val="center"/>
        <w:ind w:left="1160"/>
        <w:spacing w:after="0"/>
        <w:rPr>
          <w:sz w:val="20"/>
          <w:szCs w:val="20"/>
          <w:color w:val="auto"/>
        </w:rPr>
      </w:pPr>
      <w:r>
        <w:rPr>
          <w:rFonts w:ascii="Arial" w:cs="Arial" w:eastAsia="Arial" w:hAnsi="Arial"/>
          <w:sz w:val="18"/>
          <w:szCs w:val="18"/>
          <w:color w:val="auto"/>
        </w:rPr>
        <w:t>Southwest Gas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31750</wp:posOffset>
            </wp:positionV>
            <wp:extent cx="221234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57" w:lineRule="exact"/>
        <w:rPr>
          <w:sz w:val="20"/>
          <w:szCs w:val="20"/>
          <w:color w:val="auto"/>
        </w:rPr>
      </w:pPr>
    </w:p>
    <w:p>
      <w:pPr>
        <w:jc w:val="center"/>
        <w:ind w:left="1160"/>
        <w:spacing w:after="0"/>
        <w:rPr>
          <w:sz w:val="20"/>
          <w:szCs w:val="20"/>
          <w:color w:val="auto"/>
        </w:rPr>
      </w:pPr>
      <w:r>
        <w:rPr>
          <w:rFonts w:ascii="Arial" w:cs="Arial" w:eastAsia="Arial" w:hAnsi="Arial"/>
          <w:sz w:val="18"/>
          <w:szCs w:val="18"/>
          <w:color w:val="auto"/>
        </w:rPr>
        <w:t>(Registrant)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2019</w:t>
      </w:r>
    </w:p>
    <w:p>
      <w:pPr>
        <w:spacing w:after="0" w:line="200" w:lineRule="exact"/>
        <w:rPr>
          <w:sz w:val="20"/>
          <w:szCs w:val="20"/>
          <w:color w:val="auto"/>
        </w:rPr>
      </w:pPr>
    </w:p>
    <w:p>
      <w:pPr>
        <w:spacing w:after="0" w:line="295" w:lineRule="exact"/>
        <w:rPr>
          <w:sz w:val="20"/>
          <w:szCs w:val="20"/>
          <w:color w:val="auto"/>
        </w:rPr>
      </w:pPr>
    </w:p>
    <w:p>
      <w:pPr>
        <w:jc w:val="center"/>
        <w:ind w:left="1760"/>
        <w:spacing w:after="0"/>
        <w:rPr>
          <w:sz w:val="20"/>
          <w:szCs w:val="20"/>
          <w:color w:val="auto"/>
        </w:rPr>
      </w:pPr>
      <w:r>
        <w:rPr>
          <w:rFonts w:ascii="Arial" w:cs="Arial" w:eastAsia="Arial" w:hAnsi="Arial"/>
          <w:sz w:val="18"/>
          <w:szCs w:val="18"/>
          <w:color w:val="auto"/>
        </w:rPr>
        <w:t>/s/ LORI L. COLVIN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31750</wp:posOffset>
            </wp:positionV>
            <wp:extent cx="259016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57" w:lineRule="exact"/>
        <w:rPr>
          <w:sz w:val="20"/>
          <w:szCs w:val="20"/>
          <w:color w:val="auto"/>
        </w:rPr>
      </w:pPr>
    </w:p>
    <w:p>
      <w:pPr>
        <w:jc w:val="center"/>
        <w:ind w:left="1760"/>
        <w:spacing w:after="0"/>
        <w:rPr>
          <w:sz w:val="20"/>
          <w:szCs w:val="20"/>
          <w:color w:val="auto"/>
        </w:rPr>
      </w:pPr>
      <w:r>
        <w:rPr>
          <w:rFonts w:ascii="Arial" w:cs="Arial" w:eastAsia="Arial" w:hAnsi="Arial"/>
          <w:sz w:val="18"/>
          <w:szCs w:val="18"/>
          <w:color w:val="auto"/>
        </w:rPr>
        <w:t>Lori L. Colvin</w:t>
      </w:r>
    </w:p>
    <w:p>
      <w:pPr>
        <w:spacing w:after="0" w:line="63" w:lineRule="exact"/>
        <w:rPr>
          <w:sz w:val="20"/>
          <w:szCs w:val="20"/>
          <w:color w:val="auto"/>
        </w:rPr>
      </w:pPr>
    </w:p>
    <w:p>
      <w:pPr>
        <w:jc w:val="center"/>
        <w:ind w:left="1760"/>
        <w:spacing w:after="0"/>
        <w:rPr>
          <w:sz w:val="20"/>
          <w:szCs w:val="20"/>
          <w:color w:val="auto"/>
        </w:rPr>
      </w:pPr>
      <w:r>
        <w:rPr>
          <w:rFonts w:ascii="Arial" w:cs="Arial" w:eastAsia="Arial" w:hAnsi="Arial"/>
          <w:sz w:val="18"/>
          <w:szCs w:val="18"/>
          <w:color w:val="auto"/>
        </w:rPr>
        <w:t>Vice President/Controller and Chief Accounting Officer</w:t>
      </w:r>
    </w:p>
    <w:p>
      <w:pPr>
        <w:spacing w:after="0" w:line="25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1" w:lineRule="exact"/>
        <w:rPr>
          <w:sz w:val="20"/>
          <w:szCs w:val="20"/>
          <w:color w:val="auto"/>
        </w:rPr>
      </w:pPr>
    </w:p>
    <w:p>
      <w:pPr>
        <w:jc w:val="center"/>
        <w:ind w:left="1160"/>
        <w:spacing w:after="0"/>
        <w:rPr>
          <w:sz w:val="20"/>
          <w:szCs w:val="20"/>
          <w:color w:val="auto"/>
        </w:rPr>
      </w:pPr>
      <w:r>
        <w:rPr>
          <w:rFonts w:ascii="Arial" w:cs="Arial" w:eastAsia="Arial" w:hAnsi="Arial"/>
          <w:sz w:val="18"/>
          <w:szCs w:val="18"/>
          <w:color w:val="auto"/>
        </w:rPr>
        <w:t>Southwest Gas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31750</wp:posOffset>
            </wp:positionV>
            <wp:extent cx="221234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2212340" cy="8890"/>
                    </a:xfrm>
                    <a:prstGeom prst="rect">
                      <a:avLst/>
                    </a:prstGeom>
                    <a:noFill/>
                  </pic:spPr>
                </pic:pic>
              </a:graphicData>
            </a:graphic>
          </wp:anchor>
        </w:drawing>
      </w:r>
    </w:p>
    <w:p>
      <w:pPr>
        <w:spacing w:after="0" w:line="57" w:lineRule="exact"/>
        <w:rPr>
          <w:sz w:val="20"/>
          <w:szCs w:val="20"/>
          <w:color w:val="auto"/>
        </w:rPr>
      </w:pPr>
    </w:p>
    <w:p>
      <w:pPr>
        <w:jc w:val="center"/>
        <w:ind w:left="1160"/>
        <w:spacing w:after="0"/>
        <w:rPr>
          <w:sz w:val="20"/>
          <w:szCs w:val="20"/>
          <w:color w:val="auto"/>
        </w:rPr>
      </w:pPr>
      <w:r>
        <w:rPr>
          <w:rFonts w:ascii="Arial" w:cs="Arial" w:eastAsia="Arial" w:hAnsi="Arial"/>
          <w:sz w:val="18"/>
          <w:szCs w:val="18"/>
          <w:color w:val="auto"/>
        </w:rPr>
        <w:t>(Registrant)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2019</w:t>
      </w:r>
    </w:p>
    <w:p>
      <w:pPr>
        <w:spacing w:after="0" w:line="200" w:lineRule="exact"/>
        <w:rPr>
          <w:sz w:val="20"/>
          <w:szCs w:val="20"/>
          <w:color w:val="auto"/>
        </w:rPr>
      </w:pPr>
    </w:p>
    <w:p>
      <w:pPr>
        <w:spacing w:after="0" w:line="295" w:lineRule="exact"/>
        <w:rPr>
          <w:sz w:val="20"/>
          <w:szCs w:val="20"/>
          <w:color w:val="auto"/>
        </w:rPr>
      </w:pPr>
    </w:p>
    <w:p>
      <w:pPr>
        <w:jc w:val="center"/>
        <w:ind w:left="1760"/>
        <w:spacing w:after="0"/>
        <w:rPr>
          <w:sz w:val="20"/>
          <w:szCs w:val="20"/>
          <w:color w:val="auto"/>
        </w:rPr>
      </w:pPr>
      <w:r>
        <w:rPr>
          <w:rFonts w:ascii="Arial" w:cs="Arial" w:eastAsia="Arial" w:hAnsi="Arial"/>
          <w:sz w:val="18"/>
          <w:szCs w:val="18"/>
          <w:color w:val="auto"/>
        </w:rPr>
        <w:t>/s/ LORI L. COLVIN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31750</wp:posOffset>
            </wp:positionV>
            <wp:extent cx="259016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57" w:lineRule="exact"/>
        <w:rPr>
          <w:sz w:val="20"/>
          <w:szCs w:val="20"/>
          <w:color w:val="auto"/>
        </w:rPr>
      </w:pPr>
    </w:p>
    <w:p>
      <w:pPr>
        <w:jc w:val="center"/>
        <w:ind w:left="1760"/>
        <w:spacing w:after="0"/>
        <w:rPr>
          <w:sz w:val="20"/>
          <w:szCs w:val="20"/>
          <w:color w:val="auto"/>
        </w:rPr>
      </w:pPr>
      <w:r>
        <w:rPr>
          <w:rFonts w:ascii="Arial" w:cs="Arial" w:eastAsia="Arial" w:hAnsi="Arial"/>
          <w:sz w:val="18"/>
          <w:szCs w:val="18"/>
          <w:color w:val="auto"/>
        </w:rPr>
        <w:t>Lori L. Colvin</w:t>
      </w:r>
    </w:p>
    <w:p>
      <w:pPr>
        <w:spacing w:after="0" w:line="63" w:lineRule="exact"/>
        <w:rPr>
          <w:sz w:val="20"/>
          <w:szCs w:val="20"/>
          <w:color w:val="auto"/>
        </w:rPr>
      </w:pPr>
    </w:p>
    <w:p>
      <w:pPr>
        <w:jc w:val="center"/>
        <w:ind w:left="1760"/>
        <w:spacing w:after="0"/>
        <w:rPr>
          <w:sz w:val="20"/>
          <w:szCs w:val="20"/>
          <w:color w:val="auto"/>
        </w:rPr>
      </w:pPr>
      <w:r>
        <w:rPr>
          <w:rFonts w:ascii="Arial" w:cs="Arial" w:eastAsia="Arial" w:hAnsi="Arial"/>
          <w:sz w:val="18"/>
          <w:szCs w:val="18"/>
          <w:color w:val="auto"/>
        </w:rPr>
        <w:t>Vice President/Controller 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70"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Southwest Gas Holdings,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P. Hester, certify that:</w:t>
      </w:r>
    </w:p>
    <w:p>
      <w:pPr>
        <w:spacing w:after="0" w:line="225"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Southwest Gas Holdings, Inc.;</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Dated: November 6, 2019</w:t>
      </w:r>
    </w:p>
    <w:p>
      <w:pPr>
        <w:spacing w:after="0" w:line="200" w:lineRule="exact"/>
        <w:rPr>
          <w:sz w:val="20"/>
          <w:szCs w:val="20"/>
          <w:color w:val="auto"/>
        </w:rPr>
      </w:pPr>
    </w:p>
    <w:p>
      <w:pPr>
        <w:spacing w:after="0" w:line="201"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John P. Hester</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Southwest Gas Holdings, Inc.</w:t>
      </w:r>
    </w:p>
    <w:p>
      <w:pPr>
        <w:sectPr>
          <w:pgSz w:w="11900" w:h="16838" w:orient="portrait"/>
          <w:cols w:equalWidth="0" w:num="1">
            <w:col w:w="11420"/>
          </w:cols>
          <w:pgMar w:left="240" w:top="580"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Certification of Southwest Gas Holdings,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Gregory J. Peterson, certify that:</w:t>
      </w:r>
    </w:p>
    <w:p>
      <w:pPr>
        <w:spacing w:after="0" w:line="225"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Southwest Gas Holdings, Inc.;</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Dated: November 6, 2019</w:t>
      </w:r>
    </w:p>
    <w:p>
      <w:pPr>
        <w:spacing w:after="0" w:line="200" w:lineRule="exact"/>
        <w:rPr>
          <w:sz w:val="20"/>
          <w:szCs w:val="20"/>
          <w:color w:val="auto"/>
        </w:rPr>
      </w:pPr>
    </w:p>
    <w:p>
      <w:pPr>
        <w:spacing w:after="0" w:line="201"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Gregory J. Peterson</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Senior Vice President/Chief Financial Officer</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Southwest Gas Holdings, Inc.</w:t>
      </w:r>
    </w:p>
    <w:p>
      <w:pPr>
        <w:sectPr>
          <w:pgSz w:w="11900" w:h="16838" w:orient="portrait"/>
          <w:cols w:equalWidth="0" w:num="1">
            <w:col w:w="11420"/>
          </w:cols>
          <w:pgMar w:left="240" w:top="580"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Southwest Gas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P. Hester, certify that:</w:t>
      </w:r>
    </w:p>
    <w:p>
      <w:pPr>
        <w:spacing w:after="0" w:line="225"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Southwest Gas Corporation;</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6, 2019</w:t>
      </w:r>
    </w:p>
    <w:p>
      <w:pPr>
        <w:spacing w:after="0" w:line="200" w:lineRule="exact"/>
        <w:rPr>
          <w:sz w:val="20"/>
          <w:szCs w:val="20"/>
          <w:color w:val="auto"/>
        </w:rPr>
      </w:pPr>
    </w:p>
    <w:p>
      <w:pPr>
        <w:spacing w:after="0" w:line="228"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John P. Hester</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Southwest Gas Corporation</w:t>
      </w:r>
    </w:p>
    <w:p>
      <w:pPr>
        <w:sectPr>
          <w:pgSz w:w="11900" w:h="16838" w:orient="portrait"/>
          <w:cols w:equalWidth="0" w:num="1">
            <w:col w:w="11420"/>
          </w:cols>
          <w:pgMar w:left="240" w:top="580"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Certification of Southwest Gas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Gregory J. Peterson, certify that:</w:t>
      </w:r>
    </w:p>
    <w:p>
      <w:pPr>
        <w:spacing w:after="0" w:line="225"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Southwest Gas Corporation;</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left="980" w:hanging="323"/>
        <w:spacing w:after="0" w:line="264" w:lineRule="auto"/>
        <w:rPr>
          <w:sz w:val="20"/>
          <w:szCs w:val="20"/>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sz w:val="20"/>
          <w:szCs w:val="20"/>
          <w:color w:val="auto"/>
        </w:rPr>
      </w:pPr>
    </w:p>
    <w:p>
      <w:pPr>
        <w:jc w:val="both"/>
        <w:ind w:left="980" w:hanging="323"/>
        <w:spacing w:after="0" w:line="264" w:lineRule="auto"/>
        <w:rPr>
          <w:sz w:val="20"/>
          <w:szCs w:val="20"/>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sz w:val="20"/>
          <w:szCs w:val="20"/>
          <w:color w:val="auto"/>
        </w:rPr>
      </w:pPr>
    </w:p>
    <w:p>
      <w:pPr>
        <w:jc w:val="both"/>
        <w:ind w:left="980" w:hanging="323"/>
        <w:spacing w:after="0" w:line="308" w:lineRule="auto"/>
        <w:rPr>
          <w:sz w:val="20"/>
          <w:szCs w:val="20"/>
          <w:color w:val="auto"/>
        </w:rPr>
      </w:pPr>
      <w:r>
        <w:rPr>
          <w:rFonts w:ascii="Arial" w:cs="Arial" w:eastAsia="Arial" w:hAnsi="Arial"/>
          <w:sz w:val="17"/>
          <w:szCs w:val="17"/>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sz w:val="20"/>
          <w:szCs w:val="20"/>
          <w:color w:val="auto"/>
        </w:rPr>
      </w:pPr>
    </w:p>
    <w:p>
      <w:pPr>
        <w:jc w:val="both"/>
        <w:ind w:left="980" w:hanging="323"/>
        <w:spacing w:after="0" w:line="264" w:lineRule="auto"/>
        <w:rPr>
          <w:sz w:val="20"/>
          <w:szCs w:val="20"/>
          <w:color w:val="auto"/>
        </w:rPr>
      </w:pPr>
      <w:r>
        <w:rPr>
          <w:rFonts w:ascii="Arial" w:cs="Arial" w:eastAsia="Arial" w:hAnsi="Arial"/>
          <w:sz w:val="18"/>
          <w:szCs w:val="18"/>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left="34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2" w:lineRule="exact"/>
        <w:rPr>
          <w:rFonts w:ascii="Arial" w:cs="Arial" w:eastAsia="Arial" w:hAnsi="Arial"/>
          <w:sz w:val="18"/>
          <w:szCs w:val="18"/>
          <w:color w:val="auto"/>
        </w:rPr>
      </w:pPr>
    </w:p>
    <w:p>
      <w:pPr>
        <w:ind w:left="920" w:hanging="331"/>
        <w:spacing w:after="0" w:line="258" w:lineRule="auto"/>
        <w:tabs>
          <w:tab w:leader="none" w:pos="9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920" w:hanging="331"/>
        <w:spacing w:after="0" w:line="261" w:lineRule="auto"/>
        <w:tabs>
          <w:tab w:leader="none" w:pos="9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6, 2019</w:t>
      </w:r>
    </w:p>
    <w:p>
      <w:pPr>
        <w:spacing w:after="0" w:line="200" w:lineRule="exact"/>
        <w:rPr>
          <w:sz w:val="20"/>
          <w:szCs w:val="20"/>
          <w:color w:val="auto"/>
        </w:rPr>
      </w:pPr>
    </w:p>
    <w:p>
      <w:pPr>
        <w:spacing w:after="0" w:line="228"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Gregory J. Peterson</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Senior Vice President/Chief Financial Officer</w:t>
      </w:r>
    </w:p>
    <w:p>
      <w:pPr>
        <w:spacing w:after="0" w:line="6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Southwest Gas Corporation</w:t>
      </w:r>
    </w:p>
    <w:p>
      <w:pPr>
        <w:sectPr>
          <w:pgSz w:w="11900" w:h="16838" w:orient="portrait"/>
          <w:cols w:equalWidth="0" w:num="1">
            <w:col w:w="11420"/>
          </w:cols>
          <w:pgMar w:left="240" w:top="580"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color w:val="auto"/>
        </w:rPr>
        <w:t>Exhibit 32.01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periodic report of Southwest Gas Holdings, Inc. (the “Company”) on Form 10-Q for the period ended September 30, 2019 as filed with the Securities and Exchange Commission (the “Report”), I, John P. Hester, the President and Chief Executive Officer of the Company, hereby certify as of the date hereof, solely for purposes of Title 18, Chapter 63, Section 1350 of the United States Code, that to the best of my knowledge:</w:t>
      </w:r>
    </w:p>
    <w:p>
      <w:pPr>
        <w:spacing w:after="0" w:line="71" w:lineRule="exact"/>
        <w:rPr>
          <w:sz w:val="20"/>
          <w:szCs w:val="20"/>
          <w:color w:val="auto"/>
        </w:rPr>
      </w:pPr>
    </w:p>
    <w:p>
      <w:pPr>
        <w:ind w:left="540" w:hanging="316"/>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3" w:lineRule="exact"/>
        <w:rPr>
          <w:rFonts w:ascii="Arial" w:cs="Arial" w:eastAsia="Arial" w:hAnsi="Arial"/>
          <w:sz w:val="18"/>
          <w:szCs w:val="18"/>
          <w:color w:val="auto"/>
        </w:rPr>
      </w:pPr>
    </w:p>
    <w:p>
      <w:pPr>
        <w:ind w:left="540" w:right="20" w:hanging="316"/>
        <w:spacing w:after="0" w:line="261"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6, 2019</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John P. Hester</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President and Chief Executive Officer</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periodic report of Southwest Gas Holdings, Inc. (the “Company”) on Form 10-Q for the period ended September 30, 2019 as filed with the Securities and Exchange Commission (the “Report”), I, Gregory J. Peterson, Senior Vice President/Chief Financial Officer of the Company, hereby certify as of the date hereof, solely for purposes of Title 18, Chapter 63, Section 1350 of the United States Code, that to the best of my knowledge:</w:t>
      </w:r>
    </w:p>
    <w:p>
      <w:pPr>
        <w:spacing w:after="0" w:line="52" w:lineRule="exact"/>
        <w:rPr>
          <w:sz w:val="20"/>
          <w:szCs w:val="20"/>
          <w:color w:val="auto"/>
        </w:rPr>
      </w:pPr>
    </w:p>
    <w:p>
      <w:pPr>
        <w:ind w:left="540" w:hanging="316"/>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3" w:lineRule="exact"/>
        <w:rPr>
          <w:rFonts w:ascii="Arial" w:cs="Arial" w:eastAsia="Arial" w:hAnsi="Arial"/>
          <w:sz w:val="18"/>
          <w:szCs w:val="18"/>
          <w:color w:val="auto"/>
        </w:rPr>
      </w:pPr>
    </w:p>
    <w:p>
      <w:pPr>
        <w:ind w:left="540" w:right="20" w:hanging="316"/>
        <w:spacing w:after="0" w:line="261"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6, 2019</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Gregory J. Peterson</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Senior Vice President/Chief Financial Officer</w:t>
      </w:r>
    </w:p>
    <w:p>
      <w:pPr>
        <w:sectPr>
          <w:pgSz w:w="11900" w:h="16838" w:orient="portrait"/>
          <w:cols w:equalWidth="0" w:num="1">
            <w:col w:w="11420"/>
          </w:cols>
          <w:pgMar w:left="240" w:top="584"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color w:val="auto"/>
        </w:rPr>
        <w:t>Exhibit 32.02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In connection with the periodic report of Southwest Gas Corporation on Form 10-Q for the period ended September 30, 2019 as filed with the Securities and Exchange Commission (the “Report”), I, John P. Hester, the President and Chief Executive Officer of Southwest Gas Corporation, hereby certify as of the date hereof, solely for purposes of Title 18, Chapter 63, Section 1350 of the United States Code, that to the best of my knowledge:</w:t>
      </w:r>
    </w:p>
    <w:p>
      <w:pPr>
        <w:spacing w:after="0" w:line="52" w:lineRule="exact"/>
        <w:rPr>
          <w:sz w:val="20"/>
          <w:szCs w:val="20"/>
          <w:color w:val="auto"/>
        </w:rPr>
      </w:pPr>
    </w:p>
    <w:p>
      <w:pPr>
        <w:ind w:left="540" w:hanging="316"/>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3" w:lineRule="exact"/>
        <w:rPr>
          <w:rFonts w:ascii="Arial" w:cs="Arial" w:eastAsia="Arial" w:hAnsi="Arial"/>
          <w:sz w:val="18"/>
          <w:szCs w:val="18"/>
          <w:color w:val="auto"/>
        </w:rPr>
      </w:pPr>
    </w:p>
    <w:p>
      <w:pPr>
        <w:ind w:left="540" w:right="400" w:hanging="316"/>
        <w:spacing w:after="0" w:line="261"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Southwest Gas Corporation at the dates and for the periods indicated.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6, 2019</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John P. Hester</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President and Chief Executive Officer</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In connection with the periodic report of Southwest Gas Corporation on Form 10-Q for the period ended September 30, 2019 as filed with the Securities and Exchange Commission (the “Report”), I, Gregory J. Peterson, Senior Vice President/Chief Financial Officer of Southwest Gas Corporation, hereby certify as of the date hereof, solely for purposes of Title 18, Chapter 63, Section 1350 of the United States Code, that to the best of my knowledge:</w:t>
      </w:r>
    </w:p>
    <w:p>
      <w:pPr>
        <w:spacing w:after="0" w:line="52" w:lineRule="exact"/>
        <w:rPr>
          <w:sz w:val="20"/>
          <w:szCs w:val="20"/>
          <w:color w:val="auto"/>
        </w:rPr>
      </w:pPr>
    </w:p>
    <w:p>
      <w:pPr>
        <w:ind w:left="540" w:hanging="316"/>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3" w:lineRule="exact"/>
        <w:rPr>
          <w:rFonts w:ascii="Arial" w:cs="Arial" w:eastAsia="Arial" w:hAnsi="Arial"/>
          <w:sz w:val="18"/>
          <w:szCs w:val="18"/>
          <w:color w:val="auto"/>
        </w:rPr>
      </w:pPr>
    </w:p>
    <w:p>
      <w:pPr>
        <w:ind w:left="540" w:right="400" w:hanging="316"/>
        <w:spacing w:after="0" w:line="261"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Southwest Gas Corporation at the dates and for the periods indicated.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6, 2019</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89877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Gregory J. Peterson</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Senior Vice President/Chief Financial Officer</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lowerLetter"/>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4"/>
    </w:lvl>
  </w:abstractNum>
  <w:abstractNum w:abstractNumId="7">
    <w:nsid w:val="41A7C4C9"/>
    <w:multiLevelType w:val="hybridMultilevel"/>
    <w:lvl w:ilvl="0">
      <w:lvlJc w:val="left"/>
      <w:lvlText w:val="(%1)"/>
      <w:numFmt w:val="decimal"/>
      <w:start w:val="6"/>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1."/>
      <w:numFmt w:val="decimal"/>
      <w:start w:val="1"/>
    </w:lvl>
    <w:lvl w:ilvl="1">
      <w:lvlJc w:val="left"/>
      <w:lvlText w:val="(%2)"/>
      <w:numFmt w:val="lowerLetter"/>
      <w:start w:val="1"/>
    </w:lvl>
  </w:abstractNum>
  <w:abstractNum w:abstractNumId="15">
    <w:nsid w:val="257130A3"/>
    <w:multiLevelType w:val="hybridMultilevel"/>
    <w:lvl w:ilvl="0">
      <w:lvlJc w:val="left"/>
      <w:lvlText w:val="%1."/>
      <w:numFmt w:val="decimal"/>
      <w:start w:val="1"/>
    </w:lvl>
    <w:lvl w:ilvl="1">
      <w:lvlJc w:val="left"/>
      <w:lvlText w:val="(%2)"/>
      <w:numFmt w:val="lowerLetter"/>
      <w:start w:val="1"/>
    </w:lvl>
  </w:abstractNum>
  <w:abstractNum w:abstractNumId="16">
    <w:nsid w:val="62BBD95A"/>
    <w:multiLevelType w:val="hybridMultilevel"/>
    <w:lvl w:ilvl="0">
      <w:lvlJc w:val="left"/>
      <w:lvlText w:val="%1."/>
      <w:numFmt w:val="decimal"/>
      <w:start w:val="1"/>
    </w:lvl>
    <w:lvl w:ilvl="1">
      <w:lvlJc w:val="left"/>
      <w:lvlText w:val="(%2)"/>
      <w:numFmt w:val="lowerLetter"/>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decimal"/>
      <w:start w:val="5"/>
    </w:lvl>
    <w:lvl w:ilvl="1">
      <w:lvlJc w:val="left"/>
      <w:lvlText w:val="(%2)"/>
      <w:numFmt w:val="lowerLetter"/>
      <w:start w:val="1"/>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1)"/>
      <w:numFmt w:val="decimal"/>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85" Type="http://schemas.openxmlformats.org/officeDocument/2006/relationships/hyperlink" Target="http://www.sec.gov/Archives/edgar/data/1692115/000119312519250669/d745199dex21.htm" TargetMode="External"/><Relationship Id="rId86" Type="http://schemas.openxmlformats.org/officeDocument/2006/relationships/hyperlink" Target="http://www.sec.gov/Archives/edgar/data/1692115/000119312519250669/d745199dex31.htm" TargetMode="External"/><Relationship Id="rId87" Type="http://schemas.openxmlformats.org/officeDocument/2006/relationships/hyperlink" Target="http://www.sec.gov/Archives/edgar/data/1692115/000119312519250669/d745199dex32.htm" TargetMode="External"/><Relationship Id="rId88" Type="http://schemas.openxmlformats.org/officeDocument/2006/relationships/hyperlink" Target="http://www.sec.gov/Archives/edgar/data/1692115/000119312519250669/d745199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2019-12-28T02:33:17Z</dcterms:created>
  <dcterms:modified xsi:type="dcterms:W3CDTF">2019-12-28T02:33:17Z</dcterms:modified>
</cp:coreProperties>
</file>